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0F5" w:rsidRDefault="006B40F5" w:rsidP="001D3739">
      <w:pPr>
        <w:tabs>
          <w:tab w:val="center" w:pos="4320"/>
          <w:tab w:val="left" w:pos="7484"/>
        </w:tabs>
        <w:jc w:val="center"/>
        <w:rPr>
          <w:sz w:val="36"/>
          <w:szCs w:val="36"/>
          <w:lang w:val="en-CA"/>
        </w:rPr>
      </w:pPr>
    </w:p>
    <w:p w:rsidR="006B40F5" w:rsidRDefault="006B40F5" w:rsidP="001D3739">
      <w:pPr>
        <w:tabs>
          <w:tab w:val="center" w:pos="4320"/>
          <w:tab w:val="left" w:pos="7484"/>
        </w:tabs>
        <w:jc w:val="center"/>
        <w:rPr>
          <w:sz w:val="36"/>
          <w:szCs w:val="36"/>
          <w:lang w:val="en-CA"/>
        </w:rPr>
      </w:pPr>
    </w:p>
    <w:p w:rsidR="003D07F7" w:rsidRPr="00BB39A6" w:rsidRDefault="001D3739" w:rsidP="001D3739">
      <w:pPr>
        <w:tabs>
          <w:tab w:val="center" w:pos="4320"/>
          <w:tab w:val="left" w:pos="7484"/>
        </w:tabs>
        <w:jc w:val="center"/>
        <w:rPr>
          <w:b/>
          <w:sz w:val="36"/>
          <w:szCs w:val="36"/>
          <w:lang w:val="en-CA"/>
        </w:rPr>
      </w:pPr>
      <w:r w:rsidRPr="00BB39A6">
        <w:rPr>
          <w:b/>
          <w:sz w:val="36"/>
          <w:szCs w:val="36"/>
          <w:lang w:val="en-CA"/>
        </w:rPr>
        <w:t>Optimal Tax Risk and Firm Value</w:t>
      </w:r>
    </w:p>
    <w:p w:rsidR="00236E6D" w:rsidRPr="00C17EF8" w:rsidRDefault="00236E6D">
      <w:pPr>
        <w:jc w:val="center"/>
        <w:rPr>
          <w:sz w:val="36"/>
          <w:szCs w:val="36"/>
        </w:rPr>
      </w:pPr>
    </w:p>
    <w:p w:rsidR="000C04E4" w:rsidRPr="00C17EF8" w:rsidRDefault="000C04E4">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9C755C">
      <w:pPr>
        <w:jc w:val="center"/>
        <w:rPr>
          <w:sz w:val="36"/>
          <w:szCs w:val="36"/>
        </w:rPr>
      </w:pPr>
      <w:r w:rsidRPr="00C17EF8">
        <w:rPr>
          <w:sz w:val="36"/>
          <w:szCs w:val="36"/>
        </w:rPr>
        <w:t xml:space="preserve">A </w:t>
      </w:r>
      <w:r w:rsidR="001D3739" w:rsidRPr="00C17EF8">
        <w:rPr>
          <w:sz w:val="36"/>
          <w:szCs w:val="36"/>
        </w:rPr>
        <w:t>Dissertation</w:t>
      </w:r>
      <w:r w:rsidRPr="00C17EF8">
        <w:rPr>
          <w:sz w:val="36"/>
          <w:szCs w:val="36"/>
        </w:rPr>
        <w:t xml:space="preserve"> Presented for</w:t>
      </w:r>
      <w:r w:rsidR="008865B6" w:rsidRPr="00C17EF8">
        <w:rPr>
          <w:sz w:val="36"/>
          <w:szCs w:val="36"/>
        </w:rPr>
        <w:t xml:space="preserve"> the</w:t>
      </w:r>
    </w:p>
    <w:p w:rsidR="009C755C" w:rsidRPr="00C17EF8" w:rsidRDefault="001D3739">
      <w:pPr>
        <w:jc w:val="center"/>
        <w:rPr>
          <w:sz w:val="36"/>
          <w:szCs w:val="36"/>
        </w:rPr>
      </w:pPr>
      <w:r w:rsidRPr="00C17EF8">
        <w:rPr>
          <w:sz w:val="36"/>
          <w:szCs w:val="36"/>
        </w:rPr>
        <w:t>Doctor of Philosophy</w:t>
      </w:r>
    </w:p>
    <w:p w:rsidR="009C755C" w:rsidRPr="00C17EF8" w:rsidRDefault="009C755C">
      <w:pPr>
        <w:jc w:val="center"/>
        <w:rPr>
          <w:sz w:val="36"/>
          <w:szCs w:val="36"/>
        </w:rPr>
      </w:pPr>
      <w:r w:rsidRPr="00C17EF8">
        <w:rPr>
          <w:sz w:val="36"/>
          <w:szCs w:val="36"/>
        </w:rPr>
        <w:t>Degree</w:t>
      </w:r>
    </w:p>
    <w:p w:rsidR="009C755C" w:rsidRPr="00C17EF8" w:rsidRDefault="009C755C">
      <w:pPr>
        <w:jc w:val="center"/>
        <w:rPr>
          <w:sz w:val="36"/>
          <w:szCs w:val="36"/>
        </w:rPr>
      </w:pPr>
      <w:r w:rsidRPr="00C17EF8">
        <w:rPr>
          <w:sz w:val="36"/>
          <w:szCs w:val="36"/>
        </w:rPr>
        <w:t>The University of Tennessee, Knoxville</w:t>
      </w: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236E6D">
      <w:pPr>
        <w:jc w:val="center"/>
        <w:rPr>
          <w:sz w:val="36"/>
          <w:szCs w:val="36"/>
        </w:rPr>
      </w:pPr>
    </w:p>
    <w:p w:rsidR="00236E6D" w:rsidRPr="00C17EF8" w:rsidRDefault="000C04E4">
      <w:pPr>
        <w:jc w:val="center"/>
        <w:rPr>
          <w:sz w:val="36"/>
          <w:szCs w:val="36"/>
        </w:rPr>
      </w:pPr>
      <w:r w:rsidRPr="00C17EF8">
        <w:rPr>
          <w:sz w:val="36"/>
          <w:szCs w:val="36"/>
        </w:rPr>
        <w:t>Rebekah D. McCarty</w:t>
      </w:r>
    </w:p>
    <w:p w:rsidR="009C755C" w:rsidRPr="00C17EF8" w:rsidRDefault="000C04E4">
      <w:pPr>
        <w:jc w:val="center"/>
        <w:rPr>
          <w:sz w:val="36"/>
          <w:szCs w:val="36"/>
        </w:rPr>
      </w:pPr>
      <w:r w:rsidRPr="00C17EF8">
        <w:rPr>
          <w:sz w:val="36"/>
          <w:szCs w:val="36"/>
        </w:rPr>
        <w:t>May 2012</w:t>
      </w:r>
    </w:p>
    <w:p w:rsidR="00C11936" w:rsidRPr="00C17EF8" w:rsidRDefault="00C11936" w:rsidP="00D91C27">
      <w:pPr>
        <w:jc w:val="center"/>
      </w:pPr>
    </w:p>
    <w:p w:rsidR="00C11936" w:rsidRPr="00C17EF8" w:rsidRDefault="00C11936" w:rsidP="00D91C27">
      <w:pPr>
        <w:jc w:val="center"/>
      </w:pPr>
    </w:p>
    <w:p w:rsidR="00C11936" w:rsidRPr="00C17EF8" w:rsidRDefault="00C11936" w:rsidP="00D91C27">
      <w:pPr>
        <w:jc w:val="center"/>
      </w:pPr>
    </w:p>
    <w:p w:rsidR="00C11936" w:rsidRPr="00C17EF8" w:rsidRDefault="00C11936" w:rsidP="00D91C27">
      <w:pPr>
        <w:jc w:val="center"/>
      </w:pPr>
    </w:p>
    <w:p w:rsidR="00C11936" w:rsidRPr="00C17EF8" w:rsidRDefault="00C11936" w:rsidP="00D91C27">
      <w:pPr>
        <w:jc w:val="center"/>
      </w:pPr>
    </w:p>
    <w:p w:rsidR="00C11936" w:rsidRPr="00C17EF8" w:rsidRDefault="00C11936" w:rsidP="00D91C27">
      <w:pPr>
        <w:jc w:val="center"/>
      </w:pPr>
    </w:p>
    <w:p w:rsidR="00C11936" w:rsidRPr="00C17EF8" w:rsidRDefault="00C11936" w:rsidP="00D91C27">
      <w:pPr>
        <w:jc w:val="center"/>
      </w:pPr>
    </w:p>
    <w:p w:rsidR="00C11936" w:rsidRPr="00C17EF8" w:rsidRDefault="00C11936" w:rsidP="00D91C27">
      <w:pPr>
        <w:jc w:val="center"/>
      </w:pPr>
    </w:p>
    <w:p w:rsidR="00C11936" w:rsidRPr="00C17EF8" w:rsidRDefault="00C11936" w:rsidP="00D91C27">
      <w:pPr>
        <w:jc w:val="center"/>
      </w:pPr>
    </w:p>
    <w:p w:rsidR="00C11936" w:rsidRPr="00C17EF8" w:rsidRDefault="00C11936" w:rsidP="00D91C27">
      <w:pPr>
        <w:jc w:val="center"/>
      </w:pPr>
    </w:p>
    <w:p w:rsidR="00C11936" w:rsidRPr="00C17EF8" w:rsidRDefault="00C11936" w:rsidP="00D91C27">
      <w:pPr>
        <w:jc w:val="center"/>
      </w:pPr>
    </w:p>
    <w:p w:rsidR="00236E6D" w:rsidRPr="00C17EF8" w:rsidRDefault="00DD00DE" w:rsidP="00D91C27">
      <w:pPr>
        <w:jc w:val="center"/>
      </w:pPr>
      <w:r w:rsidRPr="00C17EF8">
        <w:t>Copyright © 201</w:t>
      </w:r>
      <w:r w:rsidR="00C65847" w:rsidRPr="00C17EF8">
        <w:t>2</w:t>
      </w:r>
      <w:r w:rsidR="00236E6D" w:rsidRPr="00C17EF8">
        <w:t xml:space="preserve"> by </w:t>
      </w:r>
      <w:r w:rsidR="00C65847" w:rsidRPr="00C17EF8">
        <w:t>Rebekah McCarty</w:t>
      </w:r>
    </w:p>
    <w:p w:rsidR="00236E6D" w:rsidRPr="00C17EF8" w:rsidRDefault="00236E6D">
      <w:pPr>
        <w:jc w:val="center"/>
      </w:pPr>
      <w:r w:rsidRPr="00C17EF8">
        <w:t>All rights reserved.</w:t>
      </w:r>
    </w:p>
    <w:p w:rsidR="00236E6D" w:rsidRPr="00C17EF8" w:rsidRDefault="00236E6D">
      <w:pPr>
        <w:jc w:val="center"/>
      </w:pPr>
    </w:p>
    <w:p w:rsidR="00236E6D" w:rsidRPr="00C17EF8" w:rsidRDefault="00236E6D">
      <w:pPr>
        <w:jc w:val="center"/>
      </w:pPr>
    </w:p>
    <w:p w:rsidR="00236E6D" w:rsidRPr="00C17EF8" w:rsidRDefault="00236E6D">
      <w:pPr>
        <w:jc w:val="center"/>
      </w:pPr>
    </w:p>
    <w:p w:rsidR="00236E6D" w:rsidRPr="00C17EF8" w:rsidRDefault="00236E6D">
      <w:pPr>
        <w:jc w:val="center"/>
      </w:pPr>
    </w:p>
    <w:p w:rsidR="00236E6D" w:rsidRPr="00C17EF8" w:rsidRDefault="00236E6D">
      <w:pPr>
        <w:jc w:val="center"/>
      </w:pPr>
    </w:p>
    <w:p w:rsidR="00236E6D" w:rsidRPr="00C17EF8" w:rsidRDefault="00236E6D">
      <w:pPr>
        <w:jc w:val="center"/>
      </w:pPr>
    </w:p>
    <w:p w:rsidR="00236E6D" w:rsidRPr="00C17EF8" w:rsidRDefault="00236E6D">
      <w:pPr>
        <w:jc w:val="center"/>
      </w:pPr>
    </w:p>
    <w:p w:rsidR="00236E6D" w:rsidRPr="00C17EF8" w:rsidRDefault="00236E6D">
      <w:pPr>
        <w:jc w:val="center"/>
      </w:pPr>
    </w:p>
    <w:p w:rsidR="00236E6D" w:rsidRPr="00C17EF8" w:rsidRDefault="00236E6D">
      <w:pPr>
        <w:jc w:val="center"/>
      </w:pPr>
    </w:p>
    <w:p w:rsidR="00236E6D" w:rsidRPr="00C17EF8" w:rsidRDefault="00236E6D">
      <w:pPr>
        <w:jc w:val="center"/>
      </w:pPr>
    </w:p>
    <w:p w:rsidR="00236E6D" w:rsidRPr="00C17EF8" w:rsidRDefault="00236E6D">
      <w:pPr>
        <w:jc w:val="center"/>
      </w:pPr>
    </w:p>
    <w:p w:rsidR="00236E6D" w:rsidRPr="00C17EF8" w:rsidRDefault="00236E6D">
      <w:pPr>
        <w:jc w:val="center"/>
      </w:pPr>
    </w:p>
    <w:p w:rsidR="00236E6D" w:rsidRPr="00C17EF8" w:rsidRDefault="00236E6D">
      <w:pPr>
        <w:jc w:val="center"/>
      </w:pPr>
    </w:p>
    <w:p w:rsidR="00236E6D" w:rsidRPr="00C17EF8" w:rsidRDefault="00236E6D">
      <w:pPr>
        <w:jc w:val="center"/>
      </w:pPr>
    </w:p>
    <w:p w:rsidR="00C11936" w:rsidRPr="00C17EF8" w:rsidRDefault="00236E6D" w:rsidP="00C11936">
      <w:pPr>
        <w:jc w:val="center"/>
        <w:rPr>
          <w:b/>
          <w:sz w:val="28"/>
          <w:szCs w:val="28"/>
        </w:rPr>
      </w:pPr>
      <w:r w:rsidRPr="00C17EF8">
        <w:rPr>
          <w:sz w:val="36"/>
          <w:szCs w:val="36"/>
        </w:rPr>
        <w:br w:type="page"/>
      </w:r>
    </w:p>
    <w:p w:rsidR="00CD73A9" w:rsidRPr="00C17EF8" w:rsidRDefault="00CD73A9" w:rsidP="009C755C">
      <w:pPr>
        <w:jc w:val="center"/>
        <w:rPr>
          <w:b/>
          <w:sz w:val="28"/>
          <w:szCs w:val="28"/>
        </w:rPr>
      </w:pPr>
      <w:r w:rsidRPr="00C17EF8">
        <w:rPr>
          <w:b/>
          <w:sz w:val="28"/>
          <w:szCs w:val="28"/>
        </w:rPr>
        <w:lastRenderedPageBreak/>
        <w:t>ACKNOWLEDGEMENTS</w:t>
      </w:r>
    </w:p>
    <w:p w:rsidR="00CD73A9" w:rsidRPr="00C17EF8" w:rsidRDefault="00CD73A9">
      <w:pPr>
        <w:jc w:val="center"/>
      </w:pPr>
    </w:p>
    <w:p w:rsidR="009D794C" w:rsidRPr="00C17EF8" w:rsidRDefault="009D794C">
      <w:pPr>
        <w:jc w:val="center"/>
      </w:pPr>
    </w:p>
    <w:p w:rsidR="00035646" w:rsidRDefault="00C65847" w:rsidP="00C65847">
      <w:pPr>
        <w:ind w:firstLine="720"/>
        <w:contextualSpacing/>
      </w:pPr>
      <w:r w:rsidRPr="00C17EF8">
        <w:t xml:space="preserve">I am grateful for the </w:t>
      </w:r>
      <w:r w:rsidR="00461784">
        <w:t xml:space="preserve">generous support, encouragement, suggestions, and </w:t>
      </w:r>
      <w:r w:rsidRPr="00C17EF8">
        <w:t xml:space="preserve">direction from my committee members, </w:t>
      </w:r>
      <w:r w:rsidR="00461784">
        <w:t xml:space="preserve">Bruce Behn (chair), </w:t>
      </w:r>
      <w:r w:rsidRPr="00C17EF8">
        <w:t>Don Bruce,</w:t>
      </w:r>
      <w:r w:rsidR="00461784">
        <w:t xml:space="preserve"> Sarah Clinton, and LeAnn Luna.  I would like to acknowledge Bruce especially for encouraging me every step of the way, always believing in me, and constantly advising me especially during my job search. Thanks to Don for </w:t>
      </w:r>
      <w:r w:rsidR="00035646">
        <w:t>his constant encouragement</w:t>
      </w:r>
      <w:r w:rsidR="00461784">
        <w:t>, always being available to answer ques</w:t>
      </w:r>
      <w:r w:rsidR="00035646">
        <w:t xml:space="preserve">tions, and sharing so much of his time and </w:t>
      </w:r>
      <w:r w:rsidR="00CC0626">
        <w:t>expertise.</w:t>
      </w:r>
      <w:r w:rsidR="00461784">
        <w:t xml:space="preserve"> Thanks to Sarah for </w:t>
      </w:r>
      <w:r w:rsidR="00035646">
        <w:t xml:space="preserve">seeing a researcher in me, for unending support, and for continual guidance and friendship throughout my doctoral program. Thanks to LeAnn for her </w:t>
      </w:r>
      <w:r w:rsidR="002A6277">
        <w:t xml:space="preserve">generous </w:t>
      </w:r>
      <w:r w:rsidR="00035646">
        <w:t xml:space="preserve">support, encouragement, and advice throughout my program. </w:t>
      </w:r>
    </w:p>
    <w:p w:rsidR="00035646" w:rsidRDefault="00035646" w:rsidP="00035646">
      <w:pPr>
        <w:ind w:firstLine="720"/>
        <w:contextualSpacing/>
      </w:pPr>
      <w:r w:rsidRPr="00C17EF8">
        <w:t xml:space="preserve">I would also like to thank James Chyz, Megan Cosgrove, Ann Davis, Jeremy Jay, Colin Reid, Scott White, </w:t>
      </w:r>
      <w:r>
        <w:t xml:space="preserve">and </w:t>
      </w:r>
      <w:r w:rsidRPr="00C17EF8">
        <w:t>workshop participants at the University of Tennessee</w:t>
      </w:r>
      <w:r>
        <w:t xml:space="preserve"> for comments, suggestions, and data support</w:t>
      </w:r>
      <w:r w:rsidR="00036C6A">
        <w:t xml:space="preserve"> for this paper</w:t>
      </w:r>
      <w:r w:rsidRPr="00C17EF8">
        <w:t xml:space="preserve">. </w:t>
      </w:r>
    </w:p>
    <w:p w:rsidR="00035646" w:rsidRDefault="00035646" w:rsidP="00C65847">
      <w:pPr>
        <w:ind w:firstLine="720"/>
        <w:contextualSpacing/>
      </w:pPr>
      <w:r>
        <w:t xml:space="preserve">I would like to </w:t>
      </w:r>
      <w:r w:rsidR="00CC0626">
        <w:t xml:space="preserve">thank </w:t>
      </w:r>
      <w:r>
        <w:t>the Department of Ac</w:t>
      </w:r>
      <w:r w:rsidR="00036C6A">
        <w:t>c</w:t>
      </w:r>
      <w:r>
        <w:t>ounting and Information Manageme</w:t>
      </w:r>
      <w:r w:rsidR="00036C6A">
        <w:t>nt for their generosity and support throughout my entire collegiate career. I have known many of the faculty member</w:t>
      </w:r>
      <w:r w:rsidR="00443E31">
        <w:t>s</w:t>
      </w:r>
      <w:r w:rsidR="00036C6A">
        <w:t xml:space="preserve"> since I was an undergraduate and they have always inspired me and supported me. </w:t>
      </w:r>
      <w:r w:rsidR="00CC0626">
        <w:t>I would also like to thank Terry Neal for his support and guidance throughout the doctoral program and Ken Anderson for encouraging me to pursue a career in academia and facilitating the opportunity to do so. I would especially like to thank all of the Ph.D. students I worked with while at Tennessee. Having friends and amazing colleagues to share the doctoral program with makes all the difference. I could not have done it without them.</w:t>
      </w:r>
    </w:p>
    <w:p w:rsidR="00443E31" w:rsidRDefault="00443E31" w:rsidP="00C65847">
      <w:pPr>
        <w:ind w:firstLine="720"/>
        <w:contextualSpacing/>
      </w:pPr>
      <w:r>
        <w:t xml:space="preserve">Finally, to my family, I cannot begin to express how thankful I am to have such an amazing support system and so much unconditional love. To my siblings, </w:t>
      </w:r>
      <w:r w:rsidR="00CC0626">
        <w:t>I appreciate</w:t>
      </w:r>
      <w:r>
        <w:t xml:space="preserve"> all the talks we had over the last five years</w:t>
      </w:r>
      <w:r w:rsidR="00CC0626">
        <w:t>,</w:t>
      </w:r>
      <w:r>
        <w:t xml:space="preserve"> </w:t>
      </w:r>
      <w:r w:rsidR="00CC0626">
        <w:t>the</w:t>
      </w:r>
      <w:r>
        <w:t xml:space="preserve"> love</w:t>
      </w:r>
      <w:r w:rsidR="00F013AB">
        <w:t xml:space="preserve">, </w:t>
      </w:r>
      <w:r w:rsidR="00CC0626">
        <w:t xml:space="preserve">the </w:t>
      </w:r>
      <w:r w:rsidR="00F013AB">
        <w:t>understanding,</w:t>
      </w:r>
      <w:r>
        <w:t xml:space="preserve"> and </w:t>
      </w:r>
      <w:r w:rsidR="00CC0626">
        <w:t xml:space="preserve">the </w:t>
      </w:r>
      <w:r>
        <w:t>encouragement</w:t>
      </w:r>
      <w:r w:rsidR="00F013AB">
        <w:t xml:space="preserve">. </w:t>
      </w:r>
      <w:r w:rsidR="00CC0626">
        <w:t xml:space="preserve">I especially want to thank </w:t>
      </w:r>
      <w:r>
        <w:t>my mom</w:t>
      </w:r>
      <w:r w:rsidR="002A6277">
        <w:t>.</w:t>
      </w:r>
      <w:r>
        <w:t xml:space="preserve"> </w:t>
      </w:r>
      <w:r w:rsidR="002A6277">
        <w:t xml:space="preserve"> N</w:t>
      </w:r>
      <w:r>
        <w:t xml:space="preserve">o one believes in me like </w:t>
      </w:r>
      <w:r w:rsidR="00CC0626">
        <w:t>her</w:t>
      </w:r>
      <w:r>
        <w:t xml:space="preserve"> and no one understands me like </w:t>
      </w:r>
      <w:r w:rsidR="00CC0626">
        <w:t>her</w:t>
      </w:r>
      <w:r>
        <w:t>.</w:t>
      </w:r>
      <w:r w:rsidR="00F013AB">
        <w:t xml:space="preserve"> I could not ask for a better cheerleader, coach, or friend. </w:t>
      </w:r>
      <w:r w:rsidR="005F110A">
        <w:t xml:space="preserve"> Last</w:t>
      </w:r>
      <w:r w:rsidR="00CC0626">
        <w:t>,</w:t>
      </w:r>
      <w:r w:rsidR="005F110A">
        <w:t xml:space="preserve"> </w:t>
      </w:r>
      <w:r w:rsidR="00CC0626">
        <w:t>a</w:t>
      </w:r>
      <w:r w:rsidR="005F110A">
        <w:t xml:space="preserve"> </w:t>
      </w:r>
      <w:r w:rsidR="00CC0626">
        <w:t>very special thanks t</w:t>
      </w:r>
      <w:r w:rsidR="00F013AB">
        <w:t xml:space="preserve">o my love, TJ, </w:t>
      </w:r>
      <w:r w:rsidR="00CC0626">
        <w:t>who</w:t>
      </w:r>
      <w:r w:rsidR="00F013AB">
        <w:t xml:space="preserve"> allow</w:t>
      </w:r>
      <w:r w:rsidR="00CC0626">
        <w:t>ed</w:t>
      </w:r>
      <w:r w:rsidR="00F013AB">
        <w:t xml:space="preserve"> me to pursue this degree despite its challenges and the sacrifices he had to make. He persistently encouraged me to continue no matter what obstacles arose. He never doubted me even in the worst times and he taught me how to be content in all situations</w:t>
      </w:r>
      <w:r w:rsidR="002A6277">
        <w:t xml:space="preserve"> even during adversity</w:t>
      </w:r>
      <w:r w:rsidR="00F013AB">
        <w:t xml:space="preserve"> (</w:t>
      </w:r>
      <w:r w:rsidR="002A6277">
        <w:t>although I am still working on this</w:t>
      </w:r>
      <w:r w:rsidR="00F013AB">
        <w:t>).</w:t>
      </w:r>
      <w:r w:rsidR="00CC0626">
        <w:t xml:space="preserve">  I do not deserve him and I know how blessed I am to have him as my rock.</w:t>
      </w:r>
    </w:p>
    <w:p w:rsidR="0085757D" w:rsidRPr="00C17EF8" w:rsidRDefault="0085757D" w:rsidP="008F60C3">
      <w:pPr>
        <w:jc w:val="center"/>
      </w:pPr>
    </w:p>
    <w:p w:rsidR="00236E6D" w:rsidRPr="00C17EF8" w:rsidRDefault="0085757D" w:rsidP="0085757D">
      <w:pPr>
        <w:jc w:val="center"/>
      </w:pPr>
      <w:r w:rsidRPr="00C17EF8">
        <w:br w:type="page"/>
      </w:r>
      <w:r w:rsidR="00236E6D" w:rsidRPr="00C17EF8">
        <w:rPr>
          <w:b/>
          <w:bCs/>
          <w:sz w:val="28"/>
          <w:szCs w:val="28"/>
        </w:rPr>
        <w:lastRenderedPageBreak/>
        <w:t>ABSTRACT</w:t>
      </w:r>
    </w:p>
    <w:p w:rsidR="009D794C" w:rsidRPr="00C17EF8" w:rsidRDefault="009D794C" w:rsidP="009D794C"/>
    <w:p w:rsidR="009D794C" w:rsidRPr="00C17EF8" w:rsidRDefault="009D794C" w:rsidP="009D794C"/>
    <w:p w:rsidR="00EF1A9A" w:rsidRPr="00C17EF8" w:rsidRDefault="00EF1A9A" w:rsidP="00EF1A9A">
      <w:pPr>
        <w:ind w:firstLine="720"/>
        <w:contextualSpacing/>
      </w:pPr>
      <w:r w:rsidRPr="00C17EF8">
        <w:t>I use the tax reserve data available from FIN 48 to investigate whether equity market value and tax risk exhibit a concave association, consistent with an optimal level of tax risk from an equity valuation standpoint. I find a concave association between tax risk and firm value which suggests firm value is increasing in tax risk at a diminishing rate until an optimal level is reached, after which firm value is decreasing in tax risk. I do not find evidence of excessive risk taking in the context of tax avoidance. Instead almost all firms in my sample are below the average implied optimal level of tax risk. Tax risk impacts firm value not only through its effect on expectations about future cash flows but also through its effect on the cost of equity capital. I also document a higher average optimal level of tax risk for firms where the CEO is not the chairman of the board, consistent with an agency view of tax avoidance. I find that institutional ownership levels moderate the association between tax risk and firm value but the average optimal level of tax risk does not vary with institutional ownership.</w:t>
      </w:r>
    </w:p>
    <w:p w:rsidR="0090075B" w:rsidRPr="00C17EF8" w:rsidRDefault="00236E6D" w:rsidP="00C11936">
      <w:pPr>
        <w:ind w:firstLine="720"/>
        <w:jc w:val="center"/>
      </w:pPr>
      <w:r w:rsidRPr="00C17EF8">
        <w:br w:type="page"/>
      </w:r>
    </w:p>
    <w:sdt>
      <w:sdtPr>
        <w:id w:val="163806920"/>
        <w:docPartObj>
          <w:docPartGallery w:val="Table of Contents"/>
          <w:docPartUnique/>
        </w:docPartObj>
      </w:sdtPr>
      <w:sdtContent>
        <w:p w:rsidR="0090075B" w:rsidRDefault="002B0659" w:rsidP="00A95D4A">
          <w:pPr>
            <w:jc w:val="center"/>
            <w:rPr>
              <w:b/>
              <w:sz w:val="28"/>
              <w:szCs w:val="28"/>
            </w:rPr>
          </w:pPr>
          <w:r>
            <w:rPr>
              <w:b/>
              <w:sz w:val="28"/>
              <w:szCs w:val="28"/>
            </w:rPr>
            <w:t>TABLE OF CONTENTS</w:t>
          </w:r>
        </w:p>
        <w:p w:rsidR="002A6277" w:rsidRPr="00C17EF8" w:rsidRDefault="002A6277" w:rsidP="00A95D4A">
          <w:pPr>
            <w:jc w:val="center"/>
          </w:pPr>
        </w:p>
        <w:p w:rsidR="008D02FC" w:rsidRDefault="00F45E01">
          <w:pPr>
            <w:pStyle w:val="TOC1"/>
            <w:tabs>
              <w:tab w:val="left" w:pos="480"/>
              <w:tab w:val="right" w:leader="dot" w:pos="8990"/>
            </w:tabs>
            <w:rPr>
              <w:rFonts w:asciiTheme="minorHAnsi" w:eastAsiaTheme="minorEastAsia" w:hAnsiTheme="minorHAnsi" w:cstheme="minorBidi"/>
              <w:noProof/>
              <w:sz w:val="22"/>
              <w:szCs w:val="22"/>
            </w:rPr>
          </w:pPr>
          <w:r>
            <w:fldChar w:fldCharType="begin"/>
          </w:r>
          <w:r w:rsidR="00381FDE">
            <w:instrText xml:space="preserve"> TOC \o "1-2" \u \t "Heading 3,1" </w:instrText>
          </w:r>
          <w:r>
            <w:fldChar w:fldCharType="separate"/>
          </w:r>
          <w:r w:rsidR="008D02FC">
            <w:rPr>
              <w:noProof/>
            </w:rPr>
            <w:t>1.</w:t>
          </w:r>
          <w:r w:rsidR="008D02FC">
            <w:rPr>
              <w:rFonts w:asciiTheme="minorHAnsi" w:eastAsiaTheme="minorEastAsia" w:hAnsiTheme="minorHAnsi" w:cstheme="minorBidi"/>
              <w:noProof/>
              <w:sz w:val="22"/>
              <w:szCs w:val="22"/>
            </w:rPr>
            <w:t xml:space="preserve"> </w:t>
          </w:r>
          <w:r w:rsidR="008D02FC">
            <w:rPr>
              <w:noProof/>
            </w:rPr>
            <w:t>Introduction</w:t>
          </w:r>
          <w:r w:rsidR="008D02FC">
            <w:rPr>
              <w:noProof/>
            </w:rPr>
            <w:tab/>
          </w:r>
          <w:r w:rsidR="008D02FC">
            <w:rPr>
              <w:noProof/>
            </w:rPr>
            <w:fldChar w:fldCharType="begin"/>
          </w:r>
          <w:r w:rsidR="008D02FC">
            <w:rPr>
              <w:noProof/>
            </w:rPr>
            <w:instrText xml:space="preserve"> PAGEREF _Toc321493717 \h </w:instrText>
          </w:r>
          <w:r w:rsidR="008D02FC">
            <w:rPr>
              <w:noProof/>
            </w:rPr>
          </w:r>
          <w:r w:rsidR="008D02FC">
            <w:rPr>
              <w:noProof/>
            </w:rPr>
            <w:fldChar w:fldCharType="separate"/>
          </w:r>
          <w:r w:rsidR="008D02FC">
            <w:rPr>
              <w:noProof/>
            </w:rPr>
            <w:t>1</w:t>
          </w:r>
          <w:r w:rsidR="008D02FC">
            <w:rPr>
              <w:noProof/>
            </w:rPr>
            <w:fldChar w:fldCharType="end"/>
          </w:r>
        </w:p>
        <w:p w:rsidR="008D02FC" w:rsidRDefault="008D02FC">
          <w:pPr>
            <w:pStyle w:val="TOC1"/>
            <w:tabs>
              <w:tab w:val="right" w:leader="dot" w:pos="8990"/>
            </w:tabs>
            <w:rPr>
              <w:rFonts w:asciiTheme="minorHAnsi" w:eastAsiaTheme="minorEastAsia" w:hAnsiTheme="minorHAnsi" w:cstheme="minorBidi"/>
              <w:noProof/>
              <w:sz w:val="22"/>
              <w:szCs w:val="22"/>
            </w:rPr>
          </w:pPr>
          <w:r>
            <w:rPr>
              <w:noProof/>
            </w:rPr>
            <w:t>2. Background and Hypothesis Development</w:t>
          </w:r>
          <w:r>
            <w:rPr>
              <w:noProof/>
            </w:rPr>
            <w:tab/>
          </w:r>
          <w:r>
            <w:rPr>
              <w:noProof/>
            </w:rPr>
            <w:fldChar w:fldCharType="begin"/>
          </w:r>
          <w:r>
            <w:rPr>
              <w:noProof/>
            </w:rPr>
            <w:instrText xml:space="preserve"> PAGEREF _Toc321493718 \h </w:instrText>
          </w:r>
          <w:r>
            <w:rPr>
              <w:noProof/>
            </w:rPr>
          </w:r>
          <w:r>
            <w:rPr>
              <w:noProof/>
            </w:rPr>
            <w:fldChar w:fldCharType="separate"/>
          </w:r>
          <w:r>
            <w:rPr>
              <w:noProof/>
            </w:rPr>
            <w:t>6</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Tax Risk and FIN 48</w:t>
          </w:r>
          <w:r>
            <w:rPr>
              <w:noProof/>
            </w:rPr>
            <w:tab/>
          </w:r>
          <w:r>
            <w:rPr>
              <w:noProof/>
            </w:rPr>
            <w:fldChar w:fldCharType="begin"/>
          </w:r>
          <w:r>
            <w:rPr>
              <w:noProof/>
            </w:rPr>
            <w:instrText xml:space="preserve"> PAGEREF _Toc321493719 \h </w:instrText>
          </w:r>
          <w:r>
            <w:rPr>
              <w:noProof/>
            </w:rPr>
          </w:r>
          <w:r>
            <w:rPr>
              <w:noProof/>
            </w:rPr>
            <w:fldChar w:fldCharType="separate"/>
          </w:r>
          <w:r>
            <w:rPr>
              <w:noProof/>
            </w:rPr>
            <w:t>6</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Related Literature</w:t>
          </w:r>
          <w:r>
            <w:rPr>
              <w:noProof/>
            </w:rPr>
            <w:tab/>
          </w:r>
          <w:r>
            <w:rPr>
              <w:noProof/>
            </w:rPr>
            <w:fldChar w:fldCharType="begin"/>
          </w:r>
          <w:r>
            <w:rPr>
              <w:noProof/>
            </w:rPr>
            <w:instrText xml:space="preserve"> PAGEREF _Toc321493720 \h </w:instrText>
          </w:r>
          <w:r>
            <w:rPr>
              <w:noProof/>
            </w:rPr>
          </w:r>
          <w:r>
            <w:rPr>
              <w:noProof/>
            </w:rPr>
            <w:fldChar w:fldCharType="separate"/>
          </w:r>
          <w:r>
            <w:rPr>
              <w:noProof/>
            </w:rPr>
            <w:t>9</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Hypothesis Development</w:t>
          </w:r>
          <w:r>
            <w:rPr>
              <w:noProof/>
            </w:rPr>
            <w:tab/>
          </w:r>
          <w:r>
            <w:rPr>
              <w:noProof/>
            </w:rPr>
            <w:fldChar w:fldCharType="begin"/>
          </w:r>
          <w:r>
            <w:rPr>
              <w:noProof/>
            </w:rPr>
            <w:instrText xml:space="preserve"> PAGEREF _Toc321493721 \h </w:instrText>
          </w:r>
          <w:r>
            <w:rPr>
              <w:noProof/>
            </w:rPr>
          </w:r>
          <w:r>
            <w:rPr>
              <w:noProof/>
            </w:rPr>
            <w:fldChar w:fldCharType="separate"/>
          </w:r>
          <w:r>
            <w:rPr>
              <w:noProof/>
            </w:rPr>
            <w:t>12</w:t>
          </w:r>
          <w:r>
            <w:rPr>
              <w:noProof/>
            </w:rPr>
            <w:fldChar w:fldCharType="end"/>
          </w:r>
        </w:p>
        <w:p w:rsidR="008D02FC" w:rsidRDefault="008D02FC">
          <w:pPr>
            <w:pStyle w:val="TOC1"/>
            <w:tabs>
              <w:tab w:val="right" w:leader="dot" w:pos="8990"/>
            </w:tabs>
            <w:rPr>
              <w:rFonts w:asciiTheme="minorHAnsi" w:eastAsiaTheme="minorEastAsia" w:hAnsiTheme="minorHAnsi" w:cstheme="minorBidi"/>
              <w:noProof/>
              <w:sz w:val="22"/>
              <w:szCs w:val="22"/>
            </w:rPr>
          </w:pPr>
          <w:r>
            <w:rPr>
              <w:noProof/>
            </w:rPr>
            <w:t>3. Research Design</w:t>
          </w:r>
          <w:r>
            <w:rPr>
              <w:noProof/>
            </w:rPr>
            <w:tab/>
          </w:r>
          <w:r>
            <w:rPr>
              <w:noProof/>
            </w:rPr>
            <w:fldChar w:fldCharType="begin"/>
          </w:r>
          <w:r>
            <w:rPr>
              <w:noProof/>
            </w:rPr>
            <w:instrText xml:space="preserve"> PAGEREF _Toc321493722 \h </w:instrText>
          </w:r>
          <w:r>
            <w:rPr>
              <w:noProof/>
            </w:rPr>
          </w:r>
          <w:r>
            <w:rPr>
              <w:noProof/>
            </w:rPr>
            <w:fldChar w:fldCharType="separate"/>
          </w:r>
          <w:r>
            <w:rPr>
              <w:noProof/>
            </w:rPr>
            <w:t>19</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Tax Risk and Firm Value</w:t>
          </w:r>
          <w:r>
            <w:rPr>
              <w:noProof/>
            </w:rPr>
            <w:tab/>
          </w:r>
          <w:r>
            <w:rPr>
              <w:noProof/>
            </w:rPr>
            <w:fldChar w:fldCharType="begin"/>
          </w:r>
          <w:r>
            <w:rPr>
              <w:noProof/>
            </w:rPr>
            <w:instrText xml:space="preserve"> PAGEREF _Toc321493723 \h </w:instrText>
          </w:r>
          <w:r>
            <w:rPr>
              <w:noProof/>
            </w:rPr>
          </w:r>
          <w:r>
            <w:rPr>
              <w:noProof/>
            </w:rPr>
            <w:fldChar w:fldCharType="separate"/>
          </w:r>
          <w:r>
            <w:rPr>
              <w:noProof/>
            </w:rPr>
            <w:t>19</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Tax Risk and Cost of Equity Capital (H2)</w:t>
          </w:r>
          <w:r>
            <w:rPr>
              <w:noProof/>
            </w:rPr>
            <w:tab/>
          </w:r>
          <w:r>
            <w:rPr>
              <w:noProof/>
            </w:rPr>
            <w:fldChar w:fldCharType="begin"/>
          </w:r>
          <w:r>
            <w:rPr>
              <w:noProof/>
            </w:rPr>
            <w:instrText xml:space="preserve"> PAGEREF _Toc321493724 \h </w:instrText>
          </w:r>
          <w:r>
            <w:rPr>
              <w:noProof/>
            </w:rPr>
          </w:r>
          <w:r>
            <w:rPr>
              <w:noProof/>
            </w:rPr>
            <w:fldChar w:fldCharType="separate"/>
          </w:r>
          <w:r>
            <w:rPr>
              <w:noProof/>
            </w:rPr>
            <w:t>22</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Governance Cross Sectional Analyses (H3a and H3b)</w:t>
          </w:r>
          <w:r>
            <w:rPr>
              <w:noProof/>
            </w:rPr>
            <w:tab/>
          </w:r>
          <w:r>
            <w:rPr>
              <w:noProof/>
            </w:rPr>
            <w:fldChar w:fldCharType="begin"/>
          </w:r>
          <w:r>
            <w:rPr>
              <w:noProof/>
            </w:rPr>
            <w:instrText xml:space="preserve"> PAGEREF _Toc321493725 \h </w:instrText>
          </w:r>
          <w:r>
            <w:rPr>
              <w:noProof/>
            </w:rPr>
          </w:r>
          <w:r>
            <w:rPr>
              <w:noProof/>
            </w:rPr>
            <w:fldChar w:fldCharType="separate"/>
          </w:r>
          <w:r>
            <w:rPr>
              <w:noProof/>
            </w:rPr>
            <w:t>23</w:t>
          </w:r>
          <w:r>
            <w:rPr>
              <w:noProof/>
            </w:rPr>
            <w:fldChar w:fldCharType="end"/>
          </w:r>
        </w:p>
        <w:p w:rsidR="008D02FC" w:rsidRDefault="008D02FC">
          <w:pPr>
            <w:pStyle w:val="TOC1"/>
            <w:tabs>
              <w:tab w:val="right" w:leader="dot" w:pos="8990"/>
            </w:tabs>
            <w:rPr>
              <w:rFonts w:asciiTheme="minorHAnsi" w:eastAsiaTheme="minorEastAsia" w:hAnsiTheme="minorHAnsi" w:cstheme="minorBidi"/>
              <w:noProof/>
              <w:sz w:val="22"/>
              <w:szCs w:val="22"/>
            </w:rPr>
          </w:pPr>
          <w:r>
            <w:rPr>
              <w:noProof/>
            </w:rPr>
            <w:t>4. Sample and Descriptive Statistics</w:t>
          </w:r>
          <w:r>
            <w:rPr>
              <w:noProof/>
            </w:rPr>
            <w:tab/>
          </w:r>
          <w:r>
            <w:rPr>
              <w:noProof/>
            </w:rPr>
            <w:fldChar w:fldCharType="begin"/>
          </w:r>
          <w:r>
            <w:rPr>
              <w:noProof/>
            </w:rPr>
            <w:instrText xml:space="preserve"> PAGEREF _Toc321493726 \h </w:instrText>
          </w:r>
          <w:r>
            <w:rPr>
              <w:noProof/>
            </w:rPr>
          </w:r>
          <w:r>
            <w:rPr>
              <w:noProof/>
            </w:rPr>
            <w:fldChar w:fldCharType="separate"/>
          </w:r>
          <w:r>
            <w:rPr>
              <w:noProof/>
            </w:rPr>
            <w:t>25</w:t>
          </w:r>
          <w:r>
            <w:rPr>
              <w:noProof/>
            </w:rPr>
            <w:fldChar w:fldCharType="end"/>
          </w:r>
        </w:p>
        <w:p w:rsidR="008D02FC" w:rsidRDefault="008D02FC">
          <w:pPr>
            <w:pStyle w:val="TOC1"/>
            <w:tabs>
              <w:tab w:val="right" w:leader="dot" w:pos="8990"/>
            </w:tabs>
            <w:rPr>
              <w:rFonts w:asciiTheme="minorHAnsi" w:eastAsiaTheme="minorEastAsia" w:hAnsiTheme="minorHAnsi" w:cstheme="minorBidi"/>
              <w:noProof/>
              <w:sz w:val="22"/>
              <w:szCs w:val="22"/>
            </w:rPr>
          </w:pPr>
          <w:r>
            <w:rPr>
              <w:noProof/>
            </w:rPr>
            <w:t>5. Empirical Results</w:t>
          </w:r>
          <w:r>
            <w:rPr>
              <w:noProof/>
            </w:rPr>
            <w:tab/>
          </w:r>
          <w:r>
            <w:rPr>
              <w:noProof/>
            </w:rPr>
            <w:fldChar w:fldCharType="begin"/>
          </w:r>
          <w:r>
            <w:rPr>
              <w:noProof/>
            </w:rPr>
            <w:instrText xml:space="preserve"> PAGEREF _Toc321493727 \h </w:instrText>
          </w:r>
          <w:r>
            <w:rPr>
              <w:noProof/>
            </w:rPr>
          </w:r>
          <w:r>
            <w:rPr>
              <w:noProof/>
            </w:rPr>
            <w:fldChar w:fldCharType="separate"/>
          </w:r>
          <w:r>
            <w:rPr>
              <w:noProof/>
            </w:rPr>
            <w:t>27</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Tax Risk and Firm Value (H1)</w:t>
          </w:r>
          <w:r>
            <w:rPr>
              <w:noProof/>
            </w:rPr>
            <w:tab/>
          </w:r>
          <w:r>
            <w:rPr>
              <w:noProof/>
            </w:rPr>
            <w:fldChar w:fldCharType="begin"/>
          </w:r>
          <w:r>
            <w:rPr>
              <w:noProof/>
            </w:rPr>
            <w:instrText xml:space="preserve"> PAGEREF _Toc321493728 \h </w:instrText>
          </w:r>
          <w:r>
            <w:rPr>
              <w:noProof/>
            </w:rPr>
          </w:r>
          <w:r>
            <w:rPr>
              <w:noProof/>
            </w:rPr>
            <w:fldChar w:fldCharType="separate"/>
          </w:r>
          <w:r>
            <w:rPr>
              <w:noProof/>
            </w:rPr>
            <w:t>27</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Tax Risk and Cost of Equity Capital (H2)</w:t>
          </w:r>
          <w:r>
            <w:rPr>
              <w:noProof/>
            </w:rPr>
            <w:tab/>
          </w:r>
          <w:r>
            <w:rPr>
              <w:noProof/>
            </w:rPr>
            <w:fldChar w:fldCharType="begin"/>
          </w:r>
          <w:r>
            <w:rPr>
              <w:noProof/>
            </w:rPr>
            <w:instrText xml:space="preserve"> PAGEREF _Toc321493729 \h </w:instrText>
          </w:r>
          <w:r>
            <w:rPr>
              <w:noProof/>
            </w:rPr>
          </w:r>
          <w:r>
            <w:rPr>
              <w:noProof/>
            </w:rPr>
            <w:fldChar w:fldCharType="separate"/>
          </w:r>
          <w:r>
            <w:rPr>
              <w:noProof/>
            </w:rPr>
            <w:t>29</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Tax Risk, Firm Value, and Governance (H3a)</w:t>
          </w:r>
          <w:r>
            <w:rPr>
              <w:noProof/>
            </w:rPr>
            <w:tab/>
          </w:r>
          <w:r>
            <w:rPr>
              <w:noProof/>
            </w:rPr>
            <w:fldChar w:fldCharType="begin"/>
          </w:r>
          <w:r>
            <w:rPr>
              <w:noProof/>
            </w:rPr>
            <w:instrText xml:space="preserve"> PAGEREF _Toc321493730 \h </w:instrText>
          </w:r>
          <w:r>
            <w:rPr>
              <w:noProof/>
            </w:rPr>
          </w:r>
          <w:r>
            <w:rPr>
              <w:noProof/>
            </w:rPr>
            <w:fldChar w:fldCharType="separate"/>
          </w:r>
          <w:r>
            <w:rPr>
              <w:noProof/>
            </w:rPr>
            <w:t>30</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Tax Risk, Cost of Equity Capital, and Governance (H3b)</w:t>
          </w:r>
          <w:r>
            <w:rPr>
              <w:noProof/>
            </w:rPr>
            <w:tab/>
          </w:r>
          <w:r>
            <w:rPr>
              <w:noProof/>
            </w:rPr>
            <w:fldChar w:fldCharType="begin"/>
          </w:r>
          <w:r>
            <w:rPr>
              <w:noProof/>
            </w:rPr>
            <w:instrText xml:space="preserve"> PAGEREF _Toc321493731 \h </w:instrText>
          </w:r>
          <w:r>
            <w:rPr>
              <w:noProof/>
            </w:rPr>
          </w:r>
          <w:r>
            <w:rPr>
              <w:noProof/>
            </w:rPr>
            <w:fldChar w:fldCharType="separate"/>
          </w:r>
          <w:r>
            <w:rPr>
              <w:noProof/>
            </w:rPr>
            <w:t>32</w:t>
          </w:r>
          <w:r>
            <w:rPr>
              <w:noProof/>
            </w:rPr>
            <w:fldChar w:fldCharType="end"/>
          </w:r>
        </w:p>
        <w:p w:rsidR="008D02FC" w:rsidRDefault="008D02FC">
          <w:pPr>
            <w:pStyle w:val="TOC1"/>
            <w:tabs>
              <w:tab w:val="right" w:leader="dot" w:pos="8990"/>
            </w:tabs>
            <w:rPr>
              <w:rFonts w:asciiTheme="minorHAnsi" w:eastAsiaTheme="minorEastAsia" w:hAnsiTheme="minorHAnsi" w:cstheme="minorBidi"/>
              <w:noProof/>
              <w:sz w:val="22"/>
              <w:szCs w:val="22"/>
            </w:rPr>
          </w:pPr>
          <w:r>
            <w:rPr>
              <w:noProof/>
            </w:rPr>
            <w:t>6. Additional Analyses</w:t>
          </w:r>
          <w:r>
            <w:rPr>
              <w:noProof/>
            </w:rPr>
            <w:tab/>
          </w:r>
          <w:r>
            <w:rPr>
              <w:noProof/>
            </w:rPr>
            <w:fldChar w:fldCharType="begin"/>
          </w:r>
          <w:r>
            <w:rPr>
              <w:noProof/>
            </w:rPr>
            <w:instrText xml:space="preserve"> PAGEREF _Toc321493732 \h </w:instrText>
          </w:r>
          <w:r>
            <w:rPr>
              <w:noProof/>
            </w:rPr>
          </w:r>
          <w:r>
            <w:rPr>
              <w:noProof/>
            </w:rPr>
            <w:fldChar w:fldCharType="separate"/>
          </w:r>
          <w:r>
            <w:rPr>
              <w:noProof/>
            </w:rPr>
            <w:t>33</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Industry-Adjusted Tax Risk</w:t>
          </w:r>
          <w:r>
            <w:rPr>
              <w:noProof/>
            </w:rPr>
            <w:tab/>
          </w:r>
          <w:r>
            <w:rPr>
              <w:noProof/>
            </w:rPr>
            <w:fldChar w:fldCharType="begin"/>
          </w:r>
          <w:r>
            <w:rPr>
              <w:noProof/>
            </w:rPr>
            <w:instrText xml:space="preserve"> PAGEREF _Toc321493733 \h </w:instrText>
          </w:r>
          <w:r>
            <w:rPr>
              <w:noProof/>
            </w:rPr>
          </w:r>
          <w:r>
            <w:rPr>
              <w:noProof/>
            </w:rPr>
            <w:fldChar w:fldCharType="separate"/>
          </w:r>
          <w:r>
            <w:rPr>
              <w:noProof/>
            </w:rPr>
            <w:t>33</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Sample Partitions</w:t>
          </w:r>
          <w:r>
            <w:rPr>
              <w:noProof/>
            </w:rPr>
            <w:tab/>
          </w:r>
          <w:r>
            <w:rPr>
              <w:noProof/>
            </w:rPr>
            <w:fldChar w:fldCharType="begin"/>
          </w:r>
          <w:r>
            <w:rPr>
              <w:noProof/>
            </w:rPr>
            <w:instrText xml:space="preserve"> PAGEREF _Toc321493734 \h </w:instrText>
          </w:r>
          <w:r>
            <w:rPr>
              <w:noProof/>
            </w:rPr>
          </w:r>
          <w:r>
            <w:rPr>
              <w:noProof/>
            </w:rPr>
            <w:fldChar w:fldCharType="separate"/>
          </w:r>
          <w:r>
            <w:rPr>
              <w:noProof/>
            </w:rPr>
            <w:t>33</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Higher Order Polynomials</w:t>
          </w:r>
          <w:r>
            <w:rPr>
              <w:noProof/>
            </w:rPr>
            <w:tab/>
          </w:r>
          <w:r>
            <w:rPr>
              <w:noProof/>
            </w:rPr>
            <w:fldChar w:fldCharType="begin"/>
          </w:r>
          <w:r>
            <w:rPr>
              <w:noProof/>
            </w:rPr>
            <w:instrText xml:space="preserve"> PAGEREF _Toc321493735 \h </w:instrText>
          </w:r>
          <w:r>
            <w:rPr>
              <w:noProof/>
            </w:rPr>
          </w:r>
          <w:r>
            <w:rPr>
              <w:noProof/>
            </w:rPr>
            <w:fldChar w:fldCharType="separate"/>
          </w:r>
          <w:r>
            <w:rPr>
              <w:noProof/>
            </w:rPr>
            <w:t>34</w:t>
          </w:r>
          <w:r>
            <w:rPr>
              <w:noProof/>
            </w:rPr>
            <w:fldChar w:fldCharType="end"/>
          </w:r>
        </w:p>
        <w:p w:rsidR="008D02FC" w:rsidRDefault="008D02FC">
          <w:pPr>
            <w:pStyle w:val="TOC2"/>
            <w:rPr>
              <w:rFonts w:asciiTheme="minorHAnsi" w:eastAsiaTheme="minorEastAsia" w:hAnsiTheme="minorHAnsi" w:cstheme="minorBidi"/>
              <w:noProof/>
              <w:sz w:val="22"/>
              <w:szCs w:val="22"/>
            </w:rPr>
          </w:pPr>
          <w:r w:rsidRPr="00050414">
            <w:rPr>
              <w:noProof/>
            </w:rPr>
            <w:t>Other Robustness Checks</w:t>
          </w:r>
          <w:r>
            <w:rPr>
              <w:noProof/>
            </w:rPr>
            <w:tab/>
          </w:r>
          <w:r>
            <w:rPr>
              <w:noProof/>
            </w:rPr>
            <w:fldChar w:fldCharType="begin"/>
          </w:r>
          <w:r>
            <w:rPr>
              <w:noProof/>
            </w:rPr>
            <w:instrText xml:space="preserve"> PAGEREF _Toc321493736 \h </w:instrText>
          </w:r>
          <w:r>
            <w:rPr>
              <w:noProof/>
            </w:rPr>
          </w:r>
          <w:r>
            <w:rPr>
              <w:noProof/>
            </w:rPr>
            <w:fldChar w:fldCharType="separate"/>
          </w:r>
          <w:r>
            <w:rPr>
              <w:noProof/>
            </w:rPr>
            <w:t>35</w:t>
          </w:r>
          <w:r>
            <w:rPr>
              <w:noProof/>
            </w:rPr>
            <w:fldChar w:fldCharType="end"/>
          </w:r>
        </w:p>
        <w:p w:rsidR="008D02FC" w:rsidRDefault="008D02FC">
          <w:pPr>
            <w:pStyle w:val="TOC1"/>
            <w:tabs>
              <w:tab w:val="right" w:leader="dot" w:pos="8990"/>
            </w:tabs>
            <w:rPr>
              <w:rFonts w:asciiTheme="minorHAnsi" w:eastAsiaTheme="minorEastAsia" w:hAnsiTheme="minorHAnsi" w:cstheme="minorBidi"/>
              <w:noProof/>
              <w:sz w:val="22"/>
              <w:szCs w:val="22"/>
            </w:rPr>
          </w:pPr>
          <w:r>
            <w:rPr>
              <w:noProof/>
            </w:rPr>
            <w:t>7. Conclusion</w:t>
          </w:r>
          <w:r>
            <w:rPr>
              <w:noProof/>
            </w:rPr>
            <w:tab/>
          </w:r>
          <w:r>
            <w:rPr>
              <w:noProof/>
            </w:rPr>
            <w:fldChar w:fldCharType="begin"/>
          </w:r>
          <w:r>
            <w:rPr>
              <w:noProof/>
            </w:rPr>
            <w:instrText xml:space="preserve"> PAGEREF _Toc321493737 \h </w:instrText>
          </w:r>
          <w:r>
            <w:rPr>
              <w:noProof/>
            </w:rPr>
          </w:r>
          <w:r>
            <w:rPr>
              <w:noProof/>
            </w:rPr>
            <w:fldChar w:fldCharType="separate"/>
          </w:r>
          <w:r>
            <w:rPr>
              <w:noProof/>
            </w:rPr>
            <w:t>36</w:t>
          </w:r>
          <w:r>
            <w:rPr>
              <w:noProof/>
            </w:rPr>
            <w:fldChar w:fldCharType="end"/>
          </w:r>
        </w:p>
        <w:p w:rsidR="008D02FC" w:rsidRDefault="008D02FC">
          <w:pPr>
            <w:pStyle w:val="TOC1"/>
            <w:tabs>
              <w:tab w:val="right" w:leader="dot" w:pos="8990"/>
            </w:tabs>
            <w:rPr>
              <w:rFonts w:asciiTheme="minorHAnsi" w:eastAsiaTheme="minorEastAsia" w:hAnsiTheme="minorHAnsi" w:cstheme="minorBidi"/>
              <w:noProof/>
              <w:sz w:val="22"/>
              <w:szCs w:val="22"/>
            </w:rPr>
          </w:pPr>
          <w:r w:rsidRPr="00050414">
            <w:rPr>
              <w:noProof/>
            </w:rPr>
            <w:t>List of References</w:t>
          </w:r>
          <w:r>
            <w:rPr>
              <w:noProof/>
            </w:rPr>
            <w:tab/>
          </w:r>
          <w:r>
            <w:rPr>
              <w:noProof/>
            </w:rPr>
            <w:fldChar w:fldCharType="begin"/>
          </w:r>
          <w:r>
            <w:rPr>
              <w:noProof/>
            </w:rPr>
            <w:instrText xml:space="preserve"> PAGEREF _Toc321493738 \h </w:instrText>
          </w:r>
          <w:r>
            <w:rPr>
              <w:noProof/>
            </w:rPr>
          </w:r>
          <w:r>
            <w:rPr>
              <w:noProof/>
            </w:rPr>
            <w:fldChar w:fldCharType="separate"/>
          </w:r>
          <w:r>
            <w:rPr>
              <w:noProof/>
            </w:rPr>
            <w:t>38</w:t>
          </w:r>
          <w:r>
            <w:rPr>
              <w:noProof/>
            </w:rPr>
            <w:fldChar w:fldCharType="end"/>
          </w:r>
        </w:p>
        <w:p w:rsidR="008D02FC" w:rsidRDefault="008D02FC">
          <w:pPr>
            <w:pStyle w:val="TOC1"/>
            <w:tabs>
              <w:tab w:val="right" w:leader="dot" w:pos="8990"/>
            </w:tabs>
            <w:rPr>
              <w:rFonts w:asciiTheme="minorHAnsi" w:eastAsiaTheme="minorEastAsia" w:hAnsiTheme="minorHAnsi" w:cstheme="minorBidi"/>
              <w:noProof/>
              <w:sz w:val="22"/>
              <w:szCs w:val="22"/>
            </w:rPr>
          </w:pPr>
          <w:r w:rsidRPr="00050414">
            <w:rPr>
              <w:noProof/>
            </w:rPr>
            <w:t>Appendix A: Variable Definitions</w:t>
          </w:r>
          <w:r>
            <w:rPr>
              <w:noProof/>
            </w:rPr>
            <w:tab/>
          </w:r>
          <w:r>
            <w:rPr>
              <w:noProof/>
            </w:rPr>
            <w:fldChar w:fldCharType="begin"/>
          </w:r>
          <w:r>
            <w:rPr>
              <w:noProof/>
            </w:rPr>
            <w:instrText xml:space="preserve"> PAGEREF _Toc321493739 \h </w:instrText>
          </w:r>
          <w:r>
            <w:rPr>
              <w:noProof/>
            </w:rPr>
          </w:r>
          <w:r>
            <w:rPr>
              <w:noProof/>
            </w:rPr>
            <w:fldChar w:fldCharType="separate"/>
          </w:r>
          <w:r>
            <w:rPr>
              <w:noProof/>
            </w:rPr>
            <w:t>44</w:t>
          </w:r>
          <w:r>
            <w:rPr>
              <w:noProof/>
            </w:rPr>
            <w:fldChar w:fldCharType="end"/>
          </w:r>
        </w:p>
        <w:p w:rsidR="008D02FC" w:rsidRDefault="008D02FC">
          <w:pPr>
            <w:pStyle w:val="TOC1"/>
            <w:tabs>
              <w:tab w:val="right" w:leader="dot" w:pos="8990"/>
            </w:tabs>
            <w:rPr>
              <w:rFonts w:asciiTheme="minorHAnsi" w:eastAsiaTheme="minorEastAsia" w:hAnsiTheme="minorHAnsi" w:cstheme="minorBidi"/>
              <w:noProof/>
              <w:sz w:val="22"/>
              <w:szCs w:val="22"/>
            </w:rPr>
          </w:pPr>
          <w:r>
            <w:rPr>
              <w:noProof/>
            </w:rPr>
            <w:t>Appendix B: Tables and Figures</w:t>
          </w:r>
          <w:r>
            <w:rPr>
              <w:noProof/>
            </w:rPr>
            <w:tab/>
          </w:r>
          <w:r>
            <w:rPr>
              <w:noProof/>
            </w:rPr>
            <w:fldChar w:fldCharType="begin"/>
          </w:r>
          <w:r>
            <w:rPr>
              <w:noProof/>
            </w:rPr>
            <w:instrText xml:space="preserve"> PAGEREF _Toc321493740 \h </w:instrText>
          </w:r>
          <w:r>
            <w:rPr>
              <w:noProof/>
            </w:rPr>
          </w:r>
          <w:r>
            <w:rPr>
              <w:noProof/>
            </w:rPr>
            <w:fldChar w:fldCharType="separate"/>
          </w:r>
          <w:r>
            <w:rPr>
              <w:noProof/>
            </w:rPr>
            <w:t>48</w:t>
          </w:r>
          <w:r>
            <w:rPr>
              <w:noProof/>
            </w:rPr>
            <w:fldChar w:fldCharType="end"/>
          </w:r>
        </w:p>
        <w:p w:rsidR="008D02FC" w:rsidRDefault="008D02FC">
          <w:pPr>
            <w:pStyle w:val="TOC1"/>
            <w:tabs>
              <w:tab w:val="right" w:leader="dot" w:pos="8990"/>
            </w:tabs>
            <w:rPr>
              <w:rFonts w:asciiTheme="minorHAnsi" w:eastAsiaTheme="minorEastAsia" w:hAnsiTheme="minorHAnsi" w:cstheme="minorBidi"/>
              <w:noProof/>
              <w:sz w:val="22"/>
              <w:szCs w:val="22"/>
            </w:rPr>
          </w:pPr>
          <w:r>
            <w:rPr>
              <w:noProof/>
            </w:rPr>
            <w:t>Vita</w:t>
          </w:r>
          <w:r>
            <w:rPr>
              <w:noProof/>
            </w:rPr>
            <w:tab/>
          </w:r>
          <w:r>
            <w:rPr>
              <w:noProof/>
            </w:rPr>
            <w:fldChar w:fldCharType="begin"/>
          </w:r>
          <w:r>
            <w:rPr>
              <w:noProof/>
            </w:rPr>
            <w:instrText xml:space="preserve"> PAGEREF _Toc321493741 \h </w:instrText>
          </w:r>
          <w:r>
            <w:rPr>
              <w:noProof/>
            </w:rPr>
          </w:r>
          <w:r>
            <w:rPr>
              <w:noProof/>
            </w:rPr>
            <w:fldChar w:fldCharType="separate"/>
          </w:r>
          <w:r>
            <w:rPr>
              <w:noProof/>
            </w:rPr>
            <w:t>59</w:t>
          </w:r>
          <w:r>
            <w:rPr>
              <w:noProof/>
            </w:rPr>
            <w:fldChar w:fldCharType="end"/>
          </w:r>
        </w:p>
        <w:p w:rsidR="0090075B" w:rsidRPr="00C17EF8" w:rsidRDefault="00F45E01" w:rsidP="00381FDE">
          <w:pPr>
            <w:tabs>
              <w:tab w:val="right" w:leader="dot" w:pos="8990"/>
            </w:tabs>
          </w:pPr>
          <w:r>
            <w:fldChar w:fldCharType="end"/>
          </w:r>
        </w:p>
      </w:sdtContent>
    </w:sdt>
    <w:p w:rsidR="00236E6D" w:rsidRPr="00C17EF8" w:rsidRDefault="009C755C">
      <w:pPr>
        <w:numPr>
          <w:ilvl w:val="12"/>
          <w:numId w:val="0"/>
        </w:numPr>
        <w:jc w:val="center"/>
      </w:pPr>
      <w:r w:rsidRPr="00C17EF8">
        <w:rPr>
          <w:b/>
          <w:bCs/>
          <w:sz w:val="28"/>
          <w:szCs w:val="28"/>
        </w:rPr>
        <w:br w:type="page"/>
      </w:r>
      <w:r w:rsidR="00236E6D" w:rsidRPr="00C17EF8">
        <w:rPr>
          <w:b/>
          <w:bCs/>
          <w:sz w:val="28"/>
          <w:szCs w:val="28"/>
        </w:rPr>
        <w:lastRenderedPageBreak/>
        <w:t>LIST OF TABLES</w:t>
      </w:r>
      <w:r w:rsidR="00812AD1">
        <w:rPr>
          <w:b/>
          <w:bCs/>
          <w:sz w:val="28"/>
          <w:szCs w:val="28"/>
        </w:rPr>
        <w:t xml:space="preserve"> AND FIGURES</w:t>
      </w:r>
    </w:p>
    <w:p w:rsidR="00236E6D" w:rsidRPr="00C17EF8" w:rsidRDefault="00236E6D">
      <w:pPr>
        <w:numPr>
          <w:ilvl w:val="12"/>
          <w:numId w:val="0"/>
        </w:numPr>
        <w:jc w:val="center"/>
      </w:pPr>
    </w:p>
    <w:p w:rsidR="00236E6D" w:rsidRPr="00C17EF8" w:rsidRDefault="00236E6D">
      <w:pPr>
        <w:spacing w:line="2" w:lineRule="exact"/>
      </w:pPr>
    </w:p>
    <w:p w:rsidR="00236E6D" w:rsidRPr="00C17EF8" w:rsidRDefault="00236E6D">
      <w:pPr>
        <w:spacing w:line="2" w:lineRule="exact"/>
      </w:pPr>
    </w:p>
    <w:p w:rsidR="00BE2C0B" w:rsidRDefault="00F45E01">
      <w:pPr>
        <w:pStyle w:val="TOC1"/>
        <w:tabs>
          <w:tab w:val="right" w:leader="dot" w:pos="8990"/>
        </w:tabs>
        <w:rPr>
          <w:rFonts w:asciiTheme="minorHAnsi" w:eastAsiaTheme="minorEastAsia" w:hAnsiTheme="minorHAnsi" w:cstheme="minorBidi"/>
          <w:noProof/>
          <w:sz w:val="22"/>
          <w:szCs w:val="22"/>
        </w:rPr>
      </w:pPr>
      <w:r>
        <w:rPr>
          <w:b/>
          <w:bCs/>
          <w:sz w:val="28"/>
          <w:szCs w:val="28"/>
        </w:rPr>
        <w:fldChar w:fldCharType="begin"/>
      </w:r>
      <w:r w:rsidR="00A60FB6">
        <w:rPr>
          <w:b/>
          <w:bCs/>
          <w:sz w:val="28"/>
          <w:szCs w:val="28"/>
        </w:rPr>
        <w:instrText xml:space="preserve"> TOC \h \z \u \t "Heading 4,1,Heading 5,2,Heading 6,3,Style Heading 1 + Centered,1" </w:instrText>
      </w:r>
      <w:r>
        <w:rPr>
          <w:b/>
          <w:bCs/>
          <w:sz w:val="28"/>
          <w:szCs w:val="28"/>
        </w:rPr>
        <w:fldChar w:fldCharType="separate"/>
      </w:r>
      <w:hyperlink w:anchor="_Toc321418229" w:history="1">
        <w:r w:rsidR="00BE2C0B" w:rsidRPr="00036381">
          <w:rPr>
            <w:rStyle w:val="Hyperlink"/>
            <w:noProof/>
          </w:rPr>
          <w:t>Table 1: Sample Selection and Descriptive Statistics</w:t>
        </w:r>
        <w:r w:rsidR="00BE2C0B">
          <w:rPr>
            <w:noProof/>
            <w:webHidden/>
          </w:rPr>
          <w:tab/>
        </w:r>
        <w:r>
          <w:rPr>
            <w:noProof/>
            <w:webHidden/>
          </w:rPr>
          <w:fldChar w:fldCharType="begin"/>
        </w:r>
        <w:r w:rsidR="00BE2C0B">
          <w:rPr>
            <w:noProof/>
            <w:webHidden/>
          </w:rPr>
          <w:instrText xml:space="preserve"> PAGEREF _Toc321418229 \h </w:instrText>
        </w:r>
        <w:r>
          <w:rPr>
            <w:noProof/>
            <w:webHidden/>
          </w:rPr>
        </w:r>
        <w:r>
          <w:rPr>
            <w:noProof/>
            <w:webHidden/>
          </w:rPr>
          <w:fldChar w:fldCharType="separate"/>
        </w:r>
        <w:r w:rsidR="008D02FC">
          <w:rPr>
            <w:noProof/>
            <w:webHidden/>
          </w:rPr>
          <w:t>49</w:t>
        </w:r>
        <w:r>
          <w:rPr>
            <w:noProof/>
            <w:webHidden/>
          </w:rPr>
          <w:fldChar w:fldCharType="end"/>
        </w:r>
      </w:hyperlink>
    </w:p>
    <w:p w:rsidR="00BE2C0B" w:rsidRDefault="00F45E01">
      <w:pPr>
        <w:pStyle w:val="TOC1"/>
        <w:tabs>
          <w:tab w:val="right" w:leader="dot" w:pos="8990"/>
        </w:tabs>
        <w:rPr>
          <w:rFonts w:asciiTheme="minorHAnsi" w:eastAsiaTheme="minorEastAsia" w:hAnsiTheme="minorHAnsi" w:cstheme="minorBidi"/>
          <w:noProof/>
          <w:sz w:val="22"/>
          <w:szCs w:val="22"/>
        </w:rPr>
      </w:pPr>
      <w:hyperlink w:anchor="_Toc321418230" w:history="1">
        <w:r w:rsidR="00BE2C0B" w:rsidRPr="00036381">
          <w:rPr>
            <w:rStyle w:val="Hyperlink"/>
            <w:noProof/>
          </w:rPr>
          <w:t>Table 2: Spearman and Pearson Correlations</w:t>
        </w:r>
        <w:r w:rsidR="00BE2C0B">
          <w:rPr>
            <w:noProof/>
            <w:webHidden/>
          </w:rPr>
          <w:tab/>
        </w:r>
        <w:r>
          <w:rPr>
            <w:noProof/>
            <w:webHidden/>
          </w:rPr>
          <w:fldChar w:fldCharType="begin"/>
        </w:r>
        <w:r w:rsidR="00BE2C0B">
          <w:rPr>
            <w:noProof/>
            <w:webHidden/>
          </w:rPr>
          <w:instrText xml:space="preserve"> PAGEREF _Toc321418230 \h </w:instrText>
        </w:r>
        <w:r>
          <w:rPr>
            <w:noProof/>
            <w:webHidden/>
          </w:rPr>
        </w:r>
        <w:r>
          <w:rPr>
            <w:noProof/>
            <w:webHidden/>
          </w:rPr>
          <w:fldChar w:fldCharType="separate"/>
        </w:r>
        <w:r w:rsidR="008D02FC">
          <w:rPr>
            <w:noProof/>
            <w:webHidden/>
          </w:rPr>
          <w:t>51</w:t>
        </w:r>
        <w:r>
          <w:rPr>
            <w:noProof/>
            <w:webHidden/>
          </w:rPr>
          <w:fldChar w:fldCharType="end"/>
        </w:r>
      </w:hyperlink>
    </w:p>
    <w:p w:rsidR="00BE2C0B" w:rsidRDefault="00F45E01">
      <w:pPr>
        <w:pStyle w:val="TOC1"/>
        <w:tabs>
          <w:tab w:val="right" w:leader="dot" w:pos="8990"/>
        </w:tabs>
        <w:rPr>
          <w:rFonts w:asciiTheme="minorHAnsi" w:eastAsiaTheme="minorEastAsia" w:hAnsiTheme="minorHAnsi" w:cstheme="minorBidi"/>
          <w:noProof/>
          <w:sz w:val="22"/>
          <w:szCs w:val="22"/>
        </w:rPr>
      </w:pPr>
      <w:hyperlink w:anchor="_Toc321418231" w:history="1">
        <w:r w:rsidR="00BE2C0B" w:rsidRPr="00036381">
          <w:rPr>
            <w:rStyle w:val="Hyperlink"/>
            <w:noProof/>
          </w:rPr>
          <w:t>Table 3: Regressions of Log Market Value on TAXRISK (H1)</w:t>
        </w:r>
        <w:r w:rsidR="00BE2C0B">
          <w:rPr>
            <w:noProof/>
            <w:webHidden/>
          </w:rPr>
          <w:tab/>
        </w:r>
        <w:r>
          <w:rPr>
            <w:noProof/>
            <w:webHidden/>
          </w:rPr>
          <w:fldChar w:fldCharType="begin"/>
        </w:r>
        <w:r w:rsidR="00BE2C0B">
          <w:rPr>
            <w:noProof/>
            <w:webHidden/>
          </w:rPr>
          <w:instrText xml:space="preserve"> PAGEREF _Toc321418231 \h </w:instrText>
        </w:r>
        <w:r>
          <w:rPr>
            <w:noProof/>
            <w:webHidden/>
          </w:rPr>
        </w:r>
        <w:r>
          <w:rPr>
            <w:noProof/>
            <w:webHidden/>
          </w:rPr>
          <w:fldChar w:fldCharType="separate"/>
        </w:r>
        <w:r w:rsidR="008D02FC">
          <w:rPr>
            <w:noProof/>
            <w:webHidden/>
          </w:rPr>
          <w:t>53</w:t>
        </w:r>
        <w:r>
          <w:rPr>
            <w:noProof/>
            <w:webHidden/>
          </w:rPr>
          <w:fldChar w:fldCharType="end"/>
        </w:r>
      </w:hyperlink>
    </w:p>
    <w:p w:rsidR="00BE2C0B" w:rsidRDefault="00F45E01">
      <w:pPr>
        <w:pStyle w:val="TOC1"/>
        <w:tabs>
          <w:tab w:val="right" w:leader="dot" w:pos="8990"/>
        </w:tabs>
        <w:rPr>
          <w:rFonts w:asciiTheme="minorHAnsi" w:eastAsiaTheme="minorEastAsia" w:hAnsiTheme="minorHAnsi" w:cstheme="minorBidi"/>
          <w:noProof/>
          <w:sz w:val="22"/>
          <w:szCs w:val="22"/>
        </w:rPr>
      </w:pPr>
      <w:hyperlink w:anchor="_Toc321418232" w:history="1">
        <w:r w:rsidR="00BE2C0B" w:rsidRPr="00036381">
          <w:rPr>
            <w:rStyle w:val="Hyperlink"/>
            <w:noProof/>
          </w:rPr>
          <w:t>Table 4: Regressions of Cost of Capital on TAXRISK (H2)</w:t>
        </w:r>
        <w:r w:rsidR="00BE2C0B">
          <w:rPr>
            <w:noProof/>
            <w:webHidden/>
          </w:rPr>
          <w:tab/>
        </w:r>
        <w:r>
          <w:rPr>
            <w:noProof/>
            <w:webHidden/>
          </w:rPr>
          <w:fldChar w:fldCharType="begin"/>
        </w:r>
        <w:r w:rsidR="00BE2C0B">
          <w:rPr>
            <w:noProof/>
            <w:webHidden/>
          </w:rPr>
          <w:instrText xml:space="preserve"> PAGEREF _Toc321418232 \h </w:instrText>
        </w:r>
        <w:r>
          <w:rPr>
            <w:noProof/>
            <w:webHidden/>
          </w:rPr>
        </w:r>
        <w:r>
          <w:rPr>
            <w:noProof/>
            <w:webHidden/>
          </w:rPr>
          <w:fldChar w:fldCharType="separate"/>
        </w:r>
        <w:r w:rsidR="008D02FC">
          <w:rPr>
            <w:noProof/>
            <w:webHidden/>
          </w:rPr>
          <w:t>54</w:t>
        </w:r>
        <w:r>
          <w:rPr>
            <w:noProof/>
            <w:webHidden/>
          </w:rPr>
          <w:fldChar w:fldCharType="end"/>
        </w:r>
      </w:hyperlink>
    </w:p>
    <w:p w:rsidR="00BE2C0B" w:rsidRDefault="00F45E01">
      <w:pPr>
        <w:pStyle w:val="TOC1"/>
        <w:tabs>
          <w:tab w:val="right" w:leader="dot" w:pos="8990"/>
        </w:tabs>
        <w:rPr>
          <w:rFonts w:asciiTheme="minorHAnsi" w:eastAsiaTheme="minorEastAsia" w:hAnsiTheme="minorHAnsi" w:cstheme="minorBidi"/>
          <w:noProof/>
          <w:sz w:val="22"/>
          <w:szCs w:val="22"/>
        </w:rPr>
      </w:pPr>
      <w:hyperlink w:anchor="_Toc321418233" w:history="1">
        <w:r w:rsidR="00BE2C0B" w:rsidRPr="00036381">
          <w:rPr>
            <w:rStyle w:val="Hyperlink"/>
            <w:noProof/>
          </w:rPr>
          <w:t>Table 5: Regressions of Log Market Value on TAXRISK and Governance (H3a)</w:t>
        </w:r>
        <w:r w:rsidR="00BE2C0B">
          <w:rPr>
            <w:noProof/>
            <w:webHidden/>
          </w:rPr>
          <w:tab/>
        </w:r>
        <w:r>
          <w:rPr>
            <w:noProof/>
            <w:webHidden/>
          </w:rPr>
          <w:fldChar w:fldCharType="begin"/>
        </w:r>
        <w:r w:rsidR="00BE2C0B">
          <w:rPr>
            <w:noProof/>
            <w:webHidden/>
          </w:rPr>
          <w:instrText xml:space="preserve"> PAGEREF _Toc321418233 \h </w:instrText>
        </w:r>
        <w:r>
          <w:rPr>
            <w:noProof/>
            <w:webHidden/>
          </w:rPr>
        </w:r>
        <w:r>
          <w:rPr>
            <w:noProof/>
            <w:webHidden/>
          </w:rPr>
          <w:fldChar w:fldCharType="separate"/>
        </w:r>
        <w:r w:rsidR="008D02FC">
          <w:rPr>
            <w:noProof/>
            <w:webHidden/>
          </w:rPr>
          <w:t>55</w:t>
        </w:r>
        <w:r>
          <w:rPr>
            <w:noProof/>
            <w:webHidden/>
          </w:rPr>
          <w:fldChar w:fldCharType="end"/>
        </w:r>
      </w:hyperlink>
    </w:p>
    <w:p w:rsidR="00BE2C0B" w:rsidRDefault="00F45E01">
      <w:pPr>
        <w:pStyle w:val="TOC1"/>
        <w:tabs>
          <w:tab w:val="right" w:leader="dot" w:pos="8990"/>
        </w:tabs>
        <w:rPr>
          <w:rFonts w:asciiTheme="minorHAnsi" w:eastAsiaTheme="minorEastAsia" w:hAnsiTheme="minorHAnsi" w:cstheme="minorBidi"/>
          <w:noProof/>
          <w:sz w:val="22"/>
          <w:szCs w:val="22"/>
        </w:rPr>
      </w:pPr>
      <w:hyperlink w:anchor="_Toc321418234" w:history="1">
        <w:r w:rsidR="00BE2C0B" w:rsidRPr="00036381">
          <w:rPr>
            <w:rStyle w:val="Hyperlink"/>
            <w:noProof/>
          </w:rPr>
          <w:t>Table 6: Regressions of Cost of Capital on TAXRISK and Governance (H3b)</w:t>
        </w:r>
        <w:r w:rsidR="00BE2C0B">
          <w:rPr>
            <w:noProof/>
            <w:webHidden/>
          </w:rPr>
          <w:tab/>
        </w:r>
        <w:r>
          <w:rPr>
            <w:noProof/>
            <w:webHidden/>
          </w:rPr>
          <w:fldChar w:fldCharType="begin"/>
        </w:r>
        <w:r w:rsidR="00BE2C0B">
          <w:rPr>
            <w:noProof/>
            <w:webHidden/>
          </w:rPr>
          <w:instrText xml:space="preserve"> PAGEREF _Toc321418234 \h </w:instrText>
        </w:r>
        <w:r>
          <w:rPr>
            <w:noProof/>
            <w:webHidden/>
          </w:rPr>
        </w:r>
        <w:r>
          <w:rPr>
            <w:noProof/>
            <w:webHidden/>
          </w:rPr>
          <w:fldChar w:fldCharType="separate"/>
        </w:r>
        <w:r w:rsidR="008D02FC">
          <w:rPr>
            <w:noProof/>
            <w:webHidden/>
          </w:rPr>
          <w:t>56</w:t>
        </w:r>
        <w:r>
          <w:rPr>
            <w:noProof/>
            <w:webHidden/>
          </w:rPr>
          <w:fldChar w:fldCharType="end"/>
        </w:r>
      </w:hyperlink>
    </w:p>
    <w:p w:rsidR="00BE2C0B" w:rsidRDefault="00F45E01">
      <w:pPr>
        <w:pStyle w:val="TOC1"/>
        <w:tabs>
          <w:tab w:val="right" w:leader="dot" w:pos="8990"/>
        </w:tabs>
        <w:rPr>
          <w:rFonts w:asciiTheme="minorHAnsi" w:eastAsiaTheme="minorEastAsia" w:hAnsiTheme="minorHAnsi" w:cstheme="minorBidi"/>
          <w:noProof/>
          <w:sz w:val="22"/>
          <w:szCs w:val="22"/>
        </w:rPr>
      </w:pPr>
      <w:hyperlink w:anchor="_Toc321418235" w:history="1">
        <w:r w:rsidR="00BE2C0B" w:rsidRPr="00036381">
          <w:rPr>
            <w:rStyle w:val="Hyperlink"/>
            <w:noProof/>
          </w:rPr>
          <w:t>Table 7: Univariate Differences Between High and Low Tax Risk Firms</w:t>
        </w:r>
        <w:r w:rsidR="00BE2C0B">
          <w:rPr>
            <w:noProof/>
            <w:webHidden/>
          </w:rPr>
          <w:tab/>
        </w:r>
        <w:r>
          <w:rPr>
            <w:noProof/>
            <w:webHidden/>
          </w:rPr>
          <w:fldChar w:fldCharType="begin"/>
        </w:r>
        <w:r w:rsidR="00BE2C0B">
          <w:rPr>
            <w:noProof/>
            <w:webHidden/>
          </w:rPr>
          <w:instrText xml:space="preserve"> PAGEREF _Toc321418235 \h </w:instrText>
        </w:r>
        <w:r>
          <w:rPr>
            <w:noProof/>
            <w:webHidden/>
          </w:rPr>
        </w:r>
        <w:r>
          <w:rPr>
            <w:noProof/>
            <w:webHidden/>
          </w:rPr>
          <w:fldChar w:fldCharType="separate"/>
        </w:r>
        <w:r w:rsidR="008D02FC">
          <w:rPr>
            <w:noProof/>
            <w:webHidden/>
          </w:rPr>
          <w:t>57</w:t>
        </w:r>
        <w:r>
          <w:rPr>
            <w:noProof/>
            <w:webHidden/>
          </w:rPr>
          <w:fldChar w:fldCharType="end"/>
        </w:r>
      </w:hyperlink>
    </w:p>
    <w:p w:rsidR="00BE2C0B" w:rsidRDefault="00F45E01">
      <w:pPr>
        <w:pStyle w:val="TOC1"/>
        <w:tabs>
          <w:tab w:val="right" w:leader="dot" w:pos="8990"/>
        </w:tabs>
        <w:rPr>
          <w:rFonts w:asciiTheme="minorHAnsi" w:eastAsiaTheme="minorEastAsia" w:hAnsiTheme="minorHAnsi" w:cstheme="minorBidi"/>
          <w:noProof/>
          <w:sz w:val="22"/>
          <w:szCs w:val="22"/>
        </w:rPr>
      </w:pPr>
      <w:hyperlink w:anchor="_Toc321418236" w:history="1">
        <w:r w:rsidR="00BE2C0B" w:rsidRPr="00036381">
          <w:rPr>
            <w:rStyle w:val="Hyperlink"/>
            <w:noProof/>
          </w:rPr>
          <w:t>Figure 1: Firm Value and Tax Risk Sixth-Order Fitted Polynomial</w:t>
        </w:r>
        <w:r w:rsidR="00BE2C0B">
          <w:rPr>
            <w:noProof/>
            <w:webHidden/>
          </w:rPr>
          <w:tab/>
        </w:r>
        <w:r>
          <w:rPr>
            <w:noProof/>
            <w:webHidden/>
          </w:rPr>
          <w:fldChar w:fldCharType="begin"/>
        </w:r>
        <w:r w:rsidR="00BE2C0B">
          <w:rPr>
            <w:noProof/>
            <w:webHidden/>
          </w:rPr>
          <w:instrText xml:space="preserve"> PAGEREF _Toc321418236 \h </w:instrText>
        </w:r>
        <w:r>
          <w:rPr>
            <w:noProof/>
            <w:webHidden/>
          </w:rPr>
        </w:r>
        <w:r>
          <w:rPr>
            <w:noProof/>
            <w:webHidden/>
          </w:rPr>
          <w:fldChar w:fldCharType="separate"/>
        </w:r>
        <w:r w:rsidR="008D02FC">
          <w:rPr>
            <w:noProof/>
            <w:webHidden/>
          </w:rPr>
          <w:t>58</w:t>
        </w:r>
        <w:r>
          <w:rPr>
            <w:noProof/>
            <w:webHidden/>
          </w:rPr>
          <w:fldChar w:fldCharType="end"/>
        </w:r>
      </w:hyperlink>
    </w:p>
    <w:p w:rsidR="00236E6D" w:rsidRPr="00C17EF8" w:rsidRDefault="00F45E01">
      <w:pPr>
        <w:pStyle w:val="Level1"/>
        <w:tabs>
          <w:tab w:val="right" w:leader="dot" w:pos="8228"/>
        </w:tabs>
        <w:ind w:left="0"/>
        <w:rPr>
          <w:b/>
          <w:bCs/>
          <w:sz w:val="28"/>
          <w:szCs w:val="28"/>
        </w:rPr>
      </w:pPr>
      <w:r>
        <w:rPr>
          <w:b/>
          <w:bCs/>
          <w:sz w:val="28"/>
          <w:szCs w:val="28"/>
        </w:rPr>
        <w:fldChar w:fldCharType="end"/>
      </w:r>
    </w:p>
    <w:p w:rsidR="0085757D" w:rsidRPr="00C17EF8" w:rsidRDefault="0085757D">
      <w:pPr>
        <w:pStyle w:val="Level1"/>
        <w:tabs>
          <w:tab w:val="right" w:leader="dot" w:pos="8228"/>
        </w:tabs>
        <w:ind w:left="0"/>
        <w:rPr>
          <w:b/>
          <w:bCs/>
          <w:sz w:val="28"/>
          <w:szCs w:val="28"/>
        </w:rPr>
      </w:pPr>
    </w:p>
    <w:p w:rsidR="0085757D" w:rsidRPr="00C17EF8" w:rsidRDefault="0085757D">
      <w:pPr>
        <w:pStyle w:val="Level1"/>
        <w:tabs>
          <w:tab w:val="right" w:leader="dot" w:pos="8228"/>
        </w:tabs>
        <w:ind w:left="0"/>
        <w:rPr>
          <w:b/>
          <w:bCs/>
          <w:sz w:val="28"/>
          <w:szCs w:val="28"/>
        </w:rPr>
      </w:pPr>
    </w:p>
    <w:p w:rsidR="0085757D" w:rsidRPr="00C17EF8" w:rsidRDefault="0085757D">
      <w:pPr>
        <w:pStyle w:val="Level1"/>
        <w:tabs>
          <w:tab w:val="right" w:leader="dot" w:pos="8228"/>
        </w:tabs>
        <w:ind w:left="0"/>
        <w:rPr>
          <w:b/>
          <w:bCs/>
          <w:sz w:val="28"/>
          <w:szCs w:val="28"/>
        </w:rPr>
      </w:pPr>
    </w:p>
    <w:p w:rsidR="0085757D" w:rsidRPr="00C17EF8" w:rsidRDefault="0085757D">
      <w:pPr>
        <w:pStyle w:val="Level1"/>
        <w:tabs>
          <w:tab w:val="right" w:leader="dot" w:pos="8228"/>
        </w:tabs>
        <w:ind w:left="0"/>
        <w:rPr>
          <w:b/>
          <w:bCs/>
          <w:sz w:val="28"/>
          <w:szCs w:val="28"/>
        </w:rPr>
      </w:pPr>
    </w:p>
    <w:p w:rsidR="0085757D" w:rsidRPr="00C17EF8" w:rsidRDefault="0085757D">
      <w:pPr>
        <w:pStyle w:val="Level1"/>
        <w:tabs>
          <w:tab w:val="right" w:leader="dot" w:pos="8228"/>
        </w:tabs>
        <w:ind w:left="0"/>
        <w:rPr>
          <w:b/>
          <w:bCs/>
          <w:sz w:val="28"/>
          <w:szCs w:val="28"/>
        </w:rPr>
      </w:pPr>
    </w:p>
    <w:p w:rsidR="0085757D" w:rsidRPr="00C17EF8" w:rsidRDefault="00236E6D" w:rsidP="004743A3">
      <w:pPr>
        <w:numPr>
          <w:ilvl w:val="12"/>
          <w:numId w:val="0"/>
        </w:numPr>
        <w:jc w:val="center"/>
      </w:pPr>
      <w:r w:rsidRPr="00C17EF8">
        <w:rPr>
          <w:sz w:val="28"/>
          <w:szCs w:val="28"/>
        </w:rPr>
        <w:br w:type="page"/>
      </w:r>
    </w:p>
    <w:p w:rsidR="0085757D" w:rsidRPr="00C17EF8" w:rsidRDefault="0085757D">
      <w:pPr>
        <w:numPr>
          <w:ilvl w:val="12"/>
          <w:numId w:val="0"/>
        </w:numPr>
        <w:sectPr w:rsidR="0085757D" w:rsidRPr="00C17EF8" w:rsidSect="00CC5AB2">
          <w:headerReference w:type="even" r:id="rId8"/>
          <w:headerReference w:type="default" r:id="rId9"/>
          <w:footerReference w:type="default" r:id="rId10"/>
          <w:pgSz w:w="12240" w:h="15840" w:code="1"/>
          <w:pgMar w:top="1440" w:right="1440" w:bottom="1872" w:left="1800" w:header="720" w:footer="1440" w:gutter="0"/>
          <w:pgNumType w:fmt="lowerRoman" w:start="1"/>
          <w:cols w:space="720"/>
          <w:noEndnote/>
          <w:titlePg/>
        </w:sectPr>
      </w:pPr>
    </w:p>
    <w:p w:rsidR="00A95D4A" w:rsidRPr="00C17EF8" w:rsidRDefault="00FD5702" w:rsidP="00A95D4A">
      <w:pPr>
        <w:pStyle w:val="Heading1"/>
        <w:ind w:left="360" w:firstLine="0"/>
      </w:pPr>
      <w:bookmarkStart w:id="0" w:name="_Toc320370973"/>
      <w:bookmarkStart w:id="1" w:name="_Toc321493717"/>
      <w:r>
        <w:lastRenderedPageBreak/>
        <w:t>Introduction</w:t>
      </w:r>
      <w:bookmarkEnd w:id="0"/>
      <w:bookmarkEnd w:id="1"/>
    </w:p>
    <w:p w:rsidR="00A95D4A" w:rsidRPr="00C17EF8" w:rsidRDefault="00A95D4A" w:rsidP="00A95D4A"/>
    <w:p w:rsidR="00080E60" w:rsidRPr="00C17EF8" w:rsidRDefault="00080E60" w:rsidP="00A95D4A">
      <w:pPr>
        <w:spacing w:line="480" w:lineRule="auto"/>
        <w:ind w:firstLine="720"/>
        <w:contextualSpacing/>
      </w:pPr>
      <w:proofErr w:type="gramStart"/>
      <w:r w:rsidRPr="00C17EF8">
        <w:t>In the wake of recent accounting scandals and the financial crisis that began in 2007 investors have become increasingly concerned about excessive risk taking by high-level managers and CEOs.</w:t>
      </w:r>
      <w:proofErr w:type="gramEnd"/>
      <w:r w:rsidRPr="00C17EF8">
        <w:t xml:space="preserve"> In the interest of increased short-term profits and stock prices, managers often engage in “risky activities that may be adverse to the interest of long-term investors and society” (</w:t>
      </w:r>
      <w:proofErr w:type="spellStart"/>
      <w:r w:rsidRPr="00C17EF8">
        <w:t>Strine</w:t>
      </w:r>
      <w:proofErr w:type="spellEnd"/>
      <w:r w:rsidRPr="00C17EF8">
        <w:t xml:space="preserve"> 2009). These activities may include excessive risk from increased leverage, investments in overly risky projects, or other speculative activities. While often overlooked, tax risk is an important type of risk that can generate significant costs (Wilson 2009) not only in terms of monetary penalties but also reputational damage. Tax risk is the degree of risk or uncertainty of sustainability inherent in a firm’s tax positions. The potential costs from IRS detection and reversal of uncertain and risky tax positions create incentives to curb excessive risk taking. However, investors prefer some degree of tax risk despite the potential costs, since riskier tax planning activities provide opportunities for higher cash tax savings and higher after-tax earnings. In this paper, I use the tax reserves disclosed under </w:t>
      </w:r>
      <w:r w:rsidR="002A6277" w:rsidRPr="00C17EF8">
        <w:t>FASB Interpretation No. 48 (FIN 48)</w:t>
      </w:r>
      <w:r w:rsidR="002A6277">
        <w:t xml:space="preserve"> </w:t>
      </w:r>
      <w:r w:rsidRPr="00C17EF8">
        <w:t xml:space="preserve">to explore the association between tax risk and firm equity valuations. </w:t>
      </w:r>
    </w:p>
    <w:p w:rsidR="00080E60" w:rsidRPr="00C17EF8" w:rsidRDefault="00080E60" w:rsidP="00080E60">
      <w:pPr>
        <w:spacing w:line="480" w:lineRule="auto"/>
        <w:ind w:firstLine="720"/>
        <w:contextualSpacing/>
      </w:pPr>
      <w:r w:rsidRPr="00C17EF8">
        <w:t>Researchers have examined the relation between firm value and tax avoidance with mixed results.</w:t>
      </w:r>
      <w:r w:rsidRPr="00C17EF8">
        <w:rPr>
          <w:rStyle w:val="FootnoteReference"/>
        </w:rPr>
        <w:footnoteReference w:id="1"/>
      </w:r>
      <w:r w:rsidRPr="00C17EF8">
        <w:t xml:space="preserve"> While some studies have found firm value to be increasing in tax avoidance (Desai and </w:t>
      </w:r>
      <w:proofErr w:type="spellStart"/>
      <w:r w:rsidRPr="00C17EF8">
        <w:t>Dharmapala</w:t>
      </w:r>
      <w:proofErr w:type="spellEnd"/>
      <w:r w:rsidRPr="00C17EF8">
        <w:t xml:space="preserve"> 2009a; Koester 2011; Song and Tucker 2008), others have found negative market reactions to certain types of tax avoidance (Desai and Hines 2002; Hanlon </w:t>
      </w:r>
      <w:r w:rsidRPr="00C17EF8">
        <w:lastRenderedPageBreak/>
        <w:t xml:space="preserve">and </w:t>
      </w:r>
      <w:proofErr w:type="spellStart"/>
      <w:r w:rsidRPr="00C17EF8">
        <w:t>Slemrod</w:t>
      </w:r>
      <w:proofErr w:type="spellEnd"/>
      <w:r w:rsidRPr="00C17EF8">
        <w:t xml:space="preserve"> 2009). The literature examining the agency perspective of tax avoidance and the role of governance (Desai and </w:t>
      </w:r>
      <w:proofErr w:type="spellStart"/>
      <w:r w:rsidRPr="00C17EF8">
        <w:t>Dharmapala</w:t>
      </w:r>
      <w:proofErr w:type="spellEnd"/>
      <w:r w:rsidRPr="00C17EF8">
        <w:t xml:space="preserve"> 2006, 2007, 2009a, 2009b; Chen et al. 2010) has provided deeper insights but has not been able to fully explain the association between firm value and tax avoidance. </w:t>
      </w:r>
    </w:p>
    <w:p w:rsidR="00080E60" w:rsidRPr="00C17EF8" w:rsidRDefault="00080E60" w:rsidP="00080E60">
      <w:pPr>
        <w:spacing w:line="480" w:lineRule="auto"/>
        <w:ind w:firstLine="720"/>
        <w:contextualSpacing/>
      </w:pPr>
      <w:r w:rsidRPr="00C17EF8">
        <w:t>I build on this literature by examining three aspects of the association between firm value and tax risk.  First, I investigate the possibility of an optimal level of tax risk. Many researchers have alluded to or directly noted the likelihood of an optimal level of tax avoidance or tax aggressiveness (</w:t>
      </w:r>
      <w:proofErr w:type="spellStart"/>
      <w:r w:rsidRPr="00C17EF8">
        <w:t>Balakrishnan</w:t>
      </w:r>
      <w:proofErr w:type="spellEnd"/>
      <w:r w:rsidRPr="00C17EF8">
        <w:t xml:space="preserve"> et al. 2011; Brown et al. 2011; Cheng et al. 2011; Chyz et al. 2011; Crocker and </w:t>
      </w:r>
      <w:proofErr w:type="spellStart"/>
      <w:r w:rsidRPr="00C17EF8">
        <w:t>Slemrod</w:t>
      </w:r>
      <w:proofErr w:type="spellEnd"/>
      <w:r w:rsidRPr="00C17EF8">
        <w:t xml:space="preserve"> 2005; De </w:t>
      </w:r>
      <w:proofErr w:type="spellStart"/>
      <w:r w:rsidRPr="00C17EF8">
        <w:t>Waegenaere</w:t>
      </w:r>
      <w:proofErr w:type="spellEnd"/>
      <w:r w:rsidRPr="00C17EF8">
        <w:t xml:space="preserve"> et al. 2010; Hanlon and </w:t>
      </w:r>
      <w:proofErr w:type="spellStart"/>
      <w:r w:rsidRPr="00C17EF8">
        <w:t>Slemrod</w:t>
      </w:r>
      <w:proofErr w:type="spellEnd"/>
      <w:r w:rsidRPr="00C17EF8">
        <w:t xml:space="preserve"> 2009). From a theoretical standpoint, tax risk is accompanied by both costs and benefits which </w:t>
      </w:r>
      <w:proofErr w:type="gramStart"/>
      <w:r w:rsidRPr="00C17EF8">
        <w:t>suggests</w:t>
      </w:r>
      <w:proofErr w:type="gramEnd"/>
      <w:r w:rsidRPr="00C17EF8">
        <w:t xml:space="preserve"> an optimal level occurs where the marginal benefits equal the marginal costs. If there is some optimal level of tax risk from an equity valuation standpoint then the empirical relation between firm value and tax risk should be concave. All of the previous studies have relied on linear associations between tax risk and firm value or non-</w:t>
      </w:r>
      <w:proofErr w:type="spellStart"/>
      <w:r w:rsidRPr="00C17EF8">
        <w:t>linearities</w:t>
      </w:r>
      <w:proofErr w:type="spellEnd"/>
      <w:r w:rsidRPr="00C17EF8">
        <w:t xml:space="preserve"> due to mitigating factors such as governance. My study fills this gap in the literature by examining whether the relation between firm equity value and tax risk is concave, consistent with an optimal level of tax risk.</w:t>
      </w:r>
    </w:p>
    <w:p w:rsidR="00080E60" w:rsidRPr="00C17EF8" w:rsidRDefault="00080E60" w:rsidP="00080E60">
      <w:pPr>
        <w:spacing w:line="480" w:lineRule="auto"/>
        <w:ind w:firstLine="720"/>
        <w:contextualSpacing/>
      </w:pPr>
      <w:r w:rsidRPr="00C17EF8">
        <w:t xml:space="preserve">Second, I examine whether the association between firm value and tax risk is at least partially driven by a positive association between tax risk and the cost of equity capital. To my knowledge, no study has directly examined whether tax avoidance affects firm value only through expectations about future cash flows (numerator) or also through the discount rate applied to them, the cost of equity capital (denominator). Analyzing the specific mechanism </w:t>
      </w:r>
      <w:r w:rsidRPr="00C17EF8">
        <w:lastRenderedPageBreak/>
        <w:t>through which tax risk affects firm value is important for a thorough understanding of the relation between tax risk and firm value. If tax risk impacts not only expectations about future cash flows but also the cost of capital, the implication is that investors require compensation for information uncertainty caused by tax risk.</w:t>
      </w:r>
    </w:p>
    <w:p w:rsidR="00080E60" w:rsidRPr="00C17EF8" w:rsidRDefault="00080E60" w:rsidP="00080E60">
      <w:pPr>
        <w:spacing w:line="480" w:lineRule="auto"/>
        <w:ind w:firstLine="720"/>
        <w:contextualSpacing/>
      </w:pPr>
      <w:r w:rsidRPr="00C17EF8">
        <w:t xml:space="preserve">Lastly, I examine whether the associations between tax risk and firm value and tax risk and the cost of capital are attenuated by governance. According to an agency view of tax avoidance, tax risk facilitates managerial diversion because managers can justify obscurity on the premise that proprietary costs of tax risk need to be protected (Desai and </w:t>
      </w:r>
      <w:proofErr w:type="spellStart"/>
      <w:r w:rsidRPr="00C17EF8">
        <w:t>Dharmapala</w:t>
      </w:r>
      <w:proofErr w:type="spellEnd"/>
      <w:r w:rsidRPr="00C17EF8">
        <w:t xml:space="preserve"> 2006, 2007, 2009b). In this framework, governance restrains managerial opportunism that is afforded by tax risk (Desai and </w:t>
      </w:r>
      <w:proofErr w:type="spellStart"/>
      <w:r w:rsidRPr="00C17EF8">
        <w:t>Dharmapala</w:t>
      </w:r>
      <w:proofErr w:type="spellEnd"/>
      <w:r w:rsidRPr="00C17EF8">
        <w:t xml:space="preserve"> 2009a). If equity investors believe governance restrains managerial opportunism afforded by tax risk, then governance should moderate the association between tax risk and firm value and the </w:t>
      </w:r>
      <w:r w:rsidR="002A6277">
        <w:t>association</w:t>
      </w:r>
      <w:r w:rsidRPr="00C17EF8">
        <w:t xml:space="preserve"> between tax risk and the cost of capital. </w:t>
      </w:r>
    </w:p>
    <w:p w:rsidR="00080E60" w:rsidRPr="00C17EF8" w:rsidRDefault="00080E60" w:rsidP="00080E60">
      <w:pPr>
        <w:spacing w:line="480" w:lineRule="auto"/>
        <w:ind w:firstLine="720"/>
        <w:contextualSpacing/>
      </w:pPr>
      <w:r w:rsidRPr="00C17EF8">
        <w:t xml:space="preserve">I find a concave association between firm value and tax risk that is robust to several specifications including a two-stage least squares estimation to correct for </w:t>
      </w:r>
      <w:proofErr w:type="spellStart"/>
      <w:r w:rsidRPr="00C17EF8">
        <w:t>endogeneity</w:t>
      </w:r>
      <w:proofErr w:type="spellEnd"/>
      <w:r w:rsidRPr="00C17EF8">
        <w:t>.  I find little evidence of excessive risk taking in the context of tax avoidance.  In fact, almost all of the firms in my sample are below the average optimal level of tax risk, consistent with research that suggests firms under utilize tax saving strategies (</w:t>
      </w:r>
      <w:proofErr w:type="spellStart"/>
      <w:r w:rsidRPr="00C17EF8">
        <w:t>Balakrishnan</w:t>
      </w:r>
      <w:proofErr w:type="spellEnd"/>
      <w:r w:rsidRPr="00C17EF8">
        <w:t xml:space="preserve"> et al. 2011; Desai and </w:t>
      </w:r>
      <w:proofErr w:type="spellStart"/>
      <w:r w:rsidRPr="00C17EF8">
        <w:t>Dharmapala</w:t>
      </w:r>
      <w:proofErr w:type="spellEnd"/>
      <w:r w:rsidRPr="00C17EF8">
        <w:t xml:space="preserve"> 2009a; </w:t>
      </w:r>
      <w:proofErr w:type="spellStart"/>
      <w:r w:rsidRPr="00C17EF8">
        <w:t>Rego</w:t>
      </w:r>
      <w:proofErr w:type="spellEnd"/>
      <w:r w:rsidRPr="00C17EF8">
        <w:t xml:space="preserve"> and Wilson 2011; </w:t>
      </w:r>
      <w:proofErr w:type="spellStart"/>
      <w:r w:rsidRPr="00C17EF8">
        <w:t>Weisbach</w:t>
      </w:r>
      <w:proofErr w:type="spellEnd"/>
      <w:r w:rsidRPr="00C17EF8">
        <w:t xml:space="preserve"> 2002). The firms in my sample would have to increase their tax reserves by at least $733 billion, cumulatively, to get all firms to the average optimal level of tax risk. I find a positive association between tax risk and the equity cost of capital which implies that the association between firm value and tax </w:t>
      </w:r>
      <w:r w:rsidRPr="00C17EF8">
        <w:lastRenderedPageBreak/>
        <w:t>risk is driven not only by the effect of tax risk on expectations about future cash flows but also its effect on the discount rate applied to cash flows. Lastly, I find mixed evidence for the agency view of tax avoidance.  Investors of firms where the CEO is not the chairman of the board are willing to bear more tax risk than investors of other firms. Institutional ownership also moderates the association between tax risk and firm value but the average optimal level of tax risk does not vary with institutional ownership. The results are mixed regarding whether the association between tax risk and the cost of capital is attenuated, or even eliminated, for better governed firms.</w:t>
      </w:r>
    </w:p>
    <w:p w:rsidR="00080E60" w:rsidRPr="00C17EF8" w:rsidRDefault="00080E60" w:rsidP="00080E60">
      <w:pPr>
        <w:spacing w:line="480" w:lineRule="auto"/>
        <w:ind w:firstLine="720"/>
        <w:contextualSpacing/>
      </w:pPr>
      <w:r w:rsidRPr="00C17EF8">
        <w:t xml:space="preserve">This study contributes to the accounting literature in several ways. First, my study answers several calls to research. Shackelford and </w:t>
      </w:r>
      <w:proofErr w:type="spellStart"/>
      <w:r w:rsidRPr="00C17EF8">
        <w:t>Shevlin</w:t>
      </w:r>
      <w:proofErr w:type="spellEnd"/>
      <w:r w:rsidRPr="00C17EF8">
        <w:t xml:space="preserve"> (2001) call for more research into tax aggressiveness, and Graham et al. (2011) call for more research regarding the equity valuation of tax reserves. A deeper, more refined understanding of this relation is needed given the mixed results from prior research. This is the first study to examine whether a concave association between firm value and tax risk is descriptive of the true nature of investor perceptions of tax risk. This is also the first study to directly investigate the relation between tax risk and the equity cost of capital.</w:t>
      </w:r>
      <w:r w:rsidRPr="00C17EF8">
        <w:rPr>
          <w:rStyle w:val="FootnoteReference"/>
        </w:rPr>
        <w:footnoteReference w:id="2"/>
      </w:r>
      <w:r w:rsidRPr="00C17EF8">
        <w:t xml:space="preserve"> I provide evidence in support of previous concerns that companies are below the optimal level of tax risk and provide an estimate of the economic impacts of the shortage. Lastly, I provide evidence regarding the agency view of tax avoidance and the impact governance has on the relation between tax risk and firm value.</w:t>
      </w:r>
    </w:p>
    <w:p w:rsidR="00080E60" w:rsidRPr="00C17EF8" w:rsidRDefault="00080E60" w:rsidP="00080E60">
      <w:pPr>
        <w:spacing w:line="480" w:lineRule="auto"/>
        <w:ind w:firstLine="720"/>
        <w:contextualSpacing/>
      </w:pPr>
      <w:r w:rsidRPr="00C17EF8">
        <w:lastRenderedPageBreak/>
        <w:t>From a practical standpoint, policy makers and managers can use the results of this study as empirical evidence regarding how investors perceive tax risk. Although other stakeholders and concerns drive the decision to engage in risky tax behavior and my estimations are specific to my sample of firms, the economic magnitude of my results suggests that at least some firms are not taking full advantage of tax savings opportunities from an equity investor’s standpoint.</w:t>
      </w:r>
      <w:r w:rsidRPr="00C17EF8">
        <w:rPr>
          <w:rStyle w:val="FootnoteReference"/>
        </w:rPr>
        <w:footnoteReference w:id="3"/>
      </w:r>
      <w:r w:rsidRPr="00C17EF8">
        <w:t xml:space="preserve"> </w:t>
      </w:r>
    </w:p>
    <w:p w:rsidR="00080E60" w:rsidRPr="00C17EF8" w:rsidRDefault="00080E60" w:rsidP="00080E60">
      <w:pPr>
        <w:spacing w:line="480" w:lineRule="auto"/>
        <w:ind w:firstLine="720"/>
        <w:contextualSpacing/>
      </w:pPr>
      <w:r w:rsidRPr="00C17EF8">
        <w:t xml:space="preserve">Understanding how shareholders view tax risk is pertinent for both managers and for policy makers. Tom </w:t>
      </w:r>
      <w:proofErr w:type="spellStart"/>
      <w:r w:rsidRPr="00C17EF8">
        <w:t>Neubig</w:t>
      </w:r>
      <w:proofErr w:type="spellEnd"/>
      <w:r w:rsidRPr="00C17EF8">
        <w:t xml:space="preserve"> and </w:t>
      </w:r>
      <w:proofErr w:type="spellStart"/>
      <w:r w:rsidRPr="00C17EF8">
        <w:t>Balvinder</w:t>
      </w:r>
      <w:proofErr w:type="spellEnd"/>
      <w:r w:rsidRPr="00C17EF8">
        <w:t xml:space="preserve"> </w:t>
      </w:r>
      <w:proofErr w:type="spellStart"/>
      <w:r w:rsidRPr="00C17EF8">
        <w:t>Sangha</w:t>
      </w:r>
      <w:proofErr w:type="spellEnd"/>
      <w:r w:rsidRPr="00C17EF8">
        <w:t>, partners in the Quantitative Economics and Statistics practice of Ernst &amp; Young LLP, argue that “it is imperative that strong corporate governance processes recognize this [tax] risk and that corporate boards and senior management deliberately decide how much tax risk is consistent with the overall corporate risk profile to satisfy shareholder expectations” (</w:t>
      </w:r>
      <w:proofErr w:type="spellStart"/>
      <w:r w:rsidRPr="00C17EF8">
        <w:t>Neubig</w:t>
      </w:r>
      <w:proofErr w:type="spellEnd"/>
      <w:r w:rsidRPr="00C17EF8">
        <w:t xml:space="preserve"> and </w:t>
      </w:r>
      <w:proofErr w:type="spellStart"/>
      <w:r w:rsidRPr="00C17EF8">
        <w:t>Sangha</w:t>
      </w:r>
      <w:proofErr w:type="spellEnd"/>
      <w:r w:rsidRPr="00C17EF8">
        <w:t xml:space="preserve"> 2004). The question for managers, then, is how does tax risk fit into overall firm risk and how do investors perceive tax risk? Managing the tradeoff between the costs inherent in risky tax transactions and the potential benefits is a difficult task. Finding the “optimal” level of tax risk depends on many factors including the risk preferences of each company’s investors. My study provides important insights regarding those preferences. </w:t>
      </w:r>
    </w:p>
    <w:p w:rsidR="000B58C1" w:rsidRDefault="00080E60" w:rsidP="002A6277">
      <w:pPr>
        <w:spacing w:line="480" w:lineRule="auto"/>
        <w:ind w:firstLine="720"/>
        <w:contextualSpacing/>
      </w:pPr>
      <w:r w:rsidRPr="00C17EF8">
        <w:t xml:space="preserve">In Section 2, I provide definitions and a brief background, a review of prior research, and the hypothesis development. Section 3 describes the research design, and Section 4 provides a description of the sample. I provide the main results in Section 5 and outline various additional analyses in Section 6. Section 7 concludes. </w:t>
      </w:r>
      <w:r w:rsidR="000B58C1">
        <w:br w:type="page"/>
      </w:r>
    </w:p>
    <w:p w:rsidR="00080E60" w:rsidRPr="00C17EF8" w:rsidRDefault="00080E60" w:rsidP="00681D52">
      <w:pPr>
        <w:pStyle w:val="Heading1"/>
        <w:numPr>
          <w:ilvl w:val="0"/>
          <w:numId w:val="0"/>
        </w:numPr>
        <w:ind w:left="360"/>
      </w:pPr>
      <w:bookmarkStart w:id="2" w:name="_Toc320370974"/>
      <w:bookmarkStart w:id="3" w:name="_Toc321493718"/>
      <w:r w:rsidRPr="00C17EF8">
        <w:lastRenderedPageBreak/>
        <w:t>2. B</w:t>
      </w:r>
      <w:r w:rsidR="00FD5702">
        <w:t>ackground</w:t>
      </w:r>
      <w:r w:rsidRPr="00C17EF8">
        <w:t xml:space="preserve"> </w:t>
      </w:r>
      <w:r w:rsidR="00FD5702">
        <w:t>and</w:t>
      </w:r>
      <w:r w:rsidRPr="00C17EF8">
        <w:t xml:space="preserve"> </w:t>
      </w:r>
      <w:r w:rsidR="00FD5702">
        <w:t>Hypothesis</w:t>
      </w:r>
      <w:r w:rsidRPr="00C17EF8">
        <w:t xml:space="preserve"> D</w:t>
      </w:r>
      <w:r w:rsidR="00FD5702">
        <w:t>evelopment</w:t>
      </w:r>
      <w:bookmarkEnd w:id="2"/>
      <w:bookmarkEnd w:id="3"/>
    </w:p>
    <w:p w:rsidR="00681D52" w:rsidRPr="00C17EF8" w:rsidRDefault="00681D52" w:rsidP="00681D52"/>
    <w:p w:rsidR="00080E60" w:rsidRPr="00C17EF8" w:rsidRDefault="00080E60" w:rsidP="00681D52">
      <w:pPr>
        <w:pStyle w:val="Heading2"/>
        <w:rPr>
          <w:rFonts w:cs="Times New Roman"/>
        </w:rPr>
      </w:pPr>
      <w:bookmarkStart w:id="4" w:name="_Toc320370975"/>
      <w:bookmarkStart w:id="5" w:name="_Toc321493719"/>
      <w:r w:rsidRPr="00C17EF8">
        <w:rPr>
          <w:rFonts w:cs="Times New Roman"/>
        </w:rPr>
        <w:t>Tax Risk and FIN 48</w:t>
      </w:r>
      <w:bookmarkEnd w:id="4"/>
      <w:bookmarkEnd w:id="5"/>
    </w:p>
    <w:p w:rsidR="00080E60" w:rsidRPr="00C17EF8" w:rsidRDefault="00080E60" w:rsidP="00080E60">
      <w:pPr>
        <w:spacing w:line="480" w:lineRule="auto"/>
        <w:ind w:firstLine="720"/>
        <w:contextualSpacing/>
      </w:pPr>
      <w:r w:rsidRPr="00C17EF8">
        <w:t xml:space="preserve">I define tax avoidance following Hanlon and </w:t>
      </w:r>
      <w:proofErr w:type="spellStart"/>
      <w:r w:rsidRPr="00C17EF8">
        <w:t>Heitzman</w:t>
      </w:r>
      <w:proofErr w:type="spellEnd"/>
      <w:r w:rsidRPr="00C17EF8">
        <w:t xml:space="preserve"> (2010) as “the reduction of explicit taxes” (p.137). Tax avoidance includes all types of managerial efforts and transactions intended to reduce the firm’s taxes, whether clearly legal, uncertain, or illegal.</w:t>
      </w:r>
      <w:r w:rsidRPr="00C17EF8">
        <w:rPr>
          <w:vertAlign w:val="superscript"/>
        </w:rPr>
        <w:t xml:space="preserve"> </w:t>
      </w:r>
      <w:r w:rsidRPr="00C17EF8">
        <w:t xml:space="preserve">Recent studies have proposed tax avoidance as a continuum of tax planning activities where highly certain (with regards to ultimate sustainability) transactions lie towards the left and highly uncertain transactions towards the right (Hanlon and </w:t>
      </w:r>
      <w:proofErr w:type="spellStart"/>
      <w:r w:rsidRPr="00C17EF8">
        <w:t>Heitzman</w:t>
      </w:r>
      <w:proofErr w:type="spellEnd"/>
      <w:r w:rsidRPr="00C17EF8">
        <w:t xml:space="preserve"> 2010; </w:t>
      </w:r>
      <w:proofErr w:type="spellStart"/>
      <w:r w:rsidRPr="00C17EF8">
        <w:t>Lisowsky</w:t>
      </w:r>
      <w:proofErr w:type="spellEnd"/>
      <w:r w:rsidRPr="00C17EF8">
        <w:t xml:space="preserve"> 2010; </w:t>
      </w:r>
      <w:proofErr w:type="spellStart"/>
      <w:r w:rsidRPr="00C17EF8">
        <w:t>Lisowsky</w:t>
      </w:r>
      <w:proofErr w:type="spellEnd"/>
      <w:r w:rsidRPr="00C17EF8">
        <w:t xml:space="preserve"> et al. 2011). For example, investments in municipal bonds (certainly legal) might be to the far left and tax evasion (which is illegal tax avoidance) would be to the far right (Hanlon and </w:t>
      </w:r>
      <w:proofErr w:type="spellStart"/>
      <w:r w:rsidRPr="00C17EF8">
        <w:t>Heitzman</w:t>
      </w:r>
      <w:proofErr w:type="spellEnd"/>
      <w:r w:rsidRPr="00C17EF8">
        <w:t xml:space="preserve"> 2010). </w:t>
      </w:r>
    </w:p>
    <w:p w:rsidR="00080E60" w:rsidRPr="00C17EF8" w:rsidRDefault="00080E60" w:rsidP="00080E60">
      <w:pPr>
        <w:spacing w:line="480" w:lineRule="auto"/>
        <w:ind w:firstLine="720"/>
        <w:contextualSpacing/>
      </w:pPr>
      <w:r w:rsidRPr="00C17EF8">
        <w:t xml:space="preserve">I define tax risk with respect to the position a firm’s tax transactions have along such a continuum. Tax risk is the degree of risk or uncertainty of sustainability inherent in a firm’s tax positions. </w:t>
      </w:r>
      <w:proofErr w:type="spellStart"/>
      <w:r w:rsidRPr="00C17EF8">
        <w:t>Rego</w:t>
      </w:r>
      <w:proofErr w:type="spellEnd"/>
      <w:r w:rsidRPr="00C17EF8">
        <w:t xml:space="preserve"> and Wilson (2011) state, “uncertain (i.e., aggressive or risky) tax positions are those that are supported by a relatively weak set of facts and are thus, less likely to be sustained upon audit” (p.4).</w:t>
      </w:r>
      <w:r w:rsidRPr="00C17EF8">
        <w:rPr>
          <w:rStyle w:val="FootnoteReference"/>
        </w:rPr>
        <w:footnoteReference w:id="4"/>
      </w:r>
      <w:r w:rsidRPr="00C17EF8">
        <w:t xml:space="preserve"> Using this definition, tax risk can also be understood as a subset of tax avoidance where the technical support and thus the ultimate sustainability for the tax position are less than certain.</w:t>
      </w:r>
      <w:r w:rsidRPr="00C17EF8">
        <w:rPr>
          <w:vertAlign w:val="superscript"/>
        </w:rPr>
        <w:footnoteReference w:id="5"/>
      </w:r>
    </w:p>
    <w:p w:rsidR="00080E60" w:rsidRPr="00C17EF8" w:rsidRDefault="00080E60" w:rsidP="00080E60">
      <w:pPr>
        <w:spacing w:line="480" w:lineRule="auto"/>
        <w:ind w:firstLine="720"/>
        <w:contextualSpacing/>
      </w:pPr>
      <w:r w:rsidRPr="00C17EF8">
        <w:lastRenderedPageBreak/>
        <w:t xml:space="preserve">Tax risk is a construct that has been recognized in recent academic research (Brown et al. 2011; Chyz 2011; Chyz et al. 2011; Hanlon and </w:t>
      </w:r>
      <w:proofErr w:type="spellStart"/>
      <w:r w:rsidRPr="00C17EF8">
        <w:t>Slemrod</w:t>
      </w:r>
      <w:proofErr w:type="spellEnd"/>
      <w:r w:rsidRPr="00C17EF8">
        <w:t xml:space="preserve"> 2009; </w:t>
      </w:r>
      <w:proofErr w:type="spellStart"/>
      <w:r w:rsidRPr="00C17EF8">
        <w:t>Rego</w:t>
      </w:r>
      <w:proofErr w:type="spellEnd"/>
      <w:r w:rsidRPr="00C17EF8">
        <w:t xml:space="preserve"> and Wilson 2011) as well as in the business community (</w:t>
      </w:r>
      <w:proofErr w:type="spellStart"/>
      <w:r w:rsidRPr="00C17EF8">
        <w:t>Neubig</w:t>
      </w:r>
      <w:proofErr w:type="spellEnd"/>
      <w:r w:rsidRPr="00C17EF8">
        <w:t xml:space="preserve"> and </w:t>
      </w:r>
      <w:proofErr w:type="spellStart"/>
      <w:r w:rsidRPr="00C17EF8">
        <w:t>Sangha</w:t>
      </w:r>
      <w:proofErr w:type="spellEnd"/>
      <w:r w:rsidRPr="00C17EF8">
        <w:t xml:space="preserve"> 2004). To </w:t>
      </w:r>
      <w:proofErr w:type="spellStart"/>
      <w:r w:rsidRPr="00C17EF8">
        <w:t>operationalize</w:t>
      </w:r>
      <w:proofErr w:type="spellEnd"/>
      <w:r w:rsidRPr="00C17EF8">
        <w:t xml:space="preserve"> tax risk, I follow Brown et al. (2011) and use a firm’s tax reserve disclosed under the requirements of FASB Interpretation No. 48 (FIN 48), </w:t>
      </w:r>
      <w:r w:rsidRPr="00C17EF8">
        <w:rPr>
          <w:i/>
        </w:rPr>
        <w:t>Accounting for Uncertainty in Income Taxes</w:t>
      </w:r>
      <w:r w:rsidRPr="00C17EF8">
        <w:t>, effective for year ends beginning after December 15, 2006.</w:t>
      </w:r>
      <w:r w:rsidRPr="00C17EF8">
        <w:rPr>
          <w:vertAlign w:val="superscript"/>
        </w:rPr>
        <w:footnoteReference w:id="6"/>
      </w:r>
      <w:r w:rsidRPr="00C17EF8">
        <w:t xml:space="preserve"> </w:t>
      </w:r>
    </w:p>
    <w:p w:rsidR="00080E60" w:rsidRPr="00C17EF8" w:rsidRDefault="00080E60" w:rsidP="00080E60">
      <w:pPr>
        <w:spacing w:line="480" w:lineRule="auto"/>
        <w:ind w:firstLine="720"/>
        <w:contextualSpacing/>
      </w:pPr>
      <w:r w:rsidRPr="00C17EF8">
        <w:t>FIN 48 requires companies to disclose their unrecognized tax benefits and a roll-forward of the main components from the prior year. The balance of unrecognized tax benefits represents a liability (the tax reserve) for any positions taken on tax returns that might be questioned and potentially overturned by tax authorities. FIN 48 requires assessment of all tax positions using a two-step process. First the company must decide whether the tax position is “more-likely-than-not” to be sustained upon audit by tax authorities (and including potential litigation and appeals). Tax positions that do not meet the “more-likely-than-not” threshold require an offsetting reserve for the entire amount of the tax benefit. Positions that meet the “more-likely-than-not” threshold are measured as “the largest amount of tax benefit that is greater than 50 percent likely of being realized . . .” (</w:t>
      </w:r>
      <w:r w:rsidR="00FE4002">
        <w:t>FASB 2006</w:t>
      </w:r>
      <w:r w:rsidRPr="00C17EF8">
        <w:t xml:space="preserve">). The difference between the tax benefit realized and this measured amount, if any, is recorded in the financial statements as the tax reserve. </w:t>
      </w:r>
    </w:p>
    <w:p w:rsidR="00080E60" w:rsidRPr="00C17EF8" w:rsidRDefault="00080E60" w:rsidP="00080E60">
      <w:pPr>
        <w:spacing w:line="480" w:lineRule="auto"/>
        <w:ind w:firstLine="720"/>
        <w:contextualSpacing/>
      </w:pPr>
      <w:r w:rsidRPr="00C17EF8">
        <w:t xml:space="preserve">The tax reserve is a better proxy for tax risk than extant measures of tax avoidance that rely on differences between book and taxable income or effective tax rates. Although many of these measures may be correlated with tax risk (Alexander et al. 2009; </w:t>
      </w:r>
      <w:proofErr w:type="spellStart"/>
      <w:r w:rsidRPr="00C17EF8">
        <w:t>Cazier</w:t>
      </w:r>
      <w:proofErr w:type="spellEnd"/>
      <w:r w:rsidRPr="00C17EF8">
        <w:t xml:space="preserve"> et al. </w:t>
      </w:r>
      <w:r w:rsidRPr="00C17EF8">
        <w:lastRenderedPageBreak/>
        <w:t xml:space="preserve">2009; </w:t>
      </w:r>
      <w:proofErr w:type="spellStart"/>
      <w:r w:rsidRPr="00C17EF8">
        <w:t>Frischmann</w:t>
      </w:r>
      <w:proofErr w:type="spellEnd"/>
      <w:r w:rsidRPr="00C17EF8">
        <w:t xml:space="preserve"> et al. 2008), they do not specifically capture the degree of risk in a company’s tax positions.</w:t>
      </w:r>
      <w:r w:rsidRPr="00C17EF8">
        <w:rPr>
          <w:rStyle w:val="FootnoteReference"/>
        </w:rPr>
        <w:footnoteReference w:id="7"/>
      </w:r>
      <w:r w:rsidRPr="00C17EF8">
        <w:t xml:space="preserve"> Tax reserves, on the other hand, explicitly capture those tax positions that are less likely to be sustained. </w:t>
      </w:r>
      <w:proofErr w:type="spellStart"/>
      <w:r w:rsidRPr="00C17EF8">
        <w:t>Lisowsky</w:t>
      </w:r>
      <w:proofErr w:type="spellEnd"/>
      <w:r w:rsidRPr="00C17EF8">
        <w:t xml:space="preserve"> et al. (2011) find that the ending balance of tax reserves is a predictor of tax shelters, a particularly aggressive form of tax avoidance. Other researchers have proposed using the tax reserve as a general proxy for tax aggressiveness (Alexander et al. 2009; </w:t>
      </w:r>
      <w:proofErr w:type="spellStart"/>
      <w:r w:rsidRPr="00C17EF8">
        <w:t>Cazier</w:t>
      </w:r>
      <w:proofErr w:type="spellEnd"/>
      <w:r w:rsidRPr="00C17EF8">
        <w:t xml:space="preserve"> et al. 2009; </w:t>
      </w:r>
      <w:proofErr w:type="spellStart"/>
      <w:r w:rsidRPr="00C17EF8">
        <w:t>Frischmann</w:t>
      </w:r>
      <w:proofErr w:type="spellEnd"/>
      <w:r w:rsidRPr="00C17EF8">
        <w:t xml:space="preserve"> et al. 2008; Hanlon and </w:t>
      </w:r>
      <w:proofErr w:type="spellStart"/>
      <w:r w:rsidRPr="00C17EF8">
        <w:t>Heitzman</w:t>
      </w:r>
      <w:proofErr w:type="spellEnd"/>
      <w:r w:rsidRPr="00C17EF8">
        <w:t xml:space="preserve"> 2010; </w:t>
      </w:r>
      <w:proofErr w:type="spellStart"/>
      <w:r w:rsidRPr="00C17EF8">
        <w:t>Rego</w:t>
      </w:r>
      <w:proofErr w:type="spellEnd"/>
      <w:r w:rsidRPr="00C17EF8">
        <w:t xml:space="preserve"> and Wilson 2011).</w:t>
      </w:r>
    </w:p>
    <w:p w:rsidR="00080E60" w:rsidRPr="00C17EF8" w:rsidRDefault="00080E60" w:rsidP="00080E60">
      <w:pPr>
        <w:spacing w:line="480" w:lineRule="auto"/>
        <w:ind w:firstLine="720"/>
        <w:contextualSpacing/>
        <w:rPr>
          <w:vertAlign w:val="superscript"/>
        </w:rPr>
      </w:pPr>
      <w:r w:rsidRPr="00C17EF8">
        <w:t xml:space="preserve">However, researchers have expressed concern about the measurement error inherent in using the tax reserve to proxy for tax risk given the reserve’s susceptibility to managerial manipulation (Alexander et al. 2009; </w:t>
      </w:r>
      <w:proofErr w:type="spellStart"/>
      <w:r w:rsidRPr="00C17EF8">
        <w:t>Cazier</w:t>
      </w:r>
      <w:proofErr w:type="spellEnd"/>
      <w:r w:rsidRPr="00C17EF8">
        <w:t xml:space="preserve"> et al. 2009; Hanlon and </w:t>
      </w:r>
      <w:proofErr w:type="spellStart"/>
      <w:r w:rsidRPr="00C17EF8">
        <w:t>Heitzman</w:t>
      </w:r>
      <w:proofErr w:type="spellEnd"/>
      <w:r w:rsidRPr="00C17EF8">
        <w:t xml:space="preserve"> 2010; Koester 2011). </w:t>
      </w:r>
      <w:proofErr w:type="spellStart"/>
      <w:r w:rsidRPr="00C17EF8">
        <w:t>Cazier</w:t>
      </w:r>
      <w:proofErr w:type="spellEnd"/>
      <w:r w:rsidRPr="00C17EF8">
        <w:t xml:space="preserve"> et al. (2009) explain: “ . . . if firms follow the recognition and measurement procedures prescribed by FIN 48, the amount of tax benefits recognized in the financial statements is a function of two factors: 1) how conservative the firm is in its financial reporting, and 2) how aggressive the firm is in its tax planning” (p.13). In fact, studies have found evidence of earnings management through the tax reserves although to a lesser extent in the post-FIN 48 </w:t>
      </w:r>
      <w:proofErr w:type="gramStart"/>
      <w:r w:rsidRPr="00C17EF8">
        <w:t>period</w:t>
      </w:r>
      <w:proofErr w:type="gramEnd"/>
      <w:r w:rsidRPr="00C17EF8">
        <w:t xml:space="preserve"> (</w:t>
      </w:r>
      <w:proofErr w:type="spellStart"/>
      <w:r w:rsidRPr="00C17EF8">
        <w:t>Cazier</w:t>
      </w:r>
      <w:proofErr w:type="spellEnd"/>
      <w:r w:rsidRPr="00C17EF8">
        <w:t xml:space="preserve"> et al. 2011; Gupta</w:t>
      </w:r>
      <w:r w:rsidR="002A6277">
        <w:t xml:space="preserve"> et al.</w:t>
      </w:r>
      <w:r w:rsidRPr="00C17EF8">
        <w:t xml:space="preserve"> 2011). </w:t>
      </w:r>
      <w:proofErr w:type="spellStart"/>
      <w:r w:rsidRPr="00C17EF8">
        <w:t>Lisowsky</w:t>
      </w:r>
      <w:proofErr w:type="spellEnd"/>
      <w:r w:rsidRPr="00C17EF8">
        <w:t xml:space="preserve"> et al. (2011) calculate a discretionary component of the tax reserve and find that it reduces but does not eliminate the usefulness of the reserve as a predictor of tax shelters, specifically. It is not </w:t>
      </w:r>
      <w:r w:rsidRPr="00C17EF8">
        <w:lastRenderedPageBreak/>
        <w:t>clear whether financial reporting tendencies are strong enough to negate the usefulness of the reserve as a general proxy for tax risk.</w:t>
      </w:r>
      <w:r w:rsidRPr="00C17EF8">
        <w:rPr>
          <w:rStyle w:val="FootnoteReference"/>
        </w:rPr>
        <w:footnoteReference w:id="8"/>
      </w:r>
      <w:r w:rsidRPr="00C17EF8">
        <w:t xml:space="preserve"> </w:t>
      </w:r>
    </w:p>
    <w:p w:rsidR="00080E60" w:rsidRPr="00C17EF8" w:rsidRDefault="00080E60" w:rsidP="00681D52">
      <w:pPr>
        <w:pStyle w:val="Heading2"/>
        <w:rPr>
          <w:rFonts w:cs="Times New Roman"/>
        </w:rPr>
      </w:pPr>
      <w:bookmarkStart w:id="6" w:name="_Toc320370976"/>
      <w:bookmarkStart w:id="7" w:name="_Toc321493720"/>
      <w:r w:rsidRPr="00C17EF8">
        <w:rPr>
          <w:rFonts w:cs="Times New Roman"/>
        </w:rPr>
        <w:t>Related Literature</w:t>
      </w:r>
      <w:bookmarkEnd w:id="6"/>
      <w:bookmarkEnd w:id="7"/>
    </w:p>
    <w:p w:rsidR="00080E60" w:rsidRPr="00C17EF8" w:rsidRDefault="00080E60" w:rsidP="00080E60">
      <w:pPr>
        <w:spacing w:line="480" w:lineRule="auto"/>
        <w:contextualSpacing/>
      </w:pPr>
      <w:r w:rsidRPr="00C17EF8">
        <w:tab/>
        <w:t xml:space="preserve">A traditional view of corporate tax avoidance regards any activity that reduces cash payments for taxes as a value-enhancing transfer of wealth from the government to shareholders (Desai and </w:t>
      </w:r>
      <w:proofErr w:type="spellStart"/>
      <w:r w:rsidRPr="00C17EF8">
        <w:t>Dharmapala</w:t>
      </w:r>
      <w:proofErr w:type="spellEnd"/>
      <w:r w:rsidRPr="00C17EF8">
        <w:t xml:space="preserve"> 2009a). However, tax avoidance is not costless to the firm. Direct costs of implementing tax planning strategies include the time and resources of employees and fees paid to outside advisors (</w:t>
      </w:r>
      <w:proofErr w:type="spellStart"/>
      <w:r w:rsidRPr="00C17EF8">
        <w:t>Rego</w:t>
      </w:r>
      <w:proofErr w:type="spellEnd"/>
      <w:r w:rsidRPr="00C17EF8">
        <w:t xml:space="preserve"> and Wilson 2011). Tax risk – that is, risky forms of tax avoidance – is accompanied by additional benefits in the form of increased cash tax savings but also additional costs relative to certain tax avoidance. The additional costs include the potential for disallowance of tax savings, interest and penalties assessed by taxing authorities (</w:t>
      </w:r>
      <w:proofErr w:type="spellStart"/>
      <w:r w:rsidRPr="00C17EF8">
        <w:t>Rego</w:t>
      </w:r>
      <w:proofErr w:type="spellEnd"/>
      <w:r w:rsidRPr="00C17EF8">
        <w:t xml:space="preserve"> and Wilson 2011), accounting and legal costs for tax audits and litigation, the costs of obscuring the activities from tax authorities (Desai and </w:t>
      </w:r>
      <w:proofErr w:type="spellStart"/>
      <w:r w:rsidRPr="00C17EF8">
        <w:t>Dharmapala</w:t>
      </w:r>
      <w:proofErr w:type="spellEnd"/>
      <w:r w:rsidRPr="00C17EF8">
        <w:t xml:space="preserve"> 2009a), increases in future scrutiny from tax authorities (Koester 2011), and reputational and political costs from being considered a “poor corporate citizen” (Hanlon and </w:t>
      </w:r>
      <w:proofErr w:type="spellStart"/>
      <w:r w:rsidRPr="00C17EF8">
        <w:t>Slemrod</w:t>
      </w:r>
      <w:proofErr w:type="spellEnd"/>
      <w:r w:rsidRPr="00C17EF8">
        <w:t xml:space="preserve"> 2009; </w:t>
      </w:r>
      <w:proofErr w:type="spellStart"/>
      <w:r w:rsidRPr="00C17EF8">
        <w:t>Rego</w:t>
      </w:r>
      <w:proofErr w:type="spellEnd"/>
      <w:r w:rsidRPr="00C17EF8">
        <w:t xml:space="preserve"> and Wilson 2011; Watson 2011). </w:t>
      </w:r>
    </w:p>
    <w:p w:rsidR="00080E60" w:rsidRPr="00C17EF8" w:rsidRDefault="00080E60" w:rsidP="00080E60">
      <w:pPr>
        <w:spacing w:line="480" w:lineRule="auto"/>
        <w:ind w:firstLine="720"/>
        <w:contextualSpacing/>
      </w:pPr>
      <w:r w:rsidRPr="00C17EF8">
        <w:t xml:space="preserve">Recent literature grounded in agency theory has focused on another potential cost of tax risk – increased managerial diversion. Desai and </w:t>
      </w:r>
      <w:proofErr w:type="spellStart"/>
      <w:r w:rsidRPr="00C17EF8">
        <w:t>Dharmapala</w:t>
      </w:r>
      <w:proofErr w:type="spellEnd"/>
      <w:r w:rsidRPr="00C17EF8">
        <w:t xml:space="preserve"> (2006, 2007) argue that tax aggressiveness and managerial opportunism are complementary, and they call this perspective the “agency perspective on tax avoidance” (2007, p.3). Managers may claim that </w:t>
      </w:r>
      <w:r w:rsidRPr="00C17EF8">
        <w:lastRenderedPageBreak/>
        <w:t xml:space="preserve">tax objectives necessitate obscurity related to their risky tax activities. They use this obscurity as a shield to participate in other types of opportunism or self-serving behavior (Desai and </w:t>
      </w:r>
      <w:proofErr w:type="spellStart"/>
      <w:r w:rsidRPr="00C17EF8">
        <w:t>Dharmapala</w:t>
      </w:r>
      <w:proofErr w:type="spellEnd"/>
      <w:r w:rsidRPr="00C17EF8">
        <w:t xml:space="preserve"> 2006, 2007, 2009b).</w:t>
      </w:r>
      <w:r w:rsidRPr="00C17EF8">
        <w:rPr>
          <w:rStyle w:val="FootnoteReference"/>
        </w:rPr>
        <w:footnoteReference w:id="9"/>
      </w:r>
      <w:r w:rsidRPr="00C17EF8">
        <w:t xml:space="preserve"> </w:t>
      </w:r>
    </w:p>
    <w:p w:rsidR="00080E60" w:rsidRPr="00C17EF8" w:rsidRDefault="00080E60" w:rsidP="00080E60">
      <w:pPr>
        <w:spacing w:line="480" w:lineRule="auto"/>
        <w:ind w:firstLine="720"/>
        <w:contextualSpacing/>
      </w:pPr>
      <w:r w:rsidRPr="00C17EF8">
        <w:t>Given the presence of the costs and benefits to tax risk, it is not clear how investors value tax risk. Researchers have provided mixed evidence on the equity valuation of tax avoidance in general and on the potential mitigating effects of governance in the presence of agency costs.</w:t>
      </w:r>
      <w:r w:rsidRPr="00C17EF8">
        <w:rPr>
          <w:rStyle w:val="FootnoteReference"/>
        </w:rPr>
        <w:footnoteReference w:id="10"/>
      </w:r>
      <w:r w:rsidRPr="00C17EF8">
        <w:t xml:space="preserve"> Desai and </w:t>
      </w:r>
      <w:proofErr w:type="spellStart"/>
      <w:r w:rsidRPr="00C17EF8">
        <w:t>Dharmapala</w:t>
      </w:r>
      <w:proofErr w:type="spellEnd"/>
      <w:r w:rsidRPr="00C17EF8">
        <w:t xml:space="preserve"> (2009a) examine a broad sample of publicly-traded companies and document a positive association between Tobin’s Q and book-tax differences for firms with high levels of institutional ownership (and low levels of the Gompers et al. 2003 index) but no association in poo</w:t>
      </w:r>
      <w:r w:rsidR="0003149A">
        <w:t xml:space="preserve">rly </w:t>
      </w:r>
      <w:r w:rsidRPr="00C17EF8">
        <w:t>governed firms. Within specific subsets of companies, some studies have documented a similar positive val</w:t>
      </w:r>
      <w:r w:rsidR="0003149A">
        <w:t xml:space="preserve">uation of tax avoidance in well </w:t>
      </w:r>
      <w:r w:rsidRPr="00C17EF8">
        <w:t>governed firms but no association in poorly governed firms (Cheng et al. 2011; Chyz et al. 2011). Other studies have found evidence supporting the view that investors are concerned about the increased managerial diversion afforded by tax avoidance but the results are mixed regarding whether tax avoidance is generally viewed positively (Wang 2010) or negatively (</w:t>
      </w:r>
      <w:proofErr w:type="spellStart"/>
      <w:r w:rsidRPr="00C17EF8">
        <w:t>Dhaliwal</w:t>
      </w:r>
      <w:proofErr w:type="spellEnd"/>
      <w:r w:rsidRPr="00C17EF8">
        <w:t xml:space="preserve"> et al. 2011).</w:t>
      </w:r>
      <w:r w:rsidRPr="00C17EF8">
        <w:rPr>
          <w:rStyle w:val="FootnoteReference"/>
        </w:rPr>
        <w:footnoteReference w:id="11"/>
      </w:r>
    </w:p>
    <w:p w:rsidR="00080E60" w:rsidRPr="00C17EF8" w:rsidRDefault="00080E60" w:rsidP="00080E60">
      <w:pPr>
        <w:spacing w:line="480" w:lineRule="auto"/>
        <w:contextualSpacing/>
      </w:pPr>
      <w:r w:rsidRPr="00C17EF8">
        <w:lastRenderedPageBreak/>
        <w:tab/>
        <w:t xml:space="preserve">A few studies have investigated the market valuation of the tax reserve using the first quarter of required disclosures. Song and Tucker (2008) find that the amount of firms’ tax reserves is positively related to the market to book ratio. </w:t>
      </w:r>
      <w:proofErr w:type="spellStart"/>
      <w:r w:rsidRPr="00C17EF8">
        <w:t>Frischmann</w:t>
      </w:r>
      <w:proofErr w:type="spellEnd"/>
      <w:r w:rsidRPr="00C17EF8">
        <w:t xml:space="preserve"> et al. (2008) find a positive association between returns and the portion of the tax reserve that will impact the effective tax rate. Robinson and Schmidt (2011) find a positive market reaction to the 2007 first quarter tax reserve for large firms (S&amp;P 500). For smaller firms (S&amp;P 600) they find a positive reaction when disclosure quality is low and no reaction when disclosure quality is high, which suggests investors value tax risk but are also concerned about the proprietary costs of revealing too much information to taxing authorities.</w:t>
      </w:r>
      <w:r w:rsidRPr="00C17EF8">
        <w:rPr>
          <w:rStyle w:val="FootnoteReference"/>
        </w:rPr>
        <w:footnoteReference w:id="12"/>
      </w:r>
      <w:r w:rsidRPr="00C17EF8">
        <w:t xml:space="preserve"> To my knowledge, Koester (2011) is the only study that uses a broad sample of tax reserve data spanning several years to examine the association with firm value. Using tax reserve data from </w:t>
      </w:r>
      <w:proofErr w:type="spellStart"/>
      <w:r w:rsidRPr="00C17EF8">
        <w:t>Compustat</w:t>
      </w:r>
      <w:proofErr w:type="spellEnd"/>
      <w:r w:rsidRPr="00C17EF8">
        <w:t xml:space="preserve">, she documents a positive association between firm stock price and the portion of the tax reserve expected to impact the effective tax rate, but only for companies with significant operations in tax havens. </w:t>
      </w:r>
    </w:p>
    <w:p w:rsidR="00080E60" w:rsidRPr="00C17EF8" w:rsidRDefault="00080E60" w:rsidP="00080E60">
      <w:pPr>
        <w:spacing w:line="480" w:lineRule="auto"/>
        <w:ind w:firstLine="720"/>
        <w:contextualSpacing/>
      </w:pPr>
      <w:r w:rsidRPr="00C17EF8">
        <w:t xml:space="preserve">Generally the results are mixed and often confusing given that certain subsets of firms seem to have no market reaction to tax avoidance. Based on the literature, it seems clear the association between tax risk and firm value is complex and warrants continued research. Regarding the agency view of tax avoidance, Blaylock (2011) notes there is not enough large </w:t>
      </w:r>
      <w:r w:rsidRPr="00C17EF8">
        <w:lastRenderedPageBreak/>
        <w:t xml:space="preserve">sample empirical evidence to determine conclusively whether it applies broadly in a U.S. setting. </w:t>
      </w:r>
    </w:p>
    <w:p w:rsidR="00080E60" w:rsidRPr="00C17EF8" w:rsidRDefault="00080E60" w:rsidP="00080E60">
      <w:pPr>
        <w:spacing w:line="480" w:lineRule="auto"/>
        <w:ind w:firstLine="720"/>
        <w:contextualSpacing/>
      </w:pPr>
      <w:r w:rsidRPr="00C17EF8">
        <w:t>In both the traditional tax avoidance literature and the agency view of tax avoidance, researchers have alluded to and often directly noted the possibility of an optimal level of tax avoidance (</w:t>
      </w:r>
      <w:proofErr w:type="spellStart"/>
      <w:r w:rsidRPr="00C17EF8">
        <w:t>Balakrishnan</w:t>
      </w:r>
      <w:proofErr w:type="spellEnd"/>
      <w:r w:rsidRPr="00C17EF8">
        <w:t xml:space="preserve"> et al. 2011; Brown et al. 2011; Cheng et al. 2011; Chyz et al. 2011; Crocker and </w:t>
      </w:r>
      <w:proofErr w:type="spellStart"/>
      <w:r w:rsidRPr="00C17EF8">
        <w:t>Slemrod</w:t>
      </w:r>
      <w:proofErr w:type="spellEnd"/>
      <w:r w:rsidRPr="00C17EF8">
        <w:t xml:space="preserve"> 2005; De </w:t>
      </w:r>
      <w:proofErr w:type="spellStart"/>
      <w:r w:rsidRPr="00C17EF8">
        <w:t>Waegenaere</w:t>
      </w:r>
      <w:proofErr w:type="spellEnd"/>
      <w:r w:rsidRPr="00C17EF8">
        <w:t xml:space="preserve"> et al. 2010; Hanlon and </w:t>
      </w:r>
      <w:proofErr w:type="spellStart"/>
      <w:r w:rsidRPr="00C17EF8">
        <w:t>Slemrod</w:t>
      </w:r>
      <w:proofErr w:type="spellEnd"/>
      <w:r w:rsidRPr="00C17EF8">
        <w:t xml:space="preserve"> 2009). Consistent with a typical optimization problem, investors want managers to maximize the benefits of tax avoidance net of the associated costs. More specifically, investors value tax risk until the marginal benefits no longer exceed the marginal costs. Hanlon and </w:t>
      </w:r>
      <w:proofErr w:type="spellStart"/>
      <w:r w:rsidRPr="00C17EF8">
        <w:t>Slemrod</w:t>
      </w:r>
      <w:proofErr w:type="spellEnd"/>
      <w:r w:rsidRPr="00C17EF8">
        <w:t xml:space="preserve"> (2009) label this level as “optimally aggressive” (p.126). If there is some optimal level of tax risk from an investor’s perspective, firm value should be increasing at a diminishing rate until this optimal level is reached and decreasing in tax risk that goes beyond the optimal level. Empirically, this relation should manifest in a non-linear, concave association between firm value and tax risk. Despite the fact that researchers recognize the costs of tax avoidance and the implication of an optimal level, no study to-date has empirically investigated whether a concave relation exists. </w:t>
      </w:r>
    </w:p>
    <w:p w:rsidR="00080E60" w:rsidRPr="00C17EF8" w:rsidRDefault="00080E60" w:rsidP="00681D52">
      <w:pPr>
        <w:pStyle w:val="Heading2"/>
        <w:rPr>
          <w:rFonts w:cs="Times New Roman"/>
        </w:rPr>
      </w:pPr>
      <w:bookmarkStart w:id="8" w:name="_Toc320370977"/>
      <w:bookmarkStart w:id="9" w:name="_Toc321493721"/>
      <w:r w:rsidRPr="00C17EF8">
        <w:rPr>
          <w:rFonts w:cs="Times New Roman"/>
        </w:rPr>
        <w:t>Hypothesis Development</w:t>
      </w:r>
      <w:bookmarkEnd w:id="8"/>
      <w:bookmarkEnd w:id="9"/>
    </w:p>
    <w:p w:rsidR="00080E60" w:rsidRPr="00C17EF8" w:rsidRDefault="00080E60" w:rsidP="00080E60">
      <w:pPr>
        <w:spacing w:line="480" w:lineRule="auto"/>
        <w:contextualSpacing/>
      </w:pPr>
      <w:r w:rsidRPr="00C17EF8">
        <w:tab/>
        <w:t>To demonstrate how tax risk affects firm value, I use a simplified equity valuation model. As shown in equation (1), firm value can be expressed as the expected value of future cash flows (C) divided by one plus a discount rate (r), where the discount rate is equal to the firm’s cost of capital (i.e. the market’s required rate of return).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61"/>
        <w:gridCol w:w="555"/>
      </w:tblGrid>
      <w:tr w:rsidR="00080E60" w:rsidRPr="00C17EF8" w:rsidTr="00A95D4A">
        <w:tc>
          <w:tcPr>
            <w:tcW w:w="9018" w:type="dxa"/>
          </w:tcPr>
          <w:p w:rsidR="00080E60" w:rsidRPr="00C17EF8" w:rsidRDefault="00080E60" w:rsidP="00A95D4A">
            <w:pPr>
              <w:spacing w:line="480" w:lineRule="auto"/>
              <w:contextualSpacing/>
              <w:rPr>
                <w:rFonts w:ascii="Times New Roman" w:hAnsi="Times New Roman" w:cs="Times New Roman"/>
                <w:sz w:val="24"/>
                <w:szCs w:val="24"/>
              </w:rPr>
            </w:pPr>
            <m:oMathPara>
              <m:oMath>
                <m:r>
                  <w:rPr>
                    <w:rFonts w:ascii="Cambria Math" w:hAnsi="Cambria Math" w:cs="Times New Roman"/>
                    <w:sz w:val="24"/>
                    <w:szCs w:val="24"/>
                  </w:rPr>
                  <w:lastRenderedPageBreak/>
                  <m:t>Value</m:t>
                </m:r>
                <m:r>
                  <w:rPr>
                    <w:rFonts w:ascii="Cambria Math" w:hAnsi="Times New Roman" w:cs="Times New Roman"/>
                    <w:sz w:val="24"/>
                    <w:szCs w:val="24"/>
                  </w:rPr>
                  <m:t>=</m:t>
                </m:r>
                <m:nary>
                  <m:naryPr>
                    <m:chr m:val="∑"/>
                    <m:limLoc m:val="undOvr"/>
                    <m:ctrlPr>
                      <w:rPr>
                        <w:rFonts w:ascii="Cambria Math" w:hAnsi="Times New Roman" w:cs="Times New Roman"/>
                        <w:i/>
                        <w:sz w:val="24"/>
                        <w:szCs w:val="24"/>
                      </w:rPr>
                    </m:ctrlPr>
                  </m:naryPr>
                  <m:sub>
                    <m:r>
                      <w:rPr>
                        <w:rFonts w:ascii="Cambria Math" w:hAnsi="Cambria Math" w:cs="Times New Roman"/>
                        <w:sz w:val="24"/>
                        <w:szCs w:val="24"/>
                      </w:rPr>
                      <m:t>i</m:t>
                    </m:r>
                    <m:r>
                      <w:rPr>
                        <w:rFonts w:ascii="Cambria Math" w:hAnsi="Times New Roman" w:cs="Times New Roman"/>
                        <w:sz w:val="24"/>
                        <w:szCs w:val="24"/>
                      </w:rPr>
                      <m:t>=1</m:t>
                    </m:r>
                  </m:sub>
                  <m:sup>
                    <m:r>
                      <w:rPr>
                        <w:rFonts w:ascii="Cambria Math" w:hAnsi="Cambria Math" w:cs="Times New Roman"/>
                        <w:sz w:val="24"/>
                        <w:szCs w:val="24"/>
                      </w:rPr>
                      <m:t>T</m:t>
                    </m:r>
                  </m:sup>
                  <m:e>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num>
                      <m:den>
                        <m:sSub>
                          <m:sSubPr>
                            <m:ctrlPr>
                              <w:rPr>
                                <w:rFonts w:ascii="Cambria Math" w:hAnsi="Times New Roman" w:cs="Times New Roman"/>
                                <w:i/>
                                <w:sz w:val="24"/>
                                <w:szCs w:val="24"/>
                              </w:rPr>
                            </m:ctrlPr>
                          </m:sSubPr>
                          <m:e>
                            <m:r>
                              <w:rPr>
                                <w:rFonts w:ascii="Cambria Math" w:hAnsi="Times New Roman" w:cs="Times New Roman"/>
                                <w:sz w:val="24"/>
                                <w:szCs w:val="24"/>
                              </w:rPr>
                              <m:t>1+</m:t>
                            </m:r>
                            <m:r>
                              <w:rPr>
                                <w:rFonts w:ascii="Cambria Math" w:hAnsi="Cambria Math" w:cs="Times New Roman"/>
                                <w:sz w:val="24"/>
                                <w:szCs w:val="24"/>
                              </w:rPr>
                              <m:t>r</m:t>
                            </m:r>
                          </m:e>
                          <m:sub>
                            <m:r>
                              <w:rPr>
                                <w:rFonts w:ascii="Cambria Math" w:hAnsi="Cambria Math" w:cs="Times New Roman"/>
                                <w:sz w:val="24"/>
                                <w:szCs w:val="24"/>
                              </w:rPr>
                              <m:t>i</m:t>
                            </m:r>
                          </m:sub>
                        </m:sSub>
                      </m:den>
                    </m:f>
                  </m:e>
                </m:nary>
              </m:oMath>
            </m:oMathPara>
          </w:p>
        </w:tc>
        <w:tc>
          <w:tcPr>
            <w:tcW w:w="558" w:type="dxa"/>
          </w:tcPr>
          <w:p w:rsidR="00080E60" w:rsidRPr="00C17EF8" w:rsidRDefault="00080E60" w:rsidP="00A95D4A">
            <w:pPr>
              <w:spacing w:line="480" w:lineRule="auto"/>
              <w:contextualSpacing/>
              <w:rPr>
                <w:rFonts w:ascii="Times New Roman" w:hAnsi="Times New Roman" w:cs="Times New Roman"/>
                <w:sz w:val="24"/>
                <w:szCs w:val="24"/>
              </w:rPr>
            </w:pPr>
            <w:r w:rsidRPr="00C17EF8">
              <w:rPr>
                <w:rFonts w:ascii="Times New Roman" w:hAnsi="Times New Roman" w:cs="Times New Roman"/>
                <w:sz w:val="24"/>
                <w:szCs w:val="24"/>
              </w:rPr>
              <w:t>(1)</w:t>
            </w:r>
          </w:p>
        </w:tc>
      </w:tr>
    </w:tbl>
    <w:p w:rsidR="00080E60" w:rsidRPr="00C17EF8" w:rsidRDefault="00080E60" w:rsidP="00080E60">
      <w:pPr>
        <w:spacing w:line="480" w:lineRule="auto"/>
        <w:contextualSpacing/>
      </w:pPr>
      <w:r w:rsidRPr="00C17EF8">
        <w:t>In a simple two period scenario equation (1) is reduced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61"/>
        <w:gridCol w:w="555"/>
      </w:tblGrid>
      <w:tr w:rsidR="00080E60" w:rsidRPr="00C17EF8" w:rsidTr="00A95D4A">
        <w:tc>
          <w:tcPr>
            <w:tcW w:w="9018" w:type="dxa"/>
          </w:tcPr>
          <w:p w:rsidR="00080E60" w:rsidRPr="00C17EF8" w:rsidRDefault="00080E60" w:rsidP="00A95D4A">
            <w:pPr>
              <w:spacing w:line="480" w:lineRule="auto"/>
              <w:contextualSpacing/>
              <w:rPr>
                <w:rFonts w:ascii="Times New Roman" w:hAnsi="Times New Roman" w:cs="Times New Roman"/>
                <w:sz w:val="24"/>
                <w:szCs w:val="24"/>
              </w:rPr>
            </w:pPr>
            <m:oMathPara>
              <m:oMath>
                <m:r>
                  <w:rPr>
                    <w:rFonts w:ascii="Cambria Math" w:hAnsi="Cambria Math" w:cs="Times New Roman"/>
                    <w:sz w:val="24"/>
                    <w:szCs w:val="24"/>
                  </w:rPr>
                  <m:t>Value</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C</m:t>
                    </m:r>
                  </m:num>
                  <m:den>
                    <m:r>
                      <w:rPr>
                        <w:rFonts w:ascii="Cambria Math" w:hAnsi="Times New Roman" w:cs="Times New Roman"/>
                        <w:sz w:val="24"/>
                        <w:szCs w:val="24"/>
                      </w:rPr>
                      <m:t>1+r</m:t>
                    </m:r>
                  </m:den>
                </m:f>
              </m:oMath>
            </m:oMathPara>
          </w:p>
        </w:tc>
        <w:tc>
          <w:tcPr>
            <w:tcW w:w="558" w:type="dxa"/>
          </w:tcPr>
          <w:p w:rsidR="00080E60" w:rsidRPr="00C17EF8" w:rsidRDefault="00080E60" w:rsidP="00A95D4A">
            <w:pPr>
              <w:spacing w:line="480" w:lineRule="auto"/>
              <w:contextualSpacing/>
              <w:rPr>
                <w:rFonts w:ascii="Times New Roman" w:hAnsi="Times New Roman" w:cs="Times New Roman"/>
                <w:sz w:val="24"/>
                <w:szCs w:val="24"/>
              </w:rPr>
            </w:pPr>
            <w:r w:rsidRPr="00C17EF8">
              <w:rPr>
                <w:rFonts w:ascii="Times New Roman" w:hAnsi="Times New Roman" w:cs="Times New Roman"/>
                <w:sz w:val="24"/>
                <w:szCs w:val="24"/>
              </w:rPr>
              <w:t>(2)</w:t>
            </w:r>
          </w:p>
        </w:tc>
      </w:tr>
    </w:tbl>
    <w:p w:rsidR="00080E60" w:rsidRPr="00C17EF8" w:rsidRDefault="00080E60" w:rsidP="00080E60">
      <w:pPr>
        <w:spacing w:line="480" w:lineRule="auto"/>
        <w:contextualSpacing/>
      </w:pPr>
      <w:proofErr w:type="gramStart"/>
      <w:r w:rsidRPr="00C17EF8">
        <w:t>where</w:t>
      </w:r>
      <w:proofErr w:type="gramEnd"/>
      <w:r w:rsidRPr="00C17EF8">
        <w:t xml:space="preserve"> the firm reveals the level of tax risk, R, at the beginning of period one and investors value the firm at the beginning of period one based on the observed level of R and expectations about cash flows during the time from period one to period two.</w:t>
      </w:r>
      <w:r w:rsidRPr="00C17EF8">
        <w:rPr>
          <w:rStyle w:val="FootnoteReference"/>
        </w:rPr>
        <w:footnoteReference w:id="13"/>
      </w:r>
      <w:r w:rsidRPr="00C17EF8">
        <w:t xml:space="preserve"> Holding pre-tax cash flows constant, future cash flows depend on whether the firm retains the expected tax savings from risky tax planning or whether taxing authorities disallow the tax savings and impose penalties. Following the spirit of the Hanlon and </w:t>
      </w:r>
      <w:proofErr w:type="spellStart"/>
      <w:r w:rsidRPr="00C17EF8">
        <w:t>Slemrod</w:t>
      </w:r>
      <w:proofErr w:type="spellEnd"/>
      <w:r w:rsidRPr="00C17EF8">
        <w:t xml:space="preserve"> (2009) model for tax sheltering, I express future cash flows in expected value terms as the sum of the probability of disallowance (p) times the net cash flows if tax savings are disallowed (D) and one minus the probability of disallowance times the net cash flows if tax savings are sustained (S).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61"/>
        <w:gridCol w:w="555"/>
      </w:tblGrid>
      <w:tr w:rsidR="00080E60" w:rsidRPr="00C17EF8" w:rsidTr="00A95D4A">
        <w:tc>
          <w:tcPr>
            <w:tcW w:w="9018" w:type="dxa"/>
          </w:tcPr>
          <w:p w:rsidR="00080E60" w:rsidRPr="00C17EF8" w:rsidRDefault="00080E60" w:rsidP="00A95D4A">
            <w:pPr>
              <w:spacing w:line="480" w:lineRule="auto"/>
              <w:contextualSpacing/>
              <w:rPr>
                <w:rFonts w:ascii="Times New Roman" w:hAnsi="Times New Roman" w:cs="Times New Roman"/>
                <w:sz w:val="24"/>
                <w:szCs w:val="24"/>
              </w:rPr>
            </w:pPr>
            <m:oMathPara>
              <m:oMath>
                <m:r>
                  <w:rPr>
                    <w:rFonts w:ascii="Cambria Math" w:hAnsi="Cambria Math" w:cs="Times New Roman"/>
                    <w:sz w:val="24"/>
                    <w:szCs w:val="24"/>
                  </w:rPr>
                  <m:t>p</m:t>
                </m:r>
                <m:r>
                  <w:rPr>
                    <w:rFonts w:ascii="Times New Roman" w:hAnsi="Cambria Math" w:cs="Times New Roman"/>
                    <w:sz w:val="24"/>
                    <w:szCs w:val="24"/>
                  </w:rPr>
                  <m:t>*</m:t>
                </m:r>
                <m:d>
                  <m:dPr>
                    <m:ctrlPr>
                      <w:rPr>
                        <w:rFonts w:ascii="Cambria Math" w:hAnsi="Times New Roman" w:cs="Times New Roman"/>
                        <w:i/>
                        <w:sz w:val="24"/>
                        <w:szCs w:val="24"/>
                      </w:rPr>
                    </m:ctrlPr>
                  </m:dPr>
                  <m:e>
                    <m:r>
                      <w:rPr>
                        <w:rFonts w:ascii="Cambria Math" w:hAnsi="Cambria Math" w:cs="Times New Roman"/>
                        <w:sz w:val="24"/>
                        <w:szCs w:val="24"/>
                      </w:rPr>
                      <m:t>D</m:t>
                    </m:r>
                  </m:e>
                </m:d>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p</m:t>
                    </m:r>
                  </m:e>
                </m:d>
                <m:r>
                  <w:rPr>
                    <w:rFonts w:ascii="Times New Roman" w:hAnsi="Cambria Math" w:cs="Times New Roman"/>
                    <w:sz w:val="24"/>
                    <w:szCs w:val="24"/>
                  </w:rPr>
                  <m:t>*</m:t>
                </m:r>
                <m:r>
                  <w:rPr>
                    <w:rFonts w:ascii="Cambria Math" w:hAnsi="Cambria Math" w:cs="Times New Roman"/>
                    <w:sz w:val="24"/>
                    <w:szCs w:val="24"/>
                  </w:rPr>
                  <m:t>S</m:t>
                </m:r>
              </m:oMath>
            </m:oMathPara>
          </w:p>
        </w:tc>
        <w:tc>
          <w:tcPr>
            <w:tcW w:w="558" w:type="dxa"/>
          </w:tcPr>
          <w:p w:rsidR="00080E60" w:rsidRPr="00C17EF8" w:rsidRDefault="00080E60" w:rsidP="00A95D4A">
            <w:pPr>
              <w:spacing w:line="480" w:lineRule="auto"/>
              <w:contextualSpacing/>
              <w:rPr>
                <w:rFonts w:ascii="Times New Roman" w:hAnsi="Times New Roman" w:cs="Times New Roman"/>
                <w:sz w:val="24"/>
                <w:szCs w:val="24"/>
              </w:rPr>
            </w:pPr>
            <w:r w:rsidRPr="00C17EF8">
              <w:rPr>
                <w:rFonts w:ascii="Times New Roman" w:hAnsi="Times New Roman" w:cs="Times New Roman"/>
                <w:sz w:val="24"/>
                <w:szCs w:val="24"/>
              </w:rPr>
              <w:t>(3)</w:t>
            </w:r>
          </w:p>
        </w:tc>
      </w:tr>
    </w:tbl>
    <w:p w:rsidR="00080E60" w:rsidRPr="00C17EF8" w:rsidRDefault="00080E60" w:rsidP="00080E60">
      <w:pPr>
        <w:spacing w:line="480" w:lineRule="auto"/>
        <w:ind w:firstLine="720"/>
        <w:contextualSpacing/>
      </w:pPr>
      <w:r w:rsidRPr="00C17EF8">
        <w:t xml:space="preserve">Koester (2011) details the ways tax risk impacts expectations about future cash flows. She describes three negative valuation effects. First, higher tax reserves increase the likelihood and thoroughness of audit and therefore the likelihood of disallowance for current year and prior tax positions. Also, riskier tax positions by definition have less technical support and are therefore more likely to be disallowed once discovered. Second, higher tax </w:t>
      </w:r>
      <w:r w:rsidRPr="00C17EF8">
        <w:lastRenderedPageBreak/>
        <w:t xml:space="preserve">reserves increase the likelihood and thoroughness of audit for future tax positions which means managers will either reduce future tax risk to avoid further scrutiny or incur greater costs to conceal the continued tax risk. Third, firms with high levels of tax risk might earn a negative reputation for being a “poor corporate citizen” </w:t>
      </w:r>
      <w:proofErr w:type="gramStart"/>
      <w:r w:rsidRPr="00C17EF8">
        <w:t>which</w:t>
      </w:r>
      <w:proofErr w:type="gramEnd"/>
      <w:r w:rsidRPr="00C17EF8">
        <w:t xml:space="preserve"> could affect future cash flows through relationships with customers and suppliers, increased Congressional scrutiny which leads to disallowance of tax preferences, or additional future costs if an unscrupulous manager is found to be engaging in other dishonest activities. </w:t>
      </w:r>
    </w:p>
    <w:p w:rsidR="00080E60" w:rsidRPr="00C17EF8" w:rsidRDefault="00080E60" w:rsidP="00080E60">
      <w:pPr>
        <w:spacing w:line="480" w:lineRule="auto"/>
        <w:contextualSpacing/>
      </w:pPr>
      <w:r w:rsidRPr="00C17EF8">
        <w:tab/>
        <w:t>Koester (2011) also lists two positive valuation impacts of tax risk. First, firms engaging in high levels of tax risk may earn a positive reputation for being good stewards of firm resources. Second, if the benefits of tax risk are expected to be retained and current levels of tax risk are indicators about future levels of tax risk, then cash tax savings from both current tax positions and future tax positions should be higher.</w:t>
      </w:r>
    </w:p>
    <w:p w:rsidR="00080E60" w:rsidRPr="00C17EF8" w:rsidRDefault="00080E60" w:rsidP="00080E60">
      <w:pPr>
        <w:spacing w:line="480" w:lineRule="auto"/>
        <w:ind w:firstLine="720"/>
        <w:contextualSpacing/>
      </w:pPr>
      <w:r w:rsidRPr="00C17EF8">
        <w:t>Each of these valuation effects from tax risk can be incorporated in equation (3).</w:t>
      </w:r>
      <w:r w:rsidRPr="00C17EF8">
        <w:rPr>
          <w:rStyle w:val="FootnoteReference"/>
        </w:rPr>
        <w:footnoteReference w:id="14"/>
      </w:r>
      <w:r w:rsidRPr="00C17EF8">
        <w:t xml:space="preserve"> The first valuation effect noted by Koester (2011) relates to the probability of disallowance (p). To incorporate the others, let </w:t>
      </w:r>
      <w:proofErr w:type="gramStart"/>
      <w:r w:rsidRPr="00C17EF8">
        <w:t>A</w:t>
      </w:r>
      <w:proofErr w:type="gramEnd"/>
      <w:r w:rsidRPr="00C17EF8">
        <w:t xml:space="preserve"> represent the additional cash tax savings from engaging in risky tax avoidance and the positive reputation effects. If I is the after-tax cash flow assuming no risky tax planning then S=I+A. The additional cash tax savings and positive reputation effects are forfeited under the disallowance scenario. If the risky tax planning is discovered and disallowed, the firm will incur costs and penalties equal to f so that D=I-f. The costs and penalties may include expenses for litigation or tax audits, direct interest and </w:t>
      </w:r>
      <w:r w:rsidRPr="00C17EF8">
        <w:lastRenderedPageBreak/>
        <w:t>penalties imposed by the taxing authority, or negative reputational penalties. The penalties are likely to be more severe when tax avoidance is riskier. Substituting these relationships into equation (3) yields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61"/>
        <w:gridCol w:w="555"/>
      </w:tblGrid>
      <w:tr w:rsidR="00080E60" w:rsidRPr="00C17EF8" w:rsidTr="00A95D4A">
        <w:tc>
          <w:tcPr>
            <w:tcW w:w="9018" w:type="dxa"/>
          </w:tcPr>
          <w:p w:rsidR="00080E60" w:rsidRPr="00C17EF8" w:rsidRDefault="00080E60" w:rsidP="00A95D4A">
            <w:pPr>
              <w:spacing w:line="480" w:lineRule="auto"/>
              <w:contextualSpacing/>
              <w:rPr>
                <w:rFonts w:ascii="Times New Roman" w:hAnsi="Times New Roman" w:cs="Times New Roman"/>
                <w:sz w:val="24"/>
                <w:szCs w:val="24"/>
              </w:rPr>
            </w:pPr>
            <m:oMathPara>
              <m:oMath>
                <m:r>
                  <w:rPr>
                    <w:rFonts w:ascii="Cambria Math" w:hAnsi="Cambria Math" w:cs="Times New Roman"/>
                    <w:sz w:val="24"/>
                    <w:szCs w:val="24"/>
                  </w:rPr>
                  <m:t>p</m:t>
                </m:r>
                <m:r>
                  <w:rPr>
                    <w:rFonts w:ascii="Times New Roman" w:hAnsi="Cambria Math" w:cs="Times New Roman"/>
                    <w:sz w:val="24"/>
                    <w:szCs w:val="24"/>
                  </w:rPr>
                  <m:t>*</m:t>
                </m:r>
                <m:d>
                  <m:dPr>
                    <m:ctrlPr>
                      <w:rPr>
                        <w:rFonts w:ascii="Cambria Math" w:hAnsi="Times New Roman" w:cs="Times New Roman"/>
                        <w:i/>
                        <w:sz w:val="24"/>
                        <w:szCs w:val="24"/>
                      </w:rPr>
                    </m:ctrlPr>
                  </m:dPr>
                  <m:e>
                    <m:r>
                      <w:rPr>
                        <w:rFonts w:ascii="Cambria Math" w:hAnsi="Cambria Math" w:cs="Times New Roman"/>
                        <w:sz w:val="24"/>
                        <w:szCs w:val="24"/>
                      </w:rPr>
                      <m:t>I</m:t>
                    </m:r>
                    <m:r>
                      <w:rPr>
                        <w:rFonts w:ascii="Times New Roman" w:hAnsi="Times New Roman" w:cs="Times New Roman"/>
                        <w:sz w:val="24"/>
                        <w:szCs w:val="24"/>
                      </w:rPr>
                      <m:t>-</m:t>
                    </m:r>
                    <m:r>
                      <w:rPr>
                        <w:rFonts w:ascii="Cambria Math" w:hAnsi="Cambria Math" w:cs="Times New Roman"/>
                        <w:sz w:val="24"/>
                        <w:szCs w:val="24"/>
                      </w:rPr>
                      <m:t>f</m:t>
                    </m:r>
                  </m:e>
                </m:d>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p</m:t>
                    </m:r>
                  </m:e>
                </m:d>
                <m:r>
                  <w:rPr>
                    <w:rFonts w:ascii="Times New Roman" w:hAnsi="Cambria Math" w:cs="Times New Roman"/>
                    <w:sz w:val="24"/>
                    <w:szCs w:val="24"/>
                  </w:rPr>
                  <m:t>*</m:t>
                </m:r>
                <m:r>
                  <w:rPr>
                    <w:rFonts w:ascii="Cambria Math" w:hAnsi="Times New Roman" w:cs="Times New Roman"/>
                    <w:sz w:val="24"/>
                    <w:szCs w:val="24"/>
                  </w:rPr>
                  <m:t>(</m:t>
                </m:r>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A</m:t>
                </m:r>
                <m:r>
                  <w:rPr>
                    <w:rFonts w:ascii="Cambria Math" w:hAnsi="Times New Roman" w:cs="Times New Roman"/>
                    <w:sz w:val="24"/>
                    <w:szCs w:val="24"/>
                  </w:rPr>
                  <m:t>)</m:t>
                </m:r>
              </m:oMath>
            </m:oMathPara>
          </w:p>
        </w:tc>
        <w:tc>
          <w:tcPr>
            <w:tcW w:w="558" w:type="dxa"/>
          </w:tcPr>
          <w:p w:rsidR="00080E60" w:rsidRPr="00C17EF8" w:rsidRDefault="00080E60" w:rsidP="00A95D4A">
            <w:pPr>
              <w:spacing w:line="480" w:lineRule="auto"/>
              <w:contextualSpacing/>
              <w:rPr>
                <w:rFonts w:ascii="Times New Roman" w:hAnsi="Times New Roman" w:cs="Times New Roman"/>
                <w:sz w:val="24"/>
                <w:szCs w:val="24"/>
              </w:rPr>
            </w:pPr>
            <w:r w:rsidRPr="00C17EF8">
              <w:rPr>
                <w:rFonts w:ascii="Times New Roman" w:hAnsi="Times New Roman" w:cs="Times New Roman"/>
                <w:sz w:val="24"/>
                <w:szCs w:val="24"/>
              </w:rPr>
              <w:t>(4)</w:t>
            </w:r>
          </w:p>
        </w:tc>
      </w:tr>
    </w:tbl>
    <w:p w:rsidR="00080E60" w:rsidRPr="00C17EF8" w:rsidRDefault="00080E60" w:rsidP="00080E60">
      <w:pPr>
        <w:spacing w:line="480" w:lineRule="auto"/>
        <w:ind w:firstLine="720"/>
        <w:contextualSpacing/>
      </w:pPr>
      <w:r w:rsidRPr="00C17EF8">
        <w:t>The probability of disallowance (p), the penalties (f), and the additional tax savings and positive reputation effects (A) are all increasing in tax risk as previously described. Expressing each of the terms in the model as its function of tax risk (R), equation (4)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61"/>
        <w:gridCol w:w="555"/>
      </w:tblGrid>
      <w:tr w:rsidR="00080E60" w:rsidRPr="00C17EF8" w:rsidTr="00A95D4A">
        <w:tc>
          <w:tcPr>
            <w:tcW w:w="9018" w:type="dxa"/>
          </w:tcPr>
          <w:p w:rsidR="00080E60" w:rsidRPr="00C17EF8" w:rsidRDefault="00080E60" w:rsidP="00A95D4A">
            <w:pPr>
              <w:spacing w:line="480" w:lineRule="auto"/>
              <w:contextualSpacing/>
              <w:rPr>
                <w:rFonts w:ascii="Times New Roman" w:hAnsi="Times New Roman" w:cs="Times New Roman"/>
                <w:sz w:val="24"/>
                <w:szCs w:val="24"/>
              </w:rPr>
            </w:pPr>
            <m:oMathPara>
              <m:oMath>
                <m:r>
                  <w:rPr>
                    <w:rFonts w:ascii="Cambria Math" w:hAnsi="Cambria Math" w:cs="Times New Roman"/>
                    <w:sz w:val="24"/>
                    <w:szCs w:val="24"/>
                  </w:rPr>
                  <m:t>p</m:t>
                </m:r>
                <m:d>
                  <m:dPr>
                    <m:ctrlPr>
                      <w:rPr>
                        <w:rFonts w:ascii="Cambria Math" w:hAnsi="Times New Roman" w:cs="Times New Roman"/>
                        <w:i/>
                        <w:sz w:val="24"/>
                        <w:szCs w:val="24"/>
                      </w:rPr>
                    </m:ctrlPr>
                  </m:dPr>
                  <m:e>
                    <m:r>
                      <w:rPr>
                        <w:rFonts w:ascii="Cambria Math" w:hAnsi="Cambria Math" w:cs="Times New Roman"/>
                        <w:sz w:val="24"/>
                        <w:szCs w:val="24"/>
                      </w:rPr>
                      <m:t>R</m:t>
                    </m:r>
                  </m:e>
                </m:d>
                <m:r>
                  <w:rPr>
                    <w:rFonts w:ascii="Times New Roman"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Cambria Math" w:cs="Times New Roman"/>
                        <w:sz w:val="24"/>
                        <w:szCs w:val="24"/>
                      </w:rPr>
                      <m:t>I</m:t>
                    </m:r>
                    <m:r>
                      <w:rPr>
                        <w:rFonts w:ascii="Times New Roman" w:hAnsi="Times New Roman" w:cs="Times New Roman"/>
                        <w:sz w:val="24"/>
                        <w:szCs w:val="24"/>
                      </w:rPr>
                      <m:t>-</m:t>
                    </m:r>
                    <m:r>
                      <w:rPr>
                        <w:rFonts w:ascii="Cambria Math" w:hAnsi="Cambria Math" w:cs="Times New Roman"/>
                        <w:sz w:val="24"/>
                        <w:szCs w:val="24"/>
                      </w:rPr>
                      <m:t>f</m:t>
                    </m:r>
                    <m:d>
                      <m:dPr>
                        <m:ctrlPr>
                          <w:rPr>
                            <w:rFonts w:ascii="Cambria Math" w:hAnsi="Times New Roman" w:cs="Times New Roman"/>
                            <w:i/>
                            <w:sz w:val="24"/>
                            <w:szCs w:val="24"/>
                          </w:rPr>
                        </m:ctrlPr>
                      </m:dPr>
                      <m:e>
                        <m:r>
                          <w:rPr>
                            <w:rFonts w:ascii="Cambria Math" w:hAnsi="Cambria Math" w:cs="Times New Roman"/>
                            <w:sz w:val="24"/>
                            <w:szCs w:val="24"/>
                          </w:rPr>
                          <m:t>R</m:t>
                        </m:r>
                      </m:e>
                    </m:d>
                  </m:e>
                </m:d>
                <m:r>
                  <w:rPr>
                    <w:rFonts w:ascii="Cambria Math" w:hAnsi="Times New Roman"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p</m:t>
                    </m:r>
                    <m:d>
                      <m:dPr>
                        <m:ctrlPr>
                          <w:rPr>
                            <w:rFonts w:ascii="Cambria Math" w:hAnsi="Times New Roman" w:cs="Times New Roman"/>
                            <w:i/>
                            <w:sz w:val="24"/>
                            <w:szCs w:val="24"/>
                          </w:rPr>
                        </m:ctrlPr>
                      </m:dPr>
                      <m:e>
                        <m:r>
                          <w:rPr>
                            <w:rFonts w:ascii="Cambria Math" w:hAnsi="Cambria Math" w:cs="Times New Roman"/>
                            <w:sz w:val="24"/>
                            <w:szCs w:val="24"/>
                          </w:rPr>
                          <m:t>R</m:t>
                        </m:r>
                      </m:e>
                    </m:d>
                  </m:e>
                </m:d>
                <m:r>
                  <w:rPr>
                    <w:rFonts w:ascii="Times New Roman"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A</m:t>
                    </m:r>
                    <m:d>
                      <m:dPr>
                        <m:ctrlPr>
                          <w:rPr>
                            <w:rFonts w:ascii="Cambria Math" w:hAnsi="Times New Roman" w:cs="Times New Roman"/>
                            <w:i/>
                            <w:sz w:val="24"/>
                            <w:szCs w:val="24"/>
                          </w:rPr>
                        </m:ctrlPr>
                      </m:dPr>
                      <m:e>
                        <m:r>
                          <w:rPr>
                            <w:rFonts w:ascii="Cambria Math" w:hAnsi="Cambria Math" w:cs="Times New Roman"/>
                            <w:sz w:val="24"/>
                            <w:szCs w:val="24"/>
                          </w:rPr>
                          <m:t>R</m:t>
                        </m:r>
                      </m:e>
                    </m:d>
                  </m:e>
                </m:d>
              </m:oMath>
            </m:oMathPara>
          </w:p>
        </w:tc>
        <w:tc>
          <w:tcPr>
            <w:tcW w:w="558" w:type="dxa"/>
          </w:tcPr>
          <w:p w:rsidR="00080E60" w:rsidRPr="00C17EF8" w:rsidRDefault="00080E60" w:rsidP="00A95D4A">
            <w:pPr>
              <w:spacing w:line="480" w:lineRule="auto"/>
              <w:contextualSpacing/>
              <w:rPr>
                <w:rFonts w:ascii="Times New Roman" w:hAnsi="Times New Roman" w:cs="Times New Roman"/>
                <w:sz w:val="24"/>
                <w:szCs w:val="24"/>
              </w:rPr>
            </w:pPr>
            <w:r w:rsidRPr="00C17EF8">
              <w:rPr>
                <w:rFonts w:ascii="Times New Roman" w:hAnsi="Times New Roman" w:cs="Times New Roman"/>
                <w:sz w:val="24"/>
                <w:szCs w:val="24"/>
              </w:rPr>
              <w:t>(5)</w:t>
            </w:r>
          </w:p>
        </w:tc>
      </w:tr>
    </w:tbl>
    <w:p w:rsidR="00080E60" w:rsidRPr="00C17EF8" w:rsidRDefault="00080E60" w:rsidP="00080E60">
      <w:pPr>
        <w:spacing w:line="480" w:lineRule="auto"/>
        <w:contextualSpacing/>
      </w:pPr>
      <w:r w:rsidRPr="00C17EF8">
        <w:t>The impact of tax risk (R) on the expression is the first derivative as shown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61"/>
        <w:gridCol w:w="555"/>
      </w:tblGrid>
      <w:tr w:rsidR="00080E60" w:rsidRPr="00C17EF8" w:rsidTr="00A95D4A">
        <w:tc>
          <w:tcPr>
            <w:tcW w:w="9018" w:type="dxa"/>
          </w:tcPr>
          <w:p w:rsidR="00080E60" w:rsidRPr="00C17EF8" w:rsidRDefault="00080E60" w:rsidP="00A95D4A">
            <w:pPr>
              <w:spacing w:line="480" w:lineRule="auto"/>
              <w:contextualSpacing/>
              <w:rPr>
                <w:rFonts w:ascii="Times New Roman" w:hAnsi="Times New Roman" w:cs="Times New Roman"/>
                <w:sz w:val="24"/>
                <w:szCs w:val="24"/>
              </w:rPr>
            </w:pPr>
            <m:oMathPara>
              <m:oMath>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∂R</m:t>
                    </m:r>
                  </m:den>
                </m:f>
                <m:r>
                  <w:rPr>
                    <w:rFonts w:ascii="Times New Roman" w:hAnsi="Cambria Math" w:cs="Times New Roman"/>
                    <w:sz w:val="24"/>
                    <w:szCs w:val="24"/>
                  </w:rPr>
                  <m:t>*</m:t>
                </m:r>
                <m:r>
                  <w:rPr>
                    <w:rFonts w:ascii="Cambria Math" w:hAnsi="Cambria Math" w:cs="Times New Roman"/>
                    <w:sz w:val="24"/>
                    <w:szCs w:val="24"/>
                  </w:rPr>
                  <m:t>p</m:t>
                </m:r>
                <m:d>
                  <m:dPr>
                    <m:ctrlPr>
                      <w:rPr>
                        <w:rFonts w:ascii="Cambria Math" w:hAnsi="Times New Roman" w:cs="Times New Roman"/>
                        <w:i/>
                        <w:sz w:val="24"/>
                        <w:szCs w:val="24"/>
                      </w:rPr>
                    </m:ctrlPr>
                  </m:dPr>
                  <m:e>
                    <m:r>
                      <w:rPr>
                        <w:rFonts w:ascii="Cambria Math" w:hAnsi="Cambria Math" w:cs="Times New Roman"/>
                        <w:sz w:val="24"/>
                        <w:szCs w:val="24"/>
                      </w:rPr>
                      <m:t>R</m:t>
                    </m:r>
                  </m:e>
                </m:d>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∂R</m:t>
                    </m:r>
                  </m:den>
                </m:f>
                <m:r>
                  <w:rPr>
                    <w:rFonts w:ascii="Times New Roman"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Cambria Math" w:cs="Times New Roman"/>
                        <w:sz w:val="24"/>
                        <w:szCs w:val="24"/>
                      </w:rPr>
                      <m:t>I</m:t>
                    </m:r>
                    <m:r>
                      <w:rPr>
                        <w:rFonts w:ascii="Times New Roman" w:hAnsi="Times New Roman" w:cs="Times New Roman"/>
                        <w:sz w:val="24"/>
                        <w:szCs w:val="24"/>
                      </w:rPr>
                      <m:t>-</m:t>
                    </m:r>
                    <m:r>
                      <w:rPr>
                        <w:rFonts w:ascii="Cambria Math" w:hAnsi="Cambria Math" w:cs="Times New Roman"/>
                        <w:sz w:val="24"/>
                        <w:szCs w:val="24"/>
                      </w:rPr>
                      <m:t>f</m:t>
                    </m:r>
                    <m:d>
                      <m:dPr>
                        <m:ctrlPr>
                          <w:rPr>
                            <w:rFonts w:ascii="Cambria Math" w:hAnsi="Times New Roman" w:cs="Times New Roman"/>
                            <w:i/>
                            <w:sz w:val="24"/>
                            <w:szCs w:val="24"/>
                          </w:rPr>
                        </m:ctrlPr>
                      </m:dPr>
                      <m:e>
                        <m:r>
                          <w:rPr>
                            <w:rFonts w:ascii="Cambria Math" w:hAnsi="Cambria Math" w:cs="Times New Roman"/>
                            <w:sz w:val="24"/>
                            <w:szCs w:val="24"/>
                          </w:rPr>
                          <m:t>R</m:t>
                        </m:r>
                      </m:e>
                    </m:d>
                  </m:e>
                </m:d>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∂R</m:t>
                    </m:r>
                  </m:den>
                </m:f>
                <m:r>
                  <w:rPr>
                    <w:rFonts w:ascii="Times New Roman"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A</m:t>
                    </m:r>
                    <m:d>
                      <m:dPr>
                        <m:ctrlPr>
                          <w:rPr>
                            <w:rFonts w:ascii="Cambria Math" w:hAnsi="Times New Roman" w:cs="Times New Roman"/>
                            <w:i/>
                            <w:sz w:val="24"/>
                            <w:szCs w:val="24"/>
                          </w:rPr>
                        </m:ctrlPr>
                      </m:dPr>
                      <m:e>
                        <m:r>
                          <w:rPr>
                            <w:rFonts w:ascii="Cambria Math" w:hAnsi="Cambria Math" w:cs="Times New Roman"/>
                            <w:sz w:val="24"/>
                            <w:szCs w:val="24"/>
                          </w:rPr>
                          <m:t>R</m:t>
                        </m:r>
                      </m:e>
                    </m:d>
                  </m:e>
                </m:d>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∂R</m:t>
                    </m:r>
                  </m:den>
                </m:f>
                <m:r>
                  <w:rPr>
                    <w:rFonts w:ascii="Times New Roman"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p</m:t>
                    </m:r>
                    <m:d>
                      <m:dPr>
                        <m:ctrlPr>
                          <w:rPr>
                            <w:rFonts w:ascii="Cambria Math" w:hAnsi="Times New Roman" w:cs="Times New Roman"/>
                            <w:i/>
                            <w:sz w:val="24"/>
                            <w:szCs w:val="24"/>
                          </w:rPr>
                        </m:ctrlPr>
                      </m:dPr>
                      <m:e>
                        <m:r>
                          <w:rPr>
                            <w:rFonts w:ascii="Cambria Math" w:hAnsi="Cambria Math" w:cs="Times New Roman"/>
                            <w:sz w:val="24"/>
                            <w:szCs w:val="24"/>
                          </w:rPr>
                          <m:t>R</m:t>
                        </m:r>
                      </m:e>
                    </m:d>
                  </m:e>
                </m:d>
              </m:oMath>
            </m:oMathPara>
          </w:p>
        </w:tc>
        <w:tc>
          <w:tcPr>
            <w:tcW w:w="558" w:type="dxa"/>
          </w:tcPr>
          <w:p w:rsidR="00080E60" w:rsidRPr="00C17EF8" w:rsidRDefault="00080E60" w:rsidP="00A95D4A">
            <w:pPr>
              <w:spacing w:line="480" w:lineRule="auto"/>
              <w:contextualSpacing/>
              <w:rPr>
                <w:rFonts w:ascii="Times New Roman" w:hAnsi="Times New Roman" w:cs="Times New Roman"/>
                <w:sz w:val="24"/>
                <w:szCs w:val="24"/>
              </w:rPr>
            </w:pPr>
            <w:r w:rsidRPr="00C17EF8">
              <w:rPr>
                <w:rFonts w:ascii="Times New Roman" w:hAnsi="Times New Roman" w:cs="Times New Roman"/>
                <w:sz w:val="24"/>
                <w:szCs w:val="24"/>
              </w:rPr>
              <w:t>(6)</w:t>
            </w:r>
          </w:p>
        </w:tc>
      </w:tr>
    </w:tbl>
    <w:p w:rsidR="00080E60" w:rsidRPr="00C17EF8" w:rsidRDefault="00080E60" w:rsidP="00080E60">
      <w:pPr>
        <w:spacing w:line="480" w:lineRule="auto"/>
        <w:contextualSpacing/>
      </w:pPr>
      <w:r w:rsidRPr="00C17EF8">
        <w:t>Equation (6) simplifies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61"/>
        <w:gridCol w:w="555"/>
      </w:tblGrid>
      <w:tr w:rsidR="00080E60" w:rsidRPr="00C17EF8" w:rsidTr="00A95D4A">
        <w:tc>
          <w:tcPr>
            <w:tcW w:w="9018" w:type="dxa"/>
          </w:tcPr>
          <w:p w:rsidR="00080E60" w:rsidRPr="00C17EF8" w:rsidRDefault="00080E60" w:rsidP="00A95D4A">
            <w:pPr>
              <w:spacing w:line="480" w:lineRule="auto"/>
              <w:contextualSpacing/>
              <w:rPr>
                <w:rFonts w:ascii="Times New Roman" w:hAnsi="Times New Roman" w:cs="Times New Roman"/>
                <w:sz w:val="24"/>
                <w:szCs w:val="24"/>
              </w:rPr>
            </w:pPr>
            <m:oMathPara>
              <m:oMath>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∂R</m:t>
                    </m:r>
                  </m:den>
                </m:f>
                <m:r>
                  <w:rPr>
                    <w:rFonts w:ascii="Times New Roman"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Cambria Math" w:cs="Times New Roman"/>
                        <w:sz w:val="24"/>
                        <w:szCs w:val="24"/>
                      </w:rPr>
                      <m:t>f</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r>
                      <w:rPr>
                        <w:rFonts w:ascii="Cambria Math" w:hAnsi="Cambria Math" w:cs="Times New Roman"/>
                        <w:sz w:val="24"/>
                        <w:szCs w:val="24"/>
                      </w:rPr>
                      <m:t>A</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e>
                </m:d>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∂R</m:t>
                    </m:r>
                  </m:den>
                </m:f>
                <m:r>
                  <w:rPr>
                    <w:rFonts w:ascii="Times New Roman"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p</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e>
                </m:d>
                <m:r>
                  <w:rPr>
                    <w:rFonts w:ascii="Cambria Math" w:hAnsi="Times New Roman" w:cs="Times New Roman"/>
                    <w:sz w:val="24"/>
                    <w:szCs w:val="24"/>
                  </w:rPr>
                  <m:t>+</m:t>
                </m:r>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∂R</m:t>
                    </m:r>
                  </m:den>
                </m:f>
                <m:r>
                  <w:rPr>
                    <w:rFonts w:ascii="Times New Roman" w:hAnsi="Cambria Math" w:cs="Times New Roman"/>
                    <w:sz w:val="24"/>
                    <w:szCs w:val="24"/>
                  </w:rPr>
                  <m:t>*</m:t>
                </m:r>
                <m:r>
                  <w:rPr>
                    <w:rFonts w:ascii="Cambria Math" w:hAnsi="Cambria Math" w:cs="Times New Roman"/>
                    <w:sz w:val="24"/>
                    <w:szCs w:val="24"/>
                  </w:rPr>
                  <m:t>p</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oMath>
            </m:oMathPara>
          </w:p>
        </w:tc>
        <w:tc>
          <w:tcPr>
            <w:tcW w:w="558" w:type="dxa"/>
          </w:tcPr>
          <w:p w:rsidR="00080E60" w:rsidRPr="00C17EF8" w:rsidRDefault="00080E60" w:rsidP="00A95D4A">
            <w:pPr>
              <w:spacing w:line="480" w:lineRule="auto"/>
              <w:contextualSpacing/>
              <w:rPr>
                <w:rFonts w:ascii="Times New Roman" w:hAnsi="Times New Roman" w:cs="Times New Roman"/>
                <w:sz w:val="24"/>
                <w:szCs w:val="24"/>
              </w:rPr>
            </w:pPr>
            <w:r w:rsidRPr="00C17EF8">
              <w:rPr>
                <w:rFonts w:ascii="Times New Roman" w:hAnsi="Times New Roman" w:cs="Times New Roman"/>
                <w:sz w:val="24"/>
                <w:szCs w:val="24"/>
              </w:rPr>
              <w:t>(7)</w:t>
            </w:r>
          </w:p>
        </w:tc>
      </w:tr>
    </w:tbl>
    <w:p w:rsidR="00080E60" w:rsidRPr="00C17EF8" w:rsidRDefault="00080E60" w:rsidP="00080E60">
      <w:pPr>
        <w:spacing w:line="480" w:lineRule="auto"/>
        <w:contextualSpacing/>
      </w:pPr>
      <w:r w:rsidRPr="00C17EF8">
        <w:t xml:space="preserve">Each of the partial derivative terms above are positive since penalties (f), additional cash tax savings (A), and the likelihood of disallowance (p) are increasing in tax risk. The result is that the first term of the expression is negative, the second is positive, and the last is negative. Therefore, it is not clear whether firm value is increasing or decreasing in tax risk. The direction depends on the relative magnitude of the three terms in the model. More importantly, the result demonstrates that the direction of the effect of tax risk on firm value depends on the level of tax risk (R), which indicates the relation is non-linear. </w:t>
      </w:r>
    </w:p>
    <w:p w:rsidR="00080E60" w:rsidRPr="00C17EF8" w:rsidRDefault="00080E60" w:rsidP="00080E60">
      <w:pPr>
        <w:spacing w:line="480" w:lineRule="auto"/>
        <w:ind w:firstLine="720"/>
        <w:contextualSpacing/>
      </w:pPr>
      <w:r w:rsidRPr="00C17EF8">
        <w:lastRenderedPageBreak/>
        <w:t xml:space="preserve">The second-order condition for a maximum, which would indicate that the non-linearity is specifically concave, requires the second derivative of the expression, shown below, to be negative.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61"/>
        <w:gridCol w:w="555"/>
      </w:tblGrid>
      <w:tr w:rsidR="00080E60" w:rsidRPr="00C17EF8" w:rsidTr="00A95D4A">
        <w:tc>
          <w:tcPr>
            <w:tcW w:w="9018" w:type="dxa"/>
          </w:tcPr>
          <w:p w:rsidR="00080E60" w:rsidRPr="00C17EF8" w:rsidRDefault="00080E60" w:rsidP="00A95D4A">
            <w:pPr>
              <w:spacing w:line="480" w:lineRule="auto"/>
              <w:contextualSpacing/>
              <w:rPr>
                <w:rFonts w:ascii="Times New Roman" w:hAnsi="Times New Roman" w:cs="Times New Roman"/>
                <w:sz w:val="24"/>
                <w:szCs w:val="24"/>
              </w:rPr>
            </w:pPr>
            <m:oMathPara>
              <m:oMath>
                <m:r>
                  <w:rPr>
                    <w:rFonts w:ascii="Times New Roman" w:hAnsi="Times New Roman" w:cs="Times New Roman"/>
                    <w:sz w:val="24"/>
                    <w:szCs w:val="24"/>
                  </w:rPr>
                  <m:t>-</m:t>
                </m:r>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r>
                      <w:rPr>
                        <w:rFonts w:ascii="Cambria Math" w:hAnsi="Cambria Math" w:cs="Times New Roman"/>
                        <w:sz w:val="24"/>
                        <w:szCs w:val="24"/>
                      </w:rPr>
                      <m:t>p</m:t>
                    </m:r>
                  </m:num>
                  <m:den>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den>
                </m:f>
                <m:r>
                  <w:rPr>
                    <w:rFonts w:ascii="Times New Roman"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Cambria Math" w:cs="Times New Roman"/>
                        <w:sz w:val="24"/>
                        <w:szCs w:val="24"/>
                      </w:rPr>
                      <m:t>f</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r>
                      <w:rPr>
                        <w:rFonts w:ascii="Cambria Math" w:hAnsi="Cambria Math" w:cs="Times New Roman"/>
                        <w:sz w:val="24"/>
                        <w:szCs w:val="24"/>
                      </w:rPr>
                      <m:t>A</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e>
                </m:d>
                <m:r>
                  <w:rPr>
                    <w:rFonts w:ascii="Times New Roman" w:hAnsi="Times New Roman" w:cs="Times New Roman"/>
                    <w:sz w:val="24"/>
                    <w:szCs w:val="24"/>
                  </w:rPr>
                  <m:t>-</m:t>
                </m:r>
                <m:r>
                  <w:rPr>
                    <w:rFonts w:ascii="Cambria Math" w:hAnsi="Times New Roman" w:cs="Times New Roman"/>
                    <w:sz w:val="24"/>
                    <w:szCs w:val="24"/>
                  </w:rPr>
                  <m:t>2</m:t>
                </m:r>
                <m:f>
                  <m:fPr>
                    <m:ctrlPr>
                      <w:rPr>
                        <w:rFonts w:ascii="Cambria Math" w:hAnsi="Times New Roman"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∂R</m:t>
                    </m:r>
                  </m:den>
                </m:f>
                <m:r>
                  <w:rPr>
                    <w:rFonts w:ascii="Times New Roman" w:hAnsi="Times New Roman" w:cs="Times New Roman"/>
                    <w:sz w:val="24"/>
                    <w:szCs w:val="24"/>
                  </w:rPr>
                  <m:t>*</m:t>
                </m:r>
                <m:d>
                  <m:dPr>
                    <m:begChr m:val="["/>
                    <m:endChr m:val="]"/>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∂R</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∂R</m:t>
                        </m:r>
                      </m:den>
                    </m:f>
                  </m:e>
                </m:d>
                <m:r>
                  <w:rPr>
                    <w:rFonts w:ascii="Cambria Math" w:hAnsi="Times New Roman" w:cs="Times New Roman"/>
                    <w:sz w:val="24"/>
                    <w:szCs w:val="24"/>
                  </w:rPr>
                  <m:t>+</m:t>
                </m:r>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r>
                      <w:rPr>
                        <w:rFonts w:ascii="Cambria Math" w:hAnsi="Cambria Math" w:cs="Times New Roman"/>
                        <w:sz w:val="24"/>
                        <w:szCs w:val="24"/>
                      </w:rPr>
                      <m:t>A</m:t>
                    </m:r>
                  </m:num>
                  <m:den>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den>
                </m:f>
                <m:r>
                  <w:rPr>
                    <w:rFonts w:ascii="Times New Roman"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p</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e>
                </m:d>
                <m:r>
                  <w:rPr>
                    <w:rFonts w:ascii="Cambria Math" w:hAnsi="Times New Roman" w:cs="Times New Roman"/>
                    <w:sz w:val="24"/>
                    <w:szCs w:val="24"/>
                  </w:rPr>
                  <m:t>+</m:t>
                </m:r>
                <m:r>
                  <w:rPr>
                    <w:rFonts w:ascii="Times New Roman" w:hAnsi="Times New Roman" w:cs="Times New Roman"/>
                    <w:sz w:val="24"/>
                    <w:szCs w:val="24"/>
                  </w:rPr>
                  <m:t>-</m:t>
                </m:r>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r>
                      <w:rPr>
                        <w:rFonts w:ascii="Cambria Math" w:hAnsi="Cambria Math" w:cs="Times New Roman"/>
                        <w:sz w:val="24"/>
                        <w:szCs w:val="24"/>
                      </w:rPr>
                      <m:t>f</m:t>
                    </m:r>
                  </m:num>
                  <m:den>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den>
                </m:f>
                <m:r>
                  <w:rPr>
                    <w:rFonts w:ascii="Times New Roman" w:hAnsi="Cambria Math" w:cs="Times New Roman"/>
                    <w:sz w:val="24"/>
                    <w:szCs w:val="24"/>
                  </w:rPr>
                  <m:t>*</m:t>
                </m:r>
                <m:r>
                  <w:rPr>
                    <w:rFonts w:ascii="Cambria Math" w:hAnsi="Cambria Math" w:cs="Times New Roman"/>
                    <w:sz w:val="24"/>
                    <w:szCs w:val="24"/>
                  </w:rPr>
                  <m:t>p</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oMath>
            </m:oMathPara>
          </w:p>
        </w:tc>
        <w:tc>
          <w:tcPr>
            <w:tcW w:w="558" w:type="dxa"/>
          </w:tcPr>
          <w:p w:rsidR="00080E60" w:rsidRPr="00C17EF8" w:rsidRDefault="00080E60" w:rsidP="00A95D4A">
            <w:pPr>
              <w:spacing w:line="480" w:lineRule="auto"/>
              <w:contextualSpacing/>
              <w:rPr>
                <w:rFonts w:ascii="Times New Roman" w:hAnsi="Times New Roman" w:cs="Times New Roman"/>
                <w:sz w:val="24"/>
                <w:szCs w:val="24"/>
              </w:rPr>
            </w:pPr>
            <w:r w:rsidRPr="00C17EF8">
              <w:rPr>
                <w:rFonts w:ascii="Times New Roman" w:hAnsi="Times New Roman" w:cs="Times New Roman"/>
                <w:sz w:val="24"/>
                <w:szCs w:val="24"/>
              </w:rPr>
              <w:t>(8)</w:t>
            </w:r>
          </w:p>
        </w:tc>
      </w:tr>
    </w:tbl>
    <w:p w:rsidR="00080E60" w:rsidRPr="00C17EF8" w:rsidRDefault="00080E60" w:rsidP="00080E60">
      <w:pPr>
        <w:spacing w:line="480" w:lineRule="auto"/>
        <w:contextualSpacing/>
      </w:pPr>
      <w:r w:rsidRPr="00C17EF8">
        <w:t>For this expression to be negative, the following condition must be met: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61"/>
        <w:gridCol w:w="555"/>
      </w:tblGrid>
      <w:tr w:rsidR="00080E60" w:rsidRPr="00C17EF8" w:rsidTr="00A95D4A">
        <w:tc>
          <w:tcPr>
            <w:tcW w:w="9018" w:type="dxa"/>
          </w:tcPr>
          <w:p w:rsidR="00080E60" w:rsidRPr="00C17EF8" w:rsidRDefault="00F45E01" w:rsidP="00A95D4A">
            <w:pPr>
              <w:spacing w:line="480" w:lineRule="auto"/>
              <w:contextualSpacing/>
              <w:rPr>
                <w:rFonts w:ascii="Times New Roman" w:hAnsi="Times New Roman" w:cs="Times New Roman"/>
                <w:sz w:val="24"/>
                <w:szCs w:val="24"/>
              </w:rPr>
            </w:pPr>
            <m:oMathPara>
              <m:oMath>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r>
                      <w:rPr>
                        <w:rFonts w:ascii="Cambria Math" w:hAnsi="Cambria Math" w:cs="Times New Roman"/>
                        <w:sz w:val="24"/>
                        <w:szCs w:val="24"/>
                      </w:rPr>
                      <m:t>A</m:t>
                    </m:r>
                  </m:num>
                  <m:den>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den>
                </m:f>
                <m:r>
                  <w:rPr>
                    <w:rFonts w:ascii="Times New Roman"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p</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e>
                </m:d>
                <m:r>
                  <w:rPr>
                    <w:rFonts w:ascii="Cambria Math" w:hAnsi="Times New Roman" w:cs="Times New Roman"/>
                    <w:sz w:val="24"/>
                    <w:szCs w:val="24"/>
                  </w:rPr>
                  <m:t>&lt;</m:t>
                </m:r>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r>
                      <w:rPr>
                        <w:rFonts w:ascii="Cambria Math" w:hAnsi="Cambria Math" w:cs="Times New Roman"/>
                        <w:sz w:val="24"/>
                        <w:szCs w:val="24"/>
                      </w:rPr>
                      <m:t>p</m:t>
                    </m:r>
                  </m:num>
                  <m:den>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den>
                </m:f>
                <m:r>
                  <w:rPr>
                    <w:rFonts w:ascii="Times New Roman"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Cambria Math" w:cs="Times New Roman"/>
                        <w:sz w:val="24"/>
                        <w:szCs w:val="24"/>
                      </w:rPr>
                      <m:t>f</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r>
                      <w:rPr>
                        <w:rFonts w:ascii="Cambria Math" w:hAnsi="Cambria Math" w:cs="Times New Roman"/>
                        <w:sz w:val="24"/>
                        <w:szCs w:val="24"/>
                      </w:rPr>
                      <m:t>A</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e>
                </m:d>
                <m:r>
                  <w:rPr>
                    <w:rFonts w:ascii="Cambria Math" w:hAnsi="Times New Roman" w:cs="Times New Roman"/>
                    <w:sz w:val="24"/>
                    <w:szCs w:val="24"/>
                  </w:rPr>
                  <m:t>+2</m:t>
                </m:r>
                <m:f>
                  <m:fPr>
                    <m:ctrlPr>
                      <w:rPr>
                        <w:rFonts w:ascii="Cambria Math" w:hAnsi="Times New Roman"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∂R</m:t>
                    </m:r>
                  </m:den>
                </m:f>
                <m:r>
                  <w:rPr>
                    <w:rFonts w:ascii="Times New Roman" w:hAnsi="Cambria Math" w:cs="Times New Roman"/>
                    <w:sz w:val="24"/>
                    <w:szCs w:val="24"/>
                  </w:rPr>
                  <m:t>*</m:t>
                </m:r>
                <m:d>
                  <m:dPr>
                    <m:begChr m:val="["/>
                    <m:endChr m:val="]"/>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∂R</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∂R</m:t>
                        </m:r>
                      </m:den>
                    </m:f>
                  </m:e>
                </m:d>
                <m:r>
                  <w:rPr>
                    <w:rFonts w:ascii="Cambria Math" w:hAnsi="Times New Roman" w:cs="Times New Roman"/>
                    <w:sz w:val="24"/>
                    <w:szCs w:val="24"/>
                  </w:rPr>
                  <m:t>+</m:t>
                </m:r>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r>
                      <w:rPr>
                        <w:rFonts w:ascii="Cambria Math" w:hAnsi="Cambria Math" w:cs="Times New Roman"/>
                        <w:sz w:val="24"/>
                        <w:szCs w:val="24"/>
                      </w:rPr>
                      <m:t>f</m:t>
                    </m:r>
                  </m:num>
                  <m:den>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den>
                </m:f>
                <m:r>
                  <w:rPr>
                    <w:rFonts w:ascii="Times New Roman" w:hAnsi="Cambria Math" w:cs="Times New Roman"/>
                    <w:sz w:val="24"/>
                    <w:szCs w:val="24"/>
                  </w:rPr>
                  <m:t>*</m:t>
                </m:r>
                <m:r>
                  <w:rPr>
                    <w:rFonts w:ascii="Cambria Math" w:hAnsi="Cambria Math" w:cs="Times New Roman"/>
                    <w:sz w:val="24"/>
                    <w:szCs w:val="24"/>
                  </w:rPr>
                  <m:t>p</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oMath>
            </m:oMathPara>
          </w:p>
        </w:tc>
        <w:tc>
          <w:tcPr>
            <w:tcW w:w="558" w:type="dxa"/>
          </w:tcPr>
          <w:p w:rsidR="00080E60" w:rsidRPr="00C17EF8" w:rsidRDefault="00080E60" w:rsidP="00A95D4A">
            <w:pPr>
              <w:spacing w:line="480" w:lineRule="auto"/>
              <w:contextualSpacing/>
              <w:rPr>
                <w:rFonts w:ascii="Times New Roman" w:hAnsi="Times New Roman" w:cs="Times New Roman"/>
                <w:sz w:val="24"/>
                <w:szCs w:val="24"/>
              </w:rPr>
            </w:pPr>
            <w:r w:rsidRPr="00C17EF8">
              <w:rPr>
                <w:rFonts w:ascii="Times New Roman" w:hAnsi="Times New Roman" w:cs="Times New Roman"/>
                <w:sz w:val="24"/>
                <w:szCs w:val="24"/>
              </w:rPr>
              <w:t>(9)</w:t>
            </w:r>
          </w:p>
        </w:tc>
      </w:tr>
    </w:tbl>
    <w:p w:rsidR="00080E60" w:rsidRPr="00C17EF8" w:rsidRDefault="00080E60" w:rsidP="00080E60">
      <w:pPr>
        <w:spacing w:line="480" w:lineRule="auto"/>
        <w:contextualSpacing/>
      </w:pPr>
      <w:r w:rsidRPr="00C17EF8">
        <w:t>Without knowing the specific form of the association between tax risk and the other parameters (A), (p), or (f), predictions about the second derivatives cannot be made. Whether the relation between tax risk and firm value is concave remains an empirical question. Based on the preceding discussion, there should be some optimal level of tax risk from equity investors’ viewpoint where the marginal benefits of tax risk equal its marginal costs. This leads to my first hypothesis:</w:t>
      </w:r>
    </w:p>
    <w:p w:rsidR="00080E60" w:rsidRPr="00C17EF8" w:rsidRDefault="00080E60" w:rsidP="00080E60">
      <w:pPr>
        <w:spacing w:line="480" w:lineRule="auto"/>
        <w:contextualSpacing/>
        <w:jc w:val="center"/>
        <w:rPr>
          <w:i/>
        </w:rPr>
      </w:pPr>
      <w:r w:rsidRPr="00C17EF8">
        <w:rPr>
          <w:i/>
        </w:rPr>
        <w:t>H1: There is a concave association between tax risk and firm value.</w:t>
      </w:r>
    </w:p>
    <w:p w:rsidR="00080E60" w:rsidRPr="00C17EF8" w:rsidRDefault="00080E60" w:rsidP="00080E60">
      <w:pPr>
        <w:spacing w:line="480" w:lineRule="auto"/>
        <w:ind w:firstLine="720"/>
        <w:contextualSpacing/>
      </w:pPr>
      <w:r w:rsidRPr="00C17EF8">
        <w:t>I may not find evidence of a concave association if there is no statistically significant relation at all between firm value and tax risk or if investors are unable to accurately glean any information from the FIN 48 disclosures. Also, it is possible that within the relevant range of my sample, the association between firm value and tax risk is purely linear. In other words, no firm in my sample has reached the level where investors believe the costs of tax risk outweigh its benefits.</w:t>
      </w:r>
    </w:p>
    <w:p w:rsidR="00080E60" w:rsidRPr="00C17EF8" w:rsidRDefault="00080E60" w:rsidP="00080E60">
      <w:pPr>
        <w:spacing w:line="480" w:lineRule="auto"/>
        <w:contextualSpacing/>
      </w:pPr>
      <w:r w:rsidRPr="00C17EF8">
        <w:tab/>
        <w:t xml:space="preserve">It is also possible that tax risk affects the denominator of equation (2), the cost of equity capital through its impact on information uncertainty and information asymmetry. </w:t>
      </w:r>
      <w:r w:rsidRPr="00C17EF8">
        <w:lastRenderedPageBreak/>
        <w:t>There are three potential sources of information uncertainty and information asymmetry. First, risky tax avoidance creates information uncertainty since it is, by definition, less certain in terms of ultimate sustainability.</w:t>
      </w:r>
      <w:r w:rsidRPr="00C17EF8">
        <w:rPr>
          <w:rStyle w:val="FootnoteReference"/>
        </w:rPr>
        <w:footnoteReference w:id="15"/>
      </w:r>
      <w:r w:rsidRPr="00C17EF8">
        <w:t xml:space="preserve"> Second, </w:t>
      </w:r>
      <w:proofErr w:type="spellStart"/>
      <w:r w:rsidRPr="00C17EF8">
        <w:t>Balakrishnan</w:t>
      </w:r>
      <w:proofErr w:type="spellEnd"/>
      <w:r w:rsidRPr="00C17EF8">
        <w:t xml:space="preserve"> et al. (2011) explain that tax planning increases complexity in the organization which leads to increased information uncertainty and information asymmetry between investors if the complexity is not adequately communicated to stakeholders. Consistent with this argument, they find a positive association between tax aggressiveness and proxies for information uncertainty and information asymmetry. Last, according to an agency view of tax avoidance, information uncertainty and information asymmetry might also arise from investor perceptions about increased agency costs associated with tax risk.</w:t>
      </w:r>
      <w:r w:rsidRPr="00C17EF8">
        <w:rPr>
          <w:rStyle w:val="FootnoteReference"/>
        </w:rPr>
        <w:footnoteReference w:id="16"/>
      </w:r>
      <w:r w:rsidRPr="00C17EF8">
        <w:t xml:space="preserve"> Since information uncertainty and information asymmetry are associated with a higher cost of equity capital (Lang and </w:t>
      </w:r>
      <w:proofErr w:type="spellStart"/>
      <w:r w:rsidRPr="00C17EF8">
        <w:t>Maffett</w:t>
      </w:r>
      <w:proofErr w:type="spellEnd"/>
      <w:r w:rsidRPr="00C17EF8">
        <w:t xml:space="preserve"> 2011; </w:t>
      </w:r>
      <w:proofErr w:type="spellStart"/>
      <w:r w:rsidRPr="00C17EF8">
        <w:t>Leuz</w:t>
      </w:r>
      <w:proofErr w:type="spellEnd"/>
      <w:r w:rsidRPr="00C17EF8">
        <w:t xml:space="preserve"> and </w:t>
      </w:r>
      <w:proofErr w:type="spellStart"/>
      <w:r w:rsidRPr="00C17EF8">
        <w:t>Wysocki</w:t>
      </w:r>
      <w:proofErr w:type="spellEnd"/>
      <w:r w:rsidRPr="00C17EF8">
        <w:t xml:space="preserve"> 2008; Healy and </w:t>
      </w:r>
      <w:proofErr w:type="spellStart"/>
      <w:r w:rsidRPr="00C17EF8">
        <w:t>Palepu</w:t>
      </w:r>
      <w:proofErr w:type="spellEnd"/>
      <w:r w:rsidRPr="00C17EF8">
        <w:t xml:space="preserve"> 2001), it follows that tax risk should be associated with a higher cost of capital through its impact on these two constructs. Investors of tax risky firms will require a higher rate of return to compensate for the information uncertainty and information asymmetry generated from uncertain tax positions, increased organizational complexity, and increased agency costs.</w:t>
      </w:r>
    </w:p>
    <w:p w:rsidR="00080E60" w:rsidRPr="00C17EF8" w:rsidRDefault="00080E60" w:rsidP="00080E60">
      <w:pPr>
        <w:spacing w:line="480" w:lineRule="auto"/>
        <w:contextualSpacing/>
        <w:jc w:val="center"/>
        <w:rPr>
          <w:i/>
        </w:rPr>
      </w:pPr>
      <w:r w:rsidRPr="00C17EF8">
        <w:rPr>
          <w:i/>
        </w:rPr>
        <w:t xml:space="preserve">H2: There is a positive association between tax risk and </w:t>
      </w:r>
      <w:r w:rsidR="009B0DA3">
        <w:rPr>
          <w:i/>
        </w:rPr>
        <w:t xml:space="preserve">the </w:t>
      </w:r>
      <w:r w:rsidRPr="00C17EF8">
        <w:rPr>
          <w:i/>
        </w:rPr>
        <w:t>implied cost of equity capital.</w:t>
      </w:r>
    </w:p>
    <w:p w:rsidR="00080E60" w:rsidRPr="00C17EF8" w:rsidRDefault="00080E60" w:rsidP="00080E60">
      <w:pPr>
        <w:spacing w:line="480" w:lineRule="auto"/>
        <w:ind w:firstLine="720"/>
        <w:contextualSpacing/>
      </w:pPr>
      <w:r w:rsidRPr="00C17EF8">
        <w:t xml:space="preserve">If tax risk is not associated with firm value (H1), then I do not expect an association between tax risk and the cost of capital. Results consistent with H1 but not H2 imply that tax </w:t>
      </w:r>
      <w:r w:rsidRPr="00C17EF8">
        <w:lastRenderedPageBreak/>
        <w:t>risk affects firm value through its impact on investor estimations of future cash flows but not through the discount rate. It is possible that uncertainty about tax outcomes, increased organizational complexity, and increased managerial opportunism associated with tax risk impact the numerator of equation (2) rather than the denominator, indicating that investors actually change their estimation of future cash flows rather than applying a higher discount rate. However, this would seem to contradict prior literature which finds a positive association between information uncertainty and the cost of equity capital.</w:t>
      </w:r>
    </w:p>
    <w:p w:rsidR="00080E60" w:rsidRPr="00C17EF8" w:rsidRDefault="00080E60" w:rsidP="00080E60">
      <w:pPr>
        <w:spacing w:line="480" w:lineRule="auto"/>
        <w:ind w:firstLine="720"/>
        <w:contextualSpacing/>
      </w:pPr>
      <w:r w:rsidRPr="00C17EF8">
        <w:t>If investors discount firm value due to information uncertainty and information asymmetry induced by tax risk, governance should attenuate this association to the extent better governed firms are more equipped to manage risks and restrain managers from engaging in excess</w:t>
      </w:r>
      <w:r w:rsidR="0003149A">
        <w:t xml:space="preserve">ive tax risk. Investors of well </w:t>
      </w:r>
      <w:r w:rsidRPr="00C17EF8">
        <w:t>governed firms should also have less concern about increased managerial diversion because governance acts as a monitor to restrain managers. Investors should be willing to bear more risk since the associated costs of tax risk are lower in the presence of good governance. Therefore, the optimal level, where the marginal benefits equal the marginal costs, should be higher for better governed firms since information uncertainty and asymmetry costs are lower. This leads to my third and fourth hypotheses:</w:t>
      </w:r>
    </w:p>
    <w:p w:rsidR="00080E60" w:rsidRPr="00C17EF8" w:rsidRDefault="00080E60" w:rsidP="00080E60">
      <w:pPr>
        <w:ind w:firstLine="720"/>
        <w:contextualSpacing/>
        <w:jc w:val="center"/>
        <w:rPr>
          <w:i/>
        </w:rPr>
      </w:pPr>
      <w:r w:rsidRPr="00C17EF8">
        <w:rPr>
          <w:i/>
        </w:rPr>
        <w:t>H3a: The implied average optimal level</w:t>
      </w:r>
      <w:r w:rsidR="0003149A">
        <w:rPr>
          <w:i/>
        </w:rPr>
        <w:t xml:space="preserve"> of tax risk is higher for well governed firms than for poorly </w:t>
      </w:r>
      <w:r w:rsidRPr="00C17EF8">
        <w:rPr>
          <w:i/>
        </w:rPr>
        <w:t>governed firms.</w:t>
      </w:r>
    </w:p>
    <w:p w:rsidR="00080E60" w:rsidRPr="00C17EF8" w:rsidRDefault="00080E60" w:rsidP="00080E60">
      <w:pPr>
        <w:ind w:firstLine="720"/>
        <w:contextualSpacing/>
        <w:jc w:val="center"/>
        <w:rPr>
          <w:i/>
        </w:rPr>
      </w:pPr>
    </w:p>
    <w:p w:rsidR="00080E60" w:rsidRPr="00C17EF8" w:rsidRDefault="00080E60" w:rsidP="00080E60">
      <w:pPr>
        <w:ind w:firstLine="720"/>
        <w:contextualSpacing/>
        <w:jc w:val="center"/>
        <w:rPr>
          <w:i/>
        </w:rPr>
      </w:pPr>
      <w:r w:rsidRPr="00C17EF8">
        <w:rPr>
          <w:i/>
        </w:rPr>
        <w:t xml:space="preserve">H3b: The positive association between tax risk and </w:t>
      </w:r>
      <w:r w:rsidR="009B0DA3">
        <w:rPr>
          <w:i/>
        </w:rPr>
        <w:t xml:space="preserve">the </w:t>
      </w:r>
      <w:r w:rsidRPr="00C17EF8">
        <w:rPr>
          <w:i/>
        </w:rPr>
        <w:t>implied cost of e</w:t>
      </w:r>
      <w:r w:rsidR="0003149A">
        <w:rPr>
          <w:i/>
        </w:rPr>
        <w:t xml:space="preserve">quity capital is lower for well governed firms than for poorly </w:t>
      </w:r>
      <w:r w:rsidRPr="00C17EF8">
        <w:rPr>
          <w:i/>
        </w:rPr>
        <w:t>governed firms.</w:t>
      </w:r>
    </w:p>
    <w:p w:rsidR="003D256D" w:rsidRPr="00C17EF8" w:rsidRDefault="003D256D">
      <w:pPr>
        <w:rPr>
          <w:i/>
        </w:rPr>
      </w:pPr>
      <w:r w:rsidRPr="00C17EF8">
        <w:rPr>
          <w:i/>
        </w:rPr>
        <w:br w:type="page"/>
      </w:r>
    </w:p>
    <w:p w:rsidR="00080E60" w:rsidRPr="00C17EF8" w:rsidRDefault="00080E60" w:rsidP="00681D52">
      <w:pPr>
        <w:pStyle w:val="Heading1"/>
        <w:numPr>
          <w:ilvl w:val="0"/>
          <w:numId w:val="0"/>
        </w:numPr>
        <w:ind w:left="360"/>
      </w:pPr>
      <w:bookmarkStart w:id="10" w:name="_Toc320370978"/>
      <w:bookmarkStart w:id="11" w:name="_Toc321493722"/>
      <w:r w:rsidRPr="00C17EF8">
        <w:lastRenderedPageBreak/>
        <w:t xml:space="preserve">3. </w:t>
      </w:r>
      <w:r w:rsidR="00FD5702">
        <w:t>Research Design</w:t>
      </w:r>
      <w:bookmarkEnd w:id="10"/>
      <w:bookmarkEnd w:id="11"/>
    </w:p>
    <w:p w:rsidR="00080E60" w:rsidRPr="00C17EF8" w:rsidRDefault="00080E60" w:rsidP="00681D52">
      <w:pPr>
        <w:pStyle w:val="Heading2"/>
        <w:rPr>
          <w:rFonts w:cs="Times New Roman"/>
        </w:rPr>
      </w:pPr>
      <w:bookmarkStart w:id="12" w:name="_Toc320370979"/>
      <w:bookmarkStart w:id="13" w:name="_Toc321493723"/>
      <w:r w:rsidRPr="00C17EF8">
        <w:rPr>
          <w:rFonts w:cs="Times New Roman"/>
        </w:rPr>
        <w:t>Tax Risk and Firm Value</w:t>
      </w:r>
      <w:bookmarkEnd w:id="12"/>
      <w:bookmarkEnd w:id="13"/>
      <w:r w:rsidRPr="00C17EF8">
        <w:rPr>
          <w:rFonts w:cs="Times New Roman"/>
        </w:rPr>
        <w:t xml:space="preserve"> </w:t>
      </w:r>
    </w:p>
    <w:p w:rsidR="00080E60" w:rsidRPr="00C17EF8" w:rsidRDefault="00080E60" w:rsidP="00080E60">
      <w:pPr>
        <w:spacing w:line="480" w:lineRule="auto"/>
        <w:ind w:firstLine="720"/>
        <w:contextualSpacing/>
      </w:pPr>
      <w:r w:rsidRPr="00C17EF8">
        <w:t>To examine the association between tax risk and firm value (H1), I estimate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tblPr>
      <w:tblGrid>
        <w:gridCol w:w="8600"/>
        <w:gridCol w:w="630"/>
      </w:tblGrid>
      <w:tr w:rsidR="00080E60" w:rsidRPr="00C17EF8" w:rsidTr="00A95D4A">
        <w:tc>
          <w:tcPr>
            <w:tcW w:w="8960" w:type="dxa"/>
          </w:tcPr>
          <w:p w:rsidR="00080E60" w:rsidRPr="00C50F3A" w:rsidRDefault="00F45E01" w:rsidP="00A95D4A">
            <w:pPr>
              <w:spacing w:line="480" w:lineRule="auto"/>
              <w:contextualSpacing/>
              <w:rPr>
                <w:rFonts w:ascii="Times New Roman" w:hAnsi="Times New Roman" w:cs="Times New Roman"/>
              </w:rPr>
            </w:pPr>
            <m:oMathPara>
              <m:oMath>
                <m:sSub>
                  <m:sSubPr>
                    <m:ctrlPr>
                      <w:rPr>
                        <w:rFonts w:ascii="Cambria Math" w:hAnsi="Times New Roman" w:cs="Times New Roman"/>
                        <w:i/>
                      </w:rPr>
                    </m:ctrlPr>
                  </m:sSubPr>
                  <m:e>
                    <m:r>
                      <w:rPr>
                        <w:rFonts w:ascii="Cambria Math" w:hAnsi="Cambria Math" w:cs="Times New Roman"/>
                      </w:rPr>
                      <m:t>LOG</m:t>
                    </m:r>
                    <m:r>
                      <w:rPr>
                        <w:rFonts w:ascii="Cambria Math" w:hAnsi="Times New Roman" w:cs="Times New Roman"/>
                      </w:rPr>
                      <m:t>_</m:t>
                    </m:r>
                    <m:r>
                      <w:rPr>
                        <w:rFonts w:ascii="Cambria Math" w:hAnsi="Cambria Math" w:cs="Times New Roman"/>
                      </w:rPr>
                      <m:t>MKT</m:t>
                    </m:r>
                    <m:r>
                      <w:rPr>
                        <w:rFonts w:ascii="Cambria Math" w:hAnsi="Times New Roman" w:cs="Times New Roman"/>
                      </w:rPr>
                      <m:t>_</m:t>
                    </m:r>
                    <m:r>
                      <w:rPr>
                        <w:rFonts w:ascii="Cambria Math" w:hAnsi="Cambria Math" w:cs="Times New Roman"/>
                      </w:rPr>
                      <m:t>VALUE</m:t>
                    </m:r>
                  </m:e>
                  <m:sub>
                    <m:r>
                      <w:rPr>
                        <w:rFonts w:ascii="Cambria Math" w:hAnsi="Cambria Math" w:cs="Times New Roman"/>
                      </w:rPr>
                      <m:t>i</m:t>
                    </m:r>
                    <m:r>
                      <w:rPr>
                        <w:rFonts w:ascii="Cambria Math" w:hAnsi="Times New Roman" w:cs="Times New Roman"/>
                      </w:rPr>
                      <m:t>,</m:t>
                    </m:r>
                    <m:r>
                      <w:rPr>
                        <w:rFonts w:ascii="Cambria Math" w:hAnsi="Cambria Math" w:cs="Times New Roman"/>
                      </w:rPr>
                      <m:t>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0</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1</m:t>
                    </m:r>
                  </m:sub>
                </m:sSub>
                <m:sSub>
                  <m:sSubPr>
                    <m:ctrlPr>
                      <w:rPr>
                        <w:rFonts w:ascii="Cambria Math" w:hAnsi="Times New Roman" w:cs="Times New Roman"/>
                        <w:i/>
                      </w:rPr>
                    </m:ctrlPr>
                  </m:sSubPr>
                  <m:e>
                    <m:r>
                      <w:rPr>
                        <w:rFonts w:ascii="Cambria Math" w:hAnsi="Cambria Math" w:cs="Times New Roman"/>
                      </w:rPr>
                      <m:t>TAXRISK</m:t>
                    </m:r>
                  </m:e>
                  <m:sub>
                    <m:r>
                      <w:rPr>
                        <w:rFonts w:ascii="Cambria Math" w:hAnsi="Cambria Math" w:cs="Times New Roman"/>
                      </w:rPr>
                      <m:t>i</m:t>
                    </m:r>
                    <m:r>
                      <w:rPr>
                        <w:rFonts w:ascii="Cambria Math" w:hAnsi="Times New Roman" w:cs="Times New Roman"/>
                      </w:rPr>
                      <m:t>,</m:t>
                    </m:r>
                    <m:r>
                      <w:rPr>
                        <w:rFonts w:ascii="Cambria Math" w:hAnsi="Cambria Math" w:cs="Times New Roman"/>
                      </w:rPr>
                      <m:t>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2</m:t>
                    </m:r>
                  </m:sub>
                </m:sSub>
                <m:sSub>
                  <m:sSubPr>
                    <m:ctrlPr>
                      <w:rPr>
                        <w:rFonts w:ascii="Cambria Math" w:hAnsi="Times New Roman" w:cs="Times New Roman"/>
                        <w:i/>
                      </w:rPr>
                    </m:ctrlPr>
                  </m:sSubPr>
                  <m:e>
                    <m:r>
                      <w:rPr>
                        <w:rFonts w:ascii="Cambria Math" w:hAnsi="Cambria Math" w:cs="Times New Roman"/>
                      </w:rPr>
                      <m:t>TAXRISK</m:t>
                    </m:r>
                    <m:r>
                      <w:rPr>
                        <w:rFonts w:ascii="Cambria Math" w:hAnsi="Times New Roman" w:cs="Times New Roman"/>
                      </w:rPr>
                      <m:t>_</m:t>
                    </m:r>
                    <m:r>
                      <w:rPr>
                        <w:rFonts w:ascii="Cambria Math" w:hAnsi="Cambria Math" w:cs="Times New Roman"/>
                      </w:rPr>
                      <m:t>SQ</m:t>
                    </m:r>
                  </m:e>
                  <m:sub>
                    <m:r>
                      <w:rPr>
                        <w:rFonts w:ascii="Cambria Math" w:hAnsi="Cambria Math" w:cs="Times New Roman"/>
                      </w:rPr>
                      <m:t>i</m:t>
                    </m:r>
                    <m:r>
                      <w:rPr>
                        <w:rFonts w:ascii="Cambria Math" w:hAnsi="Times New Roman" w:cs="Times New Roman"/>
                      </w:rPr>
                      <m:t>,</m:t>
                    </m:r>
                    <m:r>
                      <w:rPr>
                        <w:rFonts w:ascii="Cambria Math" w:hAnsi="Cambria Math" w:cs="Times New Roman"/>
                      </w:rPr>
                      <m:t>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Cambria Math" w:cs="Times New Roman"/>
                      </w:rPr>
                      <m:t>k</m:t>
                    </m:r>
                  </m:sub>
                </m:sSub>
                <m:sSub>
                  <m:sSubPr>
                    <m:ctrlPr>
                      <w:rPr>
                        <w:rFonts w:ascii="Cambria Math" w:hAnsi="Times New Roman" w:cs="Times New Roman"/>
                        <w:i/>
                      </w:rPr>
                    </m:ctrlPr>
                  </m:sSubPr>
                  <m:e>
                    <m:r>
                      <w:rPr>
                        <w:rFonts w:ascii="Cambria Math" w:hAnsi="Cambria Math" w:cs="Times New Roman"/>
                      </w:rPr>
                      <m:t>Controls</m:t>
                    </m:r>
                  </m:e>
                  <m:sub>
                    <m:r>
                      <w:rPr>
                        <w:rFonts w:ascii="Cambria Math" w:hAnsi="Cambria Math" w:cs="Times New Roman"/>
                      </w:rPr>
                      <m:t>i</m:t>
                    </m:r>
                    <m:r>
                      <w:rPr>
                        <w:rFonts w:ascii="Cambria Math" w:hAnsi="Times New Roman" w:cs="Times New Roman"/>
                      </w:rPr>
                      <m:t>,</m:t>
                    </m:r>
                    <m:r>
                      <w:rPr>
                        <w:rFonts w:ascii="Cambria Math" w:hAnsi="Cambria Math" w:cs="Times New Roman"/>
                      </w:rPr>
                      <m:t>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ε</m:t>
                    </m:r>
                  </m:e>
                  <m:sub>
                    <m:r>
                      <w:rPr>
                        <w:rFonts w:ascii="Cambria Math" w:hAnsi="Cambria Math" w:cs="Times New Roman"/>
                      </w:rPr>
                      <m:t>i</m:t>
                    </m:r>
                    <m:r>
                      <w:rPr>
                        <w:rFonts w:ascii="Cambria Math" w:hAnsi="Times New Roman" w:cs="Times New Roman"/>
                      </w:rPr>
                      <m:t>,</m:t>
                    </m:r>
                    <m:r>
                      <w:rPr>
                        <w:rFonts w:ascii="Cambria Math" w:hAnsi="Cambria Math" w:cs="Times New Roman"/>
                      </w:rPr>
                      <m:t>t</m:t>
                    </m:r>
                  </m:sub>
                </m:sSub>
              </m:oMath>
            </m:oMathPara>
          </w:p>
        </w:tc>
        <w:tc>
          <w:tcPr>
            <w:tcW w:w="630" w:type="dxa"/>
          </w:tcPr>
          <w:p w:rsidR="00080E60" w:rsidRPr="00C17EF8" w:rsidRDefault="00080E60" w:rsidP="00A95D4A">
            <w:pPr>
              <w:spacing w:line="480" w:lineRule="auto"/>
              <w:contextualSpacing/>
              <w:rPr>
                <w:rFonts w:ascii="Times New Roman" w:hAnsi="Times New Roman" w:cs="Times New Roman"/>
                <w:sz w:val="24"/>
                <w:szCs w:val="24"/>
              </w:rPr>
            </w:pPr>
            <w:r w:rsidRPr="00C17EF8">
              <w:rPr>
                <w:rFonts w:ascii="Times New Roman" w:hAnsi="Times New Roman" w:cs="Times New Roman"/>
                <w:sz w:val="24"/>
                <w:szCs w:val="24"/>
              </w:rPr>
              <w:t>(10)</w:t>
            </w:r>
          </w:p>
        </w:tc>
      </w:tr>
    </w:tbl>
    <w:p w:rsidR="00080E60" w:rsidRPr="00C17EF8" w:rsidRDefault="00080E60" w:rsidP="00080E60">
      <w:pPr>
        <w:contextualSpacing/>
      </w:pPr>
    </w:p>
    <w:p w:rsidR="00080E60" w:rsidRPr="00C17EF8" w:rsidRDefault="00080E60" w:rsidP="00080E60">
      <w:pPr>
        <w:contextualSpacing/>
      </w:pPr>
      <w:proofErr w:type="spellStart"/>
      <w:r w:rsidRPr="00C17EF8">
        <w:t>LOG_MKT_VALUE</w:t>
      </w:r>
      <w:r w:rsidRPr="00C17EF8">
        <w:rPr>
          <w:vertAlign w:val="subscript"/>
        </w:rPr>
        <w:t>i</w:t>
      </w:r>
      <w:proofErr w:type="gramStart"/>
      <w:r w:rsidRPr="00C17EF8">
        <w:rPr>
          <w:vertAlign w:val="subscript"/>
        </w:rPr>
        <w:t>,t</w:t>
      </w:r>
      <w:proofErr w:type="spellEnd"/>
      <w:proofErr w:type="gramEnd"/>
      <w:r w:rsidRPr="00C17EF8">
        <w:rPr>
          <w:rStyle w:val="FootnoteReference"/>
        </w:rPr>
        <w:footnoteReference w:id="17"/>
      </w:r>
      <w:r w:rsidRPr="00C17EF8">
        <w:tab/>
        <w:t xml:space="preserve">= natural log of the market value of equity on the first </w:t>
      </w:r>
    </w:p>
    <w:p w:rsidR="00080E60" w:rsidRPr="00C17EF8" w:rsidRDefault="00080E60" w:rsidP="00080E60">
      <w:pPr>
        <w:contextualSpacing/>
      </w:pPr>
      <w:r w:rsidRPr="00C17EF8">
        <w:tab/>
      </w:r>
      <w:r w:rsidRPr="00C17EF8">
        <w:tab/>
      </w:r>
      <w:r w:rsidRPr="00C17EF8">
        <w:tab/>
      </w:r>
      <w:r w:rsidRPr="00C17EF8">
        <w:tab/>
      </w:r>
      <w:proofErr w:type="gramStart"/>
      <w:r w:rsidRPr="00C17EF8">
        <w:t>business</w:t>
      </w:r>
      <w:proofErr w:type="gramEnd"/>
      <w:r w:rsidRPr="00C17EF8">
        <w:t xml:space="preserve"> day after the 10-K filing date with available data</w:t>
      </w:r>
    </w:p>
    <w:p w:rsidR="00080E60" w:rsidRPr="00C17EF8" w:rsidRDefault="00080E60" w:rsidP="00080E60">
      <w:pPr>
        <w:ind w:left="2160" w:firstLine="720"/>
        <w:contextualSpacing/>
      </w:pPr>
      <w:proofErr w:type="gramStart"/>
      <w:r w:rsidRPr="00C17EF8">
        <w:t>following</w:t>
      </w:r>
      <w:proofErr w:type="gramEnd"/>
      <w:r w:rsidRPr="00C17EF8">
        <w:t xml:space="preserve"> Koester (2011);</w:t>
      </w:r>
    </w:p>
    <w:p w:rsidR="00080E60" w:rsidRPr="00C17EF8" w:rsidRDefault="00080E60" w:rsidP="00080E60">
      <w:pPr>
        <w:contextualSpacing/>
      </w:pPr>
      <w:proofErr w:type="spellStart"/>
      <w:r w:rsidRPr="00C17EF8">
        <w:t>TAXRISK</w:t>
      </w:r>
      <w:r w:rsidRPr="00C17EF8">
        <w:rPr>
          <w:vertAlign w:val="subscript"/>
        </w:rPr>
        <w:t>i</w:t>
      </w:r>
      <w:proofErr w:type="gramStart"/>
      <w:r w:rsidRPr="00C17EF8">
        <w:rPr>
          <w:vertAlign w:val="subscript"/>
        </w:rPr>
        <w:t>,t</w:t>
      </w:r>
      <w:proofErr w:type="spellEnd"/>
      <w:proofErr w:type="gramEnd"/>
      <w:r w:rsidRPr="00C17EF8">
        <w:tab/>
      </w:r>
      <w:r w:rsidRPr="00C17EF8">
        <w:tab/>
      </w:r>
      <w:r w:rsidRPr="00C17EF8">
        <w:tab/>
        <w:t>= the balance of the tax reserve (liability for uncertain tax</w:t>
      </w:r>
    </w:p>
    <w:p w:rsidR="00080E60" w:rsidRPr="00C17EF8" w:rsidRDefault="00080E60" w:rsidP="00080E60">
      <w:pPr>
        <w:ind w:left="2160" w:firstLine="720"/>
        <w:contextualSpacing/>
      </w:pPr>
      <w:r w:rsidRPr="00C17EF8">
        <w:t xml:space="preserve"> </w:t>
      </w:r>
      <w:proofErr w:type="gramStart"/>
      <w:r w:rsidRPr="00C17EF8">
        <w:t>positions</w:t>
      </w:r>
      <w:proofErr w:type="gramEnd"/>
      <w:r w:rsidRPr="00C17EF8">
        <w:t xml:space="preserve"> under FIN 48) at time t scaled by total assets and </w:t>
      </w:r>
    </w:p>
    <w:p w:rsidR="00080E60" w:rsidRPr="00C17EF8" w:rsidRDefault="00080E60" w:rsidP="00080E60">
      <w:pPr>
        <w:ind w:left="2160" w:firstLine="720"/>
        <w:contextualSpacing/>
      </w:pPr>
      <w:proofErr w:type="gramStart"/>
      <w:r w:rsidRPr="00C17EF8">
        <w:t>multiplied</w:t>
      </w:r>
      <w:proofErr w:type="gramEnd"/>
      <w:r w:rsidRPr="00C17EF8">
        <w:t xml:space="preserve"> by 100;</w:t>
      </w:r>
    </w:p>
    <w:p w:rsidR="00080E60" w:rsidRPr="00C17EF8" w:rsidRDefault="00080E60" w:rsidP="00080E60">
      <w:pPr>
        <w:contextualSpacing/>
      </w:pPr>
      <w:proofErr w:type="spellStart"/>
      <w:r w:rsidRPr="00C17EF8">
        <w:t>TAXRISK_SQ</w:t>
      </w:r>
      <w:r w:rsidRPr="00C17EF8">
        <w:rPr>
          <w:vertAlign w:val="subscript"/>
        </w:rPr>
        <w:t>i</w:t>
      </w:r>
      <w:proofErr w:type="gramStart"/>
      <w:r w:rsidRPr="00C17EF8">
        <w:rPr>
          <w:vertAlign w:val="subscript"/>
        </w:rPr>
        <w:t>,t</w:t>
      </w:r>
      <w:proofErr w:type="spellEnd"/>
      <w:proofErr w:type="gramEnd"/>
      <w:r w:rsidRPr="00C17EF8">
        <w:tab/>
      </w:r>
      <w:r w:rsidRPr="00C17EF8">
        <w:tab/>
        <w:t>= TAXRISK squared;</w:t>
      </w:r>
    </w:p>
    <w:p w:rsidR="00080E60" w:rsidRPr="00C17EF8" w:rsidRDefault="00080E60" w:rsidP="00080E60">
      <w:pPr>
        <w:contextualSpacing/>
      </w:pPr>
      <w:proofErr w:type="spellStart"/>
      <w:r w:rsidRPr="00C17EF8">
        <w:t>DISCR_ACCRUALS</w:t>
      </w:r>
      <w:r w:rsidRPr="00C17EF8">
        <w:rPr>
          <w:vertAlign w:val="subscript"/>
        </w:rPr>
        <w:t>i</w:t>
      </w:r>
      <w:proofErr w:type="gramStart"/>
      <w:r w:rsidRPr="00C17EF8">
        <w:rPr>
          <w:vertAlign w:val="subscript"/>
        </w:rPr>
        <w:t>,t</w:t>
      </w:r>
      <w:proofErr w:type="spellEnd"/>
      <w:proofErr w:type="gramEnd"/>
      <w:r w:rsidRPr="00C17EF8">
        <w:tab/>
        <w:t>= pre-tax, performance adjusted discretionary accruals</w:t>
      </w:r>
    </w:p>
    <w:p w:rsidR="00080E60" w:rsidRPr="00C17EF8" w:rsidRDefault="00080E60" w:rsidP="00080E60">
      <w:pPr>
        <w:ind w:left="2160" w:firstLine="720"/>
        <w:contextualSpacing/>
      </w:pPr>
      <w:proofErr w:type="gramStart"/>
      <w:r w:rsidRPr="00C17EF8">
        <w:t>following</w:t>
      </w:r>
      <w:proofErr w:type="gramEnd"/>
      <w:r w:rsidRPr="00C17EF8">
        <w:t xml:space="preserve"> Frank et al. (2009);</w:t>
      </w:r>
    </w:p>
    <w:p w:rsidR="00080E60" w:rsidRPr="00C17EF8" w:rsidRDefault="00080E60" w:rsidP="000B58C1">
      <w:pPr>
        <w:ind w:left="2880" w:hanging="2880"/>
        <w:contextualSpacing/>
      </w:pPr>
      <w:proofErr w:type="spellStart"/>
      <w:r w:rsidRPr="00C17EF8">
        <w:t>FOREIGN_INCOME</w:t>
      </w:r>
      <w:r w:rsidRPr="00C17EF8">
        <w:rPr>
          <w:vertAlign w:val="subscript"/>
        </w:rPr>
        <w:t>i</w:t>
      </w:r>
      <w:proofErr w:type="gramStart"/>
      <w:r w:rsidRPr="00C17EF8">
        <w:rPr>
          <w:vertAlign w:val="subscript"/>
        </w:rPr>
        <w:t>,t</w:t>
      </w:r>
      <w:proofErr w:type="spellEnd"/>
      <w:proofErr w:type="gramEnd"/>
      <w:r w:rsidRPr="00C17EF8">
        <w:tab/>
        <w:t>= absolute value of pre-tax foreign income or loss scaled by total</w:t>
      </w:r>
      <w:r w:rsidR="000B58C1">
        <w:t xml:space="preserve"> </w:t>
      </w:r>
      <w:r w:rsidRPr="00C17EF8">
        <w:t>assets;</w:t>
      </w:r>
    </w:p>
    <w:p w:rsidR="000B58C1" w:rsidRDefault="00080E60" w:rsidP="000B58C1">
      <w:pPr>
        <w:ind w:left="720" w:hanging="720"/>
        <w:contextualSpacing/>
      </w:pPr>
      <w:proofErr w:type="spellStart"/>
      <w:r w:rsidRPr="00C17EF8">
        <w:t>NOL</w:t>
      </w:r>
      <w:r w:rsidRPr="00C17EF8">
        <w:rPr>
          <w:vertAlign w:val="subscript"/>
        </w:rPr>
        <w:t>i</w:t>
      </w:r>
      <w:proofErr w:type="gramStart"/>
      <w:r w:rsidRPr="00C17EF8">
        <w:rPr>
          <w:vertAlign w:val="subscript"/>
        </w:rPr>
        <w:t>,t</w:t>
      </w:r>
      <w:proofErr w:type="spellEnd"/>
      <w:proofErr w:type="gramEnd"/>
      <w:r w:rsidRPr="00C17EF8">
        <w:tab/>
      </w:r>
      <w:r w:rsidRPr="00C17EF8">
        <w:tab/>
      </w:r>
      <w:r w:rsidRPr="00C17EF8">
        <w:tab/>
      </w:r>
      <w:r w:rsidRPr="00C17EF8">
        <w:tab/>
        <w:t xml:space="preserve">= tax loss carry-forward scaled by total assets, or zero if </w:t>
      </w:r>
    </w:p>
    <w:p w:rsidR="00080E60" w:rsidRPr="00C17EF8" w:rsidRDefault="000B58C1" w:rsidP="000B58C1">
      <w:pPr>
        <w:ind w:left="720" w:hanging="720"/>
        <w:contextualSpacing/>
      </w:pPr>
      <w:r>
        <w:tab/>
      </w:r>
      <w:r>
        <w:tab/>
      </w:r>
      <w:r>
        <w:tab/>
      </w:r>
      <w:r>
        <w:tab/>
      </w:r>
      <w:proofErr w:type="gramStart"/>
      <w:r w:rsidR="00080E60" w:rsidRPr="00C17EF8">
        <w:t>missing</w:t>
      </w:r>
      <w:proofErr w:type="gramEnd"/>
      <w:r w:rsidR="00080E60" w:rsidRPr="00C17EF8">
        <w:t>;</w:t>
      </w:r>
    </w:p>
    <w:p w:rsidR="00080E60" w:rsidRPr="00C17EF8" w:rsidRDefault="00080E60" w:rsidP="00080E60">
      <w:pPr>
        <w:contextualSpacing/>
      </w:pPr>
      <w:proofErr w:type="spellStart"/>
      <w:r w:rsidRPr="00C17EF8">
        <w:t>LT_DEBT</w:t>
      </w:r>
      <w:r w:rsidRPr="00C17EF8">
        <w:rPr>
          <w:vertAlign w:val="subscript"/>
        </w:rPr>
        <w:t>i</w:t>
      </w:r>
      <w:proofErr w:type="gramStart"/>
      <w:r w:rsidRPr="00C17EF8">
        <w:rPr>
          <w:vertAlign w:val="subscript"/>
        </w:rPr>
        <w:t>,t</w:t>
      </w:r>
      <w:proofErr w:type="spellEnd"/>
      <w:proofErr w:type="gramEnd"/>
      <w:r w:rsidRPr="00C17EF8">
        <w:tab/>
      </w:r>
      <w:r w:rsidRPr="00C17EF8">
        <w:tab/>
      </w:r>
      <w:r w:rsidRPr="00C17EF8">
        <w:tab/>
        <w:t>= sum of long-term debt and debt in current liabilities scaled by</w:t>
      </w:r>
    </w:p>
    <w:p w:rsidR="00080E60" w:rsidRPr="00C17EF8" w:rsidRDefault="00080E60" w:rsidP="00080E60">
      <w:pPr>
        <w:ind w:left="2160" w:firstLine="720"/>
        <w:contextualSpacing/>
      </w:pPr>
      <w:r w:rsidRPr="00C17EF8">
        <w:t xml:space="preserve"> </w:t>
      </w:r>
      <w:proofErr w:type="gramStart"/>
      <w:r w:rsidRPr="00C17EF8">
        <w:t>total</w:t>
      </w:r>
      <w:proofErr w:type="gramEnd"/>
      <w:r w:rsidRPr="00C17EF8">
        <w:t xml:space="preserve"> assets;</w:t>
      </w:r>
    </w:p>
    <w:p w:rsidR="00080E60" w:rsidRPr="00C17EF8" w:rsidRDefault="00080E60" w:rsidP="00080E60">
      <w:pPr>
        <w:contextualSpacing/>
      </w:pPr>
      <w:proofErr w:type="spellStart"/>
      <w:r w:rsidRPr="00C17EF8">
        <w:t>SALES_GROWTH</w:t>
      </w:r>
      <w:r w:rsidRPr="00C17EF8">
        <w:rPr>
          <w:vertAlign w:val="subscript"/>
        </w:rPr>
        <w:t>i</w:t>
      </w:r>
      <w:proofErr w:type="gramStart"/>
      <w:r w:rsidRPr="00C17EF8">
        <w:rPr>
          <w:vertAlign w:val="subscript"/>
        </w:rPr>
        <w:t>,t</w:t>
      </w:r>
      <w:proofErr w:type="spellEnd"/>
      <w:proofErr w:type="gramEnd"/>
      <w:r w:rsidRPr="00C17EF8">
        <w:tab/>
      </w:r>
      <w:r w:rsidRPr="00C17EF8">
        <w:tab/>
        <w:t>= average percentage change in sales over the last three years;</w:t>
      </w:r>
    </w:p>
    <w:p w:rsidR="00080E60" w:rsidRPr="00C17EF8" w:rsidRDefault="00080E60" w:rsidP="00080E60">
      <w:pPr>
        <w:contextualSpacing/>
      </w:pPr>
      <w:proofErr w:type="spellStart"/>
      <w:r w:rsidRPr="00C17EF8">
        <w:t>LOSS</w:t>
      </w:r>
      <w:r w:rsidRPr="00C17EF8">
        <w:rPr>
          <w:vertAlign w:val="subscript"/>
        </w:rPr>
        <w:t>i</w:t>
      </w:r>
      <w:proofErr w:type="gramStart"/>
      <w:r w:rsidRPr="00C17EF8">
        <w:rPr>
          <w:vertAlign w:val="subscript"/>
        </w:rPr>
        <w:t>,t</w:t>
      </w:r>
      <w:proofErr w:type="spellEnd"/>
      <w:proofErr w:type="gramEnd"/>
      <w:r w:rsidRPr="00C17EF8">
        <w:tab/>
      </w:r>
      <w:r w:rsidRPr="00C17EF8">
        <w:tab/>
      </w:r>
      <w:r w:rsidRPr="00C17EF8">
        <w:tab/>
      </w:r>
      <w:r w:rsidRPr="00C17EF8">
        <w:tab/>
        <w:t xml:space="preserve">= indicator equal to 1 if the current year income before </w:t>
      </w:r>
    </w:p>
    <w:p w:rsidR="00080E60" w:rsidRPr="00C17EF8" w:rsidRDefault="00080E60" w:rsidP="00080E60">
      <w:pPr>
        <w:contextualSpacing/>
      </w:pPr>
      <w:r w:rsidRPr="00C17EF8">
        <w:tab/>
      </w:r>
      <w:r w:rsidRPr="00C17EF8">
        <w:tab/>
      </w:r>
      <w:r w:rsidRPr="00C17EF8">
        <w:tab/>
      </w:r>
      <w:r w:rsidRPr="00C17EF8">
        <w:tab/>
      </w:r>
      <w:proofErr w:type="gramStart"/>
      <w:r w:rsidRPr="00C17EF8">
        <w:t>extraordinary</w:t>
      </w:r>
      <w:proofErr w:type="gramEnd"/>
      <w:r w:rsidRPr="00C17EF8">
        <w:t xml:space="preserve"> items is less than zero, and zero otherwise;</w:t>
      </w:r>
    </w:p>
    <w:p w:rsidR="00080E60" w:rsidRPr="00C17EF8" w:rsidRDefault="00080E60" w:rsidP="00080E60">
      <w:pPr>
        <w:contextualSpacing/>
      </w:pPr>
      <w:proofErr w:type="spellStart"/>
      <w:r w:rsidRPr="00C17EF8">
        <w:t>STD_DEV_RETURNS</w:t>
      </w:r>
      <w:r w:rsidRPr="00C17EF8">
        <w:rPr>
          <w:vertAlign w:val="subscript"/>
        </w:rPr>
        <w:t>i</w:t>
      </w:r>
      <w:proofErr w:type="gramStart"/>
      <w:r w:rsidRPr="00C17EF8">
        <w:rPr>
          <w:vertAlign w:val="subscript"/>
        </w:rPr>
        <w:t>,t</w:t>
      </w:r>
      <w:proofErr w:type="spellEnd"/>
      <w:proofErr w:type="gramEnd"/>
      <w:r w:rsidRPr="00C17EF8">
        <w:tab/>
        <w:t>= standard deviation of monthly returns for the last five years</w:t>
      </w:r>
    </w:p>
    <w:p w:rsidR="00080E60" w:rsidRPr="00C17EF8" w:rsidRDefault="00080E60" w:rsidP="00080E60">
      <w:pPr>
        <w:ind w:left="2160" w:firstLine="720"/>
        <w:contextualSpacing/>
      </w:pPr>
      <w:r w:rsidRPr="00C17EF8">
        <w:t xml:space="preserve"> </w:t>
      </w:r>
      <w:proofErr w:type="gramStart"/>
      <w:r w:rsidRPr="00C17EF8">
        <w:t>requiring</w:t>
      </w:r>
      <w:proofErr w:type="gramEnd"/>
      <w:r w:rsidRPr="00C17EF8">
        <w:t xml:space="preserve"> data for at least 24 out of the last 60 months;</w:t>
      </w:r>
    </w:p>
    <w:p w:rsidR="00080E60" w:rsidRPr="00C17EF8" w:rsidRDefault="00080E60" w:rsidP="009B12D9">
      <w:pPr>
        <w:contextualSpacing/>
      </w:pPr>
      <w:proofErr w:type="spellStart"/>
      <w:r w:rsidRPr="00C17EF8">
        <w:t>LOG_AGE</w:t>
      </w:r>
      <w:r w:rsidRPr="00C17EF8">
        <w:rPr>
          <w:vertAlign w:val="subscript"/>
        </w:rPr>
        <w:t>i</w:t>
      </w:r>
      <w:proofErr w:type="gramStart"/>
      <w:r w:rsidRPr="00C17EF8">
        <w:rPr>
          <w:vertAlign w:val="subscript"/>
        </w:rPr>
        <w:t>,t</w:t>
      </w:r>
      <w:proofErr w:type="spellEnd"/>
      <w:proofErr w:type="gramEnd"/>
      <w:r w:rsidRPr="00C17EF8">
        <w:tab/>
      </w:r>
      <w:r w:rsidRPr="00C17EF8">
        <w:tab/>
      </w:r>
      <w:r w:rsidRPr="00C17EF8">
        <w:tab/>
        <w:t xml:space="preserve">= natural log of the age of the firm measured using the number </w:t>
      </w:r>
      <w:r w:rsidR="009B12D9">
        <w:tab/>
      </w:r>
      <w:r w:rsidR="009B12D9">
        <w:tab/>
      </w:r>
      <w:r w:rsidR="009B12D9">
        <w:tab/>
      </w:r>
      <w:r w:rsidR="009B12D9">
        <w:tab/>
      </w:r>
      <w:r w:rsidRPr="00C17EF8">
        <w:t>of</w:t>
      </w:r>
      <w:r w:rsidR="009B12D9">
        <w:t xml:space="preserve"> </w:t>
      </w:r>
      <w:r w:rsidRPr="00C17EF8">
        <w:t>years the firm has been covered by CRSP.</w:t>
      </w:r>
    </w:p>
    <w:p w:rsidR="00080E60" w:rsidRPr="00C17EF8" w:rsidRDefault="00080E60" w:rsidP="00080E60">
      <w:pPr>
        <w:contextualSpacing/>
      </w:pPr>
      <w:r w:rsidRPr="00C17EF8">
        <w:tab/>
      </w:r>
    </w:p>
    <w:p w:rsidR="00080E60" w:rsidRPr="00C17EF8" w:rsidRDefault="00080E60" w:rsidP="00080E60">
      <w:pPr>
        <w:spacing w:line="480" w:lineRule="auto"/>
        <w:ind w:firstLine="720"/>
        <w:contextualSpacing/>
      </w:pPr>
      <w:r w:rsidRPr="00C17EF8">
        <w:t xml:space="preserve">I use the ending balance in the tax reserve as my proxy for TAXRISK rather than the change in total reserve or the change in a specific component of the tax reserve. The ending </w:t>
      </w:r>
      <w:r w:rsidRPr="00C17EF8">
        <w:lastRenderedPageBreak/>
        <w:t>balance is most appropriate in this setting because it reflects the firm’s overall cumulative exposure to the additional costs associated with tax risk.  I expect β</w:t>
      </w:r>
      <w:r w:rsidRPr="00C17EF8">
        <w:rPr>
          <w:vertAlign w:val="subscript"/>
        </w:rPr>
        <w:t>1</w:t>
      </w:r>
      <w:r w:rsidRPr="00C17EF8">
        <w:t xml:space="preserve"> to be positive and β</w:t>
      </w:r>
      <w:r w:rsidRPr="00C17EF8">
        <w:rPr>
          <w:vertAlign w:val="subscript"/>
        </w:rPr>
        <w:t>2</w:t>
      </w:r>
      <w:r w:rsidRPr="00C17EF8">
        <w:t xml:space="preserve"> to be negative if the association between tax risk and firm value is concave (H1). </w:t>
      </w:r>
    </w:p>
    <w:p w:rsidR="00080E60" w:rsidRPr="00C17EF8" w:rsidRDefault="00080E60" w:rsidP="00080E60">
      <w:pPr>
        <w:spacing w:line="480" w:lineRule="auto"/>
        <w:ind w:firstLine="720"/>
        <w:contextualSpacing/>
      </w:pPr>
      <w:r w:rsidRPr="00C17EF8">
        <w:t xml:space="preserve">I rely on literature examining the association between tax avoidance and/or governance and firm value (Adams and Santos 2006; Brown and </w:t>
      </w:r>
      <w:proofErr w:type="spellStart"/>
      <w:r w:rsidRPr="00C17EF8">
        <w:t>Caylor</w:t>
      </w:r>
      <w:proofErr w:type="spellEnd"/>
      <w:r w:rsidRPr="00C17EF8">
        <w:t xml:space="preserve"> 2006; Cheng et al. 2011; Desai and </w:t>
      </w:r>
      <w:proofErr w:type="spellStart"/>
      <w:r w:rsidRPr="00C17EF8">
        <w:t>Dharmapala</w:t>
      </w:r>
      <w:proofErr w:type="spellEnd"/>
      <w:r w:rsidRPr="00C17EF8">
        <w:t xml:space="preserve"> 2009a; Song and Tucker 2008; Wang 2010) to determine a set of control variables expected to be associated with firm value. All variables are defined in Appendix A. I also include year fixed effects and industry fixed effects based on the </w:t>
      </w:r>
      <w:proofErr w:type="spellStart"/>
      <w:r w:rsidRPr="00C17EF8">
        <w:t>Fama</w:t>
      </w:r>
      <w:proofErr w:type="spellEnd"/>
      <w:r w:rsidRPr="00C17EF8">
        <w:t xml:space="preserve">-French twelve industry classification and cluster standard errors by firm. </w:t>
      </w:r>
    </w:p>
    <w:p w:rsidR="00080E60" w:rsidRPr="00C17EF8" w:rsidRDefault="00080E60" w:rsidP="00080E60">
      <w:pPr>
        <w:spacing w:line="480" w:lineRule="auto"/>
        <w:ind w:firstLine="720"/>
        <w:contextualSpacing/>
      </w:pPr>
      <w:r w:rsidRPr="00C17EF8">
        <w:t xml:space="preserve">It is possible that TAXRISK is endogenous due to measurement error from its susceptibility to manipulation, reverse causality, or an un-measurable omitted variable that impacts both TAXRISK and firm value. I test for </w:t>
      </w:r>
      <w:proofErr w:type="spellStart"/>
      <w:r w:rsidRPr="00C17EF8">
        <w:t>endogeneity</w:t>
      </w:r>
      <w:proofErr w:type="spellEnd"/>
      <w:r w:rsidRPr="00C17EF8">
        <w:t xml:space="preserve"> using the Durbin-Wu-</w:t>
      </w:r>
      <w:proofErr w:type="spellStart"/>
      <w:r w:rsidRPr="00C17EF8">
        <w:t>Hausman</w:t>
      </w:r>
      <w:proofErr w:type="spellEnd"/>
      <w:r w:rsidRPr="00C17EF8">
        <w:t xml:space="preserve"> test applied to </w:t>
      </w:r>
      <w:proofErr w:type="gramStart"/>
      <w:r w:rsidRPr="00C17EF8">
        <w:t>an instrumental</w:t>
      </w:r>
      <w:proofErr w:type="gramEnd"/>
      <w:r w:rsidRPr="00C17EF8">
        <w:t xml:space="preserve"> variables estimation. However it is difficult to find any instrument that is strongly associated with tax risk but not firm value except through its impact on tax risk and the other variables in the model (Adams and Santos 2006). </w:t>
      </w:r>
    </w:p>
    <w:p w:rsidR="00080E60" w:rsidRPr="00C17EF8" w:rsidRDefault="00080E60" w:rsidP="00080E60">
      <w:pPr>
        <w:spacing w:line="480" w:lineRule="auto"/>
        <w:ind w:firstLine="720"/>
        <w:contextualSpacing/>
      </w:pPr>
      <w:r w:rsidRPr="00C17EF8">
        <w:t>The lagged value of an endogenous variable can be an appropriate instrument, especially in cases of measurement error (</w:t>
      </w:r>
      <w:proofErr w:type="spellStart"/>
      <w:r w:rsidRPr="00C17EF8">
        <w:t>Klassen</w:t>
      </w:r>
      <w:proofErr w:type="spellEnd"/>
      <w:r w:rsidRPr="00C17EF8">
        <w:t xml:space="preserve"> and </w:t>
      </w:r>
      <w:proofErr w:type="spellStart"/>
      <w:r w:rsidRPr="00C17EF8">
        <w:t>Laplante</w:t>
      </w:r>
      <w:proofErr w:type="spellEnd"/>
      <w:r w:rsidRPr="00C17EF8">
        <w:t xml:space="preserve"> 2011; Greene 2003). </w:t>
      </w:r>
      <w:proofErr w:type="spellStart"/>
      <w:r w:rsidRPr="00C17EF8">
        <w:t>Klassen</w:t>
      </w:r>
      <w:proofErr w:type="spellEnd"/>
      <w:r w:rsidRPr="00C17EF8">
        <w:t xml:space="preserve"> and </w:t>
      </w:r>
      <w:proofErr w:type="spellStart"/>
      <w:r w:rsidRPr="00C17EF8">
        <w:t>Laplante</w:t>
      </w:r>
      <w:proofErr w:type="spellEnd"/>
      <w:r w:rsidRPr="00C17EF8">
        <w:t xml:space="preserve"> (2011) argue that “lagged values are good instruments if the underlying construct is more persistent” (p.16). I contend that tax risk is relatively persistent since managers typically engage in long-term tax planning efforts and employ similar tax strategies from year to year. The correlation coefficient between TAXRISK and its lag is 0.87 indicating a strong level of persistence. </w:t>
      </w:r>
    </w:p>
    <w:p w:rsidR="00080E60" w:rsidRPr="00C17EF8" w:rsidRDefault="00080E60" w:rsidP="00080E60">
      <w:pPr>
        <w:spacing w:line="480" w:lineRule="auto"/>
        <w:ind w:firstLine="720"/>
        <w:contextualSpacing/>
      </w:pPr>
      <w:r w:rsidRPr="00C17EF8">
        <w:lastRenderedPageBreak/>
        <w:t xml:space="preserve">To test for </w:t>
      </w:r>
      <w:proofErr w:type="spellStart"/>
      <w:r w:rsidRPr="00C17EF8">
        <w:t>endogeneity</w:t>
      </w:r>
      <w:proofErr w:type="spellEnd"/>
      <w:r w:rsidRPr="00C17EF8">
        <w:t xml:space="preserve"> I estimate model (10) using two-stage least squares where the first stage model is TAXRISK regressed on the lagged value of TAXRISK (and all the other control variables). The partial F test for the lagged value of tax risk in this first stage regression is statistically significant at 1575.36 and the R</w:t>
      </w:r>
      <w:r w:rsidRPr="00C17EF8">
        <w:rPr>
          <w:vertAlign w:val="superscript"/>
        </w:rPr>
        <w:t>2</w:t>
      </w:r>
      <w:r w:rsidRPr="00C17EF8">
        <w:t xml:space="preserve"> of the model is 0.78 which suggests the lag is a strong instrument.</w:t>
      </w:r>
      <w:r w:rsidRPr="00C17EF8">
        <w:rPr>
          <w:rStyle w:val="FootnoteReference"/>
        </w:rPr>
        <w:footnoteReference w:id="18"/>
      </w:r>
      <w:r w:rsidRPr="00C17EF8">
        <w:t xml:space="preserve"> I substitute the predicted value of TAXRISK and the square of the predicted value into model (10). Wooldridge (2010) explains that this procedure does not produce consistent estimators since the square of the linear predicted value of tax risk is not the same as the predicted value of the square of tax risk. To correct for the inconsistency, I use </w:t>
      </w:r>
      <w:proofErr w:type="spellStart"/>
      <w:r w:rsidRPr="00C17EF8">
        <w:t>Stata’s</w:t>
      </w:r>
      <w:proofErr w:type="spellEnd"/>
      <w:r w:rsidRPr="00C17EF8">
        <w:t xml:space="preserve"> bootstrapping option which produces standard errors by taking a number of different random samples from the data and re-estimating the parameters. Then a standard error is calculated as the sample standard deviation of the various estimates of the parameters (Wooldridge 2009). Wooldridge (2009) explains that bootstrapping is useful in various situations where the typical formulas for standard errors are not appropriate.</w:t>
      </w:r>
    </w:p>
    <w:p w:rsidR="00080E60" w:rsidRPr="00C17EF8" w:rsidRDefault="00080E60" w:rsidP="00080E60">
      <w:pPr>
        <w:spacing w:line="480" w:lineRule="auto"/>
        <w:ind w:firstLine="720"/>
        <w:contextualSpacing/>
      </w:pPr>
      <w:r w:rsidRPr="00C17EF8">
        <w:t>Applying the Durbin-Wu-</w:t>
      </w:r>
      <w:proofErr w:type="spellStart"/>
      <w:r w:rsidRPr="00C17EF8">
        <w:t>Hausman</w:t>
      </w:r>
      <w:proofErr w:type="spellEnd"/>
      <w:r w:rsidRPr="00C17EF8">
        <w:t xml:space="preserve"> test </w:t>
      </w:r>
      <w:proofErr w:type="gramStart"/>
      <w:r w:rsidRPr="00C17EF8">
        <w:t>to this two-stage</w:t>
      </w:r>
      <w:proofErr w:type="gramEnd"/>
      <w:r w:rsidRPr="00C17EF8">
        <w:t xml:space="preserve"> least squares estimation, I am unable to reject the null hypotheses that the </w:t>
      </w:r>
      <w:proofErr w:type="spellStart"/>
      <w:r w:rsidRPr="00C17EF8">
        <w:t>regressors</w:t>
      </w:r>
      <w:proofErr w:type="spellEnd"/>
      <w:r w:rsidRPr="00C17EF8">
        <w:t xml:space="preserve"> are exogenous. Although the results suggest </w:t>
      </w:r>
      <w:proofErr w:type="spellStart"/>
      <w:r w:rsidRPr="00C17EF8">
        <w:t>endogeneity</w:t>
      </w:r>
      <w:proofErr w:type="spellEnd"/>
      <w:r w:rsidRPr="00C17EF8">
        <w:t xml:space="preserve"> is not a concern, the validity of this test relies on good instruments. To the extent the lagged value of TAXRISK does not meet the requirements of a valid instrument, the test could be </w:t>
      </w:r>
      <w:proofErr w:type="spellStart"/>
      <w:r w:rsidRPr="00C17EF8">
        <w:t>mis</w:t>
      </w:r>
      <w:proofErr w:type="spellEnd"/>
      <w:r w:rsidRPr="00C17EF8">
        <w:t xml:space="preserve">-specified. I provide results using both OLS and two-stage least squares. In addition, I estimate model (10) substituting lagged values of TAXRISK and TAXRISK_SQ for the contemporaneous values. This specification corrects for reverse causality since the prior year’s tax reserve is not determined by the current year’s </w:t>
      </w:r>
      <w:r w:rsidRPr="00C17EF8">
        <w:lastRenderedPageBreak/>
        <w:t>market value, but it does not correct for measurement error since any measurement error in TAXRISK should also affect the lag.</w:t>
      </w:r>
    </w:p>
    <w:p w:rsidR="00080E60" w:rsidRPr="00C17EF8" w:rsidRDefault="00080E60" w:rsidP="00681D52">
      <w:pPr>
        <w:pStyle w:val="Heading2"/>
        <w:rPr>
          <w:rFonts w:cs="Times New Roman"/>
        </w:rPr>
      </w:pPr>
      <w:bookmarkStart w:id="14" w:name="_Toc320370980"/>
      <w:bookmarkStart w:id="15" w:name="_Toc321493724"/>
      <w:r w:rsidRPr="00C17EF8">
        <w:rPr>
          <w:rFonts w:cs="Times New Roman"/>
        </w:rPr>
        <w:t>Tax Risk and Cost of Equity Capital (H2)</w:t>
      </w:r>
      <w:bookmarkEnd w:id="14"/>
      <w:bookmarkEnd w:id="15"/>
    </w:p>
    <w:p w:rsidR="00080E60" w:rsidRPr="00C17EF8" w:rsidRDefault="00080E60" w:rsidP="00080E60">
      <w:pPr>
        <w:spacing w:line="480" w:lineRule="auto"/>
        <w:ind w:firstLine="720"/>
        <w:contextualSpacing/>
      </w:pPr>
      <w:r w:rsidRPr="00C17EF8">
        <w:t>To examine the association between tax risk and cost of equity capital (H2), I estimate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00"/>
        <w:gridCol w:w="616"/>
      </w:tblGrid>
      <w:tr w:rsidR="00080E60" w:rsidRPr="00C17EF8" w:rsidTr="00A95D4A">
        <w:tc>
          <w:tcPr>
            <w:tcW w:w="9018" w:type="dxa"/>
          </w:tcPr>
          <w:p w:rsidR="00080E60" w:rsidRPr="00C17EF8" w:rsidRDefault="00F45E01" w:rsidP="00A95D4A">
            <w:pPr>
              <w:spacing w:line="480" w:lineRule="auto"/>
              <w:contextualSpacing/>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Times New Roman" w:cs="Times New Roman"/>
                        <w:sz w:val="24"/>
                        <w:szCs w:val="24"/>
                      </w:rPr>
                      <m:t>i,t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α</m:t>
                    </m:r>
                  </m:e>
                  <m:sub>
                    <m:r>
                      <w:rPr>
                        <w:rFonts w:ascii="Cambria Math" w:hAnsi="Times New Roman" w:cs="Times New Roman"/>
                        <w:sz w:val="24"/>
                        <w:szCs w:val="24"/>
                      </w:rPr>
                      <m:t>0</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α</m:t>
                    </m:r>
                  </m:e>
                  <m:sub>
                    <m:r>
                      <w:rPr>
                        <w:rFonts w:ascii="Cambria Math" w:hAnsi="Times New Roman" w:cs="Times New Roman"/>
                        <w:sz w:val="24"/>
                        <w:szCs w:val="24"/>
                      </w:rPr>
                      <m:t>1</m:t>
                    </m:r>
                  </m:sub>
                </m:sSub>
                <m:sSub>
                  <m:sSubPr>
                    <m:ctrlPr>
                      <w:rPr>
                        <w:rFonts w:ascii="Cambria Math" w:hAnsi="Times New Roman" w:cs="Times New Roman"/>
                        <w:i/>
                        <w:sz w:val="24"/>
                        <w:szCs w:val="24"/>
                      </w:rPr>
                    </m:ctrlPr>
                  </m:sSubPr>
                  <m:e>
                    <m:r>
                      <w:rPr>
                        <w:rFonts w:ascii="Cambria Math" w:hAnsi="Cambria Math" w:cs="Times New Roman"/>
                        <w:sz w:val="24"/>
                        <w:szCs w:val="24"/>
                      </w:rPr>
                      <m:t>TAXRISK</m:t>
                    </m:r>
                  </m:e>
                  <m:sub>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α</m:t>
                    </m:r>
                  </m:e>
                  <m:sub>
                    <m:r>
                      <w:rPr>
                        <w:rFonts w:ascii="Cambria Math" w:hAnsi="Times New Roman" w:cs="Times New Roman"/>
                        <w:sz w:val="24"/>
                        <w:szCs w:val="24"/>
                      </w:rPr>
                      <m:t>2</m:t>
                    </m:r>
                  </m:sub>
                </m:sSub>
                <m:sSub>
                  <m:sSubPr>
                    <m:ctrlPr>
                      <w:rPr>
                        <w:rFonts w:ascii="Cambria Math" w:hAnsi="Times New Roman" w:cs="Times New Roman"/>
                        <w:i/>
                        <w:sz w:val="24"/>
                        <w:szCs w:val="24"/>
                      </w:rPr>
                    </m:ctrlPr>
                  </m:sSubPr>
                  <m:e>
                    <m:r>
                      <w:rPr>
                        <w:rFonts w:ascii="Cambria Math" w:hAnsi="Cambria Math" w:cs="Times New Roman"/>
                        <w:sz w:val="24"/>
                        <w:szCs w:val="24"/>
                      </w:rPr>
                      <m:t>BETA</m:t>
                    </m:r>
                  </m:e>
                  <m:sub>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α</m:t>
                    </m:r>
                  </m:e>
                  <m:sub>
                    <m:r>
                      <w:rPr>
                        <w:rFonts w:ascii="Cambria Math" w:hAnsi="Times New Roman" w:cs="Times New Roman"/>
                        <w:sz w:val="24"/>
                        <w:szCs w:val="24"/>
                      </w:rPr>
                      <m:t>3</m:t>
                    </m:r>
                  </m:sub>
                </m:sSub>
                <m:sSub>
                  <m:sSubPr>
                    <m:ctrlPr>
                      <w:rPr>
                        <w:rFonts w:ascii="Cambria Math" w:hAnsi="Times New Roman" w:cs="Times New Roman"/>
                        <w:i/>
                        <w:sz w:val="24"/>
                        <w:szCs w:val="24"/>
                      </w:rPr>
                    </m:ctrlPr>
                  </m:sSubPr>
                  <m:e>
                    <m:r>
                      <w:rPr>
                        <w:rFonts w:ascii="Cambria Math" w:hAnsi="Cambria Math" w:cs="Times New Roman"/>
                        <w:sz w:val="24"/>
                        <w:szCs w:val="24"/>
                      </w:rPr>
                      <m:t>DISPERSION</m:t>
                    </m:r>
                  </m:e>
                  <m:sub>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α</m:t>
                    </m:r>
                  </m:e>
                  <m:sub>
                    <m:r>
                      <w:rPr>
                        <w:rFonts w:ascii="Cambria Math" w:hAnsi="Times New Roman" w:cs="Times New Roman"/>
                        <w:sz w:val="24"/>
                        <w:szCs w:val="24"/>
                      </w:rPr>
                      <m:t>4</m:t>
                    </m:r>
                  </m:sub>
                </m:sSub>
                <m:sSub>
                  <m:sSubPr>
                    <m:ctrlPr>
                      <w:rPr>
                        <w:rFonts w:ascii="Cambria Math" w:hAnsi="Times New Roman" w:cs="Times New Roman"/>
                        <w:i/>
                        <w:sz w:val="24"/>
                        <w:szCs w:val="24"/>
                      </w:rPr>
                    </m:ctrlPr>
                  </m:sSubPr>
                  <m:e>
                    <m:r>
                      <w:rPr>
                        <w:rFonts w:ascii="Cambria Math" w:hAnsi="Cambria Math" w:cs="Times New Roman"/>
                        <w:sz w:val="24"/>
                        <w:szCs w:val="24"/>
                      </w:rPr>
                      <m:t>BOOK</m:t>
                    </m:r>
                    <m:r>
                      <w:rPr>
                        <w:rFonts w:ascii="Cambria Math" w:hAnsi="Times New Roman" w:cs="Times New Roman"/>
                        <w:sz w:val="24"/>
                        <w:szCs w:val="24"/>
                      </w:rPr>
                      <m:t>_</m:t>
                    </m:r>
                    <m:r>
                      <w:rPr>
                        <w:rFonts w:ascii="Cambria Math" w:hAnsi="Cambria Math" w:cs="Times New Roman"/>
                        <w:sz w:val="24"/>
                        <w:szCs w:val="24"/>
                      </w:rPr>
                      <m:t>TO</m:t>
                    </m:r>
                    <m:r>
                      <w:rPr>
                        <w:rFonts w:ascii="Cambria Math" w:hAnsi="Times New Roman" w:cs="Times New Roman"/>
                        <w:sz w:val="24"/>
                        <w:szCs w:val="24"/>
                      </w:rPr>
                      <m:t>_</m:t>
                    </m:r>
                    <m:r>
                      <w:rPr>
                        <w:rFonts w:ascii="Cambria Math" w:hAnsi="Cambria Math" w:cs="Times New Roman"/>
                        <w:sz w:val="24"/>
                        <w:szCs w:val="24"/>
                      </w:rPr>
                      <m:t>MARKET</m:t>
                    </m:r>
                  </m:e>
                  <m:sub>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α</m:t>
                    </m:r>
                  </m:e>
                  <m:sub>
                    <m:r>
                      <w:rPr>
                        <w:rFonts w:ascii="Cambria Math" w:hAnsi="Times New Roman" w:cs="Times New Roman"/>
                        <w:sz w:val="24"/>
                        <w:szCs w:val="24"/>
                      </w:rPr>
                      <m:t>5</m:t>
                    </m:r>
                  </m:sub>
                </m:sSub>
                <m:sSub>
                  <m:sSubPr>
                    <m:ctrlPr>
                      <w:rPr>
                        <w:rFonts w:ascii="Cambria Math" w:hAnsi="Times New Roman" w:cs="Times New Roman"/>
                        <w:i/>
                        <w:sz w:val="24"/>
                        <w:szCs w:val="24"/>
                      </w:rPr>
                    </m:ctrlPr>
                  </m:sSubPr>
                  <m:e>
                    <m:r>
                      <w:rPr>
                        <w:rFonts w:ascii="Cambria Math" w:hAnsi="Cambria Math" w:cs="Times New Roman"/>
                        <w:sz w:val="24"/>
                        <w:szCs w:val="24"/>
                      </w:rPr>
                      <m:t>LEVERAGE</m:t>
                    </m:r>
                  </m:e>
                  <m:sub>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α</m:t>
                    </m:r>
                  </m:e>
                  <m:sub>
                    <m:r>
                      <w:rPr>
                        <w:rFonts w:ascii="Cambria Math" w:hAnsi="Times New Roman" w:cs="Times New Roman"/>
                        <w:sz w:val="24"/>
                        <w:szCs w:val="24"/>
                      </w:rPr>
                      <m:t>6</m:t>
                    </m:r>
                  </m:sub>
                </m:sSub>
                <m:sSub>
                  <m:sSubPr>
                    <m:ctrlPr>
                      <w:rPr>
                        <w:rFonts w:ascii="Cambria Math" w:hAnsi="Times New Roman" w:cs="Times New Roman"/>
                        <w:i/>
                        <w:sz w:val="24"/>
                        <w:szCs w:val="24"/>
                      </w:rPr>
                    </m:ctrlPr>
                  </m:sSubPr>
                  <m:e>
                    <m:r>
                      <w:rPr>
                        <w:rFonts w:ascii="Cambria Math" w:hAnsi="Cambria Math" w:cs="Times New Roman"/>
                        <w:sz w:val="24"/>
                        <w:szCs w:val="24"/>
                      </w:rPr>
                      <m:t>LOG</m:t>
                    </m:r>
                    <m:r>
                      <w:rPr>
                        <w:rFonts w:ascii="Cambria Math" w:hAnsi="Times New Roman" w:cs="Times New Roman"/>
                        <w:sz w:val="24"/>
                        <w:szCs w:val="24"/>
                      </w:rPr>
                      <m:t>_</m:t>
                    </m:r>
                    <m:r>
                      <w:rPr>
                        <w:rFonts w:ascii="Cambria Math" w:hAnsi="Cambria Math" w:cs="Times New Roman"/>
                        <w:sz w:val="24"/>
                        <w:szCs w:val="24"/>
                      </w:rPr>
                      <m:t>ASSETS</m:t>
                    </m:r>
                  </m:e>
                  <m:sub>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α</m:t>
                    </m:r>
                  </m:e>
                  <m:sub>
                    <m:r>
                      <w:rPr>
                        <w:rFonts w:ascii="Cambria Math" w:hAnsi="Times New Roman" w:cs="Times New Roman"/>
                        <w:sz w:val="24"/>
                        <w:szCs w:val="24"/>
                      </w:rPr>
                      <m:t>7</m:t>
                    </m:r>
                  </m:sub>
                </m:sSub>
                <m:sSub>
                  <m:sSubPr>
                    <m:ctrlPr>
                      <w:rPr>
                        <w:rFonts w:ascii="Cambria Math" w:hAnsi="Times New Roman" w:cs="Times New Roman"/>
                        <w:i/>
                        <w:sz w:val="24"/>
                        <w:szCs w:val="24"/>
                      </w:rPr>
                    </m:ctrlPr>
                  </m:sSubPr>
                  <m:e>
                    <m:r>
                      <w:rPr>
                        <w:rFonts w:ascii="Cambria Math" w:hAnsi="Cambria Math" w:cs="Times New Roman"/>
                        <w:sz w:val="24"/>
                        <w:szCs w:val="24"/>
                      </w:rPr>
                      <m:t>LT</m:t>
                    </m:r>
                    <m:r>
                      <w:rPr>
                        <w:rFonts w:ascii="Cambria Math" w:hAnsi="Times New Roman" w:cs="Times New Roman"/>
                        <w:sz w:val="24"/>
                        <w:szCs w:val="24"/>
                      </w:rPr>
                      <m:t>_</m:t>
                    </m:r>
                    <m:r>
                      <w:rPr>
                        <w:rFonts w:ascii="Cambria Math" w:hAnsi="Cambria Math" w:cs="Times New Roman"/>
                        <w:sz w:val="24"/>
                        <w:szCs w:val="24"/>
                      </w:rPr>
                      <m:t>GROWTH</m:t>
                    </m:r>
                    <m:r>
                      <w:rPr>
                        <w:rFonts w:ascii="Cambria Math" w:hAnsi="Times New Roman" w:cs="Times New Roman"/>
                        <w:sz w:val="24"/>
                        <w:szCs w:val="24"/>
                      </w:rPr>
                      <m:t>_</m:t>
                    </m:r>
                    <m:r>
                      <w:rPr>
                        <w:rFonts w:ascii="Cambria Math" w:hAnsi="Cambria Math" w:cs="Times New Roman"/>
                        <w:sz w:val="24"/>
                        <w:szCs w:val="24"/>
                      </w:rPr>
                      <m:t>PRED</m:t>
                    </m:r>
                  </m:e>
                  <m:sub>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t</m:t>
                    </m:r>
                  </m:sub>
                </m:sSub>
              </m:oMath>
            </m:oMathPara>
          </w:p>
        </w:tc>
        <w:tc>
          <w:tcPr>
            <w:tcW w:w="558" w:type="dxa"/>
          </w:tcPr>
          <w:p w:rsidR="00080E60" w:rsidRPr="00C17EF8" w:rsidRDefault="00080E60" w:rsidP="00A95D4A">
            <w:pPr>
              <w:spacing w:line="480" w:lineRule="auto"/>
              <w:contextualSpacing/>
              <w:rPr>
                <w:rFonts w:ascii="Times New Roman" w:hAnsi="Times New Roman" w:cs="Times New Roman"/>
                <w:sz w:val="24"/>
                <w:szCs w:val="24"/>
              </w:rPr>
            </w:pPr>
            <w:r w:rsidRPr="00C17EF8">
              <w:rPr>
                <w:rFonts w:ascii="Times New Roman" w:hAnsi="Times New Roman" w:cs="Times New Roman"/>
                <w:sz w:val="24"/>
                <w:szCs w:val="24"/>
              </w:rPr>
              <w:t>(11)</w:t>
            </w:r>
          </w:p>
        </w:tc>
      </w:tr>
    </w:tbl>
    <w:p w:rsidR="00080E60" w:rsidRPr="00C17EF8" w:rsidRDefault="00080E60" w:rsidP="00080E60">
      <w:pPr>
        <w:spacing w:line="480" w:lineRule="auto"/>
        <w:contextualSpacing/>
      </w:pPr>
      <w:proofErr w:type="gramStart"/>
      <w:r w:rsidRPr="00C17EF8">
        <w:t>where</w:t>
      </w:r>
      <w:proofErr w:type="gramEnd"/>
      <w:r w:rsidRPr="00C17EF8">
        <w:t xml:space="preserve"> r is the implied cost of equity capital on the closest IBES statistical period date occurring after the 10-K filing date. </w:t>
      </w:r>
      <w:proofErr w:type="spellStart"/>
      <w:r w:rsidRPr="00C17EF8">
        <w:t>Botosan</w:t>
      </w:r>
      <w:proofErr w:type="spellEnd"/>
      <w:r w:rsidRPr="00C17EF8">
        <w:t xml:space="preserve"> et al. (2011) test the construct validity of several of the literature’s proxies for implied cost of equity capital. They find validity for only two measures, </w:t>
      </w:r>
      <w:proofErr w:type="spellStart"/>
      <w:r w:rsidRPr="00C17EF8">
        <w:t>r</w:t>
      </w:r>
      <w:r w:rsidRPr="00C17EF8">
        <w:rPr>
          <w:vertAlign w:val="subscript"/>
        </w:rPr>
        <w:t>PEG</w:t>
      </w:r>
      <w:proofErr w:type="spellEnd"/>
      <w:r w:rsidRPr="00C17EF8">
        <w:t xml:space="preserve"> and </w:t>
      </w:r>
      <w:proofErr w:type="spellStart"/>
      <w:r w:rsidRPr="00C17EF8">
        <w:t>r</w:t>
      </w:r>
      <w:r w:rsidRPr="00C17EF8">
        <w:rPr>
          <w:vertAlign w:val="subscript"/>
        </w:rPr>
        <w:t>DIV</w:t>
      </w:r>
      <w:proofErr w:type="spellEnd"/>
      <w:r w:rsidRPr="00C17EF8">
        <w:t xml:space="preserve"> and recommend researchers use these measures. Both measures are derived from a dividend discount model and a series of assumptions about abnormal earnings and earnings growth. R</w:t>
      </w:r>
      <w:r w:rsidRPr="00C17EF8">
        <w:rPr>
          <w:vertAlign w:val="subscript"/>
        </w:rPr>
        <w:t>PEG</w:t>
      </w:r>
      <w:r w:rsidRPr="00C17EF8">
        <w:t xml:space="preserve"> is the Price to Earnings-Growth ratio derived in Easton (2004) and </w:t>
      </w:r>
      <w:proofErr w:type="spellStart"/>
      <w:r w:rsidRPr="00C17EF8">
        <w:t>r</w:t>
      </w:r>
      <w:r w:rsidRPr="00C17EF8">
        <w:rPr>
          <w:vertAlign w:val="subscript"/>
        </w:rPr>
        <w:t>DIV</w:t>
      </w:r>
      <w:proofErr w:type="spellEnd"/>
      <w:r w:rsidRPr="00C17EF8">
        <w:t xml:space="preserve"> relies on the target price method from </w:t>
      </w:r>
      <w:proofErr w:type="spellStart"/>
      <w:r w:rsidRPr="00C17EF8">
        <w:t>Botosan</w:t>
      </w:r>
      <w:proofErr w:type="spellEnd"/>
      <w:r w:rsidRPr="00C17EF8">
        <w:t xml:space="preserve"> and </w:t>
      </w:r>
      <w:proofErr w:type="spellStart"/>
      <w:r w:rsidRPr="00C17EF8">
        <w:t>Plumlee</w:t>
      </w:r>
      <w:proofErr w:type="spellEnd"/>
      <w:r w:rsidRPr="00C17EF8">
        <w:t xml:space="preserve"> (2002). The two measures are defined in Appendix A, and I follow the </w:t>
      </w:r>
      <w:proofErr w:type="spellStart"/>
      <w:r w:rsidRPr="00C17EF8">
        <w:t>Botosan</w:t>
      </w:r>
      <w:proofErr w:type="spellEnd"/>
      <w:r w:rsidRPr="00C17EF8">
        <w:t xml:space="preserve"> et al. (2011) specification for both.</w:t>
      </w:r>
    </w:p>
    <w:p w:rsidR="00080E60" w:rsidRPr="00C17EF8" w:rsidRDefault="00080E60" w:rsidP="00080E60">
      <w:pPr>
        <w:spacing w:line="480" w:lineRule="auto"/>
        <w:contextualSpacing/>
      </w:pPr>
      <w:r w:rsidRPr="00C17EF8">
        <w:tab/>
        <w:t xml:space="preserve">I control for BETA, the standard deviation of analyst earnings forecasts divided by the absolute value of the mean analyst forecast (DISPERSION), the book to market ratio (BOOK_TO_MARKET), LEVERAGE, LOG_ASSETS, and the analyst consensus long-term growth forecast (LT_GROWTH_PRED) following Ghoul et al. (2011). All variables are defined in Appendix A. I include year and industry fixed effects and cluster standard errors by firm. </w:t>
      </w:r>
    </w:p>
    <w:p w:rsidR="00080E60" w:rsidRPr="00C17EF8" w:rsidRDefault="00080E60" w:rsidP="00681D52">
      <w:pPr>
        <w:pStyle w:val="Heading2"/>
        <w:rPr>
          <w:rFonts w:cs="Times New Roman"/>
        </w:rPr>
      </w:pPr>
      <w:bookmarkStart w:id="16" w:name="_Toc320370981"/>
      <w:bookmarkStart w:id="17" w:name="_Toc321493725"/>
      <w:r w:rsidRPr="00C17EF8">
        <w:rPr>
          <w:rFonts w:cs="Times New Roman"/>
        </w:rPr>
        <w:lastRenderedPageBreak/>
        <w:t>Governance Cross Sectional Analyses (H3a and H3b)</w:t>
      </w:r>
      <w:bookmarkEnd w:id="16"/>
      <w:bookmarkEnd w:id="17"/>
    </w:p>
    <w:p w:rsidR="00080E60" w:rsidRPr="00C17EF8" w:rsidRDefault="00080E60" w:rsidP="00080E60">
      <w:pPr>
        <w:spacing w:line="480" w:lineRule="auto"/>
        <w:ind w:firstLine="720"/>
        <w:contextualSpacing/>
      </w:pPr>
      <w:r w:rsidRPr="00C17EF8">
        <w:t xml:space="preserve">To test whether the implied optimal level of tax risk is higher for well governed firms (H3a), I include a proxy for governance and interact it with both TAXRISK and TAXRISK_SQ. Similarly, I include each governance variable and its corresponding interaction in model (11) to examine whether the effect of tax risk on the cost of capital is attenuated by governance (H3b). </w:t>
      </w:r>
    </w:p>
    <w:p w:rsidR="00080E60" w:rsidRPr="00C17EF8" w:rsidRDefault="00080E60" w:rsidP="00080E60">
      <w:pPr>
        <w:spacing w:line="480" w:lineRule="auto"/>
        <w:ind w:firstLine="720"/>
        <w:contextualSpacing/>
      </w:pPr>
      <w:r w:rsidRPr="00C17EF8">
        <w:t xml:space="preserve">Results from these analyses are likely sensitive to the type of governance measure used. Desai and </w:t>
      </w:r>
      <w:proofErr w:type="spellStart"/>
      <w:r w:rsidRPr="00C17EF8">
        <w:t>Dharmapala</w:t>
      </w:r>
      <w:proofErr w:type="spellEnd"/>
      <w:r w:rsidRPr="00C17EF8">
        <w:t xml:space="preserve"> (2009a) and Chyz et al. (2011) find that institutional ownership and institutional ownership turnover are significant mitigating factors on the relation between tax avoidance and firm value. I use the percentage of shares held by institutional owners to control for monitoring of managerial behavior. I specify INST_OWN as 1 when the institutional ownership is greater than the sample mean of 67.0 percent and designate these as “well-governed” firms following Desai and </w:t>
      </w:r>
      <w:proofErr w:type="spellStart"/>
      <w:r w:rsidRPr="00C17EF8">
        <w:t>Dharmapala</w:t>
      </w:r>
      <w:proofErr w:type="spellEnd"/>
      <w:r w:rsidRPr="00C17EF8">
        <w:t xml:space="preserve"> (2009a). If investors of better monitored firms are less concerned about the potential agency costs of tax risk, then better monitored firms should have a higher implied optimal level of tax risk (H3a) and a weaker association between tax risk and the cost of capital (H3b). </w:t>
      </w:r>
    </w:p>
    <w:p w:rsidR="00080E60" w:rsidRPr="00C17EF8" w:rsidRDefault="00080E60" w:rsidP="00080E60">
      <w:pPr>
        <w:spacing w:line="480" w:lineRule="auto"/>
        <w:ind w:firstLine="720"/>
        <w:contextualSpacing/>
      </w:pPr>
      <w:r w:rsidRPr="00C17EF8">
        <w:t xml:space="preserve">While institutional owners may have greater incentives to monitor managerial behavior (Desai and </w:t>
      </w:r>
      <w:proofErr w:type="spellStart"/>
      <w:r w:rsidRPr="00C17EF8">
        <w:t>Dharmapala</w:t>
      </w:r>
      <w:proofErr w:type="spellEnd"/>
      <w:r w:rsidRPr="00C17EF8">
        <w:t xml:space="preserve"> 2009a), they also have different risk preferences. A higher implied optimal level of tax risk for firms with high levels of institutional ownership might reflect differences in risk preferences. Researchers have highlighted differences in tax aggressiveness driven by varying risk preferences (</w:t>
      </w:r>
      <w:proofErr w:type="spellStart"/>
      <w:r w:rsidRPr="00C17EF8">
        <w:t>Badertscher</w:t>
      </w:r>
      <w:proofErr w:type="spellEnd"/>
      <w:r w:rsidRPr="00C17EF8">
        <w:t xml:space="preserve"> et al. 2011; Chyz et al. 2011; Chen et al. 2010; </w:t>
      </w:r>
      <w:proofErr w:type="spellStart"/>
      <w:r w:rsidRPr="00C17EF8">
        <w:t>Khurana</w:t>
      </w:r>
      <w:proofErr w:type="spellEnd"/>
      <w:r w:rsidRPr="00C17EF8">
        <w:t xml:space="preserve"> and Moser 2009). </w:t>
      </w:r>
    </w:p>
    <w:p w:rsidR="00681D52" w:rsidRPr="00C17EF8" w:rsidRDefault="00080E60" w:rsidP="003D256D">
      <w:pPr>
        <w:spacing w:line="480" w:lineRule="auto"/>
        <w:ind w:firstLine="720"/>
        <w:contextualSpacing/>
      </w:pPr>
      <w:r w:rsidRPr="00C17EF8">
        <w:lastRenderedPageBreak/>
        <w:t xml:space="preserve">To supplement the governance analysis, I also employ a proxy for managerial entrenchment. </w:t>
      </w:r>
      <w:proofErr w:type="spellStart"/>
      <w:r w:rsidRPr="00C17EF8">
        <w:t>Rego</w:t>
      </w:r>
      <w:proofErr w:type="spellEnd"/>
      <w:r w:rsidRPr="00C17EF8">
        <w:t xml:space="preserve"> and Wilson (2011) argue that proxies for managerial entrenchment are most consistent with the agency view of tax avoidance from Desai and </w:t>
      </w:r>
      <w:proofErr w:type="spellStart"/>
      <w:r w:rsidRPr="00C17EF8">
        <w:t>Dharmapala</w:t>
      </w:r>
      <w:proofErr w:type="spellEnd"/>
      <w:r w:rsidRPr="00C17EF8">
        <w:t xml:space="preserve"> (2006) because managers who are insulated from removal are more likely to engage in diversion. Following </w:t>
      </w:r>
      <w:proofErr w:type="spellStart"/>
      <w:r w:rsidRPr="00C17EF8">
        <w:t>Rego</w:t>
      </w:r>
      <w:proofErr w:type="spellEnd"/>
      <w:r w:rsidRPr="00C17EF8">
        <w:t xml:space="preserve"> and Wilson (2011), I use an indicator variable equal to zero when the CEO is also the chairman of the board of directors (CEO_CHAIRMAN), which suggests increased managerial entrenchment. If investors believe entrenched managers are more likely to engage in diversion, then firms with a CEO who is not the chair should have a higher implied optimal level of tax risk (H3a) and a smaller association between tax risk and cost of equity capital (H3b). </w:t>
      </w:r>
    </w:p>
    <w:p w:rsidR="00681D52" w:rsidRPr="00C17EF8" w:rsidRDefault="00681D52">
      <w:r w:rsidRPr="00C17EF8">
        <w:br w:type="page"/>
      </w:r>
    </w:p>
    <w:p w:rsidR="00080E60" w:rsidRPr="00C17EF8" w:rsidRDefault="00080E60" w:rsidP="00681D52">
      <w:pPr>
        <w:pStyle w:val="Heading1"/>
        <w:numPr>
          <w:ilvl w:val="0"/>
          <w:numId w:val="0"/>
        </w:numPr>
        <w:ind w:left="1620"/>
        <w:jc w:val="left"/>
      </w:pPr>
      <w:bookmarkStart w:id="18" w:name="_Toc320370982"/>
      <w:bookmarkStart w:id="19" w:name="_Toc321493726"/>
      <w:r w:rsidRPr="00C17EF8">
        <w:lastRenderedPageBreak/>
        <w:t xml:space="preserve">4. </w:t>
      </w:r>
      <w:r w:rsidR="00FD5702">
        <w:t>Sample and Descriptive Statistics</w:t>
      </w:r>
      <w:bookmarkEnd w:id="18"/>
      <w:bookmarkEnd w:id="19"/>
    </w:p>
    <w:p w:rsidR="00681D52" w:rsidRPr="00C17EF8" w:rsidRDefault="00681D52" w:rsidP="00681D52"/>
    <w:p w:rsidR="00080E60" w:rsidRPr="00C17EF8" w:rsidRDefault="00080E60" w:rsidP="00080E60">
      <w:pPr>
        <w:spacing w:line="480" w:lineRule="auto"/>
        <w:contextualSpacing/>
      </w:pPr>
      <w:r w:rsidRPr="00C17EF8">
        <w:tab/>
      </w:r>
      <w:r w:rsidR="002A6277">
        <w:t xml:space="preserve">All tables are included in Appendix B. </w:t>
      </w:r>
      <w:r w:rsidRPr="00C17EF8">
        <w:t xml:space="preserve">Table </w:t>
      </w:r>
      <w:proofErr w:type="gramStart"/>
      <w:r w:rsidRPr="00C17EF8">
        <w:t>1,</w:t>
      </w:r>
      <w:proofErr w:type="gramEnd"/>
      <w:r w:rsidRPr="00C17EF8">
        <w:t xml:space="preserve"> Panel A outlines the sample selection. I start with all firm-years ending between December 16, 2007 (the effective date for FIN 48) and July 31, 2011 that are included in the CRSP-</w:t>
      </w:r>
      <w:proofErr w:type="spellStart"/>
      <w:r w:rsidRPr="00C17EF8">
        <w:t>Compustat</w:t>
      </w:r>
      <w:proofErr w:type="spellEnd"/>
      <w:r w:rsidRPr="00C17EF8">
        <w:t xml:space="preserve"> Merged Database.  I exclude foreign firms, subsidiaries of other firms, utilities (SIC code 49), and financial services firms (SIC codes 60-69).  I eliminate firms with a missing 10-K filing date, negative stockholder’s equity, missing tax reserve data, and missing control variables. The full sample consists of 5,947 firm-year observations across five years.  For the firm value regressions (H1 and H3a), I also require observations to have the lagged value of TAXRISK since it is used as an instrument in the two-stage least squares estimation.  The final sample for the firm value regressions consists of 4,128 firm-year observations, which represents 1,784 unique firms across four years. For the cost of capital regressions (H2 and H3b), I require the necessary data to calculate the cost of capital estimates as well as additional control variables. The final sample for the cost of capital regressions consists of 2,273 firm-year observations, which represents 1,174 unique firms across four years. Table 1, Panel B contains an industry breakout of the firm value sample based on the </w:t>
      </w:r>
      <w:proofErr w:type="spellStart"/>
      <w:r w:rsidRPr="00C17EF8">
        <w:t>Fama</w:t>
      </w:r>
      <w:proofErr w:type="spellEnd"/>
      <w:r w:rsidRPr="00C17EF8">
        <w:t>-French 12 industry classification. The highest concentration of firm-years is in the Business Equipment industry with 26.4 percent.  This industry also has the highest average TAXRISK at 2.3 percent of assets.</w:t>
      </w:r>
    </w:p>
    <w:p w:rsidR="003D256D" w:rsidRPr="00C17EF8" w:rsidRDefault="00080E60" w:rsidP="003D256D">
      <w:pPr>
        <w:spacing w:line="480" w:lineRule="auto"/>
        <w:contextualSpacing/>
      </w:pPr>
      <w:r w:rsidRPr="00C17EF8">
        <w:tab/>
        <w:t xml:space="preserve">Table 1, Panel C contains descriptive statistics for variables of interest and variables entering the models. The average tax reserve balance is about $58.2 million but the median is about $4.8 million suggesting some subset of firms with extremely large tax reserves. TAXRISK ranges from zero to 11.7 percent of assets, with an average value of 1.4 percent of </w:t>
      </w:r>
      <w:r w:rsidRPr="00C17EF8">
        <w:lastRenderedPageBreak/>
        <w:t xml:space="preserve">assets. The descriptive statistics for the tax reserve variables are very similar to Koester’s (2011) sample which comes from </w:t>
      </w:r>
      <w:proofErr w:type="spellStart"/>
      <w:r w:rsidRPr="00C17EF8">
        <w:t>Compustat</w:t>
      </w:r>
      <w:proofErr w:type="spellEnd"/>
      <w:r w:rsidRPr="00C17EF8">
        <w:t xml:space="preserve"> and </w:t>
      </w:r>
      <w:proofErr w:type="spellStart"/>
      <w:r w:rsidRPr="00C17EF8">
        <w:t>Cazier</w:t>
      </w:r>
      <w:proofErr w:type="spellEnd"/>
      <w:r w:rsidRPr="00C17EF8">
        <w:t xml:space="preserve"> et al.’s (2011) sample which is hand collected from the income tax footnotes. Table 2, Panel A provides correlations for variables in model (10) and Panel B provides correlations for variables in model (11). </w:t>
      </w:r>
    </w:p>
    <w:p w:rsidR="003D256D" w:rsidRPr="00C17EF8" w:rsidRDefault="003D256D">
      <w:r w:rsidRPr="00C17EF8">
        <w:br w:type="page"/>
      </w:r>
    </w:p>
    <w:p w:rsidR="00080E60" w:rsidRPr="00C17EF8" w:rsidRDefault="00080E60" w:rsidP="00681D52">
      <w:pPr>
        <w:pStyle w:val="Heading1"/>
        <w:numPr>
          <w:ilvl w:val="0"/>
          <w:numId w:val="0"/>
        </w:numPr>
        <w:ind w:left="2880"/>
        <w:jc w:val="left"/>
      </w:pPr>
      <w:bookmarkStart w:id="20" w:name="_Toc320370983"/>
      <w:bookmarkStart w:id="21" w:name="_Toc321493727"/>
      <w:r w:rsidRPr="00C17EF8">
        <w:lastRenderedPageBreak/>
        <w:t xml:space="preserve">5. </w:t>
      </w:r>
      <w:r w:rsidR="00FD5702">
        <w:t>Empirical Results</w:t>
      </w:r>
      <w:bookmarkEnd w:id="20"/>
      <w:bookmarkEnd w:id="21"/>
    </w:p>
    <w:p w:rsidR="00681D52" w:rsidRPr="00C17EF8" w:rsidRDefault="00681D52" w:rsidP="00681D52"/>
    <w:p w:rsidR="00080E60" w:rsidRPr="00C17EF8" w:rsidRDefault="00080E60" w:rsidP="00681D52">
      <w:pPr>
        <w:pStyle w:val="Heading2"/>
        <w:rPr>
          <w:rFonts w:cs="Times New Roman"/>
        </w:rPr>
      </w:pPr>
      <w:bookmarkStart w:id="22" w:name="_Toc320370984"/>
      <w:bookmarkStart w:id="23" w:name="_Toc321493728"/>
      <w:r w:rsidRPr="00C17EF8">
        <w:rPr>
          <w:rFonts w:cs="Times New Roman"/>
        </w:rPr>
        <w:t>Tax Risk and Firm Value (H1)</w:t>
      </w:r>
      <w:bookmarkEnd w:id="22"/>
      <w:bookmarkEnd w:id="23"/>
    </w:p>
    <w:p w:rsidR="00080E60" w:rsidRPr="00C17EF8" w:rsidRDefault="00080E60" w:rsidP="00080E60">
      <w:pPr>
        <w:spacing w:line="480" w:lineRule="auto"/>
        <w:ind w:firstLine="720"/>
        <w:contextualSpacing/>
      </w:pPr>
      <w:r w:rsidRPr="00C17EF8">
        <w:t xml:space="preserve">Table 3 contains results from estimating model (10). I present the results excluding the squared term (col. 1), using OLS (col. 2), using OLS and a lagged value of tax risk (col. 3), and using the instrumental variables with bootstrapping method discussed in Section 3 (col. 4). Consistent with prior studies (Koester 2011; Song and Tucker 2008), I find a positive association between tax risk and market value when I exclude the squared term (col. 1). The similarity between the results using the quadratic OLS model (col. 2) and the lagged model (col. 3) suggests reverse causality is not a strong concern in this model. </w:t>
      </w:r>
    </w:p>
    <w:p w:rsidR="00080E60" w:rsidRPr="00C17EF8" w:rsidRDefault="00080E60" w:rsidP="00080E60">
      <w:pPr>
        <w:spacing w:line="480" w:lineRule="auto"/>
        <w:ind w:firstLine="720"/>
        <w:contextualSpacing/>
      </w:pPr>
      <w:r w:rsidRPr="00C17EF8">
        <w:t xml:space="preserve">I find evidence in support of H1 across all three specifications that employ a squared term (cols. 2-4). The positive coefficient on TAXRISK and the negative coefficient on TAXRISK_SQ indicate a concave association between tax risk and firm value. These results suggest equity investors value tax risk at a decreasing rate until the optimal level is reached, at which point increased tax risk is detrimental to equity valuation of the firm. </w:t>
      </w:r>
    </w:p>
    <w:p w:rsidR="00080E60" w:rsidRPr="00C17EF8" w:rsidRDefault="00080E60" w:rsidP="00080E60">
      <w:pPr>
        <w:spacing w:line="480" w:lineRule="auto"/>
        <w:contextualSpacing/>
      </w:pPr>
      <w:r w:rsidRPr="00C17EF8">
        <w:tab/>
        <w:t xml:space="preserve">Following Adams and Santos (2006) I provide the </w:t>
      </w:r>
      <w:proofErr w:type="spellStart"/>
      <w:r w:rsidRPr="00C17EF8">
        <w:t>argmax</w:t>
      </w:r>
      <w:proofErr w:type="spellEnd"/>
      <w:r w:rsidRPr="00C17EF8">
        <w:t xml:space="preserve"> </w:t>
      </w:r>
      <w:proofErr w:type="gramStart"/>
      <w:r w:rsidRPr="00C17EF8">
        <w:t>of each estimation</w:t>
      </w:r>
      <w:proofErr w:type="gramEnd"/>
      <w:r w:rsidRPr="00C17EF8">
        <w:t xml:space="preserve"> and the percent of observations below the </w:t>
      </w:r>
      <w:proofErr w:type="spellStart"/>
      <w:r w:rsidRPr="00C17EF8">
        <w:t>argmax</w:t>
      </w:r>
      <w:proofErr w:type="spellEnd"/>
      <w:r w:rsidRPr="00C17EF8">
        <w:t xml:space="preserve">. The </w:t>
      </w:r>
      <w:proofErr w:type="spellStart"/>
      <w:r w:rsidRPr="00C17EF8">
        <w:t>argmax</w:t>
      </w:r>
      <w:proofErr w:type="spellEnd"/>
      <w:r w:rsidRPr="00C17EF8">
        <w:t xml:space="preserve"> represents the average implied optimal level of tax risk in this particular sample of firms using the given model specification. It is calculated by taking the partial derivative of model (10) with respect to TAXRISK, setting it equal to zero, and solving for the optimal level. The result is TAXRISK*=β</w:t>
      </w:r>
      <w:r w:rsidRPr="00C17EF8">
        <w:rPr>
          <w:vertAlign w:val="subscript"/>
        </w:rPr>
        <w:t>1</w:t>
      </w:r>
      <w:r w:rsidRPr="00C17EF8">
        <w:t xml:space="preserve"> / (-2*β</w:t>
      </w:r>
      <w:r w:rsidRPr="00C17EF8">
        <w:rPr>
          <w:vertAlign w:val="subscript"/>
        </w:rPr>
        <w:t>2</w:t>
      </w:r>
      <w:r w:rsidRPr="00C17EF8">
        <w:t xml:space="preserve">). The average implied optimal TAXRISK ranges from 6.0 percent of assets using the IV with bootstrapping method (col. 4) to 6.3 percent using the lagged model (col. 3). Almost all firms in the sample are below the average implied optimal level which </w:t>
      </w:r>
      <w:r w:rsidRPr="00C17EF8">
        <w:lastRenderedPageBreak/>
        <w:t>suggests that most firms can afford to engage in riskier tax planning from an equity valuation standpoint.</w:t>
      </w:r>
      <w:r w:rsidRPr="00C17EF8">
        <w:rPr>
          <w:rStyle w:val="FootnoteReference"/>
        </w:rPr>
        <w:footnoteReference w:id="19"/>
      </w:r>
      <w:r w:rsidRPr="00C17EF8">
        <w:t xml:space="preserve"> </w:t>
      </w:r>
    </w:p>
    <w:p w:rsidR="00080E60" w:rsidRPr="00C17EF8" w:rsidRDefault="00080E60" w:rsidP="00080E60">
      <w:pPr>
        <w:spacing w:line="480" w:lineRule="auto"/>
        <w:ind w:firstLine="720"/>
        <w:contextualSpacing/>
      </w:pPr>
      <w:r w:rsidRPr="00C17EF8">
        <w:t>Row (c) of Table 3 shows the increase in tax reserves necessary for the average firm to adjust to the implied optimal level.  This analysis is based only on those firms that are below the average optimal level.  For the average firm below the optimal level, equity investors would be willing to bear at least $200.5 million more in total tax reserves. The last row (d) of Table 3 contains the cumulative increase that would be required in this sample to increase all firms from their current level of tax risk to the average implied optimal level. In the quadratic OLS specification (col. 2), for example, if all firms were to adjust their tax reserves as a percentage of assets to the optimal level, it would require a cumulative net increase of $753.9 billion in tax reserves. These results demonstrate that the extent of less-than-optimal tax behavior is economically important.</w:t>
      </w:r>
    </w:p>
    <w:p w:rsidR="00080E60" w:rsidRPr="00C17EF8" w:rsidRDefault="00080E60" w:rsidP="00080E60">
      <w:pPr>
        <w:spacing w:line="480" w:lineRule="auto"/>
        <w:ind w:firstLine="720"/>
        <w:contextualSpacing/>
      </w:pPr>
      <w:r w:rsidRPr="00C17EF8">
        <w:t xml:space="preserve">These results must be interpreted with caution. I do not assert that the optimal level of tax risk for all firms is any particular number, that the optimal level is only a function of equity investor preferences, or that all firms should adjust to the average optimal level of tax risk. The </w:t>
      </w:r>
      <w:proofErr w:type="spellStart"/>
      <w:r w:rsidRPr="00C17EF8">
        <w:t>argmax</w:t>
      </w:r>
      <w:proofErr w:type="spellEnd"/>
      <w:r w:rsidRPr="00C17EF8">
        <w:t xml:space="preserve"> is an estimate of the average implied optimal level of tax risk based on this specific sample of firms and their equity investors’ preferences. Since different types of stakeholders will have different risk preferences, and each firm has a unique mix of stakeholders, there is not one optimal level of tax risk. Certainly the true optimal level of tax risk for each firm depends on other stakeholders and other factors beyond the equity </w:t>
      </w:r>
      <w:r w:rsidRPr="00C17EF8">
        <w:lastRenderedPageBreak/>
        <w:t xml:space="preserve">valuation. Managers will engage in less tax risk than what is preferred by equity investors if managers’ perceptions of the associated costs are higher than investors’ perceptions of those same costs. Also, the </w:t>
      </w:r>
      <w:proofErr w:type="spellStart"/>
      <w:r w:rsidRPr="00C17EF8">
        <w:t>argmax</w:t>
      </w:r>
      <w:proofErr w:type="spellEnd"/>
      <w:r w:rsidRPr="00C17EF8">
        <w:t xml:space="preserve"> is based on the estimated parameters of the model which may not equate to the true values of these parameters if the model is </w:t>
      </w:r>
      <w:proofErr w:type="spellStart"/>
      <w:r w:rsidRPr="00C17EF8">
        <w:t>mis</w:t>
      </w:r>
      <w:proofErr w:type="spellEnd"/>
      <w:r w:rsidRPr="00C17EF8">
        <w:t>-specified. Nevertheless, these results suggest that the equity stakeholders perceive important benefits to tax risk and the potential impacts on firm value are economically significant.</w:t>
      </w:r>
      <w:r w:rsidRPr="00C17EF8">
        <w:rPr>
          <w:rStyle w:val="FootnoteReference"/>
        </w:rPr>
        <w:footnoteReference w:id="20"/>
      </w:r>
      <w:r w:rsidRPr="00C17EF8">
        <w:t xml:space="preserve"> </w:t>
      </w:r>
    </w:p>
    <w:p w:rsidR="00080E60" w:rsidRPr="00C17EF8" w:rsidRDefault="00080E60" w:rsidP="00681D52">
      <w:pPr>
        <w:pStyle w:val="Heading2"/>
        <w:rPr>
          <w:rFonts w:cs="Times New Roman"/>
        </w:rPr>
      </w:pPr>
      <w:bookmarkStart w:id="24" w:name="_Toc320370985"/>
      <w:bookmarkStart w:id="25" w:name="_Toc321493729"/>
      <w:r w:rsidRPr="00C17EF8">
        <w:rPr>
          <w:rFonts w:cs="Times New Roman"/>
        </w:rPr>
        <w:t>Tax Risk and Cost of Equity Capital (H2)</w:t>
      </w:r>
      <w:bookmarkEnd w:id="24"/>
      <w:bookmarkEnd w:id="25"/>
    </w:p>
    <w:p w:rsidR="00080E60" w:rsidRPr="00C17EF8" w:rsidRDefault="00080E60" w:rsidP="00080E60">
      <w:pPr>
        <w:spacing w:line="480" w:lineRule="auto"/>
        <w:contextualSpacing/>
      </w:pPr>
      <w:r w:rsidRPr="00C17EF8">
        <w:tab/>
        <w:t xml:space="preserve">The results of estimating model (11) using both </w:t>
      </w:r>
      <w:proofErr w:type="spellStart"/>
      <w:r w:rsidRPr="00C17EF8">
        <w:t>r</w:t>
      </w:r>
      <w:r w:rsidRPr="00C17EF8">
        <w:rPr>
          <w:vertAlign w:val="subscript"/>
        </w:rPr>
        <w:t>PEG</w:t>
      </w:r>
      <w:proofErr w:type="spellEnd"/>
      <w:r w:rsidRPr="00C17EF8">
        <w:t xml:space="preserve"> and </w:t>
      </w:r>
      <w:proofErr w:type="spellStart"/>
      <w:r w:rsidRPr="00C17EF8">
        <w:t>r</w:t>
      </w:r>
      <w:r w:rsidRPr="00C17EF8">
        <w:rPr>
          <w:vertAlign w:val="subscript"/>
        </w:rPr>
        <w:t>DIV</w:t>
      </w:r>
      <w:proofErr w:type="spellEnd"/>
      <w:r w:rsidRPr="00C17EF8">
        <w:t xml:space="preserve"> are shown in Table 4. The control variables are in the direction predicted by the literature and the same as in Ghoul et al. (2011) although most are not significantly different from zero in the </w:t>
      </w:r>
      <w:proofErr w:type="spellStart"/>
      <w:r w:rsidRPr="00C17EF8">
        <w:t>r</w:t>
      </w:r>
      <w:r w:rsidRPr="00C17EF8">
        <w:rPr>
          <w:vertAlign w:val="subscript"/>
        </w:rPr>
        <w:t>DIV</w:t>
      </w:r>
      <w:proofErr w:type="spellEnd"/>
      <w:r w:rsidRPr="00C17EF8">
        <w:t xml:space="preserve"> model (col. 2). TAXRISK is weakly significant and positive in both specifications suggesting that investors require a higher rate of return in the presence of riskier tax strategies to compensate for increased information asymmetry and/or information uncertainty.  This result provides some evidence that tax risk increases the equity cost of capital (H2) but additional research is warranted since this is the first study to examine the association between tax reserves and the cost of capital.  Nevertheless, this result is important because it points to a more complicated relation between firm value and tax risk than has previously been explored.  Tax risk impacts not only expectations about future cash flows but also the discount rate applied to those </w:t>
      </w:r>
      <w:r w:rsidRPr="00C17EF8">
        <w:lastRenderedPageBreak/>
        <w:t>expectations.  Future work in this area should consider the implications from both aspects of this association.</w:t>
      </w:r>
    </w:p>
    <w:p w:rsidR="00080E60" w:rsidRPr="00C17EF8" w:rsidRDefault="00080E60" w:rsidP="00681D52">
      <w:pPr>
        <w:pStyle w:val="Heading2"/>
        <w:rPr>
          <w:rFonts w:cs="Times New Roman"/>
        </w:rPr>
      </w:pPr>
      <w:bookmarkStart w:id="26" w:name="_Toc320370986"/>
      <w:bookmarkStart w:id="27" w:name="_Toc321493730"/>
      <w:r w:rsidRPr="00C17EF8">
        <w:rPr>
          <w:rFonts w:cs="Times New Roman"/>
        </w:rPr>
        <w:t>Tax Risk, Firm Value, and Governance (H3a)</w:t>
      </w:r>
      <w:bookmarkEnd w:id="26"/>
      <w:bookmarkEnd w:id="27"/>
      <w:r w:rsidRPr="00C17EF8">
        <w:rPr>
          <w:rFonts w:cs="Times New Roman"/>
        </w:rPr>
        <w:tab/>
      </w:r>
    </w:p>
    <w:p w:rsidR="00080E60" w:rsidRPr="00C17EF8" w:rsidRDefault="00080E60" w:rsidP="00080E60">
      <w:pPr>
        <w:spacing w:line="480" w:lineRule="auto"/>
        <w:contextualSpacing/>
      </w:pPr>
      <w:r w:rsidRPr="00C17EF8">
        <w:tab/>
        <w:t xml:space="preserve">Table 5 contains the results of estimating </w:t>
      </w:r>
      <w:r w:rsidR="00BB39A6">
        <w:t>model</w:t>
      </w:r>
      <w:r w:rsidRPr="00C17EF8">
        <w:t xml:space="preserve"> (10) with a control for governance and an interaction of governance with TAXRISK and TAXRISK_SQ. Column 1 shows the results when governance is defined using an indicator for institutional ownership levels above the sample mean and column 2 uses CEO/chair duality. The control variable coefficients have been suppressed but are consistent with results in Table 3.</w:t>
      </w:r>
      <w:r w:rsidRPr="00C17EF8">
        <w:rPr>
          <w:rStyle w:val="FootnoteReference"/>
        </w:rPr>
        <w:footnoteReference w:id="21"/>
      </w:r>
      <w:r w:rsidRPr="00C17EF8">
        <w:t xml:space="preserve"> TAXRISK and TAXRISK_SQ are significant in the predicted directions indicating the concave relation between tax risk and firm value holds with the inclusion of a governance control.</w:t>
      </w:r>
    </w:p>
    <w:p w:rsidR="00080E60" w:rsidRPr="00C17EF8" w:rsidRDefault="00080E60" w:rsidP="00080E60">
      <w:pPr>
        <w:spacing w:line="480" w:lineRule="auto"/>
        <w:contextualSpacing/>
      </w:pPr>
      <w:r w:rsidRPr="00C17EF8">
        <w:tab/>
        <w:t>In rows (a) and (b) of Table 5, I calculate the implied average opt</w:t>
      </w:r>
      <w:r w:rsidR="0003149A">
        <w:t xml:space="preserve">imal level of tax risk for well governed firms and for poorly </w:t>
      </w:r>
      <w:r w:rsidRPr="00C17EF8">
        <w:t>governed firms by setting the first partial derivative equal to zero and evaluating it when GOVERNANCE=1 and GOVERNANCE=0, respectively. Using the Delta method, I test the nonlinear hypothesis that these two values are equal. As shown, the implied optimal level in firms with high levels of institutional ownership (col. 1) is not statistically different from the optimal level in firms with low levels of institutional ownership (p-value=0.296). This result is not consistent with H3a and suggests that investors of firms with higher levels of institutional ownership are not necessarily willing to bear more tax risk, on average, than investors of firms with lower levels of institutional ownership.</w:t>
      </w:r>
    </w:p>
    <w:p w:rsidR="00080E60" w:rsidRPr="00C17EF8" w:rsidRDefault="00080E60" w:rsidP="00080E60">
      <w:pPr>
        <w:spacing w:line="480" w:lineRule="auto"/>
        <w:contextualSpacing/>
      </w:pPr>
      <w:r w:rsidRPr="00C17EF8">
        <w:lastRenderedPageBreak/>
        <w:tab/>
        <w:t>This result does not mean that institutional ownership has no impact on the relation between tax risk and firm value. In fact, the effect of governance on this association can only be determined by evaluating the results at a given level of TAXRISK. The differential impact governance has on this relation is determined by the linear combination of β</w:t>
      </w:r>
      <w:r w:rsidRPr="00C17EF8">
        <w:rPr>
          <w:vertAlign w:val="subscript"/>
        </w:rPr>
        <w:t>4</w:t>
      </w:r>
      <w:r w:rsidRPr="00C17EF8">
        <w:t xml:space="preserve"> + 2*β</w:t>
      </w:r>
      <w:r w:rsidRPr="00C17EF8">
        <w:rPr>
          <w:vertAlign w:val="subscript"/>
        </w:rPr>
        <w:t>5</w:t>
      </w:r>
      <w:r w:rsidR="002A6277">
        <w:t>*TAXRISK</w:t>
      </w:r>
      <w:r w:rsidRPr="00C17EF8">
        <w:t>. In the institutional ownership specification (col. 1), this linear combination is (</w:t>
      </w:r>
      <w:proofErr w:type="spellStart"/>
      <w:r w:rsidRPr="00C17EF8">
        <w:t>untabulated</w:t>
      </w:r>
      <w:proofErr w:type="spellEnd"/>
      <w:r w:rsidRPr="00C17EF8">
        <w:t xml:space="preserve">) negative and significant when TAXRISK is less than 1.3 percent and positive and significant at levels greater than 7.8 percent (and not significant otherwise). For those firms with TAXRISK less than 1.3 percent (68.0 percent of my sample), higher levels of institutional ownership attenuate the positive impact of tax risk on firm value suggesting that firms with less institutional ownership have more to gain from increases in risky tax strategies. For firms with very high levels of tax risk, higher levels of institutional ownership reduce the negative impact on firm value. Thus, it seems, institutional ownership actually does moderate the association between tax risk and firm value even if the average optimal level implied by this specification does not differ based on level of institutional ownership. </w:t>
      </w:r>
    </w:p>
    <w:p w:rsidR="00080E60" w:rsidRPr="00C17EF8" w:rsidRDefault="00080E60" w:rsidP="00080E60">
      <w:pPr>
        <w:spacing w:line="480" w:lineRule="auto"/>
        <w:ind w:firstLine="720"/>
        <w:contextualSpacing/>
      </w:pPr>
      <w:r w:rsidRPr="00C17EF8">
        <w:t xml:space="preserve">In the CEO/chair duality specification (col. 2), I find results consistent with H3b. Firms with a CEO who is also the chairman of the board have an average optimal level of 4.9 percent of assets while other firms have an average optimal level of 7.7 percent. The difference between the two is statistically significant which suggests that investors of firms where the CEO is more insulated from removal are willing to bear less tax risk. Perhaps investors perceive higher agency costs associated with tax risk when the CEO is protected from removal consistent with an agency view of tax avoidance. These higher agency costs shift the optimal level, where the marginal costs equal the marginal benefits.  </w:t>
      </w:r>
    </w:p>
    <w:p w:rsidR="00080E60" w:rsidRPr="00C17EF8" w:rsidRDefault="00080E60" w:rsidP="00681D52">
      <w:pPr>
        <w:pStyle w:val="Heading2"/>
        <w:rPr>
          <w:rFonts w:cs="Times New Roman"/>
        </w:rPr>
      </w:pPr>
      <w:bookmarkStart w:id="28" w:name="_Toc320370987"/>
      <w:bookmarkStart w:id="29" w:name="_Toc321493731"/>
      <w:r w:rsidRPr="00C17EF8">
        <w:rPr>
          <w:rFonts w:cs="Times New Roman"/>
        </w:rPr>
        <w:lastRenderedPageBreak/>
        <w:t>Tax Risk, Cost of Equity Capital, and Governance (H3b)</w:t>
      </w:r>
      <w:bookmarkEnd w:id="28"/>
      <w:bookmarkEnd w:id="29"/>
    </w:p>
    <w:p w:rsidR="002A6277" w:rsidRDefault="00080E60" w:rsidP="00080E60">
      <w:pPr>
        <w:spacing w:line="480" w:lineRule="auto"/>
        <w:contextualSpacing/>
      </w:pPr>
      <w:r w:rsidRPr="00C17EF8">
        <w:tab/>
        <w:t xml:space="preserve">Table 6 contains the results from estimating </w:t>
      </w:r>
      <w:r w:rsidR="00BB39A6">
        <w:t>model</w:t>
      </w:r>
      <w:r w:rsidRPr="00C17EF8">
        <w:t xml:space="preserve"> (11) with interactions of governance with TAXRISK using both institutional ownership and CEO/chair duality. Institutional ownership and CEO/chair duality do not have an independent effect on the cost of equity capital but TAXRISK remains positively associated with the cost of capital in all specifications except the </w:t>
      </w:r>
      <w:proofErr w:type="spellStart"/>
      <w:r w:rsidRPr="00C17EF8">
        <w:t>r</w:t>
      </w:r>
      <w:r w:rsidRPr="00C17EF8">
        <w:rPr>
          <w:vertAlign w:val="subscript"/>
        </w:rPr>
        <w:t>PEG</w:t>
      </w:r>
      <w:proofErr w:type="spellEnd"/>
      <w:r w:rsidRPr="00C17EF8">
        <w:t xml:space="preserve"> model using CEO/chair duality as the proxy for governance</w:t>
      </w:r>
      <w:r w:rsidR="002A6277">
        <w:t xml:space="preserve"> (col. 2)</w:t>
      </w:r>
      <w:r w:rsidRPr="00C17EF8">
        <w:t xml:space="preserve">. I find evidence in support of H3b in only one of the four specifications. In the </w:t>
      </w:r>
      <w:proofErr w:type="spellStart"/>
      <w:r w:rsidRPr="00C17EF8">
        <w:t>r</w:t>
      </w:r>
      <w:r w:rsidRPr="00C17EF8">
        <w:rPr>
          <w:vertAlign w:val="subscript"/>
        </w:rPr>
        <w:t>DIV</w:t>
      </w:r>
      <w:proofErr w:type="spellEnd"/>
      <w:r w:rsidRPr="00C17EF8">
        <w:t xml:space="preserve"> specification (col. 3), TAXRISK has a statistically significant impact of the cost of capital only in firms with low levels of institutional ownership, consistent with such investors requiring a higher rate of return to compensate for increased agency costs and/or information uncertainty that arises from tax risk.</w:t>
      </w:r>
      <w:r w:rsidRPr="00C17EF8">
        <w:rPr>
          <w:rStyle w:val="FootnoteReference"/>
        </w:rPr>
        <w:footnoteReference w:id="22"/>
      </w:r>
      <w:r w:rsidRPr="00C17EF8">
        <w:t xml:space="preserve"> Investors of firms with high levels of institutional ownership do not appear to require such a premium either because they believe such firms can better manage risk or because these firms have good monitoring in place to restrain the managerial diversion afforded by tax risk.  These results should be interpreted cautiously since the </w:t>
      </w:r>
      <w:proofErr w:type="spellStart"/>
      <w:r w:rsidRPr="00C17EF8">
        <w:t>r</w:t>
      </w:r>
      <w:r w:rsidRPr="00C17EF8">
        <w:rPr>
          <w:vertAlign w:val="subscript"/>
        </w:rPr>
        <w:t>PEG</w:t>
      </w:r>
      <w:proofErr w:type="spellEnd"/>
      <w:r w:rsidRPr="00C17EF8">
        <w:t xml:space="preserve"> model does not corroborate the findings.  I am unable to document evidence of a cross sectional difference in the association between tax risk and the cost of capital due to CEO/ chair duality.</w:t>
      </w:r>
    </w:p>
    <w:p w:rsidR="002A6277" w:rsidRDefault="002A6277">
      <w:r>
        <w:br w:type="page"/>
      </w:r>
    </w:p>
    <w:p w:rsidR="00080E60" w:rsidRPr="00C17EF8" w:rsidRDefault="00080E60" w:rsidP="00681D52">
      <w:pPr>
        <w:pStyle w:val="Heading1"/>
        <w:numPr>
          <w:ilvl w:val="0"/>
          <w:numId w:val="0"/>
        </w:numPr>
        <w:ind w:left="2880"/>
        <w:jc w:val="left"/>
      </w:pPr>
      <w:bookmarkStart w:id="30" w:name="_Toc320370988"/>
      <w:bookmarkStart w:id="31" w:name="_Toc321493732"/>
      <w:r w:rsidRPr="00C17EF8">
        <w:lastRenderedPageBreak/>
        <w:t xml:space="preserve">6. </w:t>
      </w:r>
      <w:r w:rsidR="00FD5702">
        <w:t>Additional Analyses</w:t>
      </w:r>
      <w:bookmarkEnd w:id="30"/>
      <w:bookmarkEnd w:id="31"/>
    </w:p>
    <w:p w:rsidR="00681D52" w:rsidRPr="00C17EF8" w:rsidRDefault="00681D52" w:rsidP="00681D52"/>
    <w:p w:rsidR="00080E60" w:rsidRPr="00C17EF8" w:rsidRDefault="00080E60" w:rsidP="00681D52">
      <w:pPr>
        <w:pStyle w:val="Heading2"/>
        <w:rPr>
          <w:rFonts w:cs="Times New Roman"/>
        </w:rPr>
      </w:pPr>
      <w:bookmarkStart w:id="32" w:name="_Toc320370989"/>
      <w:bookmarkStart w:id="33" w:name="_Toc321493733"/>
      <w:r w:rsidRPr="00C17EF8">
        <w:rPr>
          <w:rFonts w:cs="Times New Roman"/>
        </w:rPr>
        <w:t>Industry-Adjusted Tax Risk</w:t>
      </w:r>
      <w:bookmarkEnd w:id="32"/>
      <w:bookmarkEnd w:id="33"/>
    </w:p>
    <w:p w:rsidR="00080E60" w:rsidRPr="00C17EF8" w:rsidRDefault="00080E60" w:rsidP="00080E60">
      <w:pPr>
        <w:spacing w:line="480" w:lineRule="auto"/>
        <w:contextualSpacing/>
      </w:pPr>
      <w:r w:rsidRPr="00C17EF8">
        <w:tab/>
        <w:t xml:space="preserve">Given that firms in the same industry tend to engage in the same type of tax strategies, investors may assess firm-specific tax risk in relation to firms in the same industry. To examine this possibility, I calculate an industry-adjusted TAXRISK by subtracting the median for each firm’s industry-year, based on two-digit SIC codes, from the TAXRISK value of the firm. All results are robust to the industry-adjusted variable except the coefficient on adjusted TAXRISK is not significant in the </w:t>
      </w:r>
      <w:proofErr w:type="spellStart"/>
      <w:r w:rsidRPr="00C17EF8">
        <w:t>r</w:t>
      </w:r>
      <w:r w:rsidRPr="00C17EF8">
        <w:rPr>
          <w:vertAlign w:val="subscript"/>
        </w:rPr>
        <w:t>PEG</w:t>
      </w:r>
      <w:proofErr w:type="spellEnd"/>
      <w:r w:rsidRPr="00C17EF8">
        <w:t xml:space="preserve"> model that examines institutional ownership (Table 6, col. 1).  A positive average optimum would imply that, on average, investors prefer firms that are tax-riskier (i.e. more tax aggressive) than the median firm. The main results from this analysis suggest the average implied optimal level of TAXRISK is 5.4 percentage points greater than the industry median consistent with a positive valuation of tax risky firms and a concave association between firm value and industry-adjusted tax risk.  </w:t>
      </w:r>
    </w:p>
    <w:p w:rsidR="00080E60" w:rsidRPr="00C17EF8" w:rsidRDefault="00080E60" w:rsidP="00681D52">
      <w:pPr>
        <w:pStyle w:val="Heading2"/>
        <w:rPr>
          <w:rFonts w:cs="Times New Roman"/>
        </w:rPr>
      </w:pPr>
      <w:bookmarkStart w:id="34" w:name="_Toc320370990"/>
      <w:bookmarkStart w:id="35" w:name="_Toc321493734"/>
      <w:r w:rsidRPr="00C17EF8">
        <w:rPr>
          <w:rFonts w:cs="Times New Roman"/>
        </w:rPr>
        <w:t>Sample Partitions</w:t>
      </w:r>
      <w:bookmarkEnd w:id="34"/>
      <w:bookmarkEnd w:id="35"/>
    </w:p>
    <w:p w:rsidR="00080E60" w:rsidRPr="00C17EF8" w:rsidRDefault="00080E60" w:rsidP="00080E60">
      <w:pPr>
        <w:spacing w:line="480" w:lineRule="auto"/>
        <w:contextualSpacing/>
      </w:pPr>
      <w:r w:rsidRPr="00C17EF8">
        <w:tab/>
        <w:t xml:space="preserve">To investigate whether the results in Table 3 are driven by the influence of a particular subset of firms within the sample, I run separate regressions after excluding the top </w:t>
      </w:r>
      <w:proofErr w:type="spellStart"/>
      <w:r w:rsidRPr="00C17EF8">
        <w:t>decile</w:t>
      </w:r>
      <w:proofErr w:type="spellEnd"/>
      <w:r w:rsidRPr="00C17EF8">
        <w:t xml:space="preserve"> of TAXRISK observations. The concave association between tax risk and firm value persists. The average optimal level after excluding the top </w:t>
      </w:r>
      <w:proofErr w:type="spellStart"/>
      <w:r w:rsidRPr="00C17EF8">
        <w:t>decile</w:t>
      </w:r>
      <w:proofErr w:type="spellEnd"/>
      <w:r w:rsidRPr="00C17EF8">
        <w:t xml:space="preserve"> firms is 2.1 percent of assets, substantially lower than the 6.1 percent optimal level shown in Table 3, column 2. This result is not surprising given the skewed distribution of TAXRISK and suggests that for </w:t>
      </w:r>
      <w:r w:rsidRPr="00C17EF8">
        <w:lastRenderedPageBreak/>
        <w:t xml:space="preserve">many firms, the true optimal level is lower than what is suggested by an average optimal level that accounts for all firms in the sample. The evidence continues to point to a lack of excessive risk taking in the context of tax planning since 89.8 percent of the reduced sample observations have a TAXRISK value less than 2.1 percent. The top </w:t>
      </w:r>
      <w:proofErr w:type="spellStart"/>
      <w:r w:rsidRPr="00C17EF8">
        <w:t>decile</w:t>
      </w:r>
      <w:proofErr w:type="spellEnd"/>
      <w:r w:rsidRPr="00C17EF8">
        <w:t xml:space="preserve"> alone does not result in a sample large enough to yield statistically significant coefficients on TAXRISK and TAXRISK_SQ so I am unable to accurately interpret the average optimal level for this particular subset of firms.</w:t>
      </w:r>
    </w:p>
    <w:p w:rsidR="00080E60" w:rsidRPr="00C17EF8" w:rsidRDefault="00080E60" w:rsidP="00080E60">
      <w:pPr>
        <w:spacing w:line="480" w:lineRule="auto"/>
        <w:contextualSpacing/>
      </w:pPr>
      <w:r w:rsidRPr="00C17EF8">
        <w:tab/>
        <w:t xml:space="preserve">To further analyze these differences, I compare the firms in the top tenth of TAXRISK to all the other observations in my sample. Table 7 provides t-tests of the differences across all variables used in model (10). As shown, risky tax firms tend to have more foreign sales, more net operating losses, </w:t>
      </w:r>
      <w:r w:rsidR="00503711">
        <w:t xml:space="preserve">less long-term debt, </w:t>
      </w:r>
      <w:r w:rsidRPr="00C17EF8">
        <w:t xml:space="preserve">more volatility, and </w:t>
      </w:r>
      <w:r w:rsidR="00503711">
        <w:t>lower</w:t>
      </w:r>
      <w:r w:rsidRPr="00C17EF8">
        <w:t xml:space="preserve"> </w:t>
      </w:r>
      <w:r w:rsidR="00503711">
        <w:t>sales growth</w:t>
      </w:r>
      <w:r w:rsidRPr="00C17EF8">
        <w:t>. High TAXRISK firms also tend to be younger firms and are more likely to be in a current year loss position.</w:t>
      </w:r>
      <w:r w:rsidRPr="00C17EF8">
        <w:tab/>
      </w:r>
    </w:p>
    <w:p w:rsidR="00080E60" w:rsidRPr="00C17EF8" w:rsidRDefault="00080E60" w:rsidP="00681D52">
      <w:pPr>
        <w:pStyle w:val="Heading2"/>
        <w:rPr>
          <w:rFonts w:cs="Times New Roman"/>
        </w:rPr>
      </w:pPr>
      <w:bookmarkStart w:id="36" w:name="_Toc320370991"/>
      <w:bookmarkStart w:id="37" w:name="_Toc321493735"/>
      <w:r w:rsidRPr="00C17EF8">
        <w:rPr>
          <w:rFonts w:cs="Times New Roman"/>
        </w:rPr>
        <w:t>Higher Order Polynomials</w:t>
      </w:r>
      <w:bookmarkEnd w:id="36"/>
      <w:bookmarkEnd w:id="37"/>
    </w:p>
    <w:p w:rsidR="00080E60" w:rsidRPr="00C17EF8" w:rsidRDefault="00080E60" w:rsidP="00080E60">
      <w:pPr>
        <w:spacing w:line="480" w:lineRule="auto"/>
        <w:ind w:firstLine="720"/>
        <w:contextualSpacing/>
      </w:pPr>
      <w:r w:rsidRPr="00C17EF8">
        <w:t>I also examine the possibility that the true association between tax risk and firm value is a higher order polynomial function. I successively add hig</w:t>
      </w:r>
      <w:r w:rsidR="00BB39A6">
        <w:t>her order TAXRISK variables to m</w:t>
      </w:r>
      <w:r w:rsidRPr="00C17EF8">
        <w:t xml:space="preserve">odel </w:t>
      </w:r>
      <w:r w:rsidR="00BB39A6">
        <w:t>(</w:t>
      </w:r>
      <w:r w:rsidRPr="00C17EF8">
        <w:t>10</w:t>
      </w:r>
      <w:r w:rsidR="00BB39A6">
        <w:t>)</w:t>
      </w:r>
      <w:r w:rsidRPr="00C17EF8">
        <w:t xml:space="preserve"> beginning with a cubed term until the coefficients on these terms are no longer statistically significant at conventional levels. All TAXRISK coefficients continue to be highly significant until addition of the seventh power, in which case only TAXRISK and TAXRISK_SQ remain significant. Figure 1 depicts the association between tax risk and firm value u</w:t>
      </w:r>
      <w:r w:rsidR="00BB39A6">
        <w:t>sing the results of estimating m</w:t>
      </w:r>
      <w:r w:rsidRPr="00C17EF8">
        <w:t xml:space="preserve">odel </w:t>
      </w:r>
      <w:r w:rsidR="00BB39A6">
        <w:t>(</w:t>
      </w:r>
      <w:r w:rsidRPr="00C17EF8">
        <w:t>10</w:t>
      </w:r>
      <w:r w:rsidR="00BB39A6">
        <w:t>)</w:t>
      </w:r>
      <w:r w:rsidRPr="00C17EF8">
        <w:t xml:space="preserve"> as a sixth order polynomial function of TAXRISK. The implied average optimal level for the sample using this estimation is 5.4 </w:t>
      </w:r>
      <w:r w:rsidRPr="00C17EF8">
        <w:lastRenderedPageBreak/>
        <w:t>percent of assets, relatively similar to the main result of 6.1 percent of assets (Table 3, col. 2).  However, there appears to be another local maximum at 11.4 percent of assets. The graph suggests over 95</w:t>
      </w:r>
      <w:r w:rsidR="002A6277">
        <w:t>.0</w:t>
      </w:r>
      <w:r w:rsidRPr="00C17EF8">
        <w:t xml:space="preserve"> percent of firms in the sample (those with a TAXRISK less than 5.4 percent) are below the average optimal level and could likely expect increases in tax risk to improve firm value, all else constant. Consistent with </w:t>
      </w:r>
      <w:r w:rsidR="002A6277">
        <w:t xml:space="preserve">my main results, for most firms, </w:t>
      </w:r>
      <w:r w:rsidRPr="00C17EF8">
        <w:t xml:space="preserve">value is increasing in tax risk at a decreasing (although not constant) rate up to some optimum and decreasing in tax risk beyond that optimal level. However, for those firms with very high levels of TAXRISK (above 9.3), increases </w:t>
      </w:r>
      <w:r w:rsidR="002A6277">
        <w:t xml:space="preserve">in </w:t>
      </w:r>
      <w:r w:rsidRPr="00C17EF8">
        <w:t>risky tax strategies might actually improve firm value. These results provide further evidence that the relation between tax risk and firm value is extremely complex. Nevertheless, for most firms, the sixth order polynomial function corroborates the main findings using a simpler quadratic model which suggests the quadratic version may be a more efficient tool for future research.</w:t>
      </w:r>
    </w:p>
    <w:p w:rsidR="00080E60" w:rsidRPr="00C17EF8" w:rsidRDefault="00080E60" w:rsidP="00681D52">
      <w:pPr>
        <w:pStyle w:val="Heading2"/>
        <w:rPr>
          <w:rFonts w:cs="Times New Roman"/>
        </w:rPr>
      </w:pPr>
      <w:bookmarkStart w:id="38" w:name="_Toc320370992"/>
      <w:bookmarkStart w:id="39" w:name="_Toc321493736"/>
      <w:r w:rsidRPr="00C17EF8">
        <w:rPr>
          <w:rFonts w:cs="Times New Roman"/>
        </w:rPr>
        <w:t>Other Robustness Checks</w:t>
      </w:r>
      <w:bookmarkEnd w:id="38"/>
      <w:bookmarkEnd w:id="39"/>
    </w:p>
    <w:p w:rsidR="003D256D" w:rsidRPr="00C17EF8" w:rsidRDefault="00080E60" w:rsidP="00080E60">
      <w:pPr>
        <w:spacing w:line="480" w:lineRule="auto"/>
        <w:ind w:firstLine="720"/>
        <w:contextualSpacing/>
      </w:pPr>
      <w:r w:rsidRPr="00C17EF8">
        <w:t xml:space="preserve">The results of Table 3 using the quadratic OLS specification are also robust to the following alternative specifications: 1) dropping all firm-years with a current year loss (1,273 observations), 2) dropping all firm-years where TAXRISK equals zero (399 observations), 3) inclusion of a variable to control for stock option compensation, 4) inclusion of research and development expenses scaled by assets, 5) replacing STD_DEV_RETURNS with BETA, 6) inclusion of a binary proxy for merger and acquisition activity based on the </w:t>
      </w:r>
      <w:proofErr w:type="spellStart"/>
      <w:r w:rsidRPr="00C17EF8">
        <w:t>Compustat</w:t>
      </w:r>
      <w:proofErr w:type="spellEnd"/>
      <w:r w:rsidRPr="00C17EF8">
        <w:t xml:space="preserve"> footnote codes for the </w:t>
      </w:r>
      <w:r w:rsidRPr="00C17EF8">
        <w:rPr>
          <w:i/>
        </w:rPr>
        <w:t>sale</w:t>
      </w:r>
      <w:r w:rsidRPr="00C17EF8">
        <w:t xml:space="preserve"> variable, and 7) inclusion of a control for intangible assets and goodwill, scaled by assets.</w:t>
      </w:r>
    </w:p>
    <w:p w:rsidR="003D256D" w:rsidRPr="00C17EF8" w:rsidRDefault="003D256D">
      <w:r w:rsidRPr="00C17EF8">
        <w:br w:type="page"/>
      </w:r>
    </w:p>
    <w:p w:rsidR="00080E60" w:rsidRPr="00C17EF8" w:rsidRDefault="00080E60" w:rsidP="00681D52">
      <w:pPr>
        <w:pStyle w:val="Heading1"/>
        <w:numPr>
          <w:ilvl w:val="0"/>
          <w:numId w:val="0"/>
        </w:numPr>
        <w:ind w:left="2880"/>
        <w:jc w:val="left"/>
      </w:pPr>
      <w:bookmarkStart w:id="40" w:name="_Toc320370993"/>
      <w:bookmarkStart w:id="41" w:name="_Toc321493737"/>
      <w:r w:rsidRPr="00C17EF8">
        <w:lastRenderedPageBreak/>
        <w:t>7. C</w:t>
      </w:r>
      <w:r w:rsidR="00FD5702">
        <w:t>onclusion</w:t>
      </w:r>
      <w:bookmarkEnd w:id="40"/>
      <w:bookmarkEnd w:id="41"/>
    </w:p>
    <w:p w:rsidR="00681D52" w:rsidRPr="00C17EF8" w:rsidRDefault="00681D52" w:rsidP="00681D52"/>
    <w:p w:rsidR="00080E60" w:rsidRPr="00C17EF8" w:rsidRDefault="00080E60" w:rsidP="00080E60">
      <w:pPr>
        <w:spacing w:line="480" w:lineRule="auto"/>
        <w:contextualSpacing/>
      </w:pPr>
      <w:r w:rsidRPr="00C17EF8">
        <w:tab/>
        <w:t>I investigate whether there is an optimal level of tax risk from an equity valuation standpoint. Using the tax reserve disclosed under FIN 48 to proxy for tax risk, I find a concave association between tax risk and firm value consistent with an optimal level of tax risk. These results indicate that investors value tax risk up to some level, at which point the costs become too excessive and increases in tax risk are detrimental to firm value. The average implied optimal level of tax risk in my sample ranges from a tax reserve balance of 6.0 percent of assets to 6.3 percent of assets. I do not find evidence of excessive risk taking in the context of tax avoidance. Instead almost all firms in my sample are below the average optimal level and it would take at least $733 billion in cumulative increases in tax reserves to get all firms to the optimal level. The average implied optimal level of tax risk from an equity valuation standpoint tends to be higher for firms with lower levels of managerial entrenchment indicating that investors of these firms are willing to bear more tax risk. The average optimal level does not vary with the level of institutional ownership although institutional ownership moderates the association between tax risk and firm value.</w:t>
      </w:r>
    </w:p>
    <w:p w:rsidR="00080E60" w:rsidRPr="00C17EF8" w:rsidRDefault="00080E60" w:rsidP="00080E60">
      <w:pPr>
        <w:spacing w:line="480" w:lineRule="auto"/>
        <w:contextualSpacing/>
      </w:pPr>
      <w:r w:rsidRPr="00C17EF8">
        <w:tab/>
        <w:t>I also document a positive association between equity cost of capital and tax risk which indicates that at least part of the association between tax risk and firm value is driven by the discount rate applied to expectations about future cash flows. Consistent with an agency view of tax avoidance, investors likely require a higher rate of return in tax risky firms to compensate for additional agency costs associated with tax risk. The evidence is mixed on whether the positive association between tax risk and the cost of equity capital is attenuated,</w:t>
      </w:r>
      <w:r w:rsidR="0003149A">
        <w:t xml:space="preserve"> or even eliminated, for better </w:t>
      </w:r>
      <w:r w:rsidRPr="00C17EF8">
        <w:t>governed firms.</w:t>
      </w:r>
    </w:p>
    <w:p w:rsidR="003D256D" w:rsidRPr="00C17EF8" w:rsidRDefault="00080E60" w:rsidP="003D256D">
      <w:pPr>
        <w:spacing w:line="480" w:lineRule="auto"/>
        <w:contextualSpacing/>
      </w:pPr>
      <w:r w:rsidRPr="00C17EF8">
        <w:lastRenderedPageBreak/>
        <w:tab/>
        <w:t xml:space="preserve">My study is limited by the specific sample of firms employed and the time period of available data. My estimates of the implied optimal level of tax risk cannot necessarily be applied to other firms during other time periods but provide some evidence about the economic magnitude of the shortage of tax risky behavior from an equity investor standpoint. My sample period is marked by severe economic downturns making it less </w:t>
      </w:r>
      <w:proofErr w:type="spellStart"/>
      <w:r w:rsidRPr="00C17EF8">
        <w:t>generalizable</w:t>
      </w:r>
      <w:proofErr w:type="spellEnd"/>
      <w:r w:rsidRPr="00C17EF8">
        <w:t xml:space="preserve"> than samples spanning longer time windows. These results should also be interpreted cautiously given that each firm has a different true optimal level of tax risk based on its various stakeholders’ preferences and its managers’ concerns. Lastly, to the extent that managers do not fully comply with FIN 48 in reporting tax reserves, my results might be indicative of under-reserving rather than a shortage of tax risk. Nevertheless, the results strongly suggest there is an optimal level of tax risk from an equity valuation standpoint, although it is different for every firm. These results are not consistent with excessive risk taking in the context of tax avoidance, and the economic magnitudes I report corroborate prior concerns that managers may not be fully taking advantage of tax savings opportunities.</w:t>
      </w:r>
    </w:p>
    <w:p w:rsidR="003D256D" w:rsidRPr="00C17EF8" w:rsidRDefault="003D256D">
      <w:r w:rsidRPr="00C17EF8">
        <w:br w:type="page"/>
      </w:r>
    </w:p>
    <w:p w:rsidR="00C50F3A" w:rsidRDefault="00C50F3A" w:rsidP="00681D52">
      <w:pPr>
        <w:pStyle w:val="Heading3"/>
        <w:rPr>
          <w:rFonts w:cs="Times New Roman"/>
        </w:rPr>
      </w:pPr>
      <w:bookmarkStart w:id="42" w:name="_Toc320370994"/>
    </w:p>
    <w:p w:rsidR="00C50F3A" w:rsidRDefault="00C50F3A" w:rsidP="00681D52">
      <w:pPr>
        <w:pStyle w:val="Heading3"/>
        <w:rPr>
          <w:rFonts w:cs="Times New Roman"/>
        </w:rPr>
      </w:pPr>
    </w:p>
    <w:p w:rsidR="00C50F3A" w:rsidRDefault="00C50F3A" w:rsidP="00681D52">
      <w:pPr>
        <w:pStyle w:val="Heading3"/>
        <w:rPr>
          <w:rFonts w:cs="Times New Roman"/>
        </w:rPr>
      </w:pPr>
    </w:p>
    <w:p w:rsidR="00C50F3A" w:rsidRDefault="00C50F3A" w:rsidP="00681D52">
      <w:pPr>
        <w:pStyle w:val="Heading3"/>
        <w:rPr>
          <w:rFonts w:cs="Times New Roman"/>
        </w:rPr>
      </w:pPr>
    </w:p>
    <w:p w:rsidR="00C50F3A" w:rsidRDefault="00C50F3A" w:rsidP="00681D52">
      <w:pPr>
        <w:pStyle w:val="Heading3"/>
        <w:rPr>
          <w:rFonts w:cs="Times New Roman"/>
        </w:rPr>
      </w:pPr>
    </w:p>
    <w:p w:rsidR="00D310B5" w:rsidRPr="00D310B5" w:rsidRDefault="00D310B5" w:rsidP="00D310B5"/>
    <w:p w:rsidR="00C50F3A" w:rsidRDefault="00FD5702" w:rsidP="00681D52">
      <w:pPr>
        <w:pStyle w:val="Heading3"/>
        <w:rPr>
          <w:rFonts w:cs="Times New Roman"/>
        </w:rPr>
      </w:pPr>
      <w:bookmarkStart w:id="43" w:name="_Toc321493738"/>
      <w:r>
        <w:rPr>
          <w:rFonts w:cs="Times New Roman"/>
        </w:rPr>
        <w:t>List of References</w:t>
      </w:r>
      <w:bookmarkEnd w:id="42"/>
      <w:bookmarkEnd w:id="43"/>
    </w:p>
    <w:p w:rsidR="00C50F3A" w:rsidRDefault="00C50F3A" w:rsidP="00C50F3A">
      <w:pPr>
        <w:rPr>
          <w:sz w:val="28"/>
          <w:szCs w:val="26"/>
        </w:rPr>
      </w:pPr>
      <w:r>
        <w:br w:type="page"/>
      </w:r>
    </w:p>
    <w:p w:rsidR="00E85E72" w:rsidRPr="00E85E72" w:rsidRDefault="00E85E72" w:rsidP="00E85E72">
      <w:pPr>
        <w:ind w:left="720" w:hanging="720"/>
        <w:rPr>
          <w:rStyle w:val="italic"/>
        </w:rPr>
      </w:pPr>
      <w:proofErr w:type="gramStart"/>
      <w:r w:rsidRPr="00E85E72">
        <w:rPr>
          <w:rStyle w:val="italic"/>
        </w:rPr>
        <w:lastRenderedPageBreak/>
        <w:t>Adams, R., and J. Santos.</w:t>
      </w:r>
      <w:proofErr w:type="gramEnd"/>
      <w:r w:rsidRPr="00E85E72">
        <w:rPr>
          <w:rStyle w:val="italic"/>
        </w:rPr>
        <w:t xml:space="preserve"> 2006. Identifying the effect of managerial control on firm performance. </w:t>
      </w:r>
      <w:r w:rsidRPr="00E85E72">
        <w:rPr>
          <w:rStyle w:val="italic"/>
          <w:i/>
        </w:rPr>
        <w:t>Journal of Accounting and Economics</w:t>
      </w:r>
      <w:r w:rsidRPr="00E85E72">
        <w:rPr>
          <w:rStyle w:val="italic"/>
        </w:rPr>
        <w:t xml:space="preserve"> 41: 55-85.</w:t>
      </w:r>
    </w:p>
    <w:p w:rsidR="00E85E72" w:rsidRPr="00E85E72" w:rsidRDefault="00E85E72" w:rsidP="00E85E72">
      <w:pPr>
        <w:ind w:left="720" w:hanging="720"/>
        <w:rPr>
          <w:rStyle w:val="italic"/>
        </w:rPr>
      </w:pPr>
    </w:p>
    <w:p w:rsidR="00E85E72" w:rsidRPr="00E85E72" w:rsidRDefault="00E85E72" w:rsidP="00E85E72">
      <w:pPr>
        <w:ind w:left="720" w:hanging="720"/>
        <w:rPr>
          <w:rStyle w:val="italic"/>
        </w:rPr>
      </w:pPr>
      <w:proofErr w:type="gramStart"/>
      <w:r w:rsidRPr="00E85E72">
        <w:rPr>
          <w:rStyle w:val="italic"/>
        </w:rPr>
        <w:t xml:space="preserve">Alexander, R., M. </w:t>
      </w:r>
      <w:proofErr w:type="spellStart"/>
      <w:r w:rsidRPr="00E85E72">
        <w:rPr>
          <w:rStyle w:val="italic"/>
        </w:rPr>
        <w:t>Ettredge</w:t>
      </w:r>
      <w:proofErr w:type="spellEnd"/>
      <w:r w:rsidRPr="00E85E72">
        <w:rPr>
          <w:rStyle w:val="italic"/>
        </w:rPr>
        <w:t>, M. Stone, and L. Sun. 2009.</w:t>
      </w:r>
      <w:proofErr w:type="gramEnd"/>
      <w:r w:rsidRPr="00E85E72">
        <w:rPr>
          <w:rStyle w:val="italic"/>
        </w:rPr>
        <w:t xml:space="preserve"> </w:t>
      </w:r>
      <w:proofErr w:type="gramStart"/>
      <w:r w:rsidRPr="00E85E72">
        <w:rPr>
          <w:rStyle w:val="italic"/>
        </w:rPr>
        <w:t>Assessing uncertain tax benefit aggressiveness.</w:t>
      </w:r>
      <w:proofErr w:type="gramEnd"/>
      <w:r w:rsidRPr="00E85E72">
        <w:rPr>
          <w:rStyle w:val="italic"/>
        </w:rPr>
        <w:t xml:space="preserve"> </w:t>
      </w:r>
      <w:proofErr w:type="gramStart"/>
      <w:r w:rsidRPr="00E85E72">
        <w:rPr>
          <w:rStyle w:val="italic"/>
        </w:rPr>
        <w:t>Working paper.</w:t>
      </w:r>
      <w:proofErr w:type="gramEnd"/>
    </w:p>
    <w:p w:rsidR="00E85E72" w:rsidRPr="00E85E72" w:rsidRDefault="00E85E72" w:rsidP="00E85E72">
      <w:pPr>
        <w:ind w:left="720" w:hanging="720"/>
        <w:rPr>
          <w:rStyle w:val="italic"/>
        </w:rPr>
      </w:pPr>
    </w:p>
    <w:p w:rsidR="00E85E72" w:rsidRPr="00E85E72" w:rsidRDefault="00E85E72" w:rsidP="00E85E72">
      <w:pPr>
        <w:ind w:left="720" w:hanging="720"/>
        <w:rPr>
          <w:rStyle w:val="italic"/>
        </w:rPr>
      </w:pPr>
      <w:proofErr w:type="spellStart"/>
      <w:r w:rsidRPr="00E85E72">
        <w:rPr>
          <w:rStyle w:val="italic"/>
        </w:rPr>
        <w:t>Badertscher</w:t>
      </w:r>
      <w:proofErr w:type="spellEnd"/>
      <w:r w:rsidRPr="00E85E72">
        <w:rPr>
          <w:rStyle w:val="italic"/>
        </w:rPr>
        <w:t xml:space="preserve">, B., S. Katz, and S. </w:t>
      </w:r>
      <w:proofErr w:type="spellStart"/>
      <w:r w:rsidRPr="00E85E72">
        <w:rPr>
          <w:rStyle w:val="italic"/>
        </w:rPr>
        <w:t>Rego</w:t>
      </w:r>
      <w:proofErr w:type="spellEnd"/>
      <w:r w:rsidRPr="00E85E72">
        <w:rPr>
          <w:rStyle w:val="italic"/>
        </w:rPr>
        <w:t xml:space="preserve">. 2011. The impact of private equity ownership on portfolio firms’ corporate tax avoidance. </w:t>
      </w:r>
      <w:proofErr w:type="gramStart"/>
      <w:r w:rsidRPr="00E85E72">
        <w:rPr>
          <w:rStyle w:val="italic"/>
        </w:rPr>
        <w:t>Working paper.</w:t>
      </w:r>
      <w:proofErr w:type="gramEnd"/>
    </w:p>
    <w:p w:rsidR="00E85E72" w:rsidRPr="00E85E72" w:rsidRDefault="00E85E72" w:rsidP="00E85E72">
      <w:pPr>
        <w:ind w:left="720" w:hanging="720"/>
        <w:rPr>
          <w:rStyle w:val="italic"/>
        </w:rPr>
      </w:pPr>
    </w:p>
    <w:p w:rsidR="00E85E72" w:rsidRPr="00E85E72" w:rsidRDefault="00E85E72" w:rsidP="00E85E72">
      <w:pPr>
        <w:ind w:left="720" w:hanging="720"/>
        <w:rPr>
          <w:rStyle w:val="italic"/>
        </w:rPr>
      </w:pPr>
      <w:proofErr w:type="spellStart"/>
      <w:proofErr w:type="gramStart"/>
      <w:r w:rsidRPr="00E85E72">
        <w:rPr>
          <w:rStyle w:val="italic"/>
        </w:rPr>
        <w:t>Balakrishnan</w:t>
      </w:r>
      <w:proofErr w:type="spellEnd"/>
      <w:r w:rsidRPr="00E85E72">
        <w:rPr>
          <w:rStyle w:val="italic"/>
        </w:rPr>
        <w:t xml:space="preserve">, K., J. </w:t>
      </w:r>
      <w:proofErr w:type="spellStart"/>
      <w:r w:rsidRPr="00E85E72">
        <w:rPr>
          <w:rStyle w:val="italic"/>
        </w:rPr>
        <w:t>Blouin</w:t>
      </w:r>
      <w:proofErr w:type="spellEnd"/>
      <w:r w:rsidRPr="00E85E72">
        <w:rPr>
          <w:rStyle w:val="italic"/>
        </w:rPr>
        <w:t xml:space="preserve">, and W. </w:t>
      </w:r>
      <w:proofErr w:type="spellStart"/>
      <w:r w:rsidRPr="00E85E72">
        <w:rPr>
          <w:rStyle w:val="italic"/>
        </w:rPr>
        <w:t>Guay</w:t>
      </w:r>
      <w:proofErr w:type="spellEnd"/>
      <w:r w:rsidRPr="00E85E72">
        <w:rPr>
          <w:rStyle w:val="italic"/>
        </w:rPr>
        <w:t>.</w:t>
      </w:r>
      <w:proofErr w:type="gramEnd"/>
      <w:r w:rsidRPr="00E85E72">
        <w:rPr>
          <w:rStyle w:val="italic"/>
        </w:rPr>
        <w:t xml:space="preserve"> 2011. Does tax aggressiveness reduce financial reporting transparency? </w:t>
      </w:r>
      <w:proofErr w:type="gramStart"/>
      <w:r w:rsidRPr="00E85E72">
        <w:rPr>
          <w:rStyle w:val="italic"/>
        </w:rPr>
        <w:t>Working paper.</w:t>
      </w:r>
      <w:proofErr w:type="gramEnd"/>
    </w:p>
    <w:p w:rsidR="00E85E72" w:rsidRPr="00E85E72" w:rsidRDefault="00E85E72" w:rsidP="00E85E72">
      <w:pPr>
        <w:ind w:left="720" w:hanging="720"/>
        <w:rPr>
          <w:rStyle w:val="italic"/>
        </w:rPr>
      </w:pPr>
    </w:p>
    <w:p w:rsidR="00E85E72" w:rsidRPr="00E85E72" w:rsidRDefault="00E85E72" w:rsidP="00E85E72">
      <w:pPr>
        <w:ind w:left="720" w:hanging="720"/>
        <w:rPr>
          <w:rStyle w:val="italic"/>
        </w:rPr>
      </w:pPr>
      <w:proofErr w:type="gramStart"/>
      <w:r w:rsidRPr="00E85E72">
        <w:rPr>
          <w:rStyle w:val="italic"/>
        </w:rPr>
        <w:t>Blaylock, B. 2011.</w:t>
      </w:r>
      <w:proofErr w:type="gramEnd"/>
      <w:r w:rsidRPr="00E85E72">
        <w:rPr>
          <w:rStyle w:val="italic"/>
        </w:rPr>
        <w:t xml:space="preserve"> Do managers extract economically significant rents through tax aggressive transactions? </w:t>
      </w:r>
      <w:proofErr w:type="gramStart"/>
      <w:r w:rsidRPr="00E85E72">
        <w:rPr>
          <w:rStyle w:val="italic"/>
        </w:rPr>
        <w:t>Working paper.</w:t>
      </w:r>
      <w:proofErr w:type="gramEnd"/>
    </w:p>
    <w:p w:rsidR="00E85E72" w:rsidRPr="00E85E72" w:rsidRDefault="00E85E72" w:rsidP="00E85E72">
      <w:pPr>
        <w:ind w:left="720" w:hanging="720"/>
        <w:rPr>
          <w:rStyle w:val="italic"/>
        </w:rPr>
      </w:pPr>
    </w:p>
    <w:p w:rsidR="00E85E72" w:rsidRPr="00E85E72" w:rsidRDefault="00E85E72" w:rsidP="00E85E72">
      <w:pPr>
        <w:ind w:left="720" w:hanging="720"/>
        <w:rPr>
          <w:rStyle w:val="italic"/>
        </w:rPr>
      </w:pPr>
      <w:proofErr w:type="spellStart"/>
      <w:proofErr w:type="gramStart"/>
      <w:r w:rsidRPr="00E85E72">
        <w:rPr>
          <w:rStyle w:val="italic"/>
        </w:rPr>
        <w:t>Botosan</w:t>
      </w:r>
      <w:proofErr w:type="spellEnd"/>
      <w:r w:rsidRPr="00E85E72">
        <w:rPr>
          <w:rStyle w:val="italic"/>
        </w:rPr>
        <w:t xml:space="preserve">, C., and M. </w:t>
      </w:r>
      <w:proofErr w:type="spellStart"/>
      <w:r w:rsidRPr="00E85E72">
        <w:rPr>
          <w:rStyle w:val="italic"/>
        </w:rPr>
        <w:t>Plumlee</w:t>
      </w:r>
      <w:proofErr w:type="spellEnd"/>
      <w:r w:rsidRPr="00E85E72">
        <w:rPr>
          <w:rStyle w:val="italic"/>
        </w:rPr>
        <w:t>.</w:t>
      </w:r>
      <w:proofErr w:type="gramEnd"/>
      <w:r w:rsidRPr="00E85E72">
        <w:rPr>
          <w:rStyle w:val="italic"/>
        </w:rPr>
        <w:t xml:space="preserve"> 2002. A re-examination of disclosure level and expected cost of equity capital. </w:t>
      </w:r>
      <w:r w:rsidRPr="00E85E72">
        <w:rPr>
          <w:rStyle w:val="italic"/>
          <w:i/>
        </w:rPr>
        <w:t>Journal of Accounting Research</w:t>
      </w:r>
      <w:r w:rsidRPr="00E85E72">
        <w:rPr>
          <w:rStyle w:val="italic"/>
        </w:rPr>
        <w:t xml:space="preserve"> 40 (1): 21-40.</w:t>
      </w:r>
    </w:p>
    <w:p w:rsidR="00E85E72" w:rsidRPr="00E85E72" w:rsidRDefault="00E85E72" w:rsidP="00E85E72">
      <w:pPr>
        <w:ind w:left="720" w:hanging="720"/>
        <w:rPr>
          <w:rStyle w:val="italic"/>
        </w:rPr>
      </w:pPr>
    </w:p>
    <w:p w:rsidR="00E85E72" w:rsidRPr="00E85E72" w:rsidRDefault="00E85E72" w:rsidP="00E85E72">
      <w:pPr>
        <w:ind w:left="720" w:hanging="720"/>
        <w:rPr>
          <w:rStyle w:val="italic"/>
        </w:rPr>
      </w:pPr>
      <w:proofErr w:type="spellStart"/>
      <w:proofErr w:type="gramStart"/>
      <w:r w:rsidRPr="00E85E72">
        <w:rPr>
          <w:rStyle w:val="italic"/>
        </w:rPr>
        <w:t>Botosan</w:t>
      </w:r>
      <w:proofErr w:type="spellEnd"/>
      <w:r w:rsidRPr="00E85E72">
        <w:rPr>
          <w:rStyle w:val="italic"/>
        </w:rPr>
        <w:t xml:space="preserve">, C., and M. </w:t>
      </w:r>
      <w:proofErr w:type="spellStart"/>
      <w:r w:rsidRPr="00E85E72">
        <w:rPr>
          <w:rStyle w:val="italic"/>
        </w:rPr>
        <w:t>Plumlee</w:t>
      </w:r>
      <w:proofErr w:type="spellEnd"/>
      <w:r w:rsidRPr="00E85E72">
        <w:rPr>
          <w:rStyle w:val="italic"/>
        </w:rPr>
        <w:t>.</w:t>
      </w:r>
      <w:proofErr w:type="gramEnd"/>
      <w:r w:rsidRPr="00E85E72">
        <w:rPr>
          <w:rStyle w:val="italic"/>
        </w:rPr>
        <w:t xml:space="preserve"> 2005. Assessing alternative proxies for the expected risk premium. </w:t>
      </w:r>
      <w:r w:rsidRPr="00E85E72">
        <w:rPr>
          <w:rStyle w:val="italic"/>
          <w:i/>
        </w:rPr>
        <w:t>The Accounting Review</w:t>
      </w:r>
      <w:r w:rsidRPr="00E85E72">
        <w:rPr>
          <w:rStyle w:val="italic"/>
        </w:rPr>
        <w:t xml:space="preserve"> 80 (1): 21-53.</w:t>
      </w:r>
    </w:p>
    <w:p w:rsidR="00E85E72" w:rsidRPr="00E85E72" w:rsidRDefault="00E85E72" w:rsidP="00E85E72">
      <w:pPr>
        <w:ind w:left="720" w:hanging="720"/>
        <w:rPr>
          <w:rStyle w:val="italic"/>
        </w:rPr>
      </w:pPr>
    </w:p>
    <w:p w:rsidR="00E85E72" w:rsidRPr="00E85E72" w:rsidRDefault="00E85E72" w:rsidP="00E85E72">
      <w:pPr>
        <w:ind w:left="720" w:hanging="720"/>
        <w:rPr>
          <w:rStyle w:val="italic"/>
        </w:rPr>
      </w:pPr>
      <w:proofErr w:type="spellStart"/>
      <w:proofErr w:type="gramStart"/>
      <w:r w:rsidRPr="00E85E72">
        <w:rPr>
          <w:rStyle w:val="italic"/>
        </w:rPr>
        <w:t>Botosan</w:t>
      </w:r>
      <w:proofErr w:type="spellEnd"/>
      <w:r w:rsidRPr="00E85E72">
        <w:rPr>
          <w:rStyle w:val="italic"/>
        </w:rPr>
        <w:t xml:space="preserve">, C., M. </w:t>
      </w:r>
      <w:proofErr w:type="spellStart"/>
      <w:r w:rsidRPr="00E85E72">
        <w:rPr>
          <w:rStyle w:val="italic"/>
        </w:rPr>
        <w:t>Plumlee</w:t>
      </w:r>
      <w:proofErr w:type="spellEnd"/>
      <w:r w:rsidRPr="00E85E72">
        <w:rPr>
          <w:rStyle w:val="italic"/>
        </w:rPr>
        <w:t>, and H. Wen.</w:t>
      </w:r>
      <w:proofErr w:type="gramEnd"/>
      <w:r w:rsidRPr="00E85E72">
        <w:rPr>
          <w:rStyle w:val="italic"/>
        </w:rPr>
        <w:t xml:space="preserve"> 2011. The relation between expected returns, realized returns, and firm risk characteristics. </w:t>
      </w:r>
      <w:r w:rsidRPr="00E85E72">
        <w:rPr>
          <w:rStyle w:val="italic"/>
          <w:i/>
        </w:rPr>
        <w:t>Contemporary Accounting Research</w:t>
      </w:r>
      <w:r w:rsidRPr="00E85E72">
        <w:rPr>
          <w:rStyle w:val="italic"/>
        </w:rPr>
        <w:t xml:space="preserve"> forthcoming.</w:t>
      </w:r>
    </w:p>
    <w:p w:rsidR="00E85E72" w:rsidRPr="00E85E72" w:rsidRDefault="00E85E72" w:rsidP="00E85E72">
      <w:pPr>
        <w:ind w:left="720" w:hanging="720"/>
        <w:rPr>
          <w:rStyle w:val="italic"/>
        </w:rPr>
      </w:pPr>
    </w:p>
    <w:p w:rsidR="00E85E72" w:rsidRPr="00E85E72" w:rsidRDefault="00E85E72" w:rsidP="00E85E72">
      <w:pPr>
        <w:ind w:left="720" w:hanging="720"/>
        <w:rPr>
          <w:rStyle w:val="italic"/>
        </w:rPr>
      </w:pPr>
      <w:proofErr w:type="gramStart"/>
      <w:r w:rsidRPr="00E85E72">
        <w:rPr>
          <w:rStyle w:val="italic"/>
        </w:rPr>
        <w:t xml:space="preserve">Brown, L., and M. </w:t>
      </w:r>
      <w:proofErr w:type="spellStart"/>
      <w:r w:rsidRPr="00E85E72">
        <w:rPr>
          <w:rStyle w:val="italic"/>
        </w:rPr>
        <w:t>Caylor</w:t>
      </w:r>
      <w:proofErr w:type="spellEnd"/>
      <w:r w:rsidRPr="00E85E72">
        <w:rPr>
          <w:rStyle w:val="italic"/>
        </w:rPr>
        <w:t>.</w:t>
      </w:r>
      <w:proofErr w:type="gramEnd"/>
      <w:r w:rsidRPr="00E85E72">
        <w:rPr>
          <w:rStyle w:val="italic"/>
        </w:rPr>
        <w:t xml:space="preserve"> 2006. Corporate governance and firm valuation. </w:t>
      </w:r>
      <w:r w:rsidRPr="00E85E72">
        <w:rPr>
          <w:rStyle w:val="italic"/>
          <w:i/>
        </w:rPr>
        <w:t>Journal of Accounting and Public Policy</w:t>
      </w:r>
      <w:r w:rsidRPr="00E85E72">
        <w:rPr>
          <w:rStyle w:val="italic"/>
        </w:rPr>
        <w:t xml:space="preserve"> 25: 409-434.</w:t>
      </w:r>
    </w:p>
    <w:p w:rsidR="00E85E72" w:rsidRPr="00E85E72" w:rsidRDefault="00E85E72" w:rsidP="00E85E72">
      <w:pPr>
        <w:ind w:left="720" w:hanging="720"/>
        <w:rPr>
          <w:rStyle w:val="italic"/>
        </w:rPr>
      </w:pPr>
    </w:p>
    <w:p w:rsidR="00E85E72" w:rsidRPr="00E85E72" w:rsidRDefault="00E85E72" w:rsidP="00E85E72">
      <w:pPr>
        <w:ind w:left="720" w:hanging="720"/>
        <w:rPr>
          <w:rStyle w:val="italic"/>
        </w:rPr>
      </w:pPr>
      <w:proofErr w:type="gramStart"/>
      <w:r w:rsidRPr="00E85E72">
        <w:rPr>
          <w:rStyle w:val="italic"/>
        </w:rPr>
        <w:t>Brown, J., K. Drake, and M. Martin.</w:t>
      </w:r>
      <w:proofErr w:type="gramEnd"/>
      <w:r w:rsidRPr="00E85E72">
        <w:rPr>
          <w:rStyle w:val="italic"/>
        </w:rPr>
        <w:t xml:space="preserve"> 2011. Are firms myopic? </w:t>
      </w:r>
      <w:proofErr w:type="gramStart"/>
      <w:r w:rsidRPr="00E85E72">
        <w:rPr>
          <w:rStyle w:val="italic"/>
        </w:rPr>
        <w:t>The case of contracting on performance and uncertainty.</w:t>
      </w:r>
      <w:proofErr w:type="gramEnd"/>
      <w:r w:rsidRPr="00E85E72">
        <w:rPr>
          <w:rStyle w:val="italic"/>
        </w:rPr>
        <w:t xml:space="preserve"> </w:t>
      </w:r>
      <w:proofErr w:type="gramStart"/>
      <w:r w:rsidRPr="00E85E72">
        <w:rPr>
          <w:rStyle w:val="italic"/>
        </w:rPr>
        <w:t>Working paper.</w:t>
      </w:r>
      <w:proofErr w:type="gramEnd"/>
    </w:p>
    <w:p w:rsidR="00E85E72" w:rsidRPr="00E85E72" w:rsidRDefault="00E85E72" w:rsidP="00E85E72">
      <w:pPr>
        <w:ind w:left="720" w:hanging="720"/>
        <w:rPr>
          <w:rStyle w:val="italic"/>
        </w:rPr>
      </w:pPr>
    </w:p>
    <w:p w:rsidR="00E85E72" w:rsidRPr="00E85E72" w:rsidRDefault="00E85E72" w:rsidP="00E85E72">
      <w:pPr>
        <w:ind w:left="720" w:hanging="720"/>
      </w:pPr>
      <w:proofErr w:type="spellStart"/>
      <w:r w:rsidRPr="00E85E72">
        <w:rPr>
          <w:rStyle w:val="italic"/>
        </w:rPr>
        <w:t>Cazier</w:t>
      </w:r>
      <w:proofErr w:type="spellEnd"/>
      <w:r w:rsidRPr="00E85E72">
        <w:rPr>
          <w:rStyle w:val="italic"/>
        </w:rPr>
        <w:t xml:space="preserve">, R., S. </w:t>
      </w:r>
      <w:proofErr w:type="spellStart"/>
      <w:r w:rsidRPr="00E85E72">
        <w:rPr>
          <w:rStyle w:val="italic"/>
        </w:rPr>
        <w:t>Rego</w:t>
      </w:r>
      <w:proofErr w:type="spellEnd"/>
      <w:r w:rsidRPr="00E85E72">
        <w:rPr>
          <w:rStyle w:val="italic"/>
        </w:rPr>
        <w:t xml:space="preserve">, X. </w:t>
      </w:r>
      <w:proofErr w:type="spellStart"/>
      <w:r w:rsidRPr="00E85E72">
        <w:rPr>
          <w:rStyle w:val="italic"/>
        </w:rPr>
        <w:t>Tian</w:t>
      </w:r>
      <w:proofErr w:type="spellEnd"/>
      <w:r w:rsidRPr="00E85E72">
        <w:rPr>
          <w:rStyle w:val="italic"/>
        </w:rPr>
        <w:t xml:space="preserve">, and R. Wilson. 2009. </w:t>
      </w:r>
      <w:r w:rsidRPr="00E85E72">
        <w:t xml:space="preserve">Early evidence on the determinants of unrecognized tax benefits.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pPr>
        <w:ind w:left="720" w:hanging="720"/>
      </w:pPr>
      <w:proofErr w:type="spellStart"/>
      <w:r w:rsidRPr="00E85E72">
        <w:rPr>
          <w:rStyle w:val="italic"/>
        </w:rPr>
        <w:t>Cazier</w:t>
      </w:r>
      <w:proofErr w:type="spellEnd"/>
      <w:r w:rsidRPr="00E85E72">
        <w:rPr>
          <w:rStyle w:val="italic"/>
        </w:rPr>
        <w:t xml:space="preserve">, R., S. </w:t>
      </w:r>
      <w:proofErr w:type="spellStart"/>
      <w:r w:rsidRPr="00E85E72">
        <w:rPr>
          <w:rStyle w:val="italic"/>
        </w:rPr>
        <w:t>Rego</w:t>
      </w:r>
      <w:proofErr w:type="spellEnd"/>
      <w:r w:rsidRPr="00E85E72">
        <w:rPr>
          <w:rStyle w:val="italic"/>
        </w:rPr>
        <w:t xml:space="preserve">, X. </w:t>
      </w:r>
      <w:proofErr w:type="spellStart"/>
      <w:r w:rsidRPr="00E85E72">
        <w:rPr>
          <w:rStyle w:val="italic"/>
        </w:rPr>
        <w:t>Tian</w:t>
      </w:r>
      <w:proofErr w:type="spellEnd"/>
      <w:r w:rsidRPr="00E85E72">
        <w:rPr>
          <w:rStyle w:val="italic"/>
        </w:rPr>
        <w:t xml:space="preserve">, and R. Wilson. 2011. </w:t>
      </w:r>
      <w:r w:rsidRPr="00E85E72">
        <w:t xml:space="preserve">Did FIN 48 limit the use of tax reserves as a tool for earnings management? </w:t>
      </w:r>
      <w:proofErr w:type="gramStart"/>
      <w:r w:rsidRPr="00E85E72">
        <w:t>Working paper.</w:t>
      </w:r>
      <w:proofErr w:type="gramEnd"/>
    </w:p>
    <w:p w:rsidR="00E85E72" w:rsidRPr="00E85E72" w:rsidRDefault="00E85E72" w:rsidP="00E85E72">
      <w:pPr>
        <w:ind w:left="720" w:hanging="720"/>
        <w:rPr>
          <w:rStyle w:val="italic"/>
        </w:rPr>
      </w:pPr>
    </w:p>
    <w:p w:rsidR="00E85E72" w:rsidRPr="00E85E72" w:rsidRDefault="00E85E72" w:rsidP="00E85E72">
      <w:pPr>
        <w:ind w:left="720" w:hanging="720"/>
      </w:pPr>
      <w:proofErr w:type="gramStart"/>
      <w:r w:rsidRPr="00E85E72">
        <w:t>Chen.,</w:t>
      </w:r>
      <w:proofErr w:type="gramEnd"/>
      <w:r w:rsidRPr="00E85E72">
        <w:t xml:space="preserve"> S., X. Chen, Q. Cheng, and T. </w:t>
      </w:r>
      <w:proofErr w:type="spellStart"/>
      <w:r w:rsidRPr="00E85E72">
        <w:t>Shevlin</w:t>
      </w:r>
      <w:proofErr w:type="spellEnd"/>
      <w:r w:rsidRPr="00E85E72">
        <w:t xml:space="preserve">. 2010. Are family firms more tax aggressive than non-family firms? </w:t>
      </w:r>
      <w:r w:rsidRPr="00E85E72">
        <w:rPr>
          <w:i/>
        </w:rPr>
        <w:t>Journal of Financial Economics</w:t>
      </w:r>
      <w:r w:rsidRPr="00E85E72">
        <w:t xml:space="preserve"> 95: 41-61.</w:t>
      </w:r>
    </w:p>
    <w:p w:rsidR="00E85E72" w:rsidRPr="00E85E72" w:rsidRDefault="00E85E72" w:rsidP="00E85E72">
      <w:pPr>
        <w:ind w:left="720" w:hanging="720"/>
      </w:pPr>
    </w:p>
    <w:p w:rsidR="002A6277" w:rsidRDefault="00E85E72" w:rsidP="00E85E72">
      <w:pPr>
        <w:ind w:left="720" w:hanging="720"/>
      </w:pPr>
      <w:proofErr w:type="gramStart"/>
      <w:r w:rsidRPr="00E85E72">
        <w:t>Cheng, C.S., H. Huang, Y. Li, and J. Stanfield.</w:t>
      </w:r>
      <w:proofErr w:type="gramEnd"/>
      <w:r w:rsidRPr="00E85E72">
        <w:t xml:space="preserve"> 2011. The effect of hedge fund activism on corporate tax avoidance. </w:t>
      </w:r>
      <w:proofErr w:type="gramStart"/>
      <w:r w:rsidRPr="00E85E72">
        <w:t>Working paper.</w:t>
      </w:r>
      <w:proofErr w:type="gramEnd"/>
    </w:p>
    <w:p w:rsidR="009B0DA3" w:rsidRPr="00E85E72" w:rsidRDefault="009B0DA3" w:rsidP="00E85E72">
      <w:pPr>
        <w:ind w:left="720" w:hanging="720"/>
      </w:pPr>
    </w:p>
    <w:p w:rsidR="00E85E72" w:rsidRPr="00E85E72" w:rsidRDefault="00E85E72" w:rsidP="00E85E72">
      <w:pPr>
        <w:ind w:left="720" w:hanging="720"/>
      </w:pPr>
      <w:r w:rsidRPr="00E85E72">
        <w:lastRenderedPageBreak/>
        <w:t xml:space="preserve">Chyz, J. 2011. </w:t>
      </w:r>
      <w:proofErr w:type="gramStart"/>
      <w:r w:rsidRPr="00E85E72">
        <w:t>Personally tax aggressive executives and corporate tax aggressiveness.</w:t>
      </w:r>
      <w:proofErr w:type="gramEnd"/>
      <w:r w:rsidRPr="00E85E72">
        <w:t xml:space="preserve">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pPr>
        <w:ind w:left="720" w:hanging="720"/>
        <w:rPr>
          <w:rStyle w:val="italic"/>
        </w:rPr>
      </w:pPr>
      <w:proofErr w:type="gramStart"/>
      <w:r w:rsidRPr="00E85E72">
        <w:rPr>
          <w:rStyle w:val="italic"/>
        </w:rPr>
        <w:t xml:space="preserve">Chyz, J., S. Leung, O. Li, and O. </w:t>
      </w:r>
      <w:proofErr w:type="spellStart"/>
      <w:r w:rsidRPr="00E85E72">
        <w:rPr>
          <w:rStyle w:val="italic"/>
        </w:rPr>
        <w:t>Rui</w:t>
      </w:r>
      <w:proofErr w:type="spellEnd"/>
      <w:r w:rsidRPr="00E85E72">
        <w:rPr>
          <w:rStyle w:val="italic"/>
        </w:rPr>
        <w:t>.</w:t>
      </w:r>
      <w:proofErr w:type="gramEnd"/>
      <w:r w:rsidRPr="00E85E72">
        <w:rPr>
          <w:rStyle w:val="italic"/>
        </w:rPr>
        <w:t xml:space="preserve"> 2011. Labor unions and tax aggressiveness. </w:t>
      </w:r>
      <w:proofErr w:type="gramStart"/>
      <w:r w:rsidRPr="00E85E72">
        <w:rPr>
          <w:rStyle w:val="italic"/>
        </w:rPr>
        <w:t>Working paper.</w:t>
      </w:r>
      <w:proofErr w:type="gramEnd"/>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Crocker, K., and J. </w:t>
      </w:r>
      <w:proofErr w:type="spellStart"/>
      <w:r w:rsidRPr="00E85E72">
        <w:t>Slemrod</w:t>
      </w:r>
      <w:proofErr w:type="spellEnd"/>
      <w:r w:rsidRPr="00E85E72">
        <w:t>.</w:t>
      </w:r>
      <w:proofErr w:type="gramEnd"/>
      <w:r w:rsidRPr="00E85E72">
        <w:t xml:space="preserve"> 2005. Corporate tax evasion with agency costs. </w:t>
      </w:r>
      <w:r w:rsidRPr="00E85E72">
        <w:rPr>
          <w:i/>
        </w:rPr>
        <w:t>Journal of Public Economics</w:t>
      </w:r>
      <w:r w:rsidRPr="00E85E72">
        <w:t xml:space="preserve"> 89: 1593-1610.</w:t>
      </w:r>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De </w:t>
      </w:r>
      <w:proofErr w:type="spellStart"/>
      <w:r w:rsidRPr="00E85E72">
        <w:t>Waegenaere</w:t>
      </w:r>
      <w:proofErr w:type="spellEnd"/>
      <w:r w:rsidRPr="00E85E72">
        <w:t xml:space="preserve">, A., R. </w:t>
      </w:r>
      <w:proofErr w:type="spellStart"/>
      <w:r w:rsidRPr="00E85E72">
        <w:t>Sansing</w:t>
      </w:r>
      <w:proofErr w:type="spellEnd"/>
      <w:r w:rsidRPr="00E85E72">
        <w:t xml:space="preserve">, and J. </w:t>
      </w:r>
      <w:proofErr w:type="spellStart"/>
      <w:r w:rsidRPr="00E85E72">
        <w:t>Wielhouwer</w:t>
      </w:r>
      <w:proofErr w:type="spellEnd"/>
      <w:r w:rsidRPr="00E85E72">
        <w:t>.</w:t>
      </w:r>
      <w:proofErr w:type="gramEnd"/>
      <w:r w:rsidRPr="00E85E72">
        <w:t xml:space="preserve"> 2010. Financial accounting measures of tax reporting aggressiveness.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pPr>
        <w:ind w:left="720" w:hanging="720"/>
      </w:pPr>
      <w:proofErr w:type="spellStart"/>
      <w:r w:rsidRPr="00E85E72">
        <w:t>Dechow</w:t>
      </w:r>
      <w:proofErr w:type="spellEnd"/>
      <w:r w:rsidRPr="00E85E72">
        <w:t xml:space="preserve">, P., R. Sloan, and A. Sweeney. 1995. Detecting earnings management. </w:t>
      </w:r>
      <w:r w:rsidRPr="00E85E72">
        <w:rPr>
          <w:i/>
        </w:rPr>
        <w:t>The Accounting Review</w:t>
      </w:r>
      <w:r w:rsidRPr="00E85E72">
        <w:t xml:space="preserve"> 70 (2): 193-226.</w:t>
      </w:r>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Desai, M., and D. </w:t>
      </w:r>
      <w:proofErr w:type="spellStart"/>
      <w:r w:rsidRPr="00E85E72">
        <w:t>Dharmapala</w:t>
      </w:r>
      <w:proofErr w:type="spellEnd"/>
      <w:r w:rsidRPr="00E85E72">
        <w:t>.</w:t>
      </w:r>
      <w:proofErr w:type="gramEnd"/>
      <w:r w:rsidRPr="00E85E72">
        <w:t xml:space="preserve"> 2006. Corporate tax avoidance and high-powered incentives. </w:t>
      </w:r>
      <w:r w:rsidRPr="00E85E72">
        <w:rPr>
          <w:i/>
        </w:rPr>
        <w:t>Journal of Financial Economics</w:t>
      </w:r>
      <w:r w:rsidRPr="00E85E72">
        <w:t xml:space="preserve"> 79: 145-179.</w:t>
      </w:r>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Desai, M., and D. </w:t>
      </w:r>
      <w:proofErr w:type="spellStart"/>
      <w:r w:rsidRPr="00E85E72">
        <w:t>Dharmapala</w:t>
      </w:r>
      <w:proofErr w:type="spellEnd"/>
      <w:r w:rsidRPr="00E85E72">
        <w:t>.</w:t>
      </w:r>
      <w:proofErr w:type="gramEnd"/>
      <w:r w:rsidRPr="00E85E72">
        <w:t xml:space="preserve"> 2007. Taxation and corporate governance: An economic approach.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Desai, M., and D. </w:t>
      </w:r>
      <w:proofErr w:type="spellStart"/>
      <w:r w:rsidRPr="00E85E72">
        <w:t>Dharmapala</w:t>
      </w:r>
      <w:proofErr w:type="spellEnd"/>
      <w:r w:rsidRPr="00E85E72">
        <w:t>.</w:t>
      </w:r>
      <w:proofErr w:type="gramEnd"/>
      <w:r w:rsidRPr="00E85E72">
        <w:t xml:space="preserve"> 2009a. </w:t>
      </w:r>
      <w:proofErr w:type="gramStart"/>
      <w:r w:rsidRPr="00E85E72">
        <w:t>Corporate</w:t>
      </w:r>
      <w:proofErr w:type="gramEnd"/>
      <w:r w:rsidRPr="00E85E72">
        <w:t xml:space="preserve"> tax avoidance and firm value. </w:t>
      </w:r>
      <w:r w:rsidRPr="00E85E72">
        <w:rPr>
          <w:i/>
        </w:rPr>
        <w:t>Review of Economics and Statistics</w:t>
      </w:r>
      <w:r w:rsidRPr="00E85E72">
        <w:t xml:space="preserve"> 91: 537-546.</w:t>
      </w:r>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Desai, M., and D. </w:t>
      </w:r>
      <w:proofErr w:type="spellStart"/>
      <w:r w:rsidRPr="00E85E72">
        <w:t>Dharmapala</w:t>
      </w:r>
      <w:proofErr w:type="spellEnd"/>
      <w:r w:rsidRPr="00E85E72">
        <w:t>.</w:t>
      </w:r>
      <w:proofErr w:type="gramEnd"/>
      <w:r w:rsidRPr="00E85E72">
        <w:t xml:space="preserve"> </w:t>
      </w:r>
      <w:proofErr w:type="gramStart"/>
      <w:r w:rsidRPr="00E85E72">
        <w:t>2009b. Earnings management, corporate tax shelters, and book-tax alignment.</w:t>
      </w:r>
      <w:proofErr w:type="gramEnd"/>
      <w:r w:rsidRPr="00E85E72">
        <w:t xml:space="preserve"> </w:t>
      </w:r>
      <w:r w:rsidRPr="00E85E72">
        <w:rPr>
          <w:i/>
        </w:rPr>
        <w:t>National Tax Journal</w:t>
      </w:r>
      <w:r w:rsidRPr="00E85E72">
        <w:t xml:space="preserve"> 62: 169-186.</w:t>
      </w:r>
    </w:p>
    <w:p w:rsidR="00E85E72" w:rsidRPr="00E85E72" w:rsidRDefault="00E85E72" w:rsidP="00E85E72">
      <w:pPr>
        <w:ind w:left="720" w:hanging="720"/>
      </w:pPr>
    </w:p>
    <w:p w:rsidR="00E85E72" w:rsidRPr="00E85E72" w:rsidRDefault="00E85E72" w:rsidP="00E85E72">
      <w:pPr>
        <w:ind w:left="720" w:hanging="720"/>
      </w:pPr>
      <w:proofErr w:type="gramStart"/>
      <w:r w:rsidRPr="00E85E72">
        <w:t>Desai, M., and J. Hines.</w:t>
      </w:r>
      <w:proofErr w:type="gramEnd"/>
      <w:r w:rsidRPr="00E85E72">
        <w:t xml:space="preserve"> 2002. Expectations and expatriations: Tracing the causes and consequences of corporate inversions. </w:t>
      </w:r>
      <w:r w:rsidRPr="00E85E72">
        <w:rPr>
          <w:i/>
        </w:rPr>
        <w:t>National Tax Journal</w:t>
      </w:r>
      <w:r w:rsidRPr="00E85E72">
        <w:t xml:space="preserve"> 55: 409-440.</w:t>
      </w:r>
    </w:p>
    <w:p w:rsidR="00E85E72" w:rsidRPr="00E85E72" w:rsidRDefault="00E85E72" w:rsidP="00E85E72">
      <w:pPr>
        <w:ind w:left="720" w:hanging="720"/>
      </w:pPr>
    </w:p>
    <w:p w:rsidR="00E85E72" w:rsidRPr="00E85E72" w:rsidRDefault="00E85E72" w:rsidP="00E85E72">
      <w:pPr>
        <w:ind w:left="720" w:hanging="720"/>
      </w:pPr>
      <w:proofErr w:type="spellStart"/>
      <w:proofErr w:type="gramStart"/>
      <w:r w:rsidRPr="00E85E72">
        <w:t>Dhaliwal</w:t>
      </w:r>
      <w:proofErr w:type="spellEnd"/>
      <w:r w:rsidRPr="00E85E72">
        <w:t>, D., S. Huang, W. Moser, and R. Pereira.</w:t>
      </w:r>
      <w:proofErr w:type="gramEnd"/>
      <w:r w:rsidRPr="00E85E72">
        <w:t xml:space="preserve"> 2011. Corporate tax avoidance and the level and valuation of firm cash holdings.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pPr>
        <w:ind w:left="720" w:hanging="720"/>
      </w:pPr>
      <w:proofErr w:type="spellStart"/>
      <w:proofErr w:type="gramStart"/>
      <w:r w:rsidRPr="00E85E72">
        <w:t>Dhaliwal</w:t>
      </w:r>
      <w:proofErr w:type="spellEnd"/>
      <w:r w:rsidRPr="00E85E72">
        <w:t xml:space="preserve">, D., R. Huber, H. Lee, and M. </w:t>
      </w:r>
      <w:proofErr w:type="spellStart"/>
      <w:r w:rsidRPr="00E85E72">
        <w:t>Pincus</w:t>
      </w:r>
      <w:proofErr w:type="spellEnd"/>
      <w:r w:rsidRPr="00E85E72">
        <w:t>.</w:t>
      </w:r>
      <w:proofErr w:type="gramEnd"/>
      <w:r w:rsidRPr="00E85E72">
        <w:t xml:space="preserve"> 2008. Book-tax differences, uncertainty about fundamentals and information quality, and cost of capital. </w:t>
      </w:r>
      <w:proofErr w:type="gramStart"/>
      <w:r w:rsidRPr="00E85E72">
        <w:t>Working paper.</w:t>
      </w:r>
      <w:proofErr w:type="gramEnd"/>
      <w:r w:rsidRPr="00E85E72">
        <w:t xml:space="preserve"> </w:t>
      </w:r>
    </w:p>
    <w:p w:rsidR="00E85E72" w:rsidRPr="00E85E72" w:rsidRDefault="00E85E72" w:rsidP="00E85E72">
      <w:pPr>
        <w:ind w:left="720" w:hanging="720"/>
      </w:pPr>
    </w:p>
    <w:p w:rsidR="00E85E72" w:rsidRPr="00E85E72" w:rsidRDefault="00E85E72" w:rsidP="00E85E72">
      <w:pPr>
        <w:ind w:left="720" w:hanging="720"/>
      </w:pPr>
      <w:r w:rsidRPr="00E85E72">
        <w:t xml:space="preserve">Easton, P. 2004. </w:t>
      </w:r>
      <w:proofErr w:type="gramStart"/>
      <w:r w:rsidRPr="00E85E72">
        <w:t>PE ratios, PEG ratios, and estimating the implied expected rate of return on equity capital.</w:t>
      </w:r>
      <w:proofErr w:type="gramEnd"/>
      <w:r w:rsidRPr="00E85E72">
        <w:t xml:space="preserve"> </w:t>
      </w:r>
      <w:r w:rsidRPr="00E85E72">
        <w:rPr>
          <w:i/>
        </w:rPr>
        <w:t>The Accounting Review</w:t>
      </w:r>
      <w:r w:rsidRPr="00E85E72">
        <w:t xml:space="preserve"> 79 (1):73-95.</w:t>
      </w:r>
    </w:p>
    <w:p w:rsidR="00E85E72" w:rsidRPr="00E85E72" w:rsidRDefault="00E85E72" w:rsidP="00E85E72">
      <w:pPr>
        <w:ind w:left="720" w:hanging="720"/>
      </w:pPr>
    </w:p>
    <w:p w:rsidR="00E85E72" w:rsidRPr="00E85E72" w:rsidRDefault="00E85E72" w:rsidP="00E85E72">
      <w:pPr>
        <w:ind w:left="720" w:hanging="720"/>
      </w:pPr>
      <w:r w:rsidRPr="00E85E72">
        <w:t xml:space="preserve">Financial Accounting Standards Board (FASB). 2006. </w:t>
      </w:r>
      <w:r w:rsidRPr="00E85E72">
        <w:rPr>
          <w:i/>
        </w:rPr>
        <w:t>Accounting for uncertainty in income taxes: An interpretation of FASB Statement No. 109</w:t>
      </w:r>
      <w:r w:rsidRPr="00E85E72">
        <w:t>. FASB Interpretation No. 48 Norwalk, CT: FASB.</w:t>
      </w:r>
    </w:p>
    <w:p w:rsidR="00E85E72" w:rsidRPr="00E85E72" w:rsidRDefault="00E85E72" w:rsidP="00E85E72">
      <w:pPr>
        <w:ind w:left="720" w:hanging="720"/>
      </w:pPr>
    </w:p>
    <w:p w:rsidR="00E85E72" w:rsidRPr="00E85E72" w:rsidRDefault="00E85E72" w:rsidP="00E85E72">
      <w:pPr>
        <w:ind w:left="720" w:hanging="720"/>
      </w:pPr>
      <w:r w:rsidRPr="00E85E72">
        <w:lastRenderedPageBreak/>
        <w:t xml:space="preserve">Frank, M., L. Lynch, and S. </w:t>
      </w:r>
      <w:proofErr w:type="spellStart"/>
      <w:r w:rsidRPr="00E85E72">
        <w:t>Rego</w:t>
      </w:r>
      <w:proofErr w:type="spellEnd"/>
      <w:r w:rsidRPr="00E85E72">
        <w:t xml:space="preserve">. 2009. Tax reporting aggressiveness and its relation to aggressive financial reporting. </w:t>
      </w:r>
      <w:r w:rsidRPr="00E85E72">
        <w:rPr>
          <w:i/>
        </w:rPr>
        <w:t>The Accounting Review</w:t>
      </w:r>
      <w:r w:rsidRPr="00E85E72">
        <w:t xml:space="preserve"> 84 (2): 467-496.</w:t>
      </w:r>
    </w:p>
    <w:p w:rsidR="00E85E72" w:rsidRPr="00E85E72" w:rsidRDefault="00E85E72" w:rsidP="00E85E72">
      <w:pPr>
        <w:ind w:left="720" w:hanging="720"/>
      </w:pPr>
    </w:p>
    <w:p w:rsidR="00E85E72" w:rsidRPr="00E85E72" w:rsidRDefault="00E85E72" w:rsidP="00E85E72">
      <w:pPr>
        <w:ind w:left="720" w:hanging="720"/>
      </w:pPr>
      <w:proofErr w:type="spellStart"/>
      <w:proofErr w:type="gramStart"/>
      <w:r w:rsidRPr="00E85E72">
        <w:t>Frischmann</w:t>
      </w:r>
      <w:proofErr w:type="spellEnd"/>
      <w:r w:rsidRPr="00E85E72">
        <w:t xml:space="preserve">, P., T. </w:t>
      </w:r>
      <w:proofErr w:type="spellStart"/>
      <w:r w:rsidRPr="00E85E72">
        <w:t>Shevlin</w:t>
      </w:r>
      <w:proofErr w:type="spellEnd"/>
      <w:r w:rsidRPr="00E85E72">
        <w:t>, and R. Wilson.</w:t>
      </w:r>
      <w:proofErr w:type="gramEnd"/>
      <w:r w:rsidRPr="00E85E72">
        <w:t xml:space="preserve"> 2008. Economic consequences of increasing the conformity in accounting for uncertain tax benefits. </w:t>
      </w:r>
      <w:r w:rsidRPr="00E85E72">
        <w:rPr>
          <w:i/>
        </w:rPr>
        <w:t>Journal of Accounting and Economics</w:t>
      </w:r>
      <w:r w:rsidRPr="00E85E72">
        <w:t xml:space="preserve"> 46: 261-278.</w:t>
      </w:r>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Ghoul, S., O. </w:t>
      </w:r>
      <w:proofErr w:type="spellStart"/>
      <w:r w:rsidRPr="00E85E72">
        <w:t>Guedhami</w:t>
      </w:r>
      <w:proofErr w:type="spellEnd"/>
      <w:r w:rsidRPr="00E85E72">
        <w:t xml:space="preserve">, C. </w:t>
      </w:r>
      <w:proofErr w:type="spellStart"/>
      <w:r w:rsidRPr="00E85E72">
        <w:t>Kowk</w:t>
      </w:r>
      <w:proofErr w:type="spellEnd"/>
      <w:r w:rsidRPr="00E85E72">
        <w:t xml:space="preserve">, and D. </w:t>
      </w:r>
      <w:proofErr w:type="spellStart"/>
      <w:r w:rsidRPr="00E85E72">
        <w:t>Mishra</w:t>
      </w:r>
      <w:proofErr w:type="spellEnd"/>
      <w:r w:rsidRPr="00E85E72">
        <w:t>.</w:t>
      </w:r>
      <w:proofErr w:type="gramEnd"/>
      <w:r w:rsidRPr="00E85E72">
        <w:t xml:space="preserve"> 2011. Does corporate social responsibility affect the cost of capital? </w:t>
      </w:r>
      <w:r w:rsidRPr="00E85E72">
        <w:rPr>
          <w:i/>
        </w:rPr>
        <w:t>Journal of Banking &amp; Finance</w:t>
      </w:r>
      <w:r w:rsidRPr="00E85E72">
        <w:t xml:space="preserve"> 35: 2388-2406. </w:t>
      </w:r>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Gompers, P., J. Ishii, and A. </w:t>
      </w:r>
      <w:proofErr w:type="spellStart"/>
      <w:r w:rsidRPr="00E85E72">
        <w:t>Metrick</w:t>
      </w:r>
      <w:proofErr w:type="spellEnd"/>
      <w:r w:rsidRPr="00E85E72">
        <w:t>.</w:t>
      </w:r>
      <w:proofErr w:type="gramEnd"/>
      <w:r w:rsidRPr="00E85E72">
        <w:t xml:space="preserve"> 2003. Corporate governance and equity prices. </w:t>
      </w:r>
      <w:r w:rsidRPr="00E85E72">
        <w:rPr>
          <w:i/>
        </w:rPr>
        <w:t>Quarterly Journal of Economics</w:t>
      </w:r>
      <w:r w:rsidRPr="00E85E72">
        <w:t xml:space="preserve"> 118 (1): 107-155.</w:t>
      </w:r>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Graham, J., J. </w:t>
      </w:r>
      <w:proofErr w:type="spellStart"/>
      <w:r w:rsidRPr="00E85E72">
        <w:t>Raedy</w:t>
      </w:r>
      <w:proofErr w:type="spellEnd"/>
      <w:r w:rsidRPr="00E85E72">
        <w:t>, and D. Shackelford.</w:t>
      </w:r>
      <w:proofErr w:type="gramEnd"/>
      <w:r w:rsidRPr="00E85E72">
        <w:t xml:space="preserve"> 2011. Research in accounting for income taxes.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r w:rsidRPr="00E85E72">
        <w:t xml:space="preserve">Greene, W. H. 2003. </w:t>
      </w:r>
      <w:proofErr w:type="gramStart"/>
      <w:r w:rsidRPr="00E85E72">
        <w:rPr>
          <w:i/>
        </w:rPr>
        <w:t>Econometric Analysis</w:t>
      </w:r>
      <w:r w:rsidRPr="00E85E72">
        <w:t>.</w:t>
      </w:r>
      <w:proofErr w:type="gramEnd"/>
      <w:r w:rsidRPr="00E85E72">
        <w:t xml:space="preserve"> </w:t>
      </w:r>
      <w:proofErr w:type="gramStart"/>
      <w:r w:rsidRPr="00E85E72">
        <w:t>Prentice Hall, Inc. Upper Saddle River, NJ.</w:t>
      </w:r>
      <w:proofErr w:type="gramEnd"/>
    </w:p>
    <w:p w:rsidR="00E85E72" w:rsidRPr="00E85E72" w:rsidRDefault="00E85E72" w:rsidP="00E85E72"/>
    <w:p w:rsidR="00E85E72" w:rsidRPr="00E85E72" w:rsidRDefault="00E85E72" w:rsidP="00E85E72">
      <w:pPr>
        <w:ind w:left="720" w:hanging="720"/>
      </w:pPr>
      <w:proofErr w:type="gramStart"/>
      <w:r w:rsidRPr="00E85E72">
        <w:t xml:space="preserve">Gupta, S., R. </w:t>
      </w:r>
      <w:proofErr w:type="spellStart"/>
      <w:r w:rsidRPr="00E85E72">
        <w:t>Laux</w:t>
      </w:r>
      <w:proofErr w:type="spellEnd"/>
      <w:r w:rsidRPr="00E85E72">
        <w:t>, and D. Lynch.</w:t>
      </w:r>
      <w:proofErr w:type="gramEnd"/>
      <w:r w:rsidRPr="00E85E72">
        <w:t xml:space="preserve"> 2011. Do firms use tax cushion reversals to meet earnings targets? </w:t>
      </w:r>
      <w:proofErr w:type="gramStart"/>
      <w:r w:rsidRPr="00E85E72">
        <w:t>Evidence from the pre- and post-FIN 48 periods.</w:t>
      </w:r>
      <w:proofErr w:type="gramEnd"/>
      <w:r w:rsidRPr="00E85E72">
        <w:t xml:space="preserve">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Hanlon, M., and S. </w:t>
      </w:r>
      <w:proofErr w:type="spellStart"/>
      <w:r w:rsidRPr="00E85E72">
        <w:t>Heitzman</w:t>
      </w:r>
      <w:proofErr w:type="spellEnd"/>
      <w:r w:rsidRPr="00E85E72">
        <w:t>.</w:t>
      </w:r>
      <w:proofErr w:type="gramEnd"/>
      <w:r w:rsidRPr="00E85E72">
        <w:t xml:space="preserve"> 2010. A review of tax research. </w:t>
      </w:r>
      <w:r w:rsidRPr="00E85E72">
        <w:rPr>
          <w:i/>
        </w:rPr>
        <w:t>Journal of Accounting and Economics</w:t>
      </w:r>
      <w:r w:rsidRPr="00E85E72">
        <w:t xml:space="preserve"> 50: 127-128.</w:t>
      </w:r>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Hanlon, M., and J. </w:t>
      </w:r>
      <w:proofErr w:type="spellStart"/>
      <w:r w:rsidRPr="00E85E72">
        <w:t>Slemrod</w:t>
      </w:r>
      <w:proofErr w:type="spellEnd"/>
      <w:r w:rsidRPr="00E85E72">
        <w:t>.</w:t>
      </w:r>
      <w:proofErr w:type="gramEnd"/>
      <w:r w:rsidRPr="00E85E72">
        <w:t xml:space="preserve"> 2009. What does tax aggressiveness signal? </w:t>
      </w:r>
      <w:proofErr w:type="gramStart"/>
      <w:r w:rsidRPr="00E85E72">
        <w:t>Evidence from stock price reactions to news about tax shelter involvement.</w:t>
      </w:r>
      <w:proofErr w:type="gramEnd"/>
      <w:r w:rsidRPr="00E85E72">
        <w:t xml:space="preserve"> </w:t>
      </w:r>
      <w:r w:rsidRPr="00E85E72">
        <w:rPr>
          <w:i/>
        </w:rPr>
        <w:t>Journal of Public Economics</w:t>
      </w:r>
      <w:r w:rsidRPr="00E85E72">
        <w:t xml:space="preserve"> 93: 126-141.</w:t>
      </w:r>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Healy, P., and K. </w:t>
      </w:r>
      <w:proofErr w:type="spellStart"/>
      <w:r w:rsidRPr="00E85E72">
        <w:t>Palepu</w:t>
      </w:r>
      <w:proofErr w:type="spellEnd"/>
      <w:r w:rsidRPr="00E85E72">
        <w:t>.</w:t>
      </w:r>
      <w:proofErr w:type="gramEnd"/>
      <w:r w:rsidRPr="00E85E72">
        <w:t xml:space="preserve"> 2001. Information asymmetry, corporate disclosure, and the capital markets: A review of the empirical disclosure literature. </w:t>
      </w:r>
      <w:r w:rsidRPr="00E85E72">
        <w:rPr>
          <w:i/>
        </w:rPr>
        <w:t>Journal of Accounting and Economics</w:t>
      </w:r>
      <w:r w:rsidRPr="00E85E72">
        <w:t xml:space="preserve"> 31: 405-440.</w:t>
      </w:r>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Kaplan, S., and L. </w:t>
      </w:r>
      <w:proofErr w:type="spellStart"/>
      <w:r w:rsidRPr="00E85E72">
        <w:t>Zingales</w:t>
      </w:r>
      <w:proofErr w:type="spellEnd"/>
      <w:r w:rsidRPr="00E85E72">
        <w:t>.</w:t>
      </w:r>
      <w:proofErr w:type="gramEnd"/>
      <w:r w:rsidRPr="00E85E72">
        <w:t xml:space="preserve"> 1997. Do investment-cash flow sensitivities provide useful measures of financing constraints? </w:t>
      </w:r>
      <w:r w:rsidRPr="00E85E72">
        <w:rPr>
          <w:i/>
        </w:rPr>
        <w:t>Quarterly Journal of Economics</w:t>
      </w:r>
      <w:r w:rsidRPr="00E85E72">
        <w:t xml:space="preserve"> 112: 169–216.</w:t>
      </w:r>
    </w:p>
    <w:p w:rsidR="00E85E72" w:rsidRPr="00E85E72" w:rsidRDefault="00E85E72" w:rsidP="00E85E72">
      <w:pPr>
        <w:ind w:left="720" w:hanging="720"/>
      </w:pPr>
    </w:p>
    <w:p w:rsidR="00E85E72" w:rsidRPr="00E85E72" w:rsidRDefault="00E85E72" w:rsidP="00E85E72">
      <w:pPr>
        <w:ind w:left="720" w:hanging="720"/>
      </w:pPr>
      <w:proofErr w:type="spellStart"/>
      <w:proofErr w:type="gramStart"/>
      <w:r w:rsidRPr="00E85E72">
        <w:t>Khurana</w:t>
      </w:r>
      <w:proofErr w:type="spellEnd"/>
      <w:r w:rsidRPr="00E85E72">
        <w:t>, I., and W. Moser.</w:t>
      </w:r>
      <w:proofErr w:type="gramEnd"/>
      <w:r w:rsidRPr="00E85E72">
        <w:t xml:space="preserve"> 2009. Shareholder investment horizons and tax aggressiveness.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pPr>
        <w:ind w:left="720" w:hanging="720"/>
        <w:rPr>
          <w:rStyle w:val="Strong"/>
          <w:b w:val="0"/>
        </w:rPr>
      </w:pPr>
      <w:proofErr w:type="spellStart"/>
      <w:proofErr w:type="gramStart"/>
      <w:r w:rsidRPr="00E85E72">
        <w:rPr>
          <w:rStyle w:val="Strong"/>
          <w:b w:val="0"/>
        </w:rPr>
        <w:t>Klassen</w:t>
      </w:r>
      <w:proofErr w:type="spellEnd"/>
      <w:r w:rsidRPr="00E85E72">
        <w:rPr>
          <w:rStyle w:val="Strong"/>
          <w:b w:val="0"/>
        </w:rPr>
        <w:t xml:space="preserve">, K., and S. </w:t>
      </w:r>
      <w:proofErr w:type="spellStart"/>
      <w:r w:rsidRPr="00E85E72">
        <w:rPr>
          <w:rStyle w:val="Strong"/>
          <w:b w:val="0"/>
        </w:rPr>
        <w:t>Laplante</w:t>
      </w:r>
      <w:proofErr w:type="spellEnd"/>
      <w:r w:rsidRPr="00E85E72">
        <w:rPr>
          <w:rStyle w:val="Strong"/>
          <w:b w:val="0"/>
        </w:rPr>
        <w:t>.</w:t>
      </w:r>
      <w:proofErr w:type="gramEnd"/>
      <w:r w:rsidRPr="00E85E72">
        <w:rPr>
          <w:rStyle w:val="Strong"/>
          <w:b w:val="0"/>
        </w:rPr>
        <w:t xml:space="preserve"> 2011. Are U.S. multinational companies become more aggressive income shifters? </w:t>
      </w:r>
      <w:proofErr w:type="gramStart"/>
      <w:r w:rsidRPr="00E85E72">
        <w:rPr>
          <w:rStyle w:val="Strong"/>
          <w:b w:val="0"/>
        </w:rPr>
        <w:t>Working paper.</w:t>
      </w:r>
      <w:proofErr w:type="gramEnd"/>
    </w:p>
    <w:p w:rsidR="00E85E72" w:rsidRPr="00E85E72" w:rsidRDefault="00E85E72" w:rsidP="00E85E72">
      <w:pPr>
        <w:ind w:left="720" w:hanging="720"/>
        <w:rPr>
          <w:rStyle w:val="Strong"/>
          <w:b w:val="0"/>
        </w:rPr>
      </w:pPr>
    </w:p>
    <w:p w:rsidR="00E85E72" w:rsidRPr="00E85E72" w:rsidRDefault="00E85E72" w:rsidP="00E85E72">
      <w:pPr>
        <w:ind w:left="720" w:hanging="720"/>
        <w:rPr>
          <w:rStyle w:val="Strong"/>
          <w:b w:val="0"/>
        </w:rPr>
      </w:pPr>
      <w:proofErr w:type="gramStart"/>
      <w:r w:rsidRPr="00E85E72">
        <w:rPr>
          <w:rStyle w:val="Strong"/>
          <w:b w:val="0"/>
        </w:rPr>
        <w:t>Koester, A. 2011.</w:t>
      </w:r>
      <w:proofErr w:type="gramEnd"/>
      <w:r w:rsidRPr="00E85E72">
        <w:rPr>
          <w:rStyle w:val="Strong"/>
          <w:b w:val="0"/>
        </w:rPr>
        <w:t xml:space="preserve"> </w:t>
      </w:r>
      <w:proofErr w:type="gramStart"/>
      <w:r w:rsidRPr="00E85E72">
        <w:rPr>
          <w:rStyle w:val="Strong"/>
          <w:b w:val="0"/>
        </w:rPr>
        <w:t>Investor valuation of tax avoidance through uncertain tax positions.</w:t>
      </w:r>
      <w:proofErr w:type="gramEnd"/>
      <w:r w:rsidRPr="00E85E72">
        <w:rPr>
          <w:rStyle w:val="Strong"/>
          <w:b w:val="0"/>
        </w:rPr>
        <w:t xml:space="preserve"> </w:t>
      </w:r>
      <w:proofErr w:type="gramStart"/>
      <w:r w:rsidRPr="00E85E72">
        <w:rPr>
          <w:rStyle w:val="Strong"/>
          <w:b w:val="0"/>
        </w:rPr>
        <w:t>Working paper.</w:t>
      </w:r>
      <w:proofErr w:type="gramEnd"/>
    </w:p>
    <w:p w:rsidR="00E85E72" w:rsidRPr="00E85E72" w:rsidRDefault="00E85E72" w:rsidP="00E85E72">
      <w:pPr>
        <w:ind w:left="720" w:hanging="720"/>
      </w:pPr>
      <w:proofErr w:type="gramStart"/>
      <w:r w:rsidRPr="00E85E72">
        <w:lastRenderedPageBreak/>
        <w:t xml:space="preserve">Lang, M., and R. </w:t>
      </w:r>
      <w:proofErr w:type="spellStart"/>
      <w:r w:rsidRPr="00E85E72">
        <w:t>Lundholm</w:t>
      </w:r>
      <w:proofErr w:type="spellEnd"/>
      <w:r w:rsidRPr="00E85E72">
        <w:t>.</w:t>
      </w:r>
      <w:proofErr w:type="gramEnd"/>
      <w:r w:rsidRPr="00E85E72">
        <w:t xml:space="preserve"> 1993. Cross-sectional determinants of analyst ratings of corporate disclosures. </w:t>
      </w:r>
      <w:r w:rsidRPr="00E85E72">
        <w:rPr>
          <w:i/>
        </w:rPr>
        <w:t>Journal of Accounting Research</w:t>
      </w:r>
      <w:r w:rsidRPr="00E85E72">
        <w:t xml:space="preserve"> 31: 246–271.</w:t>
      </w:r>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Lang, M., and M. </w:t>
      </w:r>
      <w:proofErr w:type="spellStart"/>
      <w:r w:rsidRPr="00E85E72">
        <w:t>Maffett</w:t>
      </w:r>
      <w:proofErr w:type="spellEnd"/>
      <w:r w:rsidRPr="00E85E72">
        <w:t>.</w:t>
      </w:r>
      <w:proofErr w:type="gramEnd"/>
      <w:r w:rsidRPr="00E85E72">
        <w:t xml:space="preserve"> 2011. Economic effects of transparency in international equity markets: A review and suggestions for future research.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pPr>
        <w:ind w:left="720" w:hanging="720"/>
      </w:pPr>
      <w:proofErr w:type="spellStart"/>
      <w:proofErr w:type="gramStart"/>
      <w:r w:rsidRPr="00E85E72">
        <w:t>Leuz</w:t>
      </w:r>
      <w:proofErr w:type="spellEnd"/>
      <w:r w:rsidRPr="00E85E72">
        <w:t xml:space="preserve">, C., and P. </w:t>
      </w:r>
      <w:proofErr w:type="spellStart"/>
      <w:r w:rsidRPr="00E85E72">
        <w:t>Wysocki</w:t>
      </w:r>
      <w:proofErr w:type="spellEnd"/>
      <w:r w:rsidRPr="00E85E72">
        <w:t>.</w:t>
      </w:r>
      <w:proofErr w:type="gramEnd"/>
      <w:r w:rsidRPr="00E85E72">
        <w:t xml:space="preserve"> 2008. Economic consequences of financial reporting and disclosure regulation: A review and suggestions for future research.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pPr>
        <w:ind w:left="720" w:hanging="720"/>
      </w:pPr>
      <w:proofErr w:type="spellStart"/>
      <w:r w:rsidRPr="00E85E72">
        <w:t>Lisowsky</w:t>
      </w:r>
      <w:proofErr w:type="spellEnd"/>
      <w:r w:rsidRPr="00E85E72">
        <w:t xml:space="preserve">, P. 2010. Seeking shelter: empirically modeling tax shelters using financial statement information. </w:t>
      </w:r>
      <w:r w:rsidRPr="00E85E72">
        <w:rPr>
          <w:i/>
        </w:rPr>
        <w:t>The Accounting Review</w:t>
      </w:r>
      <w:r w:rsidRPr="00E85E72">
        <w:t xml:space="preserve"> 85 (5): 1693-1720.</w:t>
      </w:r>
    </w:p>
    <w:p w:rsidR="00E85E72" w:rsidRPr="00E85E72" w:rsidRDefault="00E85E72" w:rsidP="00E85E72">
      <w:pPr>
        <w:ind w:left="720" w:hanging="720"/>
      </w:pPr>
    </w:p>
    <w:p w:rsidR="00E85E72" w:rsidRPr="00E85E72" w:rsidRDefault="00E85E72" w:rsidP="00E85E72">
      <w:pPr>
        <w:ind w:left="720" w:hanging="720"/>
      </w:pPr>
      <w:proofErr w:type="spellStart"/>
      <w:proofErr w:type="gramStart"/>
      <w:r w:rsidRPr="00E85E72">
        <w:t>Lisowsky</w:t>
      </w:r>
      <w:proofErr w:type="spellEnd"/>
      <w:r w:rsidRPr="00E85E72">
        <w:t>, P., L. Robinson, and A. Schmidt.</w:t>
      </w:r>
      <w:proofErr w:type="gramEnd"/>
      <w:r w:rsidRPr="00E85E72">
        <w:t xml:space="preserve"> 2011. Do publicly disclosed tax reserves tell us about privately disclosed tax shelter activity?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pPr>
        <w:ind w:left="720" w:hanging="720"/>
      </w:pPr>
      <w:proofErr w:type="spellStart"/>
      <w:proofErr w:type="gramStart"/>
      <w:r w:rsidRPr="00E85E72">
        <w:t>Neubig</w:t>
      </w:r>
      <w:proofErr w:type="spellEnd"/>
      <w:r w:rsidRPr="00E85E72">
        <w:t xml:space="preserve">, T., and B. </w:t>
      </w:r>
      <w:proofErr w:type="spellStart"/>
      <w:r w:rsidRPr="00E85E72">
        <w:t>Sangha</w:t>
      </w:r>
      <w:proofErr w:type="spellEnd"/>
      <w:r w:rsidRPr="00E85E72">
        <w:t>.</w:t>
      </w:r>
      <w:proofErr w:type="gramEnd"/>
      <w:r w:rsidRPr="00E85E72">
        <w:t xml:space="preserve"> 2004. Tax risk and strong corporate governance. </w:t>
      </w:r>
      <w:r w:rsidRPr="00E85E72">
        <w:rPr>
          <w:i/>
        </w:rPr>
        <w:t>Tax Executive</w:t>
      </w:r>
      <w:r w:rsidRPr="00E85E72">
        <w:t xml:space="preserve"> 56 (2): 114-119.</w:t>
      </w:r>
    </w:p>
    <w:p w:rsidR="00E85E72" w:rsidRPr="00E85E72" w:rsidRDefault="00E85E72" w:rsidP="00E85E72">
      <w:pPr>
        <w:ind w:left="720" w:hanging="720"/>
      </w:pPr>
    </w:p>
    <w:p w:rsidR="00E85E72" w:rsidRPr="00E85E72" w:rsidRDefault="00E85E72" w:rsidP="00E85E72">
      <w:pPr>
        <w:ind w:left="720" w:hanging="720"/>
      </w:pPr>
      <w:proofErr w:type="spellStart"/>
      <w:r w:rsidRPr="00E85E72">
        <w:t>Rego</w:t>
      </w:r>
      <w:proofErr w:type="spellEnd"/>
      <w:r w:rsidRPr="00E85E72">
        <w:t xml:space="preserve">, S., and R. Wilson. 2011. Equity risk incentives and corporate tax aggressiveness. </w:t>
      </w:r>
      <w:r w:rsidRPr="00E85E72">
        <w:rPr>
          <w:i/>
        </w:rPr>
        <w:t xml:space="preserve">Journal of Accounting Research </w:t>
      </w:r>
      <w:r w:rsidRPr="00E85E72">
        <w:t>forthcoming.</w:t>
      </w:r>
    </w:p>
    <w:p w:rsidR="00E85E72" w:rsidRPr="00E85E72" w:rsidRDefault="00E85E72" w:rsidP="00E85E72">
      <w:pPr>
        <w:ind w:left="720" w:hanging="720"/>
      </w:pPr>
    </w:p>
    <w:p w:rsidR="00E85E72" w:rsidRPr="00E85E72" w:rsidRDefault="00E85E72" w:rsidP="00E85E72">
      <w:pPr>
        <w:ind w:left="720" w:hanging="720"/>
      </w:pPr>
      <w:proofErr w:type="gramStart"/>
      <w:r w:rsidRPr="00E85E72">
        <w:t>Robinson, L., and A. Schmidt.</w:t>
      </w:r>
      <w:proofErr w:type="gramEnd"/>
      <w:r w:rsidRPr="00E85E72">
        <w:t xml:space="preserve"> 2011. Firm and investor responses to uncertain tax benefit disclosure requirements. </w:t>
      </w:r>
      <w:proofErr w:type="gramStart"/>
      <w:r w:rsidRPr="00E85E72">
        <w:t>Working paper.</w:t>
      </w:r>
      <w:proofErr w:type="gramEnd"/>
    </w:p>
    <w:p w:rsidR="00E85E72" w:rsidRPr="00E85E72" w:rsidRDefault="00E85E72" w:rsidP="00E85E72">
      <w:pPr>
        <w:ind w:left="720" w:hanging="720"/>
      </w:pPr>
    </w:p>
    <w:p w:rsidR="00E85E72" w:rsidRPr="00E85E72" w:rsidRDefault="00E85E72" w:rsidP="00E85E72">
      <w:pPr>
        <w:ind w:left="720" w:hanging="720"/>
      </w:pPr>
      <w:proofErr w:type="spellStart"/>
      <w:proofErr w:type="gramStart"/>
      <w:r w:rsidRPr="00E85E72">
        <w:t>Seidman</w:t>
      </w:r>
      <w:proofErr w:type="spellEnd"/>
      <w:r w:rsidRPr="00E85E72">
        <w:t xml:space="preserve">, J., and B. </w:t>
      </w:r>
      <w:proofErr w:type="spellStart"/>
      <w:r w:rsidRPr="00E85E72">
        <w:t>Stomberg</w:t>
      </w:r>
      <w:proofErr w:type="spellEnd"/>
      <w:r w:rsidRPr="00E85E72">
        <w:t>.</w:t>
      </w:r>
      <w:proofErr w:type="gramEnd"/>
      <w:r w:rsidRPr="00E85E72">
        <w:t xml:space="preserve"> 2011. Why are option compensation and tax sheltering negatively related? </w:t>
      </w:r>
      <w:proofErr w:type="gramStart"/>
      <w:r w:rsidRPr="00E85E72">
        <w:t>McCombs Research Paper Series No.</w:t>
      </w:r>
      <w:proofErr w:type="gramEnd"/>
      <w:r w:rsidRPr="00E85E72">
        <w:t xml:space="preserve"> </w:t>
      </w:r>
      <w:proofErr w:type="gramStart"/>
      <w:r w:rsidRPr="00E85E72">
        <w:t>ACC-03-11.</w:t>
      </w:r>
      <w:proofErr w:type="gramEnd"/>
    </w:p>
    <w:p w:rsidR="00E85E72" w:rsidRPr="00E85E72" w:rsidRDefault="00E85E72" w:rsidP="00E85E72">
      <w:pPr>
        <w:ind w:left="720" w:hanging="720"/>
      </w:pPr>
    </w:p>
    <w:p w:rsidR="00E85E72" w:rsidRPr="00E85E72" w:rsidRDefault="00E85E72" w:rsidP="00E85E72">
      <w:pPr>
        <w:ind w:left="720" w:hanging="720"/>
      </w:pPr>
      <w:proofErr w:type="gramStart"/>
      <w:r w:rsidRPr="00E85E72">
        <w:t xml:space="preserve">Shackelford, D., and T. </w:t>
      </w:r>
      <w:proofErr w:type="spellStart"/>
      <w:r w:rsidRPr="00E85E72">
        <w:t>Shevlin</w:t>
      </w:r>
      <w:proofErr w:type="spellEnd"/>
      <w:r w:rsidRPr="00E85E72">
        <w:t>.</w:t>
      </w:r>
      <w:proofErr w:type="gramEnd"/>
      <w:r w:rsidRPr="00E85E72">
        <w:t xml:space="preserve"> 2001. Empirical tax research in accounting. </w:t>
      </w:r>
      <w:r w:rsidRPr="00E85E72">
        <w:rPr>
          <w:i/>
        </w:rPr>
        <w:t>Journal of Accounting and Economics</w:t>
      </w:r>
      <w:r w:rsidRPr="00E85E72">
        <w:t xml:space="preserve"> 31: 321-387.</w:t>
      </w:r>
    </w:p>
    <w:p w:rsidR="00E85E72" w:rsidRPr="00E85E72" w:rsidRDefault="00E85E72" w:rsidP="00E85E72">
      <w:pPr>
        <w:ind w:left="720" w:hanging="720"/>
      </w:pPr>
    </w:p>
    <w:p w:rsidR="00E85E72" w:rsidRPr="00E85E72" w:rsidRDefault="00E85E72" w:rsidP="00CC5AB2">
      <w:pPr>
        <w:ind w:left="720" w:hanging="720"/>
      </w:pPr>
      <w:proofErr w:type="gramStart"/>
      <w:r w:rsidRPr="00E85E72">
        <w:t>Song, W., and A. Tucker.</w:t>
      </w:r>
      <w:proofErr w:type="gramEnd"/>
      <w:r w:rsidRPr="00E85E72">
        <w:t xml:space="preserve"> 2008. Corporate tax reserve, firm value, and leverage. </w:t>
      </w:r>
      <w:proofErr w:type="gramStart"/>
      <w:r w:rsidRPr="00E85E72">
        <w:t>Working paper.</w:t>
      </w:r>
      <w:proofErr w:type="gramEnd"/>
    </w:p>
    <w:p w:rsidR="00E85E72" w:rsidRPr="00E85E72" w:rsidRDefault="00E85E72" w:rsidP="00E85E72"/>
    <w:p w:rsidR="00E85E72" w:rsidRPr="00E85E72" w:rsidRDefault="00E85E72" w:rsidP="00E85E72">
      <w:pPr>
        <w:ind w:left="720" w:hanging="720"/>
      </w:pPr>
      <w:proofErr w:type="spellStart"/>
      <w:proofErr w:type="gramStart"/>
      <w:r w:rsidRPr="00E85E72">
        <w:t>Staiger</w:t>
      </w:r>
      <w:proofErr w:type="spellEnd"/>
      <w:r w:rsidRPr="00E85E72">
        <w:t>, D., and J. H. Stock.</w:t>
      </w:r>
      <w:proofErr w:type="gramEnd"/>
      <w:r w:rsidRPr="00E85E72">
        <w:t xml:space="preserve"> 1997. Instrumental variables regression with weak instruments. </w:t>
      </w:r>
      <w:proofErr w:type="spellStart"/>
      <w:r w:rsidRPr="00E85E72">
        <w:rPr>
          <w:i/>
        </w:rPr>
        <w:t>Econometrica</w:t>
      </w:r>
      <w:proofErr w:type="spellEnd"/>
      <w:r w:rsidRPr="00E85E72">
        <w:t xml:space="preserve"> 65:557–86.</w:t>
      </w:r>
    </w:p>
    <w:p w:rsidR="00E85E72" w:rsidRPr="00E85E72" w:rsidRDefault="00E85E72" w:rsidP="00E85E72">
      <w:pPr>
        <w:ind w:left="720" w:hanging="720"/>
      </w:pPr>
    </w:p>
    <w:p w:rsidR="00E85E72" w:rsidRPr="00E85E72" w:rsidRDefault="00E85E72" w:rsidP="00E85E72">
      <w:pPr>
        <w:ind w:left="720" w:hanging="720"/>
      </w:pPr>
      <w:proofErr w:type="spellStart"/>
      <w:r w:rsidRPr="00E85E72">
        <w:t>Strine</w:t>
      </w:r>
      <w:proofErr w:type="spellEnd"/>
      <w:r w:rsidRPr="00E85E72">
        <w:t xml:space="preserve">, L. 2009. Why excessive risk-taking is not unexpected.  </w:t>
      </w:r>
      <w:proofErr w:type="spellStart"/>
      <w:proofErr w:type="gramStart"/>
      <w:r w:rsidRPr="00E85E72">
        <w:rPr>
          <w:i/>
        </w:rPr>
        <w:t>Dealbook</w:t>
      </w:r>
      <w:proofErr w:type="spellEnd"/>
      <w:r w:rsidRPr="00E85E72">
        <w:t xml:space="preserve"> by the </w:t>
      </w:r>
      <w:r w:rsidRPr="00E85E72">
        <w:rPr>
          <w:i/>
        </w:rPr>
        <w:t>New York Times</w:t>
      </w:r>
      <w:r w:rsidRPr="00E85E72">
        <w:t>.</w:t>
      </w:r>
      <w:proofErr w:type="gramEnd"/>
      <w:r w:rsidRPr="00E85E72">
        <w:t xml:space="preserve"> </w:t>
      </w:r>
      <w:proofErr w:type="gramStart"/>
      <w:r w:rsidRPr="00E85E72">
        <w:t xml:space="preserve">Edited by A. </w:t>
      </w:r>
      <w:proofErr w:type="spellStart"/>
      <w:r w:rsidRPr="00E85E72">
        <w:t>Sorkin</w:t>
      </w:r>
      <w:proofErr w:type="spellEnd"/>
      <w:r w:rsidRPr="00E85E72">
        <w:t>.</w:t>
      </w:r>
      <w:proofErr w:type="gramEnd"/>
      <w:r w:rsidRPr="00E85E72">
        <w:t xml:space="preserve"> </w:t>
      </w:r>
      <w:r w:rsidR="00CC5AB2">
        <w:t>&lt;</w:t>
      </w:r>
      <w:r w:rsidRPr="00CC5AB2">
        <w:t>http://dealbook.nytimes.com/2009/10/05/dealbook-dialogue-leo-strine/</w:t>
      </w:r>
      <w:r w:rsidR="00CC5AB2">
        <w:t>&gt;.</w:t>
      </w:r>
    </w:p>
    <w:p w:rsidR="00E85E72" w:rsidRPr="00E85E72" w:rsidRDefault="00E85E72" w:rsidP="00E85E72">
      <w:pPr>
        <w:ind w:left="720" w:hanging="720"/>
      </w:pPr>
    </w:p>
    <w:p w:rsidR="00E85E72" w:rsidRPr="00E85E72" w:rsidRDefault="00E85E72" w:rsidP="00E85E72">
      <w:proofErr w:type="gramStart"/>
      <w:r w:rsidRPr="00E85E72">
        <w:t>Wang, X. 2010.</w:t>
      </w:r>
      <w:proofErr w:type="gramEnd"/>
      <w:r w:rsidRPr="00E85E72">
        <w:t xml:space="preserve"> </w:t>
      </w:r>
      <w:proofErr w:type="gramStart"/>
      <w:r w:rsidRPr="00E85E72">
        <w:t>Tax avoidance, corporate transparency, and firm value.</w:t>
      </w:r>
      <w:proofErr w:type="gramEnd"/>
      <w:r w:rsidRPr="00E85E72">
        <w:t xml:space="preserve"> </w:t>
      </w:r>
      <w:proofErr w:type="gramStart"/>
      <w:r w:rsidRPr="00E85E72">
        <w:t>Working paper.</w:t>
      </w:r>
      <w:proofErr w:type="gramEnd"/>
    </w:p>
    <w:p w:rsidR="00E85E72" w:rsidRPr="00E85E72" w:rsidRDefault="00E85E72" w:rsidP="00E85E72"/>
    <w:p w:rsidR="00E85E72" w:rsidRPr="00E85E72" w:rsidRDefault="00E85E72" w:rsidP="00E85E72">
      <w:pPr>
        <w:ind w:left="720" w:hanging="720"/>
      </w:pPr>
      <w:r w:rsidRPr="00E85E72">
        <w:t xml:space="preserve">Watson, L. 2011. </w:t>
      </w:r>
      <w:proofErr w:type="gramStart"/>
      <w:r w:rsidRPr="00E85E72">
        <w:t>The impact of corporate social responsibility on tax aggressiveness.</w:t>
      </w:r>
      <w:proofErr w:type="gramEnd"/>
      <w:r w:rsidRPr="00E85E72">
        <w:t xml:space="preserve"> </w:t>
      </w:r>
      <w:proofErr w:type="gramStart"/>
      <w:r w:rsidRPr="00E85E72">
        <w:t>Working paper.</w:t>
      </w:r>
      <w:proofErr w:type="gramEnd"/>
    </w:p>
    <w:p w:rsidR="00E85E72" w:rsidRPr="00E85E72" w:rsidRDefault="00E85E72" w:rsidP="00E85E72">
      <w:proofErr w:type="spellStart"/>
      <w:r w:rsidRPr="00E85E72">
        <w:lastRenderedPageBreak/>
        <w:t>Weisbach</w:t>
      </w:r>
      <w:proofErr w:type="spellEnd"/>
      <w:r w:rsidRPr="00E85E72">
        <w:t xml:space="preserve">, D. 2002. </w:t>
      </w:r>
      <w:proofErr w:type="gramStart"/>
      <w:r w:rsidRPr="00E85E72">
        <w:t>Ten truths about tax shelters.</w:t>
      </w:r>
      <w:proofErr w:type="gramEnd"/>
      <w:r w:rsidRPr="00E85E72">
        <w:t xml:space="preserve"> </w:t>
      </w:r>
      <w:r w:rsidRPr="00E85E72">
        <w:rPr>
          <w:i/>
        </w:rPr>
        <w:t>Tax Law Review</w:t>
      </w:r>
      <w:r w:rsidRPr="00E85E72">
        <w:t xml:space="preserve"> 55: 215-253.</w:t>
      </w:r>
    </w:p>
    <w:p w:rsidR="00E85E72" w:rsidRPr="00E85E72" w:rsidRDefault="00E85E72" w:rsidP="00E85E72"/>
    <w:p w:rsidR="00E85E72" w:rsidRPr="00E85E72" w:rsidRDefault="00E85E72" w:rsidP="00E85E72">
      <w:pPr>
        <w:ind w:left="720" w:hanging="720"/>
      </w:pPr>
      <w:r w:rsidRPr="00E85E72">
        <w:t xml:space="preserve">Wilson, R. 2009. </w:t>
      </w:r>
      <w:proofErr w:type="gramStart"/>
      <w:r w:rsidRPr="00E85E72">
        <w:t>An examination of corporate tax shelter participants.</w:t>
      </w:r>
      <w:proofErr w:type="gramEnd"/>
      <w:r w:rsidRPr="00E85E72">
        <w:t xml:space="preserve"> </w:t>
      </w:r>
      <w:r w:rsidRPr="00E85E72">
        <w:rPr>
          <w:i/>
        </w:rPr>
        <w:t>The Accounting Review</w:t>
      </w:r>
      <w:r w:rsidRPr="00E85E72">
        <w:t xml:space="preserve"> 84 (3): 969-999.</w:t>
      </w:r>
    </w:p>
    <w:p w:rsidR="00E85E72" w:rsidRPr="00E85E72" w:rsidRDefault="00E85E72" w:rsidP="00E85E72">
      <w:pPr>
        <w:ind w:left="720" w:hanging="720"/>
      </w:pPr>
    </w:p>
    <w:p w:rsidR="00E85E72" w:rsidRPr="00E85E72" w:rsidRDefault="00E85E72" w:rsidP="00E85E72">
      <w:pPr>
        <w:ind w:left="720" w:hanging="720"/>
      </w:pPr>
      <w:r w:rsidRPr="00E85E72">
        <w:t xml:space="preserve">Wooldridge, J. 2009. </w:t>
      </w:r>
      <w:r w:rsidRPr="00E85E72">
        <w:rPr>
          <w:i/>
        </w:rPr>
        <w:t>Introductory econometrics: A modern approach</w:t>
      </w:r>
      <w:r w:rsidRPr="00E85E72">
        <w:t xml:space="preserve">. </w:t>
      </w:r>
      <w:proofErr w:type="gramStart"/>
      <w:r w:rsidRPr="00E85E72">
        <w:t>4</w:t>
      </w:r>
      <w:r w:rsidRPr="00E85E72">
        <w:rPr>
          <w:vertAlign w:val="superscript"/>
        </w:rPr>
        <w:t>th</w:t>
      </w:r>
      <w:r w:rsidRPr="00E85E72">
        <w:t xml:space="preserve"> edition.</w:t>
      </w:r>
      <w:proofErr w:type="gramEnd"/>
      <w:r w:rsidRPr="00E85E72">
        <w:t xml:space="preserve"> </w:t>
      </w:r>
      <w:proofErr w:type="gramStart"/>
      <w:r w:rsidRPr="00E85E72">
        <w:t xml:space="preserve">South-Western </w:t>
      </w:r>
      <w:proofErr w:type="spellStart"/>
      <w:r w:rsidRPr="00E85E72">
        <w:t>Cengage</w:t>
      </w:r>
      <w:proofErr w:type="spellEnd"/>
      <w:r w:rsidRPr="00E85E72">
        <w:t xml:space="preserve"> Learning.</w:t>
      </w:r>
      <w:proofErr w:type="gramEnd"/>
    </w:p>
    <w:p w:rsidR="00E85E72" w:rsidRPr="00E85E72" w:rsidRDefault="00E85E72" w:rsidP="00E85E72">
      <w:pPr>
        <w:ind w:left="720" w:hanging="720"/>
      </w:pPr>
    </w:p>
    <w:p w:rsidR="00E85E72" w:rsidRPr="00E85E72" w:rsidRDefault="00E85E72" w:rsidP="00E85E72">
      <w:pPr>
        <w:ind w:left="720" w:hanging="720"/>
        <w:contextualSpacing/>
      </w:pPr>
      <w:r w:rsidRPr="00E85E72">
        <w:t xml:space="preserve">Wooldridge, J. 2010. </w:t>
      </w:r>
      <w:proofErr w:type="gramStart"/>
      <w:r w:rsidRPr="00E85E72">
        <w:rPr>
          <w:i/>
        </w:rPr>
        <w:t>Econometric analysis of cross section and panel data</w:t>
      </w:r>
      <w:r w:rsidRPr="00E85E72">
        <w:t>.</w:t>
      </w:r>
      <w:proofErr w:type="gramEnd"/>
      <w:r w:rsidRPr="00E85E72">
        <w:t xml:space="preserve"> </w:t>
      </w:r>
      <w:proofErr w:type="gramStart"/>
      <w:r w:rsidRPr="00E85E72">
        <w:t>2</w:t>
      </w:r>
      <w:r w:rsidRPr="00E85E72">
        <w:rPr>
          <w:vertAlign w:val="superscript"/>
        </w:rPr>
        <w:t>nd</w:t>
      </w:r>
      <w:r w:rsidRPr="00E85E72">
        <w:t xml:space="preserve"> edition.</w:t>
      </w:r>
      <w:proofErr w:type="gramEnd"/>
      <w:r w:rsidRPr="00E85E72">
        <w:t xml:space="preserve"> </w:t>
      </w:r>
      <w:proofErr w:type="gramStart"/>
      <w:r w:rsidRPr="00E85E72">
        <w:t>The MIT Press.</w:t>
      </w:r>
      <w:proofErr w:type="gramEnd"/>
    </w:p>
    <w:p w:rsidR="00E85E72" w:rsidRDefault="00E85E72">
      <w:r>
        <w:br w:type="page"/>
      </w:r>
    </w:p>
    <w:p w:rsidR="00C50F3A" w:rsidRDefault="00C50F3A" w:rsidP="00681D52">
      <w:pPr>
        <w:pStyle w:val="Heading3"/>
        <w:rPr>
          <w:rFonts w:cs="Times New Roman"/>
        </w:rPr>
      </w:pPr>
      <w:bookmarkStart w:id="44" w:name="_Toc320370995"/>
    </w:p>
    <w:p w:rsidR="00C50F3A" w:rsidRDefault="00C50F3A" w:rsidP="00681D52">
      <w:pPr>
        <w:pStyle w:val="Heading3"/>
        <w:rPr>
          <w:rFonts w:cs="Times New Roman"/>
        </w:rPr>
      </w:pPr>
    </w:p>
    <w:p w:rsidR="00C50F3A" w:rsidRDefault="00C50F3A" w:rsidP="00681D52">
      <w:pPr>
        <w:pStyle w:val="Heading3"/>
        <w:rPr>
          <w:rFonts w:cs="Times New Roman"/>
        </w:rPr>
      </w:pPr>
    </w:p>
    <w:p w:rsidR="00C50F3A" w:rsidRDefault="00C50F3A" w:rsidP="00681D52">
      <w:pPr>
        <w:pStyle w:val="Heading3"/>
        <w:rPr>
          <w:rFonts w:cs="Times New Roman"/>
        </w:rPr>
      </w:pPr>
    </w:p>
    <w:p w:rsidR="00C50F3A" w:rsidRDefault="00C50F3A" w:rsidP="00681D52">
      <w:pPr>
        <w:pStyle w:val="Heading3"/>
        <w:rPr>
          <w:rFonts w:cs="Times New Roman"/>
        </w:rPr>
      </w:pPr>
    </w:p>
    <w:p w:rsidR="00C50F3A" w:rsidRDefault="00C50F3A" w:rsidP="00681D52">
      <w:pPr>
        <w:pStyle w:val="Heading3"/>
        <w:rPr>
          <w:rFonts w:cs="Times New Roman"/>
        </w:rPr>
      </w:pPr>
    </w:p>
    <w:p w:rsidR="00785F4B" w:rsidRDefault="00FD5702" w:rsidP="00681D52">
      <w:pPr>
        <w:pStyle w:val="Heading3"/>
        <w:rPr>
          <w:rFonts w:cs="Times New Roman"/>
        </w:rPr>
      </w:pPr>
      <w:bookmarkStart w:id="45" w:name="_Toc321493739"/>
      <w:r>
        <w:rPr>
          <w:rFonts w:cs="Times New Roman"/>
        </w:rPr>
        <w:t>Appendix A: Variable Definitions</w:t>
      </w:r>
      <w:bookmarkEnd w:id="44"/>
      <w:bookmarkEnd w:id="45"/>
    </w:p>
    <w:p w:rsidR="003712BE" w:rsidRPr="003712BE" w:rsidRDefault="00785F4B" w:rsidP="003712BE">
      <w:r>
        <w:br w:type="page"/>
      </w:r>
    </w:p>
    <w:tbl>
      <w:tblPr>
        <w:tblW w:w="9123" w:type="dxa"/>
        <w:tblInd w:w="93" w:type="dxa"/>
        <w:tblLook w:val="04A0"/>
      </w:tblPr>
      <w:tblGrid>
        <w:gridCol w:w="2117"/>
        <w:gridCol w:w="7006"/>
      </w:tblGrid>
      <w:tr w:rsidR="00CC5AB2" w:rsidRPr="00CC5AB2" w:rsidTr="003712BE">
        <w:trPr>
          <w:trHeight w:val="555"/>
        </w:trPr>
        <w:tc>
          <w:tcPr>
            <w:tcW w:w="9123" w:type="dxa"/>
            <w:gridSpan w:val="2"/>
            <w:tcBorders>
              <w:top w:val="single" w:sz="4" w:space="0" w:color="auto"/>
              <w:bottom w:val="single" w:sz="4" w:space="0" w:color="auto"/>
            </w:tcBorders>
            <w:shd w:val="clear" w:color="auto" w:fill="auto"/>
            <w:vAlign w:val="center"/>
            <w:hideMark/>
          </w:tcPr>
          <w:p w:rsidR="00CC5AB2" w:rsidRPr="00CC5AB2" w:rsidRDefault="00CC5AB2" w:rsidP="003712BE">
            <w:pPr>
              <w:jc w:val="center"/>
              <w:rPr>
                <w:color w:val="000000"/>
                <w:sz w:val="20"/>
                <w:szCs w:val="20"/>
              </w:rPr>
            </w:pPr>
            <w:bookmarkStart w:id="46" w:name="_Toc320370996"/>
            <w:r w:rsidRPr="00CC5AB2">
              <w:rPr>
                <w:color w:val="000000"/>
                <w:sz w:val="20"/>
                <w:szCs w:val="20"/>
              </w:rPr>
              <w:lastRenderedPageBreak/>
              <w:t xml:space="preserve">All continuous variables </w:t>
            </w:r>
            <w:proofErr w:type="spellStart"/>
            <w:r w:rsidRPr="00CC5AB2">
              <w:rPr>
                <w:color w:val="000000"/>
                <w:sz w:val="20"/>
                <w:szCs w:val="20"/>
              </w:rPr>
              <w:t>winsorized</w:t>
            </w:r>
            <w:proofErr w:type="spellEnd"/>
            <w:r w:rsidRPr="00CC5AB2">
              <w:rPr>
                <w:color w:val="000000"/>
                <w:sz w:val="20"/>
                <w:szCs w:val="20"/>
              </w:rPr>
              <w:t xml:space="preserve"> at one and ninety-nine percent unless otherwise noted. CRSP, </w:t>
            </w:r>
            <w:proofErr w:type="spellStart"/>
            <w:r w:rsidRPr="00CC5AB2">
              <w:rPr>
                <w:color w:val="000000"/>
                <w:sz w:val="20"/>
                <w:szCs w:val="20"/>
              </w:rPr>
              <w:t>Compustat</w:t>
            </w:r>
            <w:proofErr w:type="spellEnd"/>
            <w:r w:rsidRPr="00CC5AB2">
              <w:rPr>
                <w:color w:val="000000"/>
                <w:sz w:val="20"/>
                <w:szCs w:val="20"/>
              </w:rPr>
              <w:t xml:space="preserve">, </w:t>
            </w:r>
            <w:proofErr w:type="gramStart"/>
            <w:r w:rsidRPr="00CC5AB2">
              <w:rPr>
                <w:color w:val="000000"/>
                <w:sz w:val="20"/>
                <w:szCs w:val="20"/>
              </w:rPr>
              <w:t>and  IBES</w:t>
            </w:r>
            <w:proofErr w:type="gramEnd"/>
            <w:r w:rsidRPr="00CC5AB2">
              <w:rPr>
                <w:color w:val="000000"/>
                <w:sz w:val="20"/>
                <w:szCs w:val="20"/>
              </w:rPr>
              <w:t xml:space="preserve"> variable names in parentheses.</w:t>
            </w:r>
          </w:p>
        </w:tc>
      </w:tr>
      <w:tr w:rsidR="00CC5AB2" w:rsidRPr="00CC5AB2" w:rsidTr="003712BE">
        <w:trPr>
          <w:trHeight w:val="375"/>
        </w:trPr>
        <w:tc>
          <w:tcPr>
            <w:tcW w:w="9123" w:type="dxa"/>
            <w:gridSpan w:val="2"/>
            <w:tcBorders>
              <w:top w:val="single" w:sz="4" w:space="0" w:color="auto"/>
              <w:bottom w:val="single" w:sz="4" w:space="0" w:color="auto"/>
            </w:tcBorders>
            <w:shd w:val="clear" w:color="auto" w:fill="auto"/>
            <w:noWrap/>
            <w:vAlign w:val="center"/>
            <w:hideMark/>
          </w:tcPr>
          <w:p w:rsidR="00CC5AB2" w:rsidRPr="00CC5AB2" w:rsidRDefault="00CC5AB2" w:rsidP="003712BE">
            <w:pPr>
              <w:jc w:val="center"/>
              <w:rPr>
                <w:b/>
                <w:bCs/>
                <w:color w:val="000000"/>
                <w:sz w:val="20"/>
                <w:szCs w:val="20"/>
              </w:rPr>
            </w:pPr>
            <w:r w:rsidRPr="00CC5AB2">
              <w:rPr>
                <w:b/>
                <w:bCs/>
                <w:color w:val="000000"/>
                <w:sz w:val="20"/>
                <w:szCs w:val="20"/>
              </w:rPr>
              <w:t xml:space="preserve">Variables in Firm Value Model </w:t>
            </w:r>
            <w:r w:rsidR="00BB39A6">
              <w:rPr>
                <w:b/>
                <w:bCs/>
                <w:color w:val="000000"/>
                <w:sz w:val="20"/>
                <w:szCs w:val="20"/>
              </w:rPr>
              <w:t>(</w:t>
            </w:r>
            <w:r w:rsidRPr="00CC5AB2">
              <w:rPr>
                <w:b/>
                <w:bCs/>
                <w:color w:val="000000"/>
                <w:sz w:val="20"/>
                <w:szCs w:val="20"/>
              </w:rPr>
              <w:t>10</w:t>
            </w:r>
            <w:r w:rsidR="00BB39A6">
              <w:rPr>
                <w:b/>
                <w:bCs/>
                <w:color w:val="000000"/>
                <w:sz w:val="20"/>
                <w:szCs w:val="20"/>
              </w:rPr>
              <w:t>)</w:t>
            </w:r>
            <w:r w:rsidRPr="00CC5AB2">
              <w:rPr>
                <w:b/>
                <w:bCs/>
                <w:color w:val="000000"/>
                <w:sz w:val="20"/>
                <w:szCs w:val="20"/>
              </w:rPr>
              <w:t xml:space="preserve"> </w:t>
            </w:r>
          </w:p>
        </w:tc>
      </w:tr>
      <w:tr w:rsidR="00CC5AB2" w:rsidRPr="00CC5AB2" w:rsidTr="003712BE">
        <w:trPr>
          <w:trHeight w:val="1080"/>
        </w:trPr>
        <w:tc>
          <w:tcPr>
            <w:tcW w:w="2117" w:type="dxa"/>
            <w:tcBorders>
              <w:top w:val="single" w:sz="4" w:space="0" w:color="auto"/>
            </w:tcBorders>
            <w:shd w:val="clear" w:color="auto" w:fill="auto"/>
            <w:hideMark/>
          </w:tcPr>
          <w:p w:rsidR="00CC5AB2" w:rsidRPr="00CC5AB2" w:rsidRDefault="00CC5AB2" w:rsidP="003712BE">
            <w:pPr>
              <w:rPr>
                <w:color w:val="000000"/>
                <w:sz w:val="20"/>
                <w:szCs w:val="20"/>
              </w:rPr>
            </w:pPr>
            <w:r w:rsidRPr="00CC5AB2">
              <w:rPr>
                <w:color w:val="000000"/>
                <w:sz w:val="20"/>
                <w:szCs w:val="20"/>
              </w:rPr>
              <w:t>LOG_MKT_VALUE</w:t>
            </w:r>
          </w:p>
        </w:tc>
        <w:tc>
          <w:tcPr>
            <w:tcW w:w="7006" w:type="dxa"/>
            <w:tcBorders>
              <w:top w:val="single" w:sz="4" w:space="0" w:color="auto"/>
            </w:tcBorders>
            <w:shd w:val="clear" w:color="auto" w:fill="auto"/>
            <w:hideMark/>
          </w:tcPr>
          <w:p w:rsidR="00CC5AB2" w:rsidRPr="00CC5AB2" w:rsidRDefault="00CC5AB2" w:rsidP="003712BE">
            <w:pPr>
              <w:rPr>
                <w:color w:val="000000"/>
                <w:sz w:val="20"/>
                <w:szCs w:val="20"/>
              </w:rPr>
            </w:pPr>
            <w:r w:rsidRPr="00CC5AB2">
              <w:rPr>
                <w:color w:val="000000"/>
                <w:sz w:val="20"/>
                <w:szCs w:val="20"/>
              </w:rPr>
              <w:t xml:space="preserve">Natural log of the market value of equity in millions using the </w:t>
            </w:r>
            <w:proofErr w:type="spellStart"/>
            <w:r w:rsidRPr="00CC5AB2">
              <w:rPr>
                <w:color w:val="000000"/>
                <w:sz w:val="20"/>
                <w:szCs w:val="20"/>
              </w:rPr>
              <w:t>Compustat</w:t>
            </w:r>
            <w:proofErr w:type="spellEnd"/>
            <w:r w:rsidRPr="00CC5AB2">
              <w:rPr>
                <w:color w:val="000000"/>
                <w:sz w:val="20"/>
                <w:szCs w:val="20"/>
              </w:rPr>
              <w:t xml:space="preserve"> daily price (</w:t>
            </w:r>
            <w:proofErr w:type="spellStart"/>
            <w:r w:rsidRPr="00CC5AB2">
              <w:rPr>
                <w:color w:val="000000"/>
                <w:sz w:val="20"/>
                <w:szCs w:val="20"/>
              </w:rPr>
              <w:t>prccd</w:t>
            </w:r>
            <w:proofErr w:type="spellEnd"/>
            <w:r w:rsidRPr="00CC5AB2">
              <w:rPr>
                <w:color w:val="000000"/>
                <w:sz w:val="20"/>
                <w:szCs w:val="20"/>
              </w:rPr>
              <w:t>) and shares outstanding (</w:t>
            </w:r>
            <w:proofErr w:type="spellStart"/>
            <w:r w:rsidRPr="00CC5AB2">
              <w:rPr>
                <w:color w:val="000000"/>
                <w:sz w:val="20"/>
                <w:szCs w:val="20"/>
              </w:rPr>
              <w:t>cshoc</w:t>
            </w:r>
            <w:proofErr w:type="spellEnd"/>
            <w:r w:rsidRPr="00CC5AB2">
              <w:rPr>
                <w:color w:val="000000"/>
                <w:sz w:val="20"/>
                <w:szCs w:val="20"/>
              </w:rPr>
              <w:t xml:space="preserve">) on the first business day (within 5 days) after the 10-K filing date with available price data from </w:t>
            </w:r>
            <w:proofErr w:type="spellStart"/>
            <w:r w:rsidRPr="00CC5AB2">
              <w:rPr>
                <w:color w:val="000000"/>
                <w:sz w:val="20"/>
                <w:szCs w:val="20"/>
              </w:rPr>
              <w:t>Compustat</w:t>
            </w:r>
            <w:proofErr w:type="spellEnd"/>
            <w:r w:rsidRPr="00CC5AB2">
              <w:rPr>
                <w:color w:val="000000"/>
                <w:sz w:val="20"/>
                <w:szCs w:val="20"/>
              </w:rPr>
              <w:t>.  Observations where the filing date was greater than 150 days after the fiscal year end were deleted.</w:t>
            </w:r>
          </w:p>
        </w:tc>
      </w:tr>
      <w:tr w:rsidR="00CC5AB2" w:rsidRPr="00CC5AB2" w:rsidTr="003712BE">
        <w:trPr>
          <w:trHeight w:val="555"/>
        </w:trPr>
        <w:tc>
          <w:tcPr>
            <w:tcW w:w="2117" w:type="dxa"/>
            <w:shd w:val="clear" w:color="auto" w:fill="auto"/>
            <w:noWrap/>
            <w:hideMark/>
          </w:tcPr>
          <w:p w:rsidR="00CC5AB2" w:rsidRPr="00CC5AB2" w:rsidRDefault="00CC5AB2" w:rsidP="003712BE">
            <w:pPr>
              <w:rPr>
                <w:color w:val="000000"/>
                <w:sz w:val="20"/>
                <w:szCs w:val="20"/>
              </w:rPr>
            </w:pPr>
            <w:r w:rsidRPr="00CC5AB2">
              <w:rPr>
                <w:color w:val="000000"/>
                <w:sz w:val="20"/>
                <w:szCs w:val="20"/>
              </w:rPr>
              <w:t>TAXRISK</w:t>
            </w:r>
          </w:p>
        </w:tc>
        <w:tc>
          <w:tcPr>
            <w:tcW w:w="7006" w:type="dxa"/>
            <w:shd w:val="clear" w:color="auto" w:fill="auto"/>
            <w:hideMark/>
          </w:tcPr>
          <w:p w:rsidR="00CC5AB2" w:rsidRPr="00CC5AB2" w:rsidRDefault="00CC5AB2" w:rsidP="003712BE">
            <w:pPr>
              <w:rPr>
                <w:color w:val="000000"/>
                <w:sz w:val="20"/>
                <w:szCs w:val="20"/>
              </w:rPr>
            </w:pPr>
            <w:r w:rsidRPr="00CC5AB2">
              <w:rPr>
                <w:color w:val="000000"/>
                <w:sz w:val="20"/>
                <w:szCs w:val="20"/>
              </w:rPr>
              <w:t>The balance of the tax reserve (liability for uncertain tax positions under FIN 48) (</w:t>
            </w:r>
            <w:proofErr w:type="spellStart"/>
            <w:r w:rsidRPr="00CC5AB2">
              <w:rPr>
                <w:color w:val="000000"/>
                <w:sz w:val="20"/>
                <w:szCs w:val="20"/>
              </w:rPr>
              <w:t>txtubend</w:t>
            </w:r>
            <w:proofErr w:type="spellEnd"/>
            <w:r w:rsidRPr="00CC5AB2">
              <w:rPr>
                <w:color w:val="000000"/>
                <w:sz w:val="20"/>
                <w:szCs w:val="20"/>
              </w:rPr>
              <w:t xml:space="preserve">) at time t scaled by total assets (at), </w:t>
            </w:r>
            <w:proofErr w:type="spellStart"/>
            <w:r w:rsidRPr="00CC5AB2">
              <w:rPr>
                <w:color w:val="000000"/>
                <w:sz w:val="20"/>
                <w:szCs w:val="20"/>
              </w:rPr>
              <w:t>mutiplied</w:t>
            </w:r>
            <w:proofErr w:type="spellEnd"/>
            <w:r w:rsidRPr="00CC5AB2">
              <w:rPr>
                <w:color w:val="000000"/>
                <w:sz w:val="20"/>
                <w:szCs w:val="20"/>
              </w:rPr>
              <w:t xml:space="preserve"> by 100 to get the actual percent.</w:t>
            </w:r>
          </w:p>
        </w:tc>
      </w:tr>
      <w:tr w:rsidR="00CC5AB2" w:rsidRPr="00CC5AB2" w:rsidTr="003712BE">
        <w:trPr>
          <w:trHeight w:val="300"/>
        </w:trPr>
        <w:tc>
          <w:tcPr>
            <w:tcW w:w="2117" w:type="dxa"/>
            <w:shd w:val="clear" w:color="auto" w:fill="auto"/>
            <w:hideMark/>
          </w:tcPr>
          <w:p w:rsidR="00CC5AB2" w:rsidRPr="00CC5AB2" w:rsidRDefault="00CC5AB2" w:rsidP="003712BE">
            <w:pPr>
              <w:rPr>
                <w:color w:val="000000"/>
                <w:sz w:val="20"/>
                <w:szCs w:val="20"/>
              </w:rPr>
            </w:pPr>
            <w:r w:rsidRPr="00CC5AB2">
              <w:rPr>
                <w:color w:val="000000"/>
                <w:sz w:val="20"/>
                <w:szCs w:val="20"/>
              </w:rPr>
              <w:t>TAXRISK_SQ</w:t>
            </w:r>
          </w:p>
        </w:tc>
        <w:tc>
          <w:tcPr>
            <w:tcW w:w="7006" w:type="dxa"/>
            <w:shd w:val="clear" w:color="auto" w:fill="auto"/>
            <w:noWrap/>
            <w:hideMark/>
          </w:tcPr>
          <w:p w:rsidR="00CC5AB2" w:rsidRPr="00CC5AB2" w:rsidRDefault="00CC5AB2" w:rsidP="003712BE">
            <w:pPr>
              <w:rPr>
                <w:color w:val="000000"/>
                <w:sz w:val="20"/>
                <w:szCs w:val="20"/>
              </w:rPr>
            </w:pPr>
            <w:r w:rsidRPr="00CC5AB2">
              <w:rPr>
                <w:color w:val="000000"/>
                <w:sz w:val="20"/>
                <w:szCs w:val="20"/>
              </w:rPr>
              <w:t>TAXRISK squared.</w:t>
            </w:r>
          </w:p>
        </w:tc>
      </w:tr>
      <w:tr w:rsidR="00CC5AB2" w:rsidRPr="00CC5AB2" w:rsidTr="00785F4B">
        <w:trPr>
          <w:trHeight w:val="5787"/>
        </w:trPr>
        <w:tc>
          <w:tcPr>
            <w:tcW w:w="2117" w:type="dxa"/>
            <w:shd w:val="clear" w:color="auto" w:fill="auto"/>
            <w:noWrap/>
            <w:hideMark/>
          </w:tcPr>
          <w:p w:rsidR="00CC5AB2" w:rsidRPr="00CC5AB2" w:rsidRDefault="00CC5AB2" w:rsidP="003712BE">
            <w:pPr>
              <w:rPr>
                <w:color w:val="000000"/>
                <w:sz w:val="20"/>
                <w:szCs w:val="20"/>
              </w:rPr>
            </w:pPr>
            <w:r w:rsidRPr="00CC5AB2">
              <w:rPr>
                <w:color w:val="000000"/>
                <w:sz w:val="20"/>
                <w:szCs w:val="20"/>
              </w:rPr>
              <w:t>DISCR_ACCRUALS</w:t>
            </w:r>
          </w:p>
        </w:tc>
        <w:tc>
          <w:tcPr>
            <w:tcW w:w="7006" w:type="dxa"/>
            <w:shd w:val="clear" w:color="auto" w:fill="auto"/>
            <w:hideMark/>
          </w:tcPr>
          <w:p w:rsidR="00CC5AB2" w:rsidRPr="00CC5AB2" w:rsidRDefault="00CC5AB2" w:rsidP="003712BE">
            <w:pPr>
              <w:spacing w:after="240"/>
              <w:rPr>
                <w:color w:val="000000"/>
                <w:sz w:val="20"/>
                <w:szCs w:val="20"/>
              </w:rPr>
            </w:pPr>
            <w:r w:rsidRPr="00CC5AB2">
              <w:rPr>
                <w:color w:val="000000"/>
                <w:sz w:val="20"/>
                <w:szCs w:val="20"/>
              </w:rPr>
              <w:t>Pre-tax, performance adjusted discretionary accruals following Frank et al. (2009). I estimate the following modified Jones model (</w:t>
            </w:r>
            <w:proofErr w:type="spellStart"/>
            <w:r w:rsidRPr="00CC5AB2">
              <w:rPr>
                <w:color w:val="000000"/>
                <w:sz w:val="20"/>
                <w:szCs w:val="20"/>
              </w:rPr>
              <w:t>Dechow</w:t>
            </w:r>
            <w:proofErr w:type="spellEnd"/>
            <w:r w:rsidRPr="00CC5AB2">
              <w:rPr>
                <w:color w:val="000000"/>
                <w:sz w:val="20"/>
                <w:szCs w:val="20"/>
              </w:rPr>
              <w:t xml:space="preserve"> et al. 1995) by two </w:t>
            </w:r>
            <w:proofErr w:type="gramStart"/>
            <w:r w:rsidRPr="00CC5AB2">
              <w:rPr>
                <w:color w:val="000000"/>
                <w:sz w:val="20"/>
                <w:szCs w:val="20"/>
              </w:rPr>
              <w:t>digit</w:t>
            </w:r>
            <w:proofErr w:type="gramEnd"/>
            <w:r w:rsidRPr="00CC5AB2">
              <w:rPr>
                <w:color w:val="000000"/>
                <w:sz w:val="20"/>
                <w:szCs w:val="20"/>
              </w:rPr>
              <w:t xml:space="preserve"> SIC code and fiscal year for all U.S. firms in </w:t>
            </w:r>
            <w:proofErr w:type="spellStart"/>
            <w:r w:rsidRPr="00CC5AB2">
              <w:rPr>
                <w:color w:val="000000"/>
                <w:sz w:val="20"/>
                <w:szCs w:val="20"/>
              </w:rPr>
              <w:t>compustat</w:t>
            </w:r>
            <w:proofErr w:type="spellEnd"/>
            <w:r w:rsidRPr="00CC5AB2">
              <w:rPr>
                <w:color w:val="000000"/>
                <w:sz w:val="20"/>
                <w:szCs w:val="20"/>
              </w:rPr>
              <w:t xml:space="preserve"> with positive total stockholders</w:t>
            </w:r>
            <w:r w:rsidR="004E33DD">
              <w:rPr>
                <w:color w:val="000000"/>
                <w:sz w:val="20"/>
                <w:szCs w:val="20"/>
              </w:rPr>
              <w:t>’</w:t>
            </w:r>
            <w:r w:rsidRPr="00CC5AB2">
              <w:rPr>
                <w:color w:val="000000"/>
                <w:sz w:val="20"/>
                <w:szCs w:val="20"/>
              </w:rPr>
              <w:t xml:space="preserve"> equity except for utilities, financial services, and subsidiaries of other companies, requiring each regression to have at least 10 firm-year observations.</w:t>
            </w:r>
            <w:r w:rsidRPr="00CC5AB2">
              <w:rPr>
                <w:color w:val="000000"/>
                <w:sz w:val="20"/>
                <w:szCs w:val="20"/>
              </w:rPr>
              <w:br/>
            </w:r>
            <w:proofErr w:type="spellStart"/>
            <w:r w:rsidRPr="00CC5AB2">
              <w:rPr>
                <w:color w:val="000000"/>
                <w:sz w:val="20"/>
                <w:szCs w:val="20"/>
              </w:rPr>
              <w:t>TACC</w:t>
            </w:r>
            <w:r w:rsidRPr="00CC5AB2">
              <w:rPr>
                <w:color w:val="000000"/>
                <w:sz w:val="20"/>
                <w:szCs w:val="20"/>
                <w:vertAlign w:val="subscript"/>
              </w:rPr>
              <w:t>it</w:t>
            </w:r>
            <w:proofErr w:type="spellEnd"/>
            <w:r w:rsidRPr="00CC5AB2">
              <w:rPr>
                <w:color w:val="000000"/>
                <w:sz w:val="20"/>
                <w:szCs w:val="20"/>
              </w:rPr>
              <w:t>=α</w:t>
            </w:r>
            <w:r w:rsidRPr="00CC5AB2">
              <w:rPr>
                <w:color w:val="000000"/>
                <w:sz w:val="20"/>
                <w:szCs w:val="20"/>
                <w:vertAlign w:val="subscript"/>
              </w:rPr>
              <w:t>0</w:t>
            </w:r>
            <w:r w:rsidRPr="00CC5AB2">
              <w:rPr>
                <w:color w:val="000000"/>
                <w:sz w:val="20"/>
                <w:szCs w:val="20"/>
              </w:rPr>
              <w:t xml:space="preserve"> + </w:t>
            </w:r>
            <w:proofErr w:type="gramStart"/>
            <w:r w:rsidRPr="00CC5AB2">
              <w:rPr>
                <w:color w:val="000000"/>
                <w:sz w:val="20"/>
                <w:szCs w:val="20"/>
              </w:rPr>
              <w:t>α</w:t>
            </w:r>
            <w:r w:rsidRPr="00CC5AB2">
              <w:rPr>
                <w:color w:val="000000"/>
                <w:sz w:val="20"/>
                <w:szCs w:val="20"/>
                <w:vertAlign w:val="subscript"/>
              </w:rPr>
              <w:t>1</w:t>
            </w:r>
            <w:r w:rsidRPr="00CC5AB2">
              <w:rPr>
                <w:color w:val="000000"/>
                <w:sz w:val="20"/>
                <w:szCs w:val="20"/>
              </w:rPr>
              <w:t>(</w:t>
            </w:r>
            <w:proofErr w:type="spellStart"/>
            <w:proofErr w:type="gramEnd"/>
            <w:r w:rsidRPr="00CC5AB2">
              <w:rPr>
                <w:color w:val="000000"/>
                <w:sz w:val="20"/>
                <w:szCs w:val="20"/>
              </w:rPr>
              <w:t>ΔREV</w:t>
            </w:r>
            <w:r w:rsidRPr="00CC5AB2">
              <w:rPr>
                <w:color w:val="000000"/>
                <w:sz w:val="20"/>
                <w:szCs w:val="20"/>
                <w:vertAlign w:val="subscript"/>
              </w:rPr>
              <w:t>it</w:t>
            </w:r>
            <w:proofErr w:type="spellEnd"/>
            <w:r w:rsidRPr="00CC5AB2">
              <w:rPr>
                <w:color w:val="000000"/>
                <w:sz w:val="20"/>
                <w:szCs w:val="20"/>
              </w:rPr>
              <w:t xml:space="preserve"> – </w:t>
            </w:r>
            <w:proofErr w:type="spellStart"/>
            <w:r w:rsidRPr="00CC5AB2">
              <w:rPr>
                <w:color w:val="000000"/>
                <w:sz w:val="20"/>
                <w:szCs w:val="20"/>
              </w:rPr>
              <w:t>ΔAR</w:t>
            </w:r>
            <w:r w:rsidRPr="00CC5AB2">
              <w:rPr>
                <w:color w:val="000000"/>
                <w:sz w:val="20"/>
                <w:szCs w:val="20"/>
                <w:vertAlign w:val="subscript"/>
              </w:rPr>
              <w:t>it</w:t>
            </w:r>
            <w:proofErr w:type="spellEnd"/>
            <w:r w:rsidRPr="00CC5AB2">
              <w:rPr>
                <w:color w:val="000000"/>
                <w:sz w:val="20"/>
                <w:szCs w:val="20"/>
              </w:rPr>
              <w:t>) + α</w:t>
            </w:r>
            <w:r w:rsidRPr="00CC5AB2">
              <w:rPr>
                <w:color w:val="000000"/>
                <w:sz w:val="20"/>
                <w:szCs w:val="20"/>
                <w:vertAlign w:val="subscript"/>
              </w:rPr>
              <w:t>2</w:t>
            </w:r>
            <w:r w:rsidRPr="00CC5AB2">
              <w:rPr>
                <w:color w:val="000000"/>
                <w:sz w:val="20"/>
                <w:szCs w:val="20"/>
              </w:rPr>
              <w:t>PPE</w:t>
            </w:r>
            <w:r w:rsidRPr="00CC5AB2">
              <w:rPr>
                <w:color w:val="000000"/>
                <w:sz w:val="20"/>
                <w:szCs w:val="20"/>
                <w:vertAlign w:val="subscript"/>
              </w:rPr>
              <w:t>it</w:t>
            </w:r>
            <w:r w:rsidRPr="00CC5AB2">
              <w:rPr>
                <w:color w:val="000000"/>
                <w:sz w:val="20"/>
                <w:szCs w:val="20"/>
              </w:rPr>
              <w:t xml:space="preserve"> + </w:t>
            </w:r>
            <w:proofErr w:type="spellStart"/>
            <w:r w:rsidRPr="00CC5AB2">
              <w:rPr>
                <w:color w:val="000000"/>
                <w:sz w:val="20"/>
                <w:szCs w:val="20"/>
              </w:rPr>
              <w:t>η</w:t>
            </w:r>
            <w:r w:rsidRPr="00CC5AB2">
              <w:rPr>
                <w:color w:val="000000"/>
                <w:sz w:val="20"/>
                <w:szCs w:val="20"/>
                <w:vertAlign w:val="subscript"/>
              </w:rPr>
              <w:t>it</w:t>
            </w:r>
            <w:proofErr w:type="spellEnd"/>
            <w:r w:rsidRPr="00CC5AB2">
              <w:rPr>
                <w:color w:val="000000"/>
                <w:sz w:val="20"/>
                <w:szCs w:val="20"/>
              </w:rPr>
              <w:t xml:space="preserve"> </w:t>
            </w:r>
            <w:r w:rsidRPr="00CC5AB2">
              <w:rPr>
                <w:color w:val="000000"/>
                <w:sz w:val="20"/>
                <w:szCs w:val="20"/>
              </w:rPr>
              <w:br/>
              <w:t xml:space="preserve">All variables are scaled by beginning of year assets (at) and </w:t>
            </w:r>
            <w:proofErr w:type="spellStart"/>
            <w:r w:rsidRPr="00CC5AB2">
              <w:rPr>
                <w:color w:val="000000"/>
                <w:sz w:val="20"/>
                <w:szCs w:val="20"/>
              </w:rPr>
              <w:t>winsorized</w:t>
            </w:r>
            <w:proofErr w:type="spellEnd"/>
            <w:r w:rsidRPr="00CC5AB2">
              <w:rPr>
                <w:color w:val="000000"/>
                <w:sz w:val="20"/>
                <w:szCs w:val="20"/>
              </w:rPr>
              <w:t xml:space="preserve"> at 1 and 99 percent, and </w:t>
            </w:r>
            <w:proofErr w:type="spellStart"/>
            <w:r w:rsidRPr="00CC5AB2">
              <w:rPr>
                <w:color w:val="000000"/>
                <w:sz w:val="20"/>
                <w:szCs w:val="20"/>
              </w:rPr>
              <w:t>TACC</w:t>
            </w:r>
            <w:r w:rsidRPr="00CC5AB2">
              <w:rPr>
                <w:color w:val="000000"/>
                <w:sz w:val="20"/>
                <w:szCs w:val="20"/>
                <w:vertAlign w:val="subscript"/>
              </w:rPr>
              <w:t>it</w:t>
            </w:r>
            <w:proofErr w:type="spellEnd"/>
            <w:r w:rsidRPr="00CC5AB2">
              <w:rPr>
                <w:color w:val="000000"/>
                <w:sz w:val="20"/>
                <w:szCs w:val="20"/>
              </w:rPr>
              <w:t>=(</w:t>
            </w:r>
            <w:proofErr w:type="spellStart"/>
            <w:r w:rsidRPr="00CC5AB2">
              <w:rPr>
                <w:color w:val="000000"/>
                <w:sz w:val="20"/>
                <w:szCs w:val="20"/>
              </w:rPr>
              <w:t>EBEI</w:t>
            </w:r>
            <w:r w:rsidRPr="00CC5AB2">
              <w:rPr>
                <w:color w:val="000000"/>
                <w:sz w:val="20"/>
                <w:szCs w:val="20"/>
                <w:vertAlign w:val="subscript"/>
              </w:rPr>
              <w:t>it</w:t>
            </w:r>
            <w:proofErr w:type="spellEnd"/>
            <w:r w:rsidRPr="00CC5AB2">
              <w:rPr>
                <w:color w:val="000000"/>
                <w:sz w:val="20"/>
                <w:szCs w:val="20"/>
              </w:rPr>
              <w:t xml:space="preserve"> + </w:t>
            </w:r>
            <w:proofErr w:type="spellStart"/>
            <w:r w:rsidRPr="00CC5AB2">
              <w:rPr>
                <w:color w:val="000000"/>
                <w:sz w:val="20"/>
                <w:szCs w:val="20"/>
              </w:rPr>
              <w:t>TTE</w:t>
            </w:r>
            <w:r w:rsidRPr="00CC5AB2">
              <w:rPr>
                <w:color w:val="000000"/>
                <w:sz w:val="20"/>
                <w:szCs w:val="20"/>
                <w:vertAlign w:val="subscript"/>
              </w:rPr>
              <w:t>it</w:t>
            </w:r>
            <w:proofErr w:type="spellEnd"/>
            <w:r w:rsidRPr="00CC5AB2">
              <w:rPr>
                <w:color w:val="000000"/>
                <w:sz w:val="20"/>
                <w:szCs w:val="20"/>
              </w:rPr>
              <w:t>) – [(</w:t>
            </w:r>
            <w:proofErr w:type="spellStart"/>
            <w:r w:rsidRPr="00CC5AB2">
              <w:rPr>
                <w:color w:val="000000"/>
                <w:sz w:val="20"/>
                <w:szCs w:val="20"/>
              </w:rPr>
              <w:t>CFO</w:t>
            </w:r>
            <w:r w:rsidRPr="00CC5AB2">
              <w:rPr>
                <w:color w:val="000000"/>
                <w:sz w:val="20"/>
                <w:szCs w:val="20"/>
                <w:vertAlign w:val="subscript"/>
              </w:rPr>
              <w:t>it</w:t>
            </w:r>
            <w:proofErr w:type="spellEnd"/>
            <w:r w:rsidRPr="00CC5AB2">
              <w:rPr>
                <w:color w:val="000000"/>
                <w:sz w:val="20"/>
                <w:szCs w:val="20"/>
              </w:rPr>
              <w:t xml:space="preserve"> + </w:t>
            </w:r>
            <w:proofErr w:type="spellStart"/>
            <w:r w:rsidRPr="00CC5AB2">
              <w:rPr>
                <w:color w:val="000000"/>
                <w:sz w:val="20"/>
                <w:szCs w:val="20"/>
              </w:rPr>
              <w:t>ITP</w:t>
            </w:r>
            <w:r w:rsidRPr="00CC5AB2">
              <w:rPr>
                <w:color w:val="000000"/>
                <w:sz w:val="20"/>
                <w:szCs w:val="20"/>
                <w:vertAlign w:val="subscript"/>
              </w:rPr>
              <w:t>it</w:t>
            </w:r>
            <w:proofErr w:type="spellEnd"/>
            <w:r w:rsidRPr="00CC5AB2">
              <w:rPr>
                <w:color w:val="000000"/>
                <w:sz w:val="20"/>
                <w:szCs w:val="20"/>
              </w:rPr>
              <w:t xml:space="preserve">) – </w:t>
            </w:r>
            <w:proofErr w:type="spellStart"/>
            <w:r w:rsidRPr="00CC5AB2">
              <w:rPr>
                <w:color w:val="000000"/>
                <w:sz w:val="20"/>
                <w:szCs w:val="20"/>
              </w:rPr>
              <w:t>EIDO</w:t>
            </w:r>
            <w:r w:rsidRPr="00CC5AB2">
              <w:rPr>
                <w:color w:val="000000"/>
                <w:sz w:val="20"/>
                <w:szCs w:val="20"/>
                <w:vertAlign w:val="subscript"/>
              </w:rPr>
              <w:t>it</w:t>
            </w:r>
            <w:proofErr w:type="spellEnd"/>
            <w:r w:rsidRPr="00CC5AB2">
              <w:rPr>
                <w:color w:val="000000"/>
                <w:sz w:val="20"/>
                <w:szCs w:val="20"/>
              </w:rPr>
              <w:t>].</w:t>
            </w:r>
            <w:r w:rsidRPr="00CC5AB2">
              <w:rPr>
                <w:color w:val="000000"/>
                <w:sz w:val="20"/>
                <w:szCs w:val="20"/>
              </w:rPr>
              <w:br/>
            </w:r>
            <w:proofErr w:type="spellStart"/>
            <w:r w:rsidRPr="00CC5AB2">
              <w:rPr>
                <w:color w:val="000000"/>
                <w:sz w:val="20"/>
                <w:szCs w:val="20"/>
              </w:rPr>
              <w:t>EBEI</w:t>
            </w:r>
            <w:r w:rsidRPr="00CC5AB2">
              <w:rPr>
                <w:color w:val="000000"/>
                <w:sz w:val="20"/>
                <w:szCs w:val="20"/>
                <w:vertAlign w:val="subscript"/>
              </w:rPr>
              <w:t>it</w:t>
            </w:r>
            <w:proofErr w:type="spellEnd"/>
            <w:r w:rsidRPr="00CC5AB2">
              <w:rPr>
                <w:color w:val="000000"/>
                <w:sz w:val="20"/>
                <w:szCs w:val="20"/>
              </w:rPr>
              <w:t xml:space="preserve"> = earnings before extraordinary items from the statement of cash flow for firm </w:t>
            </w:r>
            <w:proofErr w:type="spellStart"/>
            <w:r w:rsidRPr="00CC5AB2">
              <w:rPr>
                <w:color w:val="000000"/>
                <w:sz w:val="20"/>
                <w:szCs w:val="20"/>
              </w:rPr>
              <w:t>i</w:t>
            </w:r>
            <w:proofErr w:type="spellEnd"/>
            <w:r w:rsidRPr="00CC5AB2">
              <w:rPr>
                <w:color w:val="000000"/>
                <w:sz w:val="20"/>
                <w:szCs w:val="20"/>
              </w:rPr>
              <w:t xml:space="preserve"> in year t (</w:t>
            </w:r>
            <w:proofErr w:type="spellStart"/>
            <w:r w:rsidRPr="00CC5AB2">
              <w:rPr>
                <w:color w:val="000000"/>
                <w:sz w:val="20"/>
                <w:szCs w:val="20"/>
              </w:rPr>
              <w:t>ibc</w:t>
            </w:r>
            <w:proofErr w:type="spellEnd"/>
            <w:r w:rsidRPr="00CC5AB2">
              <w:rPr>
                <w:color w:val="000000"/>
                <w:sz w:val="20"/>
                <w:szCs w:val="20"/>
              </w:rPr>
              <w:t>);</w:t>
            </w:r>
            <w:r w:rsidRPr="00CC5AB2">
              <w:rPr>
                <w:color w:val="000000"/>
                <w:sz w:val="20"/>
                <w:szCs w:val="20"/>
              </w:rPr>
              <w:br/>
            </w:r>
            <w:proofErr w:type="spellStart"/>
            <w:r w:rsidRPr="00CC5AB2">
              <w:rPr>
                <w:color w:val="000000"/>
                <w:sz w:val="20"/>
                <w:szCs w:val="20"/>
              </w:rPr>
              <w:t>TTE</w:t>
            </w:r>
            <w:r w:rsidRPr="00CC5AB2">
              <w:rPr>
                <w:color w:val="000000"/>
                <w:sz w:val="20"/>
                <w:szCs w:val="20"/>
                <w:vertAlign w:val="subscript"/>
              </w:rPr>
              <w:t>it</w:t>
            </w:r>
            <w:proofErr w:type="spellEnd"/>
            <w:r w:rsidRPr="00CC5AB2">
              <w:rPr>
                <w:color w:val="000000"/>
                <w:sz w:val="20"/>
                <w:szCs w:val="20"/>
              </w:rPr>
              <w:t xml:space="preserve"> = total tax expense for firm </w:t>
            </w:r>
            <w:proofErr w:type="spellStart"/>
            <w:r w:rsidRPr="00CC5AB2">
              <w:rPr>
                <w:color w:val="000000"/>
                <w:sz w:val="20"/>
                <w:szCs w:val="20"/>
              </w:rPr>
              <w:t>i</w:t>
            </w:r>
            <w:proofErr w:type="spellEnd"/>
            <w:r w:rsidRPr="00CC5AB2">
              <w:rPr>
                <w:color w:val="000000"/>
                <w:sz w:val="20"/>
                <w:szCs w:val="20"/>
              </w:rPr>
              <w:t xml:space="preserve"> in year t (txt);</w:t>
            </w:r>
            <w:r w:rsidRPr="00CC5AB2">
              <w:rPr>
                <w:color w:val="000000"/>
                <w:sz w:val="20"/>
                <w:szCs w:val="20"/>
              </w:rPr>
              <w:br/>
            </w:r>
            <w:proofErr w:type="spellStart"/>
            <w:r w:rsidRPr="00CC5AB2">
              <w:rPr>
                <w:color w:val="000000"/>
                <w:sz w:val="20"/>
                <w:szCs w:val="20"/>
              </w:rPr>
              <w:t>CFO</w:t>
            </w:r>
            <w:r w:rsidRPr="00CC5AB2">
              <w:rPr>
                <w:color w:val="000000"/>
                <w:sz w:val="20"/>
                <w:szCs w:val="20"/>
                <w:vertAlign w:val="subscript"/>
              </w:rPr>
              <w:t>it</w:t>
            </w:r>
            <w:proofErr w:type="spellEnd"/>
            <w:r w:rsidRPr="00CC5AB2">
              <w:rPr>
                <w:color w:val="000000"/>
                <w:sz w:val="20"/>
                <w:szCs w:val="20"/>
              </w:rPr>
              <w:t xml:space="preserve"> = cash flow from operations for firm </w:t>
            </w:r>
            <w:proofErr w:type="spellStart"/>
            <w:r w:rsidRPr="00CC5AB2">
              <w:rPr>
                <w:color w:val="000000"/>
                <w:sz w:val="20"/>
                <w:szCs w:val="20"/>
              </w:rPr>
              <w:t>i</w:t>
            </w:r>
            <w:proofErr w:type="spellEnd"/>
            <w:r w:rsidRPr="00CC5AB2">
              <w:rPr>
                <w:color w:val="000000"/>
                <w:sz w:val="20"/>
                <w:szCs w:val="20"/>
              </w:rPr>
              <w:t xml:space="preserve"> in year t (</w:t>
            </w:r>
            <w:proofErr w:type="spellStart"/>
            <w:r w:rsidRPr="00CC5AB2">
              <w:rPr>
                <w:color w:val="000000"/>
                <w:sz w:val="20"/>
                <w:szCs w:val="20"/>
              </w:rPr>
              <w:t>oancf</w:t>
            </w:r>
            <w:proofErr w:type="spellEnd"/>
            <w:r w:rsidRPr="00CC5AB2">
              <w:rPr>
                <w:color w:val="000000"/>
                <w:sz w:val="20"/>
                <w:szCs w:val="20"/>
              </w:rPr>
              <w:t>);</w:t>
            </w:r>
            <w:r w:rsidRPr="00CC5AB2">
              <w:rPr>
                <w:color w:val="000000"/>
                <w:sz w:val="20"/>
                <w:szCs w:val="20"/>
              </w:rPr>
              <w:br/>
            </w:r>
            <w:proofErr w:type="spellStart"/>
            <w:r w:rsidRPr="00CC5AB2">
              <w:rPr>
                <w:color w:val="000000"/>
                <w:sz w:val="20"/>
                <w:szCs w:val="20"/>
              </w:rPr>
              <w:t>ITP</w:t>
            </w:r>
            <w:r w:rsidRPr="00CC5AB2">
              <w:rPr>
                <w:color w:val="000000"/>
                <w:sz w:val="20"/>
                <w:szCs w:val="20"/>
                <w:vertAlign w:val="subscript"/>
              </w:rPr>
              <w:t>it</w:t>
            </w:r>
            <w:proofErr w:type="spellEnd"/>
            <w:r w:rsidRPr="00CC5AB2">
              <w:rPr>
                <w:color w:val="000000"/>
                <w:sz w:val="20"/>
                <w:szCs w:val="20"/>
              </w:rPr>
              <w:t xml:space="preserve"> = income taxes paid from the statement of cash flow for firm </w:t>
            </w:r>
            <w:proofErr w:type="spellStart"/>
            <w:r w:rsidRPr="00CC5AB2">
              <w:rPr>
                <w:color w:val="000000"/>
                <w:sz w:val="20"/>
                <w:szCs w:val="20"/>
              </w:rPr>
              <w:t>i</w:t>
            </w:r>
            <w:proofErr w:type="spellEnd"/>
            <w:r w:rsidRPr="00CC5AB2">
              <w:rPr>
                <w:color w:val="000000"/>
                <w:sz w:val="20"/>
                <w:szCs w:val="20"/>
              </w:rPr>
              <w:t xml:space="preserve"> in year t (</w:t>
            </w:r>
            <w:proofErr w:type="spellStart"/>
            <w:r w:rsidRPr="00CC5AB2">
              <w:rPr>
                <w:color w:val="000000"/>
                <w:sz w:val="20"/>
                <w:szCs w:val="20"/>
              </w:rPr>
              <w:t>txpd</w:t>
            </w:r>
            <w:proofErr w:type="spellEnd"/>
            <w:r w:rsidRPr="00CC5AB2">
              <w:rPr>
                <w:color w:val="000000"/>
                <w:sz w:val="20"/>
                <w:szCs w:val="20"/>
              </w:rPr>
              <w:t>);</w:t>
            </w:r>
            <w:r w:rsidRPr="00CC5AB2">
              <w:rPr>
                <w:color w:val="000000"/>
                <w:sz w:val="20"/>
                <w:szCs w:val="20"/>
              </w:rPr>
              <w:br/>
            </w:r>
            <w:proofErr w:type="spellStart"/>
            <w:r w:rsidRPr="00CC5AB2">
              <w:rPr>
                <w:color w:val="000000"/>
                <w:sz w:val="20"/>
                <w:szCs w:val="20"/>
              </w:rPr>
              <w:t>EIDO</w:t>
            </w:r>
            <w:r w:rsidRPr="00CC5AB2">
              <w:rPr>
                <w:color w:val="000000"/>
                <w:sz w:val="20"/>
                <w:szCs w:val="20"/>
                <w:vertAlign w:val="subscript"/>
              </w:rPr>
              <w:t>it</w:t>
            </w:r>
            <w:proofErr w:type="spellEnd"/>
            <w:r w:rsidRPr="00CC5AB2">
              <w:rPr>
                <w:color w:val="000000"/>
                <w:sz w:val="20"/>
                <w:szCs w:val="20"/>
              </w:rPr>
              <w:t xml:space="preserve"> = extraordinary items and discontinued operations from the statement of cash for firm </w:t>
            </w:r>
            <w:proofErr w:type="spellStart"/>
            <w:r w:rsidRPr="00CC5AB2">
              <w:rPr>
                <w:color w:val="000000"/>
                <w:sz w:val="20"/>
                <w:szCs w:val="20"/>
              </w:rPr>
              <w:t>i</w:t>
            </w:r>
            <w:proofErr w:type="spellEnd"/>
            <w:r w:rsidRPr="00CC5AB2">
              <w:rPr>
                <w:color w:val="000000"/>
                <w:sz w:val="20"/>
                <w:szCs w:val="20"/>
              </w:rPr>
              <w:t xml:space="preserve"> in year t (</w:t>
            </w:r>
            <w:proofErr w:type="spellStart"/>
            <w:r w:rsidRPr="00CC5AB2">
              <w:rPr>
                <w:color w:val="000000"/>
                <w:sz w:val="20"/>
                <w:szCs w:val="20"/>
              </w:rPr>
              <w:t>xidoc</w:t>
            </w:r>
            <w:proofErr w:type="spellEnd"/>
            <w:r w:rsidRPr="00CC5AB2">
              <w:rPr>
                <w:color w:val="000000"/>
                <w:sz w:val="20"/>
                <w:szCs w:val="20"/>
              </w:rPr>
              <w:t>);</w:t>
            </w:r>
            <w:r w:rsidRPr="00CC5AB2">
              <w:rPr>
                <w:color w:val="000000"/>
                <w:sz w:val="20"/>
                <w:szCs w:val="20"/>
              </w:rPr>
              <w:br/>
            </w:r>
            <w:proofErr w:type="spellStart"/>
            <w:r w:rsidRPr="00CC5AB2">
              <w:rPr>
                <w:color w:val="000000"/>
                <w:sz w:val="20"/>
                <w:szCs w:val="20"/>
              </w:rPr>
              <w:t>ΔREV</w:t>
            </w:r>
            <w:r w:rsidRPr="00CC5AB2">
              <w:rPr>
                <w:color w:val="000000"/>
                <w:sz w:val="20"/>
                <w:szCs w:val="20"/>
                <w:vertAlign w:val="subscript"/>
              </w:rPr>
              <w:t>it</w:t>
            </w:r>
            <w:proofErr w:type="spellEnd"/>
            <w:r w:rsidRPr="00CC5AB2">
              <w:rPr>
                <w:color w:val="000000"/>
                <w:sz w:val="20"/>
                <w:szCs w:val="20"/>
              </w:rPr>
              <w:t xml:space="preserve"> = change in sales (</w:t>
            </w:r>
            <w:proofErr w:type="spellStart"/>
            <w:r w:rsidRPr="00CC5AB2">
              <w:rPr>
                <w:color w:val="000000"/>
                <w:sz w:val="20"/>
                <w:szCs w:val="20"/>
              </w:rPr>
              <w:t>revt</w:t>
            </w:r>
            <w:proofErr w:type="spellEnd"/>
            <w:r w:rsidRPr="00CC5AB2">
              <w:rPr>
                <w:color w:val="000000"/>
                <w:sz w:val="20"/>
                <w:szCs w:val="20"/>
              </w:rPr>
              <w:t xml:space="preserve">) for firm </w:t>
            </w:r>
            <w:proofErr w:type="spellStart"/>
            <w:r w:rsidRPr="00CC5AB2">
              <w:rPr>
                <w:color w:val="000000"/>
                <w:sz w:val="20"/>
                <w:szCs w:val="20"/>
              </w:rPr>
              <w:t>i</w:t>
            </w:r>
            <w:proofErr w:type="spellEnd"/>
            <w:r w:rsidRPr="00CC5AB2">
              <w:rPr>
                <w:color w:val="000000"/>
                <w:sz w:val="20"/>
                <w:szCs w:val="20"/>
              </w:rPr>
              <w:t xml:space="preserve"> from year t-1 t</w:t>
            </w:r>
            <w:r w:rsidR="00640169">
              <w:rPr>
                <w:color w:val="000000"/>
                <w:sz w:val="20"/>
                <w:szCs w:val="20"/>
              </w:rPr>
              <w:t>o</w:t>
            </w:r>
            <w:r w:rsidRPr="00CC5AB2">
              <w:rPr>
                <w:color w:val="000000"/>
                <w:sz w:val="20"/>
                <w:szCs w:val="20"/>
              </w:rPr>
              <w:t xml:space="preserve"> year t;</w:t>
            </w:r>
            <w:r w:rsidRPr="00CC5AB2">
              <w:rPr>
                <w:color w:val="000000"/>
                <w:sz w:val="20"/>
                <w:szCs w:val="20"/>
              </w:rPr>
              <w:br/>
            </w:r>
            <w:proofErr w:type="spellStart"/>
            <w:r w:rsidRPr="00CC5AB2">
              <w:rPr>
                <w:color w:val="000000"/>
                <w:sz w:val="20"/>
                <w:szCs w:val="20"/>
              </w:rPr>
              <w:t>ΔAR</w:t>
            </w:r>
            <w:r w:rsidRPr="00CC5AB2">
              <w:rPr>
                <w:color w:val="000000"/>
                <w:sz w:val="20"/>
                <w:szCs w:val="20"/>
                <w:vertAlign w:val="subscript"/>
              </w:rPr>
              <w:t>it</w:t>
            </w:r>
            <w:proofErr w:type="spellEnd"/>
            <w:r w:rsidRPr="00CC5AB2">
              <w:rPr>
                <w:color w:val="000000"/>
                <w:sz w:val="20"/>
                <w:szCs w:val="20"/>
              </w:rPr>
              <w:t xml:space="preserve"> = change in accounts receivable for firm </w:t>
            </w:r>
            <w:proofErr w:type="spellStart"/>
            <w:r w:rsidRPr="00CC5AB2">
              <w:rPr>
                <w:color w:val="000000"/>
                <w:sz w:val="20"/>
                <w:szCs w:val="20"/>
              </w:rPr>
              <w:t>i</w:t>
            </w:r>
            <w:proofErr w:type="spellEnd"/>
            <w:r w:rsidRPr="00CC5AB2">
              <w:rPr>
                <w:color w:val="000000"/>
                <w:sz w:val="20"/>
                <w:szCs w:val="20"/>
              </w:rPr>
              <w:t xml:space="preserve"> from year t-1 to year t (-1*</w:t>
            </w:r>
            <w:proofErr w:type="spellStart"/>
            <w:r w:rsidRPr="00CC5AB2">
              <w:rPr>
                <w:color w:val="000000"/>
                <w:sz w:val="20"/>
                <w:szCs w:val="20"/>
              </w:rPr>
              <w:t>recch</w:t>
            </w:r>
            <w:proofErr w:type="spellEnd"/>
            <w:r w:rsidRPr="00CC5AB2">
              <w:rPr>
                <w:color w:val="000000"/>
                <w:sz w:val="20"/>
                <w:szCs w:val="20"/>
              </w:rPr>
              <w:t>);</w:t>
            </w:r>
            <w:r w:rsidRPr="00CC5AB2">
              <w:rPr>
                <w:color w:val="000000"/>
                <w:sz w:val="20"/>
                <w:szCs w:val="20"/>
              </w:rPr>
              <w:br/>
            </w:r>
            <w:proofErr w:type="spellStart"/>
            <w:r w:rsidRPr="00CC5AB2">
              <w:rPr>
                <w:color w:val="000000"/>
                <w:sz w:val="20"/>
                <w:szCs w:val="20"/>
              </w:rPr>
              <w:t>PPE</w:t>
            </w:r>
            <w:r w:rsidRPr="00CC5AB2">
              <w:rPr>
                <w:color w:val="000000"/>
                <w:sz w:val="20"/>
                <w:szCs w:val="20"/>
                <w:vertAlign w:val="subscript"/>
              </w:rPr>
              <w:t>it</w:t>
            </w:r>
            <w:proofErr w:type="spellEnd"/>
            <w:r w:rsidRPr="00CC5AB2">
              <w:rPr>
                <w:color w:val="000000"/>
                <w:sz w:val="20"/>
                <w:szCs w:val="20"/>
              </w:rPr>
              <w:t xml:space="preserve"> = gross property, plant, and equipment for firm </w:t>
            </w:r>
            <w:proofErr w:type="spellStart"/>
            <w:r w:rsidRPr="00CC5AB2">
              <w:rPr>
                <w:color w:val="000000"/>
                <w:sz w:val="20"/>
                <w:szCs w:val="20"/>
              </w:rPr>
              <w:t>i</w:t>
            </w:r>
            <w:proofErr w:type="spellEnd"/>
            <w:r w:rsidRPr="00CC5AB2">
              <w:rPr>
                <w:color w:val="000000"/>
                <w:sz w:val="20"/>
                <w:szCs w:val="20"/>
              </w:rPr>
              <w:t xml:space="preserve"> in year t (</w:t>
            </w:r>
            <w:proofErr w:type="spellStart"/>
            <w:r w:rsidRPr="00CC5AB2">
              <w:rPr>
                <w:color w:val="000000"/>
                <w:sz w:val="20"/>
                <w:szCs w:val="20"/>
              </w:rPr>
              <w:t>ppegt</w:t>
            </w:r>
            <w:proofErr w:type="spellEnd"/>
            <w:r w:rsidRPr="00CC5AB2">
              <w:rPr>
                <w:color w:val="000000"/>
                <w:sz w:val="20"/>
                <w:szCs w:val="20"/>
              </w:rPr>
              <w:t>); and</w:t>
            </w:r>
            <w:r>
              <w:rPr>
                <w:color w:val="000000"/>
                <w:sz w:val="20"/>
                <w:szCs w:val="20"/>
              </w:rPr>
              <w:t xml:space="preserve"> </w:t>
            </w:r>
            <w:proofErr w:type="spellStart"/>
            <w:r w:rsidRPr="00CC5AB2">
              <w:rPr>
                <w:color w:val="000000"/>
                <w:sz w:val="20"/>
                <w:szCs w:val="20"/>
              </w:rPr>
              <w:t>η</w:t>
            </w:r>
            <w:r w:rsidRPr="00CC5AB2">
              <w:rPr>
                <w:color w:val="000000"/>
                <w:sz w:val="20"/>
                <w:szCs w:val="20"/>
                <w:vertAlign w:val="subscript"/>
              </w:rPr>
              <w:t>it</w:t>
            </w:r>
            <w:proofErr w:type="spellEnd"/>
            <w:r w:rsidRPr="00CC5AB2">
              <w:rPr>
                <w:color w:val="000000"/>
                <w:sz w:val="20"/>
                <w:szCs w:val="20"/>
              </w:rPr>
              <w:t xml:space="preserve"> = discretionary accruals for firm </w:t>
            </w:r>
            <w:proofErr w:type="spellStart"/>
            <w:r w:rsidRPr="00CC5AB2">
              <w:rPr>
                <w:color w:val="000000"/>
                <w:sz w:val="20"/>
                <w:szCs w:val="20"/>
              </w:rPr>
              <w:t>i</w:t>
            </w:r>
            <w:proofErr w:type="spellEnd"/>
            <w:r w:rsidRPr="00CC5AB2">
              <w:rPr>
                <w:color w:val="000000"/>
                <w:sz w:val="20"/>
                <w:szCs w:val="20"/>
              </w:rPr>
              <w:t xml:space="preserve"> in year t before adjusting for performance.</w:t>
            </w:r>
            <w:r w:rsidRPr="00CC5AB2">
              <w:rPr>
                <w:color w:val="000000"/>
                <w:sz w:val="20"/>
                <w:szCs w:val="20"/>
              </w:rPr>
              <w:br/>
              <w:t xml:space="preserve">Following Frank et al. (2009) I calculate accruals on a pre-tax basis as shown above.  After obtaining discretionary accruals for each firm year, I match each firm-year by industry and by </w:t>
            </w:r>
            <w:proofErr w:type="spellStart"/>
            <w:r w:rsidRPr="00CC5AB2">
              <w:rPr>
                <w:color w:val="000000"/>
                <w:sz w:val="20"/>
                <w:szCs w:val="20"/>
              </w:rPr>
              <w:t>decile</w:t>
            </w:r>
            <w:proofErr w:type="spellEnd"/>
            <w:r w:rsidRPr="00CC5AB2">
              <w:rPr>
                <w:color w:val="000000"/>
                <w:sz w:val="20"/>
                <w:szCs w:val="20"/>
              </w:rPr>
              <w:t xml:space="preserve"> of current pre-tax return on assets (PTROA=pi/lag at). For each industry-PTROA </w:t>
            </w:r>
            <w:proofErr w:type="spellStart"/>
            <w:r w:rsidRPr="00CC5AB2">
              <w:rPr>
                <w:color w:val="000000"/>
                <w:sz w:val="20"/>
                <w:szCs w:val="20"/>
              </w:rPr>
              <w:t>decile</w:t>
            </w:r>
            <w:proofErr w:type="spellEnd"/>
            <w:r w:rsidRPr="00CC5AB2">
              <w:rPr>
                <w:color w:val="000000"/>
                <w:sz w:val="20"/>
                <w:szCs w:val="20"/>
              </w:rPr>
              <w:t xml:space="preserve">, the median observation is excluded. For all other observations, DISCR_ACCRUALS is the difference between η and the median η for the industry-PTROA </w:t>
            </w:r>
            <w:proofErr w:type="spellStart"/>
            <w:r w:rsidRPr="00CC5AB2">
              <w:rPr>
                <w:color w:val="000000"/>
                <w:sz w:val="20"/>
                <w:szCs w:val="20"/>
              </w:rPr>
              <w:t>decile</w:t>
            </w:r>
            <w:proofErr w:type="spellEnd"/>
            <w:r w:rsidRPr="00CC5AB2">
              <w:rPr>
                <w:color w:val="000000"/>
                <w:sz w:val="20"/>
                <w:szCs w:val="20"/>
              </w:rPr>
              <w:t xml:space="preserve"> group.</w:t>
            </w:r>
          </w:p>
        </w:tc>
      </w:tr>
      <w:tr w:rsidR="00CC5AB2" w:rsidRPr="00CC5AB2" w:rsidTr="003712BE">
        <w:trPr>
          <w:trHeight w:val="540"/>
        </w:trPr>
        <w:tc>
          <w:tcPr>
            <w:tcW w:w="2117" w:type="dxa"/>
            <w:shd w:val="clear" w:color="auto" w:fill="auto"/>
            <w:hideMark/>
          </w:tcPr>
          <w:p w:rsidR="00CC5AB2" w:rsidRPr="00CC5AB2" w:rsidRDefault="00CC5AB2" w:rsidP="003712BE">
            <w:pPr>
              <w:rPr>
                <w:color w:val="000000"/>
                <w:sz w:val="20"/>
                <w:szCs w:val="20"/>
              </w:rPr>
            </w:pPr>
            <w:r w:rsidRPr="00CC5AB2">
              <w:rPr>
                <w:color w:val="000000"/>
                <w:sz w:val="20"/>
                <w:szCs w:val="20"/>
              </w:rPr>
              <w:t>FOREIGN_INCOME</w:t>
            </w:r>
          </w:p>
        </w:tc>
        <w:tc>
          <w:tcPr>
            <w:tcW w:w="7006" w:type="dxa"/>
            <w:shd w:val="clear" w:color="auto" w:fill="auto"/>
            <w:hideMark/>
          </w:tcPr>
          <w:p w:rsidR="00CC5AB2" w:rsidRPr="00CC5AB2" w:rsidRDefault="00CC5AB2" w:rsidP="003712BE">
            <w:pPr>
              <w:rPr>
                <w:color w:val="000000"/>
                <w:sz w:val="20"/>
                <w:szCs w:val="20"/>
              </w:rPr>
            </w:pPr>
            <w:r w:rsidRPr="00CC5AB2">
              <w:rPr>
                <w:color w:val="000000"/>
                <w:sz w:val="20"/>
                <w:szCs w:val="20"/>
              </w:rPr>
              <w:t>Absolute value of pre-tax foreign income or loss (</w:t>
            </w:r>
            <w:proofErr w:type="spellStart"/>
            <w:r w:rsidRPr="00CC5AB2">
              <w:rPr>
                <w:color w:val="000000"/>
                <w:sz w:val="20"/>
                <w:szCs w:val="20"/>
              </w:rPr>
              <w:t>pifo</w:t>
            </w:r>
            <w:proofErr w:type="spellEnd"/>
            <w:r w:rsidRPr="00CC5AB2">
              <w:rPr>
                <w:color w:val="000000"/>
                <w:sz w:val="20"/>
                <w:szCs w:val="20"/>
              </w:rPr>
              <w:t>), scaled by ending total assets (at) at time t, or 0 if missing.</w:t>
            </w:r>
          </w:p>
        </w:tc>
      </w:tr>
      <w:tr w:rsidR="00CC5AB2" w:rsidRPr="00CC5AB2" w:rsidTr="003712BE">
        <w:trPr>
          <w:trHeight w:val="315"/>
        </w:trPr>
        <w:tc>
          <w:tcPr>
            <w:tcW w:w="2117" w:type="dxa"/>
            <w:shd w:val="clear" w:color="auto" w:fill="auto"/>
            <w:noWrap/>
            <w:hideMark/>
          </w:tcPr>
          <w:p w:rsidR="00CC5AB2" w:rsidRPr="00CC5AB2" w:rsidRDefault="00CC5AB2" w:rsidP="003712BE">
            <w:pPr>
              <w:rPr>
                <w:color w:val="000000"/>
                <w:sz w:val="20"/>
                <w:szCs w:val="20"/>
              </w:rPr>
            </w:pPr>
            <w:r w:rsidRPr="00CC5AB2">
              <w:rPr>
                <w:color w:val="000000"/>
                <w:sz w:val="20"/>
                <w:szCs w:val="20"/>
              </w:rPr>
              <w:t>NOL</w:t>
            </w:r>
          </w:p>
        </w:tc>
        <w:tc>
          <w:tcPr>
            <w:tcW w:w="7006" w:type="dxa"/>
            <w:shd w:val="clear" w:color="auto" w:fill="auto"/>
            <w:hideMark/>
          </w:tcPr>
          <w:p w:rsidR="00CC5AB2" w:rsidRPr="00CC5AB2" w:rsidRDefault="00CC5AB2" w:rsidP="003712BE">
            <w:pPr>
              <w:rPr>
                <w:color w:val="000000"/>
                <w:sz w:val="20"/>
                <w:szCs w:val="20"/>
              </w:rPr>
            </w:pPr>
            <w:r w:rsidRPr="00CC5AB2">
              <w:rPr>
                <w:color w:val="000000"/>
                <w:sz w:val="20"/>
                <w:szCs w:val="20"/>
              </w:rPr>
              <w:t xml:space="preserve">Tax loss </w:t>
            </w:r>
            <w:proofErr w:type="spellStart"/>
            <w:r w:rsidRPr="00CC5AB2">
              <w:rPr>
                <w:color w:val="000000"/>
                <w:sz w:val="20"/>
                <w:szCs w:val="20"/>
              </w:rPr>
              <w:t>carryforward</w:t>
            </w:r>
            <w:proofErr w:type="spellEnd"/>
            <w:r w:rsidRPr="00CC5AB2">
              <w:rPr>
                <w:color w:val="000000"/>
                <w:sz w:val="20"/>
                <w:szCs w:val="20"/>
              </w:rPr>
              <w:t xml:space="preserve"> (</w:t>
            </w:r>
            <w:proofErr w:type="spellStart"/>
            <w:r w:rsidRPr="00CC5AB2">
              <w:rPr>
                <w:color w:val="000000"/>
                <w:sz w:val="20"/>
                <w:szCs w:val="20"/>
              </w:rPr>
              <w:t>tlcf</w:t>
            </w:r>
            <w:proofErr w:type="spellEnd"/>
            <w:r w:rsidRPr="00CC5AB2">
              <w:rPr>
                <w:color w:val="000000"/>
                <w:sz w:val="20"/>
                <w:szCs w:val="20"/>
              </w:rPr>
              <w:t xml:space="preserve">), scaled by ending total assets (at) at time t, or 0 if missing. </w:t>
            </w:r>
          </w:p>
        </w:tc>
      </w:tr>
      <w:tr w:rsidR="00CC5AB2" w:rsidRPr="00CC5AB2" w:rsidTr="003712BE">
        <w:trPr>
          <w:trHeight w:val="570"/>
        </w:trPr>
        <w:tc>
          <w:tcPr>
            <w:tcW w:w="2117" w:type="dxa"/>
            <w:shd w:val="clear" w:color="auto" w:fill="auto"/>
            <w:noWrap/>
            <w:hideMark/>
          </w:tcPr>
          <w:p w:rsidR="00CC5AB2" w:rsidRPr="00CC5AB2" w:rsidRDefault="00CC5AB2" w:rsidP="003712BE">
            <w:pPr>
              <w:rPr>
                <w:color w:val="000000"/>
                <w:sz w:val="20"/>
                <w:szCs w:val="20"/>
              </w:rPr>
            </w:pPr>
            <w:r w:rsidRPr="00CC5AB2">
              <w:rPr>
                <w:color w:val="000000"/>
                <w:sz w:val="20"/>
                <w:szCs w:val="20"/>
              </w:rPr>
              <w:t>LT_DEBT</w:t>
            </w:r>
          </w:p>
        </w:tc>
        <w:tc>
          <w:tcPr>
            <w:tcW w:w="7006" w:type="dxa"/>
            <w:shd w:val="clear" w:color="auto" w:fill="auto"/>
            <w:hideMark/>
          </w:tcPr>
          <w:p w:rsidR="00CC5AB2" w:rsidRPr="00CC5AB2" w:rsidRDefault="00CC5AB2" w:rsidP="003712BE">
            <w:pPr>
              <w:rPr>
                <w:color w:val="000000"/>
                <w:sz w:val="20"/>
                <w:szCs w:val="20"/>
              </w:rPr>
            </w:pPr>
            <w:r w:rsidRPr="00CC5AB2">
              <w:rPr>
                <w:color w:val="000000"/>
                <w:sz w:val="20"/>
                <w:szCs w:val="20"/>
              </w:rPr>
              <w:t>Long term debt (</w:t>
            </w:r>
            <w:proofErr w:type="spellStart"/>
            <w:r w:rsidRPr="00CC5AB2">
              <w:rPr>
                <w:color w:val="000000"/>
                <w:sz w:val="20"/>
                <w:szCs w:val="20"/>
              </w:rPr>
              <w:t>dltt</w:t>
            </w:r>
            <w:proofErr w:type="spellEnd"/>
            <w:r w:rsidRPr="00CC5AB2">
              <w:rPr>
                <w:color w:val="000000"/>
                <w:sz w:val="20"/>
                <w:szCs w:val="20"/>
              </w:rPr>
              <w:t>) plus debt in current liabilities (</w:t>
            </w:r>
            <w:proofErr w:type="spellStart"/>
            <w:r w:rsidRPr="00CC5AB2">
              <w:rPr>
                <w:color w:val="000000"/>
                <w:sz w:val="20"/>
                <w:szCs w:val="20"/>
              </w:rPr>
              <w:t>dlc</w:t>
            </w:r>
            <w:proofErr w:type="spellEnd"/>
            <w:r w:rsidRPr="00CC5AB2">
              <w:rPr>
                <w:color w:val="000000"/>
                <w:sz w:val="20"/>
                <w:szCs w:val="20"/>
              </w:rPr>
              <w:t>) at time t, scaled by ending total assets (at) at time t.</w:t>
            </w:r>
          </w:p>
        </w:tc>
      </w:tr>
      <w:tr w:rsidR="00CC5AB2" w:rsidRPr="00CC5AB2" w:rsidTr="009B12D9">
        <w:trPr>
          <w:trHeight w:val="300"/>
        </w:trPr>
        <w:tc>
          <w:tcPr>
            <w:tcW w:w="2117" w:type="dxa"/>
            <w:shd w:val="clear" w:color="auto" w:fill="auto"/>
            <w:hideMark/>
          </w:tcPr>
          <w:p w:rsidR="00CC5AB2" w:rsidRPr="00CC5AB2" w:rsidRDefault="00CC5AB2" w:rsidP="003712BE">
            <w:pPr>
              <w:rPr>
                <w:color w:val="000000"/>
                <w:sz w:val="20"/>
                <w:szCs w:val="20"/>
              </w:rPr>
            </w:pPr>
            <w:r w:rsidRPr="00CC5AB2">
              <w:rPr>
                <w:color w:val="000000"/>
                <w:sz w:val="20"/>
                <w:szCs w:val="20"/>
              </w:rPr>
              <w:t>SALES_GROWTH</w:t>
            </w:r>
          </w:p>
        </w:tc>
        <w:tc>
          <w:tcPr>
            <w:tcW w:w="7006" w:type="dxa"/>
            <w:shd w:val="clear" w:color="auto" w:fill="auto"/>
            <w:hideMark/>
          </w:tcPr>
          <w:p w:rsidR="00CC5AB2" w:rsidRPr="00CC5AB2" w:rsidRDefault="00CC5AB2" w:rsidP="003712BE">
            <w:pPr>
              <w:rPr>
                <w:color w:val="000000"/>
                <w:sz w:val="20"/>
                <w:szCs w:val="20"/>
              </w:rPr>
            </w:pPr>
            <w:r w:rsidRPr="00CC5AB2">
              <w:rPr>
                <w:color w:val="000000"/>
                <w:sz w:val="20"/>
                <w:szCs w:val="20"/>
              </w:rPr>
              <w:t xml:space="preserve">The 3 year average of the percentage growth in sales (sale) for </w:t>
            </w:r>
            <w:proofErr w:type="gramStart"/>
            <w:r w:rsidRPr="00CC5AB2">
              <w:rPr>
                <w:color w:val="000000"/>
                <w:sz w:val="20"/>
                <w:szCs w:val="20"/>
              </w:rPr>
              <w:t>years</w:t>
            </w:r>
            <w:proofErr w:type="gramEnd"/>
            <w:r w:rsidRPr="00CC5AB2">
              <w:rPr>
                <w:color w:val="000000"/>
                <w:sz w:val="20"/>
                <w:szCs w:val="20"/>
              </w:rPr>
              <w:t xml:space="preserve"> t, t-1, and t-2.</w:t>
            </w:r>
          </w:p>
        </w:tc>
      </w:tr>
      <w:tr w:rsidR="00CC5AB2" w:rsidRPr="00CC5AB2" w:rsidTr="009B12D9">
        <w:trPr>
          <w:trHeight w:val="525"/>
        </w:trPr>
        <w:tc>
          <w:tcPr>
            <w:tcW w:w="2117" w:type="dxa"/>
            <w:tcBorders>
              <w:bottom w:val="single" w:sz="4" w:space="0" w:color="auto"/>
            </w:tcBorders>
            <w:shd w:val="clear" w:color="auto" w:fill="auto"/>
            <w:noWrap/>
            <w:hideMark/>
          </w:tcPr>
          <w:p w:rsidR="00CC5AB2" w:rsidRPr="00CC5AB2" w:rsidRDefault="00CC5AB2" w:rsidP="003712BE">
            <w:pPr>
              <w:rPr>
                <w:color w:val="000000"/>
                <w:sz w:val="20"/>
                <w:szCs w:val="20"/>
              </w:rPr>
            </w:pPr>
            <w:r w:rsidRPr="00CC5AB2">
              <w:rPr>
                <w:color w:val="000000"/>
                <w:sz w:val="20"/>
                <w:szCs w:val="20"/>
              </w:rPr>
              <w:t>LOSS</w:t>
            </w:r>
          </w:p>
        </w:tc>
        <w:tc>
          <w:tcPr>
            <w:tcW w:w="7006" w:type="dxa"/>
            <w:tcBorders>
              <w:bottom w:val="single" w:sz="4" w:space="0" w:color="auto"/>
            </w:tcBorders>
            <w:shd w:val="clear" w:color="auto" w:fill="auto"/>
            <w:hideMark/>
          </w:tcPr>
          <w:p w:rsidR="00CC5AB2" w:rsidRPr="00CC5AB2" w:rsidRDefault="00CC5AB2" w:rsidP="003712BE">
            <w:pPr>
              <w:rPr>
                <w:color w:val="000000"/>
                <w:sz w:val="20"/>
                <w:szCs w:val="20"/>
              </w:rPr>
            </w:pPr>
            <w:r w:rsidRPr="00CC5AB2">
              <w:rPr>
                <w:color w:val="000000"/>
                <w:sz w:val="20"/>
                <w:szCs w:val="20"/>
              </w:rPr>
              <w:t>Indicator equal to 1 if current year income before extraordinary items (</w:t>
            </w:r>
            <w:proofErr w:type="spellStart"/>
            <w:r w:rsidRPr="00CC5AB2">
              <w:rPr>
                <w:color w:val="000000"/>
                <w:sz w:val="20"/>
                <w:szCs w:val="20"/>
              </w:rPr>
              <w:t>ib</w:t>
            </w:r>
            <w:proofErr w:type="spellEnd"/>
            <w:r w:rsidRPr="00CC5AB2">
              <w:rPr>
                <w:color w:val="000000"/>
                <w:sz w:val="20"/>
                <w:szCs w:val="20"/>
              </w:rPr>
              <w:t>) is less than 0; equal to 0 otherwise.</w:t>
            </w:r>
          </w:p>
        </w:tc>
      </w:tr>
    </w:tbl>
    <w:p w:rsidR="003712BE" w:rsidRDefault="003712BE"/>
    <w:p w:rsidR="00D24CA8" w:rsidRDefault="00D24CA8" w:rsidP="00D24CA8">
      <w:pPr>
        <w:jc w:val="center"/>
        <w:rPr>
          <w:b/>
          <w:sz w:val="28"/>
          <w:szCs w:val="28"/>
        </w:rPr>
      </w:pPr>
    </w:p>
    <w:p w:rsidR="00785F4B" w:rsidRPr="00D24CA8" w:rsidRDefault="00785F4B" w:rsidP="00D24CA8">
      <w:pPr>
        <w:jc w:val="center"/>
        <w:rPr>
          <w:b/>
          <w:sz w:val="28"/>
          <w:szCs w:val="28"/>
        </w:rPr>
      </w:pPr>
    </w:p>
    <w:tbl>
      <w:tblPr>
        <w:tblW w:w="9040" w:type="dxa"/>
        <w:tblInd w:w="93" w:type="dxa"/>
        <w:tblLook w:val="04A0"/>
      </w:tblPr>
      <w:tblGrid>
        <w:gridCol w:w="2117"/>
        <w:gridCol w:w="6923"/>
      </w:tblGrid>
      <w:tr w:rsidR="003712BE" w:rsidRPr="003712BE" w:rsidTr="00D24CA8">
        <w:trPr>
          <w:trHeight w:val="375"/>
        </w:trPr>
        <w:tc>
          <w:tcPr>
            <w:tcW w:w="9040" w:type="dxa"/>
            <w:gridSpan w:val="2"/>
            <w:tcBorders>
              <w:top w:val="single" w:sz="4" w:space="0" w:color="auto"/>
              <w:left w:val="nil"/>
              <w:bottom w:val="single" w:sz="4" w:space="0" w:color="auto"/>
              <w:right w:val="nil"/>
            </w:tcBorders>
            <w:shd w:val="clear" w:color="auto" w:fill="auto"/>
            <w:noWrap/>
            <w:vAlign w:val="center"/>
            <w:hideMark/>
          </w:tcPr>
          <w:p w:rsidR="003712BE" w:rsidRPr="003712BE" w:rsidRDefault="003712BE" w:rsidP="003712BE">
            <w:pPr>
              <w:jc w:val="center"/>
              <w:rPr>
                <w:b/>
                <w:bCs/>
                <w:color w:val="000000"/>
                <w:sz w:val="20"/>
                <w:szCs w:val="20"/>
              </w:rPr>
            </w:pPr>
            <w:r w:rsidRPr="003712BE">
              <w:rPr>
                <w:b/>
                <w:bCs/>
                <w:color w:val="000000"/>
                <w:sz w:val="20"/>
                <w:szCs w:val="20"/>
              </w:rPr>
              <w:lastRenderedPageBreak/>
              <w:t xml:space="preserve">Variables in Firm Value Model </w:t>
            </w:r>
            <w:r w:rsidR="00BB39A6">
              <w:rPr>
                <w:b/>
                <w:bCs/>
                <w:color w:val="000000"/>
                <w:sz w:val="20"/>
                <w:szCs w:val="20"/>
              </w:rPr>
              <w:t>(</w:t>
            </w:r>
            <w:r w:rsidRPr="003712BE">
              <w:rPr>
                <w:b/>
                <w:bCs/>
                <w:color w:val="000000"/>
                <w:sz w:val="20"/>
                <w:szCs w:val="20"/>
              </w:rPr>
              <w:t>10</w:t>
            </w:r>
            <w:r w:rsidR="00BB39A6">
              <w:rPr>
                <w:b/>
                <w:bCs/>
                <w:color w:val="000000"/>
                <w:sz w:val="20"/>
                <w:szCs w:val="20"/>
              </w:rPr>
              <w:t>)</w:t>
            </w:r>
            <w:r w:rsidRPr="003712BE">
              <w:rPr>
                <w:b/>
                <w:bCs/>
                <w:color w:val="000000"/>
                <w:sz w:val="20"/>
                <w:szCs w:val="20"/>
              </w:rPr>
              <w:t xml:space="preserve"> Continued</w:t>
            </w:r>
          </w:p>
        </w:tc>
      </w:tr>
      <w:tr w:rsidR="003712BE" w:rsidRPr="003712BE" w:rsidTr="003712BE">
        <w:trPr>
          <w:trHeight w:val="525"/>
        </w:trPr>
        <w:tc>
          <w:tcPr>
            <w:tcW w:w="1931" w:type="dxa"/>
            <w:tcBorders>
              <w:top w:val="nil"/>
              <w:left w:val="nil"/>
              <w:bottom w:val="nil"/>
              <w:right w:val="nil"/>
            </w:tcBorders>
            <w:shd w:val="clear" w:color="auto" w:fill="auto"/>
            <w:noWrap/>
            <w:hideMark/>
          </w:tcPr>
          <w:p w:rsidR="003712BE" w:rsidRPr="003712BE" w:rsidRDefault="003712BE" w:rsidP="003712BE">
            <w:pPr>
              <w:rPr>
                <w:color w:val="000000"/>
                <w:sz w:val="20"/>
                <w:szCs w:val="20"/>
              </w:rPr>
            </w:pPr>
            <w:r w:rsidRPr="003712BE">
              <w:rPr>
                <w:color w:val="000000"/>
                <w:sz w:val="20"/>
                <w:szCs w:val="20"/>
              </w:rPr>
              <w:t>STD_DEV_RETURNS</w:t>
            </w:r>
          </w:p>
        </w:tc>
        <w:tc>
          <w:tcPr>
            <w:tcW w:w="7109" w:type="dxa"/>
            <w:tcBorders>
              <w:top w:val="nil"/>
              <w:left w:val="nil"/>
              <w:bottom w:val="nil"/>
              <w:right w:val="nil"/>
            </w:tcBorders>
            <w:shd w:val="clear" w:color="auto" w:fill="auto"/>
            <w:hideMark/>
          </w:tcPr>
          <w:p w:rsidR="003712BE" w:rsidRPr="003712BE" w:rsidRDefault="003712BE" w:rsidP="003712BE">
            <w:pPr>
              <w:rPr>
                <w:color w:val="000000"/>
                <w:sz w:val="20"/>
                <w:szCs w:val="20"/>
              </w:rPr>
            </w:pPr>
            <w:r w:rsidRPr="003712BE">
              <w:rPr>
                <w:color w:val="000000"/>
                <w:sz w:val="20"/>
                <w:szCs w:val="20"/>
              </w:rPr>
              <w:t>The standard deviation of CRSP monthly returns (ret) for the last five years ending in year t, where each firm-year is required to have 24 out of 60 months of available return data.</w:t>
            </w:r>
          </w:p>
        </w:tc>
      </w:tr>
      <w:tr w:rsidR="003712BE" w:rsidRPr="003712BE" w:rsidTr="003712BE">
        <w:trPr>
          <w:trHeight w:val="510"/>
        </w:trPr>
        <w:tc>
          <w:tcPr>
            <w:tcW w:w="1931" w:type="dxa"/>
            <w:tcBorders>
              <w:top w:val="nil"/>
              <w:left w:val="nil"/>
              <w:bottom w:val="single" w:sz="4" w:space="0" w:color="auto"/>
              <w:right w:val="nil"/>
            </w:tcBorders>
            <w:shd w:val="clear" w:color="auto" w:fill="auto"/>
            <w:noWrap/>
            <w:hideMark/>
          </w:tcPr>
          <w:p w:rsidR="003712BE" w:rsidRPr="003712BE" w:rsidRDefault="003712BE" w:rsidP="003712BE">
            <w:pPr>
              <w:rPr>
                <w:color w:val="000000"/>
                <w:sz w:val="20"/>
                <w:szCs w:val="20"/>
              </w:rPr>
            </w:pPr>
            <w:r w:rsidRPr="003712BE">
              <w:rPr>
                <w:color w:val="000000"/>
                <w:sz w:val="20"/>
                <w:szCs w:val="20"/>
              </w:rPr>
              <w:t>LOG_AGE</w:t>
            </w:r>
          </w:p>
        </w:tc>
        <w:tc>
          <w:tcPr>
            <w:tcW w:w="7109" w:type="dxa"/>
            <w:tcBorders>
              <w:top w:val="nil"/>
              <w:left w:val="nil"/>
              <w:bottom w:val="single" w:sz="4" w:space="0" w:color="auto"/>
              <w:right w:val="nil"/>
            </w:tcBorders>
            <w:shd w:val="clear" w:color="auto" w:fill="auto"/>
            <w:hideMark/>
          </w:tcPr>
          <w:p w:rsidR="003712BE" w:rsidRPr="003712BE" w:rsidRDefault="003712BE" w:rsidP="003712BE">
            <w:pPr>
              <w:rPr>
                <w:color w:val="000000"/>
                <w:sz w:val="20"/>
                <w:szCs w:val="20"/>
              </w:rPr>
            </w:pPr>
            <w:r w:rsidRPr="003712BE">
              <w:rPr>
                <w:color w:val="000000"/>
                <w:sz w:val="20"/>
                <w:szCs w:val="20"/>
              </w:rPr>
              <w:t>Natural log of the age of the firm, measured as the number of years the firm has been covered by CRSP.</w:t>
            </w:r>
          </w:p>
        </w:tc>
      </w:tr>
    </w:tbl>
    <w:p w:rsidR="003712BE" w:rsidRDefault="003712BE"/>
    <w:p w:rsidR="00D24CA8" w:rsidRDefault="00D24CA8"/>
    <w:tbl>
      <w:tblPr>
        <w:tblW w:w="9180" w:type="dxa"/>
        <w:tblInd w:w="93" w:type="dxa"/>
        <w:tblLook w:val="04A0"/>
      </w:tblPr>
      <w:tblGrid>
        <w:gridCol w:w="2094"/>
        <w:gridCol w:w="7086"/>
      </w:tblGrid>
      <w:tr w:rsidR="003712BE" w:rsidRPr="003712BE" w:rsidTr="00D24CA8">
        <w:trPr>
          <w:trHeight w:val="360"/>
        </w:trPr>
        <w:tc>
          <w:tcPr>
            <w:tcW w:w="9180" w:type="dxa"/>
            <w:gridSpan w:val="2"/>
            <w:tcBorders>
              <w:top w:val="single" w:sz="4" w:space="0" w:color="auto"/>
              <w:left w:val="nil"/>
              <w:bottom w:val="single" w:sz="4" w:space="0" w:color="auto"/>
              <w:right w:val="nil"/>
            </w:tcBorders>
            <w:shd w:val="clear" w:color="auto" w:fill="auto"/>
            <w:noWrap/>
            <w:vAlign w:val="center"/>
            <w:hideMark/>
          </w:tcPr>
          <w:p w:rsidR="003712BE" w:rsidRPr="003712BE" w:rsidRDefault="003712BE" w:rsidP="003712BE">
            <w:pPr>
              <w:jc w:val="center"/>
              <w:rPr>
                <w:b/>
                <w:bCs/>
                <w:color w:val="000000"/>
                <w:sz w:val="20"/>
                <w:szCs w:val="20"/>
              </w:rPr>
            </w:pPr>
            <w:r w:rsidRPr="003712BE">
              <w:rPr>
                <w:b/>
                <w:bCs/>
                <w:color w:val="000000"/>
                <w:sz w:val="20"/>
                <w:szCs w:val="20"/>
              </w:rPr>
              <w:t xml:space="preserve">Variables in Cost of Capital Model </w:t>
            </w:r>
            <w:r w:rsidR="00BB39A6">
              <w:rPr>
                <w:b/>
                <w:bCs/>
                <w:color w:val="000000"/>
                <w:sz w:val="20"/>
                <w:szCs w:val="20"/>
              </w:rPr>
              <w:t>(</w:t>
            </w:r>
            <w:r w:rsidRPr="003712BE">
              <w:rPr>
                <w:b/>
                <w:bCs/>
                <w:color w:val="000000"/>
                <w:sz w:val="20"/>
                <w:szCs w:val="20"/>
              </w:rPr>
              <w:t>11</w:t>
            </w:r>
            <w:r w:rsidR="00BB39A6">
              <w:rPr>
                <w:b/>
                <w:bCs/>
                <w:color w:val="000000"/>
                <w:sz w:val="20"/>
                <w:szCs w:val="20"/>
              </w:rPr>
              <w:t>)</w:t>
            </w:r>
          </w:p>
        </w:tc>
      </w:tr>
      <w:tr w:rsidR="003712BE" w:rsidRPr="003712BE" w:rsidTr="00D24CA8">
        <w:trPr>
          <w:trHeight w:val="1682"/>
        </w:trPr>
        <w:tc>
          <w:tcPr>
            <w:tcW w:w="1980" w:type="dxa"/>
            <w:tcBorders>
              <w:top w:val="nil"/>
              <w:left w:val="nil"/>
              <w:bottom w:val="nil"/>
              <w:right w:val="nil"/>
            </w:tcBorders>
            <w:shd w:val="clear" w:color="auto" w:fill="auto"/>
            <w:noWrap/>
            <w:hideMark/>
          </w:tcPr>
          <w:p w:rsidR="003712BE" w:rsidRPr="003712BE" w:rsidRDefault="003712BE" w:rsidP="003712BE">
            <w:pPr>
              <w:rPr>
                <w:color w:val="000000"/>
                <w:sz w:val="20"/>
                <w:szCs w:val="20"/>
              </w:rPr>
            </w:pPr>
            <w:proofErr w:type="spellStart"/>
            <w:r w:rsidRPr="003712BE">
              <w:rPr>
                <w:color w:val="000000"/>
                <w:sz w:val="20"/>
                <w:szCs w:val="20"/>
              </w:rPr>
              <w:t>r</w:t>
            </w:r>
            <w:r w:rsidRPr="003712BE">
              <w:rPr>
                <w:b/>
                <w:bCs/>
                <w:sz w:val="20"/>
                <w:szCs w:val="20"/>
                <w:vertAlign w:val="subscript"/>
              </w:rPr>
              <w:t>PEG</w:t>
            </w:r>
            <w:proofErr w:type="spellEnd"/>
          </w:p>
        </w:tc>
        <w:tc>
          <w:tcPr>
            <w:tcW w:w="7200" w:type="dxa"/>
            <w:tcBorders>
              <w:top w:val="nil"/>
              <w:left w:val="nil"/>
              <w:bottom w:val="nil"/>
              <w:right w:val="nil"/>
            </w:tcBorders>
            <w:shd w:val="clear" w:color="auto" w:fill="auto"/>
            <w:hideMark/>
          </w:tcPr>
          <w:p w:rsidR="003712BE" w:rsidRPr="003712BE" w:rsidRDefault="003712BE" w:rsidP="003712BE">
            <w:pPr>
              <w:rPr>
                <w:color w:val="000000"/>
                <w:sz w:val="20"/>
                <w:szCs w:val="20"/>
              </w:rPr>
            </w:pPr>
            <w:r w:rsidRPr="003712BE">
              <w:rPr>
                <w:color w:val="000000"/>
                <w:sz w:val="20"/>
                <w:szCs w:val="20"/>
              </w:rPr>
              <w:t xml:space="preserve">Following </w:t>
            </w:r>
            <w:proofErr w:type="spellStart"/>
            <w:r w:rsidRPr="003712BE">
              <w:rPr>
                <w:color w:val="000000"/>
                <w:sz w:val="20"/>
                <w:szCs w:val="20"/>
              </w:rPr>
              <w:t>Botosan</w:t>
            </w:r>
            <w:proofErr w:type="spellEnd"/>
            <w:r w:rsidRPr="003712BE">
              <w:rPr>
                <w:color w:val="000000"/>
                <w:sz w:val="20"/>
                <w:szCs w:val="20"/>
              </w:rPr>
              <w:t xml:space="preserve"> and </w:t>
            </w:r>
            <w:proofErr w:type="spellStart"/>
            <w:r w:rsidRPr="003712BE">
              <w:rPr>
                <w:color w:val="000000"/>
                <w:sz w:val="20"/>
                <w:szCs w:val="20"/>
              </w:rPr>
              <w:t>Plumlee</w:t>
            </w:r>
            <w:proofErr w:type="spellEnd"/>
            <w:r w:rsidRPr="003712BE">
              <w:rPr>
                <w:color w:val="000000"/>
                <w:sz w:val="20"/>
                <w:szCs w:val="20"/>
              </w:rPr>
              <w:t xml:space="preserve"> (2005) and </w:t>
            </w:r>
            <w:proofErr w:type="spellStart"/>
            <w:r w:rsidRPr="003712BE">
              <w:rPr>
                <w:color w:val="000000"/>
                <w:sz w:val="20"/>
                <w:szCs w:val="20"/>
              </w:rPr>
              <w:t>Botosan</w:t>
            </w:r>
            <w:proofErr w:type="spellEnd"/>
            <w:r w:rsidRPr="003712BE">
              <w:rPr>
                <w:color w:val="000000"/>
                <w:sz w:val="20"/>
                <w:szCs w:val="20"/>
              </w:rPr>
              <w:t xml:space="preserve"> et al. (2011): </w:t>
            </w:r>
            <w:proofErr w:type="spellStart"/>
            <w:r w:rsidRPr="003712BE">
              <w:rPr>
                <w:color w:val="000000"/>
                <w:sz w:val="20"/>
                <w:szCs w:val="20"/>
              </w:rPr>
              <w:t>r</w:t>
            </w:r>
            <w:r w:rsidRPr="003712BE">
              <w:rPr>
                <w:color w:val="000000"/>
                <w:sz w:val="20"/>
                <w:szCs w:val="20"/>
                <w:vertAlign w:val="subscript"/>
              </w:rPr>
              <w:t>PEG</w:t>
            </w:r>
            <w:proofErr w:type="spellEnd"/>
            <w:proofErr w:type="gramStart"/>
            <w:r w:rsidRPr="003712BE">
              <w:rPr>
                <w:color w:val="000000"/>
                <w:sz w:val="20"/>
                <w:szCs w:val="20"/>
              </w:rPr>
              <w:t>=(</w:t>
            </w:r>
            <w:proofErr w:type="gramEnd"/>
            <w:r w:rsidRPr="003712BE">
              <w:rPr>
                <w:color w:val="000000"/>
                <w:sz w:val="20"/>
                <w:szCs w:val="20"/>
              </w:rPr>
              <w:t>(eps</w:t>
            </w:r>
            <w:r w:rsidRPr="003712BE">
              <w:rPr>
                <w:color w:val="000000"/>
                <w:sz w:val="20"/>
                <w:szCs w:val="20"/>
                <w:vertAlign w:val="subscript"/>
              </w:rPr>
              <w:t>5</w:t>
            </w:r>
            <w:r w:rsidRPr="003712BE">
              <w:rPr>
                <w:color w:val="000000"/>
                <w:sz w:val="20"/>
                <w:szCs w:val="20"/>
              </w:rPr>
              <w:t>-eps</w:t>
            </w:r>
            <w:r w:rsidRPr="003712BE">
              <w:rPr>
                <w:color w:val="000000"/>
                <w:sz w:val="20"/>
                <w:szCs w:val="20"/>
                <w:vertAlign w:val="subscript"/>
              </w:rPr>
              <w:t>4</w:t>
            </w:r>
            <w:r w:rsidRPr="003712BE">
              <w:rPr>
                <w:color w:val="000000"/>
                <w:sz w:val="20"/>
                <w:szCs w:val="20"/>
              </w:rPr>
              <w:t>)/P</w:t>
            </w:r>
            <w:r w:rsidRPr="003712BE">
              <w:rPr>
                <w:color w:val="000000"/>
                <w:sz w:val="20"/>
                <w:szCs w:val="20"/>
                <w:vertAlign w:val="subscript"/>
              </w:rPr>
              <w:t>0</w:t>
            </w:r>
            <w:r w:rsidRPr="003712BE">
              <w:rPr>
                <w:color w:val="000000"/>
                <w:sz w:val="20"/>
                <w:szCs w:val="20"/>
              </w:rPr>
              <w:t>)^(.5).  Eps</w:t>
            </w:r>
            <w:r w:rsidRPr="003712BE">
              <w:rPr>
                <w:color w:val="000000"/>
                <w:sz w:val="20"/>
                <w:szCs w:val="20"/>
                <w:vertAlign w:val="subscript"/>
              </w:rPr>
              <w:t>5</w:t>
            </w:r>
            <w:r w:rsidRPr="003712BE">
              <w:rPr>
                <w:color w:val="000000"/>
                <w:sz w:val="20"/>
                <w:szCs w:val="20"/>
              </w:rPr>
              <w:t xml:space="preserve"> (eps</w:t>
            </w:r>
            <w:r w:rsidRPr="003712BE">
              <w:rPr>
                <w:color w:val="000000"/>
                <w:sz w:val="20"/>
                <w:szCs w:val="20"/>
                <w:vertAlign w:val="subscript"/>
              </w:rPr>
              <w:t>4</w:t>
            </w:r>
            <w:r w:rsidRPr="003712BE">
              <w:rPr>
                <w:color w:val="000000"/>
                <w:sz w:val="20"/>
                <w:szCs w:val="20"/>
              </w:rPr>
              <w:t>) is the 5 (4) year ahead analyst consensus median forecast of earnings on the closest IBES statistical period date (</w:t>
            </w:r>
            <w:proofErr w:type="spellStart"/>
            <w:r w:rsidRPr="003712BE">
              <w:rPr>
                <w:color w:val="000000"/>
                <w:sz w:val="20"/>
                <w:szCs w:val="20"/>
              </w:rPr>
              <w:t>statpers</w:t>
            </w:r>
            <w:proofErr w:type="spellEnd"/>
            <w:r w:rsidRPr="003712BE">
              <w:rPr>
                <w:color w:val="000000"/>
                <w:sz w:val="20"/>
                <w:szCs w:val="20"/>
              </w:rPr>
              <w:t>) after the 10-K filing date. P</w:t>
            </w:r>
            <w:r w:rsidRPr="003712BE">
              <w:rPr>
                <w:color w:val="000000"/>
                <w:sz w:val="20"/>
                <w:szCs w:val="20"/>
                <w:vertAlign w:val="subscript"/>
              </w:rPr>
              <w:t>0</w:t>
            </w:r>
            <w:r w:rsidRPr="003712BE">
              <w:rPr>
                <w:color w:val="000000"/>
                <w:sz w:val="20"/>
                <w:szCs w:val="20"/>
              </w:rPr>
              <w:t xml:space="preserve"> is the price from the </w:t>
            </w:r>
            <w:proofErr w:type="spellStart"/>
            <w:r w:rsidRPr="003712BE">
              <w:rPr>
                <w:color w:val="000000"/>
                <w:sz w:val="20"/>
                <w:szCs w:val="20"/>
              </w:rPr>
              <w:t>Compustat</w:t>
            </w:r>
            <w:proofErr w:type="spellEnd"/>
            <w:r w:rsidRPr="003712BE">
              <w:rPr>
                <w:color w:val="000000"/>
                <w:sz w:val="20"/>
                <w:szCs w:val="20"/>
              </w:rPr>
              <w:t xml:space="preserve"> daily security file (</w:t>
            </w:r>
            <w:proofErr w:type="spellStart"/>
            <w:r w:rsidRPr="003712BE">
              <w:rPr>
                <w:color w:val="000000"/>
                <w:sz w:val="20"/>
                <w:szCs w:val="20"/>
              </w:rPr>
              <w:t>prccd</w:t>
            </w:r>
            <w:proofErr w:type="spellEnd"/>
            <w:r w:rsidRPr="003712BE">
              <w:rPr>
                <w:color w:val="000000"/>
                <w:sz w:val="20"/>
                <w:szCs w:val="20"/>
              </w:rPr>
              <w:t>) on the same day or within three days.  I require eps</w:t>
            </w:r>
            <w:r w:rsidRPr="003712BE">
              <w:rPr>
                <w:color w:val="000000"/>
                <w:sz w:val="20"/>
                <w:szCs w:val="20"/>
                <w:vertAlign w:val="subscript"/>
              </w:rPr>
              <w:t>5</w:t>
            </w:r>
            <w:r w:rsidRPr="003712BE">
              <w:rPr>
                <w:color w:val="000000"/>
                <w:sz w:val="20"/>
                <w:szCs w:val="20"/>
              </w:rPr>
              <w:t>&gt;eps</w:t>
            </w:r>
            <w:r w:rsidRPr="003712BE">
              <w:rPr>
                <w:color w:val="000000"/>
                <w:sz w:val="20"/>
                <w:szCs w:val="20"/>
                <w:vertAlign w:val="subscript"/>
              </w:rPr>
              <w:t>4</w:t>
            </w:r>
            <w:r w:rsidRPr="003712BE">
              <w:rPr>
                <w:color w:val="000000"/>
                <w:sz w:val="20"/>
                <w:szCs w:val="20"/>
              </w:rPr>
              <w:t>. If eps</w:t>
            </w:r>
            <w:r w:rsidRPr="003712BE">
              <w:rPr>
                <w:color w:val="000000"/>
                <w:sz w:val="20"/>
                <w:szCs w:val="20"/>
                <w:vertAlign w:val="subscript"/>
              </w:rPr>
              <w:t>5</w:t>
            </w:r>
            <w:r w:rsidRPr="003712BE">
              <w:rPr>
                <w:color w:val="000000"/>
                <w:sz w:val="20"/>
                <w:szCs w:val="20"/>
              </w:rPr>
              <w:t xml:space="preserve"> is missing then I calculate it as eps</w:t>
            </w:r>
            <w:r w:rsidRPr="003712BE">
              <w:rPr>
                <w:color w:val="000000"/>
                <w:sz w:val="20"/>
                <w:szCs w:val="20"/>
                <w:vertAlign w:val="subscript"/>
              </w:rPr>
              <w:t>4</w:t>
            </w:r>
            <w:r w:rsidRPr="003712BE">
              <w:rPr>
                <w:color w:val="000000"/>
                <w:sz w:val="20"/>
                <w:szCs w:val="20"/>
              </w:rPr>
              <w:t>*(1+LT_GROWTH_PRED). If eps</w:t>
            </w:r>
            <w:r w:rsidRPr="003712BE">
              <w:rPr>
                <w:color w:val="000000"/>
                <w:sz w:val="20"/>
                <w:szCs w:val="20"/>
                <w:vertAlign w:val="subscript"/>
              </w:rPr>
              <w:t>4</w:t>
            </w:r>
            <w:r w:rsidRPr="003712BE">
              <w:rPr>
                <w:color w:val="000000"/>
                <w:sz w:val="20"/>
                <w:szCs w:val="20"/>
              </w:rPr>
              <w:t xml:space="preserve"> is missing then I calculate it as eps</w:t>
            </w:r>
            <w:r w:rsidRPr="003712BE">
              <w:rPr>
                <w:color w:val="000000"/>
                <w:sz w:val="20"/>
                <w:szCs w:val="20"/>
                <w:vertAlign w:val="subscript"/>
              </w:rPr>
              <w:t>3</w:t>
            </w:r>
            <w:r w:rsidRPr="003712BE">
              <w:rPr>
                <w:color w:val="000000"/>
                <w:sz w:val="20"/>
                <w:szCs w:val="20"/>
              </w:rPr>
              <w:t xml:space="preserve">*(1+LT_GROWTH_PRED).  </w:t>
            </w:r>
          </w:p>
        </w:tc>
      </w:tr>
      <w:tr w:rsidR="003712BE" w:rsidRPr="003712BE" w:rsidTr="00D24CA8">
        <w:trPr>
          <w:trHeight w:val="1710"/>
        </w:trPr>
        <w:tc>
          <w:tcPr>
            <w:tcW w:w="1980" w:type="dxa"/>
            <w:tcBorders>
              <w:top w:val="nil"/>
              <w:left w:val="nil"/>
              <w:bottom w:val="nil"/>
              <w:right w:val="nil"/>
            </w:tcBorders>
            <w:shd w:val="clear" w:color="auto" w:fill="auto"/>
            <w:noWrap/>
            <w:hideMark/>
          </w:tcPr>
          <w:p w:rsidR="003712BE" w:rsidRPr="003712BE" w:rsidRDefault="003712BE" w:rsidP="003712BE">
            <w:pPr>
              <w:rPr>
                <w:color w:val="000000"/>
                <w:sz w:val="20"/>
                <w:szCs w:val="20"/>
              </w:rPr>
            </w:pPr>
            <w:proofErr w:type="spellStart"/>
            <w:r w:rsidRPr="003712BE">
              <w:rPr>
                <w:color w:val="000000"/>
                <w:sz w:val="20"/>
                <w:szCs w:val="20"/>
              </w:rPr>
              <w:t>r</w:t>
            </w:r>
            <w:r w:rsidRPr="003712BE">
              <w:rPr>
                <w:b/>
                <w:bCs/>
                <w:sz w:val="20"/>
                <w:szCs w:val="20"/>
                <w:vertAlign w:val="subscript"/>
              </w:rPr>
              <w:t>DIV</w:t>
            </w:r>
            <w:proofErr w:type="spellEnd"/>
          </w:p>
        </w:tc>
        <w:tc>
          <w:tcPr>
            <w:tcW w:w="7200" w:type="dxa"/>
            <w:tcBorders>
              <w:top w:val="nil"/>
              <w:left w:val="nil"/>
              <w:bottom w:val="nil"/>
              <w:right w:val="nil"/>
            </w:tcBorders>
            <w:shd w:val="clear" w:color="auto" w:fill="auto"/>
            <w:hideMark/>
          </w:tcPr>
          <w:p w:rsidR="003712BE" w:rsidRPr="003712BE" w:rsidRDefault="003712BE" w:rsidP="00640169">
            <w:pPr>
              <w:rPr>
                <w:color w:val="000000"/>
                <w:sz w:val="20"/>
                <w:szCs w:val="20"/>
              </w:rPr>
            </w:pPr>
            <w:r w:rsidRPr="003712BE">
              <w:rPr>
                <w:color w:val="000000"/>
                <w:sz w:val="20"/>
                <w:szCs w:val="20"/>
              </w:rPr>
              <w:t xml:space="preserve">Following </w:t>
            </w:r>
            <w:proofErr w:type="spellStart"/>
            <w:r w:rsidRPr="003712BE">
              <w:rPr>
                <w:color w:val="000000"/>
                <w:sz w:val="20"/>
                <w:szCs w:val="20"/>
              </w:rPr>
              <w:t>Botosan</w:t>
            </w:r>
            <w:proofErr w:type="spellEnd"/>
            <w:r w:rsidRPr="003712BE">
              <w:rPr>
                <w:color w:val="000000"/>
                <w:sz w:val="20"/>
                <w:szCs w:val="20"/>
              </w:rPr>
              <w:t xml:space="preserve"> and </w:t>
            </w:r>
            <w:proofErr w:type="spellStart"/>
            <w:r w:rsidRPr="003712BE">
              <w:rPr>
                <w:color w:val="000000"/>
                <w:sz w:val="20"/>
                <w:szCs w:val="20"/>
              </w:rPr>
              <w:t>Plumlee</w:t>
            </w:r>
            <w:proofErr w:type="spellEnd"/>
            <w:r w:rsidRPr="003712BE">
              <w:rPr>
                <w:color w:val="000000"/>
                <w:sz w:val="20"/>
                <w:szCs w:val="20"/>
              </w:rPr>
              <w:t xml:space="preserve"> (2002) and </w:t>
            </w:r>
            <w:proofErr w:type="spellStart"/>
            <w:r w:rsidRPr="003712BE">
              <w:rPr>
                <w:color w:val="000000"/>
                <w:sz w:val="20"/>
                <w:szCs w:val="20"/>
              </w:rPr>
              <w:t>Botosan</w:t>
            </w:r>
            <w:proofErr w:type="spellEnd"/>
            <w:r w:rsidRPr="003712BE">
              <w:rPr>
                <w:color w:val="000000"/>
                <w:sz w:val="20"/>
                <w:szCs w:val="20"/>
              </w:rPr>
              <w:t xml:space="preserve"> et al. (2011): </w:t>
            </w:r>
            <w:proofErr w:type="spellStart"/>
            <w:r w:rsidRPr="003712BE">
              <w:rPr>
                <w:color w:val="000000"/>
                <w:sz w:val="20"/>
                <w:szCs w:val="20"/>
              </w:rPr>
              <w:t>r</w:t>
            </w:r>
            <w:r w:rsidRPr="003712BE">
              <w:rPr>
                <w:color w:val="000000"/>
                <w:sz w:val="20"/>
                <w:szCs w:val="20"/>
                <w:vertAlign w:val="subscript"/>
              </w:rPr>
              <w:t>DIV</w:t>
            </w:r>
            <w:proofErr w:type="spellEnd"/>
            <w:r w:rsidRPr="003712BE">
              <w:rPr>
                <w:color w:val="000000"/>
                <w:sz w:val="20"/>
                <w:szCs w:val="20"/>
              </w:rPr>
              <w:t xml:space="preserve"> solves the following equation: P</w:t>
            </w:r>
            <w:r w:rsidRPr="003712BE">
              <w:rPr>
                <w:color w:val="000000"/>
                <w:sz w:val="20"/>
                <w:szCs w:val="20"/>
                <w:vertAlign w:val="subscript"/>
              </w:rPr>
              <w:t>0</w:t>
            </w:r>
            <w:r w:rsidRPr="003712BE">
              <w:rPr>
                <w:color w:val="000000"/>
                <w:sz w:val="20"/>
                <w:szCs w:val="20"/>
              </w:rPr>
              <w:t>=</w:t>
            </w:r>
            <w:proofErr w:type="gramStart"/>
            <w:r w:rsidRPr="003712BE">
              <w:rPr>
                <w:color w:val="000000"/>
                <w:sz w:val="20"/>
                <w:szCs w:val="20"/>
              </w:rPr>
              <w:t>∑[</w:t>
            </w:r>
            <w:proofErr w:type="gramEnd"/>
            <w:r w:rsidRPr="003712BE">
              <w:rPr>
                <w:color w:val="000000"/>
                <w:sz w:val="20"/>
                <w:szCs w:val="20"/>
              </w:rPr>
              <w:t>(1+r</w:t>
            </w:r>
            <w:r w:rsidRPr="003712BE">
              <w:rPr>
                <w:color w:val="000000"/>
                <w:sz w:val="20"/>
                <w:szCs w:val="20"/>
                <w:vertAlign w:val="subscript"/>
              </w:rPr>
              <w:t>DIV</w:t>
            </w:r>
            <w:r w:rsidRPr="003712BE">
              <w:rPr>
                <w:color w:val="000000"/>
                <w:sz w:val="20"/>
                <w:szCs w:val="20"/>
              </w:rPr>
              <w:t>)^</w:t>
            </w:r>
            <w:r w:rsidRPr="003712BE">
              <w:rPr>
                <w:color w:val="000000"/>
                <w:sz w:val="20"/>
                <w:szCs w:val="20"/>
                <w:vertAlign w:val="superscript"/>
              </w:rPr>
              <w:t>-t</w:t>
            </w:r>
            <w:r w:rsidRPr="003712BE">
              <w:rPr>
                <w:color w:val="000000"/>
                <w:sz w:val="20"/>
                <w:szCs w:val="20"/>
              </w:rPr>
              <w:t xml:space="preserve"> * </w:t>
            </w:r>
            <w:proofErr w:type="spellStart"/>
            <w:r w:rsidRPr="003712BE">
              <w:rPr>
                <w:color w:val="000000"/>
                <w:sz w:val="20"/>
                <w:szCs w:val="20"/>
              </w:rPr>
              <w:t>dps</w:t>
            </w:r>
            <w:r w:rsidRPr="003712BE">
              <w:rPr>
                <w:color w:val="000000"/>
                <w:sz w:val="20"/>
                <w:szCs w:val="20"/>
                <w:vertAlign w:val="subscript"/>
              </w:rPr>
              <w:t>t</w:t>
            </w:r>
            <w:proofErr w:type="spellEnd"/>
            <w:r w:rsidRPr="003712BE">
              <w:rPr>
                <w:color w:val="000000"/>
                <w:sz w:val="20"/>
                <w:szCs w:val="20"/>
              </w:rPr>
              <w:t>]  + [(1+r</w:t>
            </w:r>
            <w:r w:rsidRPr="003712BE">
              <w:rPr>
                <w:color w:val="000000"/>
                <w:sz w:val="20"/>
                <w:szCs w:val="20"/>
                <w:vertAlign w:val="subscript"/>
              </w:rPr>
              <w:t>DIV</w:t>
            </w:r>
            <w:r w:rsidRPr="003712BE">
              <w:rPr>
                <w:color w:val="000000"/>
                <w:sz w:val="20"/>
                <w:szCs w:val="20"/>
              </w:rPr>
              <w:t>)^</w:t>
            </w:r>
            <w:r w:rsidRPr="003712BE">
              <w:rPr>
                <w:color w:val="000000"/>
                <w:sz w:val="20"/>
                <w:szCs w:val="20"/>
                <w:vertAlign w:val="superscript"/>
              </w:rPr>
              <w:t>-5</w:t>
            </w:r>
            <w:r w:rsidRPr="003712BE">
              <w:rPr>
                <w:color w:val="000000"/>
                <w:sz w:val="20"/>
                <w:szCs w:val="20"/>
              </w:rPr>
              <w:t xml:space="preserve"> * P</w:t>
            </w:r>
            <w:r w:rsidRPr="003712BE">
              <w:rPr>
                <w:color w:val="000000"/>
                <w:sz w:val="20"/>
                <w:szCs w:val="20"/>
                <w:vertAlign w:val="subscript"/>
              </w:rPr>
              <w:t>5</w:t>
            </w:r>
            <w:r w:rsidRPr="003712BE">
              <w:rPr>
                <w:color w:val="000000"/>
                <w:sz w:val="20"/>
                <w:szCs w:val="20"/>
              </w:rPr>
              <w:t xml:space="preserve">] for time periods t=1 through t=5. </w:t>
            </w:r>
            <w:proofErr w:type="spellStart"/>
            <w:r w:rsidRPr="003712BE">
              <w:rPr>
                <w:color w:val="000000"/>
                <w:sz w:val="20"/>
                <w:szCs w:val="20"/>
              </w:rPr>
              <w:t>Dps</w:t>
            </w:r>
            <w:r w:rsidRPr="003712BE">
              <w:rPr>
                <w:color w:val="000000"/>
                <w:sz w:val="20"/>
                <w:szCs w:val="20"/>
                <w:vertAlign w:val="subscript"/>
              </w:rPr>
              <w:t>t</w:t>
            </w:r>
            <w:proofErr w:type="spellEnd"/>
            <w:r w:rsidRPr="003712BE">
              <w:rPr>
                <w:color w:val="000000"/>
                <w:sz w:val="20"/>
                <w:szCs w:val="20"/>
                <w:vertAlign w:val="subscript"/>
              </w:rPr>
              <w:t xml:space="preserve"> </w:t>
            </w:r>
            <w:r w:rsidRPr="003712BE">
              <w:rPr>
                <w:color w:val="000000"/>
                <w:sz w:val="20"/>
                <w:szCs w:val="20"/>
              </w:rPr>
              <w:t>is the</w:t>
            </w:r>
            <w:r w:rsidRPr="003712BE">
              <w:rPr>
                <w:color w:val="000000"/>
                <w:sz w:val="20"/>
                <w:szCs w:val="20"/>
                <w:vertAlign w:val="subscript"/>
              </w:rPr>
              <w:t xml:space="preserve"> </w:t>
            </w:r>
            <w:proofErr w:type="spellStart"/>
            <w:r w:rsidRPr="003712BE">
              <w:rPr>
                <w:i/>
                <w:iCs/>
                <w:color w:val="000000"/>
                <w:sz w:val="20"/>
                <w:szCs w:val="20"/>
              </w:rPr>
              <w:t>t</w:t>
            </w:r>
            <w:r w:rsidRPr="003712BE">
              <w:rPr>
                <w:color w:val="000000"/>
                <w:sz w:val="20"/>
                <w:szCs w:val="20"/>
              </w:rPr>
              <w:t>th</w:t>
            </w:r>
            <w:proofErr w:type="spellEnd"/>
            <w:r w:rsidRPr="003712BE">
              <w:rPr>
                <w:color w:val="000000"/>
                <w:sz w:val="20"/>
                <w:szCs w:val="20"/>
              </w:rPr>
              <w:t xml:space="preserve">-year </w:t>
            </w:r>
            <w:proofErr w:type="gramStart"/>
            <w:r w:rsidRPr="003712BE">
              <w:rPr>
                <w:color w:val="000000"/>
                <w:sz w:val="20"/>
                <w:szCs w:val="20"/>
              </w:rPr>
              <w:t>ahead</w:t>
            </w:r>
            <w:proofErr w:type="gramEnd"/>
            <w:r w:rsidRPr="003712BE">
              <w:rPr>
                <w:color w:val="000000"/>
                <w:sz w:val="20"/>
                <w:szCs w:val="20"/>
              </w:rPr>
              <w:t xml:space="preserve"> analyst consensus median forecast of dividends on the closest IBES statistical period dat</w:t>
            </w:r>
            <w:r w:rsidR="00640169">
              <w:rPr>
                <w:color w:val="000000"/>
                <w:sz w:val="20"/>
                <w:szCs w:val="20"/>
              </w:rPr>
              <w:t>e</w:t>
            </w:r>
            <w:r w:rsidRPr="003712BE">
              <w:rPr>
                <w:color w:val="000000"/>
                <w:sz w:val="20"/>
                <w:szCs w:val="20"/>
              </w:rPr>
              <w:t xml:space="preserve"> (</w:t>
            </w:r>
            <w:proofErr w:type="spellStart"/>
            <w:r w:rsidRPr="003712BE">
              <w:rPr>
                <w:color w:val="000000"/>
                <w:sz w:val="20"/>
                <w:szCs w:val="20"/>
              </w:rPr>
              <w:t>statpers</w:t>
            </w:r>
            <w:proofErr w:type="spellEnd"/>
            <w:r w:rsidRPr="003712BE">
              <w:rPr>
                <w:color w:val="000000"/>
                <w:sz w:val="20"/>
                <w:szCs w:val="20"/>
              </w:rPr>
              <w:t>) after the 10-K filing date.  P</w:t>
            </w:r>
            <w:r w:rsidRPr="003712BE">
              <w:rPr>
                <w:color w:val="000000"/>
                <w:sz w:val="20"/>
                <w:szCs w:val="20"/>
                <w:vertAlign w:val="subscript"/>
              </w:rPr>
              <w:t>0</w:t>
            </w:r>
            <w:r w:rsidRPr="003712BE">
              <w:rPr>
                <w:color w:val="000000"/>
                <w:sz w:val="20"/>
                <w:szCs w:val="20"/>
              </w:rPr>
              <w:t xml:space="preserve"> is the price from the </w:t>
            </w:r>
            <w:proofErr w:type="spellStart"/>
            <w:r w:rsidRPr="003712BE">
              <w:rPr>
                <w:color w:val="000000"/>
                <w:sz w:val="20"/>
                <w:szCs w:val="20"/>
              </w:rPr>
              <w:t>Compustat</w:t>
            </w:r>
            <w:proofErr w:type="spellEnd"/>
            <w:r w:rsidRPr="003712BE">
              <w:rPr>
                <w:color w:val="000000"/>
                <w:sz w:val="20"/>
                <w:szCs w:val="20"/>
              </w:rPr>
              <w:t xml:space="preserve"> daily security file (</w:t>
            </w:r>
            <w:proofErr w:type="spellStart"/>
            <w:r w:rsidRPr="003712BE">
              <w:rPr>
                <w:color w:val="000000"/>
                <w:sz w:val="20"/>
                <w:szCs w:val="20"/>
              </w:rPr>
              <w:t>prccd</w:t>
            </w:r>
            <w:proofErr w:type="spellEnd"/>
            <w:r w:rsidRPr="003712BE">
              <w:rPr>
                <w:color w:val="000000"/>
                <w:sz w:val="20"/>
                <w:szCs w:val="20"/>
              </w:rPr>
              <w:t>) on the same day or within 3 days. P</w:t>
            </w:r>
            <w:r w:rsidRPr="003712BE">
              <w:rPr>
                <w:color w:val="000000"/>
                <w:sz w:val="20"/>
                <w:szCs w:val="20"/>
                <w:vertAlign w:val="subscript"/>
              </w:rPr>
              <w:t>5</w:t>
            </w:r>
            <w:r w:rsidRPr="003712BE">
              <w:rPr>
                <w:color w:val="000000"/>
                <w:sz w:val="20"/>
                <w:szCs w:val="20"/>
              </w:rPr>
              <w:t xml:space="preserve"> is the mean of the minimum (</w:t>
            </w:r>
            <w:proofErr w:type="spellStart"/>
            <w:r w:rsidRPr="003712BE">
              <w:rPr>
                <w:color w:val="000000"/>
                <w:sz w:val="20"/>
                <w:szCs w:val="20"/>
              </w:rPr>
              <w:t>ptglow</w:t>
            </w:r>
            <w:proofErr w:type="spellEnd"/>
            <w:r w:rsidRPr="003712BE">
              <w:rPr>
                <w:color w:val="000000"/>
                <w:sz w:val="20"/>
                <w:szCs w:val="20"/>
              </w:rPr>
              <w:t>) and maximum (</w:t>
            </w:r>
            <w:proofErr w:type="spellStart"/>
            <w:r w:rsidRPr="003712BE">
              <w:rPr>
                <w:color w:val="000000"/>
                <w:sz w:val="20"/>
                <w:szCs w:val="20"/>
              </w:rPr>
              <w:t>ptghigh</w:t>
            </w:r>
            <w:proofErr w:type="spellEnd"/>
            <w:r w:rsidRPr="003712BE">
              <w:rPr>
                <w:color w:val="000000"/>
                <w:sz w:val="20"/>
                <w:szCs w:val="20"/>
              </w:rPr>
              <w:t xml:space="preserve">) target price estimates from IBES. </w:t>
            </w:r>
          </w:p>
        </w:tc>
      </w:tr>
      <w:tr w:rsidR="003712BE" w:rsidRPr="003712BE" w:rsidTr="003712BE">
        <w:trPr>
          <w:trHeight w:val="1020"/>
        </w:trPr>
        <w:tc>
          <w:tcPr>
            <w:tcW w:w="1980" w:type="dxa"/>
            <w:tcBorders>
              <w:top w:val="nil"/>
              <w:left w:val="nil"/>
              <w:bottom w:val="nil"/>
              <w:right w:val="nil"/>
            </w:tcBorders>
            <w:shd w:val="clear" w:color="auto" w:fill="auto"/>
            <w:noWrap/>
            <w:hideMark/>
          </w:tcPr>
          <w:p w:rsidR="003712BE" w:rsidRPr="003712BE" w:rsidRDefault="003712BE" w:rsidP="003712BE">
            <w:pPr>
              <w:rPr>
                <w:color w:val="000000"/>
                <w:sz w:val="20"/>
                <w:szCs w:val="20"/>
              </w:rPr>
            </w:pPr>
            <w:r w:rsidRPr="003712BE">
              <w:rPr>
                <w:color w:val="000000"/>
                <w:sz w:val="20"/>
                <w:szCs w:val="20"/>
              </w:rPr>
              <w:t>BETA</w:t>
            </w:r>
          </w:p>
        </w:tc>
        <w:tc>
          <w:tcPr>
            <w:tcW w:w="7200" w:type="dxa"/>
            <w:tcBorders>
              <w:top w:val="nil"/>
              <w:left w:val="nil"/>
              <w:bottom w:val="nil"/>
              <w:right w:val="nil"/>
            </w:tcBorders>
            <w:shd w:val="clear" w:color="auto" w:fill="auto"/>
            <w:hideMark/>
          </w:tcPr>
          <w:p w:rsidR="003712BE" w:rsidRPr="003712BE" w:rsidRDefault="003712BE" w:rsidP="003712BE">
            <w:pPr>
              <w:rPr>
                <w:color w:val="000000"/>
                <w:sz w:val="20"/>
                <w:szCs w:val="20"/>
              </w:rPr>
            </w:pPr>
            <w:r w:rsidRPr="003712BE">
              <w:rPr>
                <w:color w:val="000000"/>
                <w:sz w:val="20"/>
                <w:szCs w:val="20"/>
              </w:rPr>
              <w:t>The coefficient on monthly returns (ret) from regressing CRSP monthly returns on the value weighted market index (</w:t>
            </w:r>
            <w:proofErr w:type="spellStart"/>
            <w:r w:rsidRPr="003712BE">
              <w:rPr>
                <w:color w:val="000000"/>
                <w:sz w:val="20"/>
                <w:szCs w:val="20"/>
              </w:rPr>
              <w:t>vwretd</w:t>
            </w:r>
            <w:proofErr w:type="spellEnd"/>
            <w:r w:rsidRPr="003712BE">
              <w:rPr>
                <w:color w:val="000000"/>
                <w:sz w:val="20"/>
                <w:szCs w:val="20"/>
              </w:rPr>
              <w:t>) NYSE/AMEX/</w:t>
            </w:r>
            <w:proofErr w:type="spellStart"/>
            <w:r w:rsidRPr="003712BE">
              <w:rPr>
                <w:color w:val="000000"/>
                <w:sz w:val="20"/>
                <w:szCs w:val="20"/>
              </w:rPr>
              <w:t>Nasdaq</w:t>
            </w:r>
            <w:proofErr w:type="spellEnd"/>
            <w:r w:rsidRPr="003712BE">
              <w:rPr>
                <w:color w:val="000000"/>
                <w:sz w:val="20"/>
                <w:szCs w:val="20"/>
              </w:rPr>
              <w:t xml:space="preserve"> for the last five years ending in year t, where each firm-year is required to have 24 out of 60 months of available return data.</w:t>
            </w:r>
          </w:p>
        </w:tc>
      </w:tr>
      <w:tr w:rsidR="003712BE" w:rsidRPr="003712BE" w:rsidTr="003712BE">
        <w:trPr>
          <w:trHeight w:val="765"/>
        </w:trPr>
        <w:tc>
          <w:tcPr>
            <w:tcW w:w="1980" w:type="dxa"/>
            <w:tcBorders>
              <w:top w:val="nil"/>
              <w:left w:val="nil"/>
              <w:bottom w:val="nil"/>
              <w:right w:val="nil"/>
            </w:tcBorders>
            <w:shd w:val="clear" w:color="auto" w:fill="auto"/>
            <w:noWrap/>
            <w:hideMark/>
          </w:tcPr>
          <w:p w:rsidR="003712BE" w:rsidRPr="003712BE" w:rsidRDefault="003712BE" w:rsidP="003712BE">
            <w:pPr>
              <w:rPr>
                <w:color w:val="000000"/>
                <w:sz w:val="20"/>
                <w:szCs w:val="20"/>
              </w:rPr>
            </w:pPr>
            <w:r w:rsidRPr="003712BE">
              <w:rPr>
                <w:color w:val="000000"/>
                <w:sz w:val="20"/>
                <w:szCs w:val="20"/>
              </w:rPr>
              <w:t>DISPERSION</w:t>
            </w:r>
          </w:p>
        </w:tc>
        <w:tc>
          <w:tcPr>
            <w:tcW w:w="7200" w:type="dxa"/>
            <w:tcBorders>
              <w:top w:val="nil"/>
              <w:left w:val="nil"/>
              <w:bottom w:val="nil"/>
              <w:right w:val="nil"/>
            </w:tcBorders>
            <w:shd w:val="clear" w:color="auto" w:fill="auto"/>
            <w:hideMark/>
          </w:tcPr>
          <w:p w:rsidR="003712BE" w:rsidRPr="003712BE" w:rsidRDefault="003712BE" w:rsidP="003712BE">
            <w:pPr>
              <w:rPr>
                <w:color w:val="000000"/>
                <w:sz w:val="20"/>
                <w:szCs w:val="20"/>
              </w:rPr>
            </w:pPr>
            <w:r w:rsidRPr="003712BE">
              <w:rPr>
                <w:color w:val="000000"/>
                <w:sz w:val="20"/>
                <w:szCs w:val="20"/>
              </w:rPr>
              <w:t xml:space="preserve">The standard deviation of one year </w:t>
            </w:r>
            <w:proofErr w:type="gramStart"/>
            <w:r w:rsidRPr="003712BE">
              <w:rPr>
                <w:color w:val="000000"/>
                <w:sz w:val="20"/>
                <w:szCs w:val="20"/>
              </w:rPr>
              <w:t>ahead</w:t>
            </w:r>
            <w:proofErr w:type="gramEnd"/>
            <w:r w:rsidRPr="003712BE">
              <w:rPr>
                <w:color w:val="000000"/>
                <w:sz w:val="20"/>
                <w:szCs w:val="20"/>
              </w:rPr>
              <w:t xml:space="preserve"> earnings forecasts for the current fiscal year t made within ninety days prior to the earnings announcement date, scaled by the absolute value of the mean consensus analyst forecast for the current fiscal year. </w:t>
            </w:r>
          </w:p>
        </w:tc>
      </w:tr>
      <w:tr w:rsidR="003712BE" w:rsidRPr="003712BE" w:rsidTr="003712BE">
        <w:trPr>
          <w:trHeight w:val="1410"/>
        </w:trPr>
        <w:tc>
          <w:tcPr>
            <w:tcW w:w="1980" w:type="dxa"/>
            <w:tcBorders>
              <w:top w:val="nil"/>
              <w:left w:val="nil"/>
              <w:bottom w:val="nil"/>
              <w:right w:val="nil"/>
            </w:tcBorders>
            <w:shd w:val="clear" w:color="auto" w:fill="auto"/>
            <w:noWrap/>
            <w:hideMark/>
          </w:tcPr>
          <w:p w:rsidR="003712BE" w:rsidRPr="003712BE" w:rsidRDefault="003712BE" w:rsidP="003712BE">
            <w:pPr>
              <w:rPr>
                <w:color w:val="000000"/>
                <w:sz w:val="20"/>
                <w:szCs w:val="20"/>
              </w:rPr>
            </w:pPr>
            <w:r w:rsidRPr="003712BE">
              <w:rPr>
                <w:color w:val="000000"/>
                <w:sz w:val="20"/>
                <w:szCs w:val="20"/>
              </w:rPr>
              <w:t>BOOK_TO_MARKET</w:t>
            </w:r>
          </w:p>
        </w:tc>
        <w:tc>
          <w:tcPr>
            <w:tcW w:w="7200" w:type="dxa"/>
            <w:tcBorders>
              <w:top w:val="nil"/>
              <w:left w:val="nil"/>
              <w:bottom w:val="nil"/>
              <w:right w:val="nil"/>
            </w:tcBorders>
            <w:shd w:val="clear" w:color="auto" w:fill="auto"/>
            <w:hideMark/>
          </w:tcPr>
          <w:p w:rsidR="003712BE" w:rsidRPr="003712BE" w:rsidRDefault="003712BE" w:rsidP="003712BE">
            <w:pPr>
              <w:rPr>
                <w:color w:val="000000"/>
                <w:sz w:val="20"/>
                <w:szCs w:val="20"/>
              </w:rPr>
            </w:pPr>
            <w:r w:rsidRPr="003712BE">
              <w:rPr>
                <w:color w:val="000000"/>
                <w:sz w:val="20"/>
                <w:szCs w:val="20"/>
              </w:rPr>
              <w:t>Book value of equity divided by market value of equity (</w:t>
            </w:r>
            <w:proofErr w:type="spellStart"/>
            <w:r w:rsidRPr="003712BE">
              <w:rPr>
                <w:color w:val="000000"/>
                <w:sz w:val="20"/>
                <w:szCs w:val="20"/>
              </w:rPr>
              <w:t>prcc_f</w:t>
            </w:r>
            <w:proofErr w:type="spellEnd"/>
            <w:r w:rsidRPr="003712BE">
              <w:rPr>
                <w:color w:val="000000"/>
                <w:sz w:val="20"/>
                <w:szCs w:val="20"/>
              </w:rPr>
              <w:t>*</w:t>
            </w:r>
            <w:proofErr w:type="spellStart"/>
            <w:r w:rsidRPr="003712BE">
              <w:rPr>
                <w:color w:val="000000"/>
                <w:sz w:val="20"/>
                <w:szCs w:val="20"/>
              </w:rPr>
              <w:t>csho</w:t>
            </w:r>
            <w:proofErr w:type="spellEnd"/>
            <w:r w:rsidRPr="003712BE">
              <w:rPr>
                <w:color w:val="000000"/>
                <w:sz w:val="20"/>
                <w:szCs w:val="20"/>
              </w:rPr>
              <w:t>) at time t following the Ghoul et al. (2011) specification.  Book value is shareholders equity (</w:t>
            </w:r>
            <w:proofErr w:type="spellStart"/>
            <w:r w:rsidRPr="003712BE">
              <w:rPr>
                <w:color w:val="000000"/>
                <w:sz w:val="20"/>
                <w:szCs w:val="20"/>
              </w:rPr>
              <w:t>seq</w:t>
            </w:r>
            <w:proofErr w:type="spellEnd"/>
            <w:r w:rsidRPr="003712BE">
              <w:rPr>
                <w:color w:val="000000"/>
                <w:sz w:val="20"/>
                <w:szCs w:val="20"/>
              </w:rPr>
              <w:t>) plus deferred taxes (</w:t>
            </w:r>
            <w:proofErr w:type="spellStart"/>
            <w:r w:rsidRPr="003712BE">
              <w:rPr>
                <w:color w:val="000000"/>
                <w:sz w:val="20"/>
                <w:szCs w:val="20"/>
              </w:rPr>
              <w:t>txdb</w:t>
            </w:r>
            <w:proofErr w:type="spellEnd"/>
            <w:r w:rsidRPr="003712BE">
              <w:rPr>
                <w:color w:val="000000"/>
                <w:sz w:val="20"/>
                <w:szCs w:val="20"/>
              </w:rPr>
              <w:t>) and investment tax credits (</w:t>
            </w:r>
            <w:proofErr w:type="spellStart"/>
            <w:r w:rsidRPr="003712BE">
              <w:rPr>
                <w:color w:val="000000"/>
                <w:sz w:val="20"/>
                <w:szCs w:val="20"/>
              </w:rPr>
              <w:t>itcb</w:t>
            </w:r>
            <w:proofErr w:type="spellEnd"/>
            <w:r w:rsidRPr="003712BE">
              <w:rPr>
                <w:color w:val="000000"/>
                <w:sz w:val="20"/>
                <w:szCs w:val="20"/>
              </w:rPr>
              <w:t>) (if available) less the book value of preferred stock. Book value of preferred stock is defined using either the redemption (</w:t>
            </w:r>
            <w:proofErr w:type="spellStart"/>
            <w:r w:rsidRPr="003712BE">
              <w:rPr>
                <w:color w:val="000000"/>
                <w:sz w:val="20"/>
                <w:szCs w:val="20"/>
              </w:rPr>
              <w:t>pstkr</w:t>
            </w:r>
            <w:proofErr w:type="spellEnd"/>
            <w:r w:rsidRPr="003712BE">
              <w:rPr>
                <w:color w:val="000000"/>
                <w:sz w:val="20"/>
                <w:szCs w:val="20"/>
              </w:rPr>
              <w:t>), liquidation (</w:t>
            </w:r>
            <w:proofErr w:type="spellStart"/>
            <w:r w:rsidRPr="003712BE">
              <w:rPr>
                <w:color w:val="000000"/>
                <w:sz w:val="20"/>
                <w:szCs w:val="20"/>
              </w:rPr>
              <w:t>pstkl</w:t>
            </w:r>
            <w:proofErr w:type="spellEnd"/>
            <w:r w:rsidRPr="003712BE">
              <w:rPr>
                <w:color w:val="000000"/>
                <w:sz w:val="20"/>
                <w:szCs w:val="20"/>
              </w:rPr>
              <w:t>), or par value (</w:t>
            </w:r>
            <w:proofErr w:type="spellStart"/>
            <w:r w:rsidRPr="003712BE">
              <w:rPr>
                <w:color w:val="000000"/>
                <w:sz w:val="20"/>
                <w:szCs w:val="20"/>
              </w:rPr>
              <w:t>pstk</w:t>
            </w:r>
            <w:proofErr w:type="spellEnd"/>
            <w:r w:rsidRPr="003712BE">
              <w:rPr>
                <w:color w:val="000000"/>
                <w:sz w:val="20"/>
                <w:szCs w:val="20"/>
              </w:rPr>
              <w:t>) (in that order) when available.</w:t>
            </w:r>
          </w:p>
        </w:tc>
      </w:tr>
      <w:tr w:rsidR="003712BE" w:rsidRPr="003712BE" w:rsidTr="003712BE">
        <w:trPr>
          <w:trHeight w:val="300"/>
        </w:trPr>
        <w:tc>
          <w:tcPr>
            <w:tcW w:w="1980" w:type="dxa"/>
            <w:tcBorders>
              <w:top w:val="nil"/>
              <w:left w:val="nil"/>
              <w:bottom w:val="nil"/>
              <w:right w:val="nil"/>
            </w:tcBorders>
            <w:shd w:val="clear" w:color="auto" w:fill="auto"/>
            <w:noWrap/>
            <w:hideMark/>
          </w:tcPr>
          <w:p w:rsidR="003712BE" w:rsidRPr="003712BE" w:rsidRDefault="003712BE" w:rsidP="003712BE">
            <w:pPr>
              <w:rPr>
                <w:color w:val="000000"/>
                <w:sz w:val="20"/>
                <w:szCs w:val="20"/>
              </w:rPr>
            </w:pPr>
            <w:r w:rsidRPr="003712BE">
              <w:rPr>
                <w:color w:val="000000"/>
                <w:sz w:val="20"/>
                <w:szCs w:val="20"/>
              </w:rPr>
              <w:t>LEVERAGE</w:t>
            </w:r>
          </w:p>
        </w:tc>
        <w:tc>
          <w:tcPr>
            <w:tcW w:w="7200" w:type="dxa"/>
            <w:tcBorders>
              <w:top w:val="nil"/>
              <w:left w:val="nil"/>
              <w:bottom w:val="nil"/>
              <w:right w:val="nil"/>
            </w:tcBorders>
            <w:shd w:val="clear" w:color="auto" w:fill="auto"/>
            <w:hideMark/>
          </w:tcPr>
          <w:p w:rsidR="003712BE" w:rsidRPr="003712BE" w:rsidRDefault="003712BE" w:rsidP="003712BE">
            <w:pPr>
              <w:rPr>
                <w:color w:val="000000"/>
                <w:sz w:val="20"/>
                <w:szCs w:val="20"/>
              </w:rPr>
            </w:pPr>
            <w:r w:rsidRPr="003712BE">
              <w:rPr>
                <w:color w:val="000000"/>
                <w:sz w:val="20"/>
                <w:szCs w:val="20"/>
              </w:rPr>
              <w:t>Long-term debt (</w:t>
            </w:r>
            <w:proofErr w:type="spellStart"/>
            <w:r w:rsidRPr="003712BE">
              <w:rPr>
                <w:color w:val="000000"/>
                <w:sz w:val="20"/>
                <w:szCs w:val="20"/>
              </w:rPr>
              <w:t>dltt</w:t>
            </w:r>
            <w:proofErr w:type="spellEnd"/>
            <w:r w:rsidRPr="003712BE">
              <w:rPr>
                <w:color w:val="000000"/>
                <w:sz w:val="20"/>
                <w:szCs w:val="20"/>
              </w:rPr>
              <w:t>) divided by market value at year end (</w:t>
            </w:r>
            <w:proofErr w:type="spellStart"/>
            <w:r w:rsidRPr="003712BE">
              <w:rPr>
                <w:color w:val="000000"/>
                <w:sz w:val="20"/>
                <w:szCs w:val="20"/>
              </w:rPr>
              <w:t>prcc_f</w:t>
            </w:r>
            <w:proofErr w:type="spellEnd"/>
            <w:r w:rsidRPr="003712BE">
              <w:rPr>
                <w:color w:val="000000"/>
                <w:sz w:val="20"/>
                <w:szCs w:val="20"/>
              </w:rPr>
              <w:t>*</w:t>
            </w:r>
            <w:proofErr w:type="spellStart"/>
            <w:r w:rsidRPr="003712BE">
              <w:rPr>
                <w:color w:val="000000"/>
                <w:sz w:val="20"/>
                <w:szCs w:val="20"/>
              </w:rPr>
              <w:t>csho</w:t>
            </w:r>
            <w:proofErr w:type="spellEnd"/>
            <w:r w:rsidRPr="003712BE">
              <w:rPr>
                <w:color w:val="000000"/>
                <w:sz w:val="20"/>
                <w:szCs w:val="20"/>
              </w:rPr>
              <w:t>).</w:t>
            </w:r>
          </w:p>
        </w:tc>
      </w:tr>
      <w:tr w:rsidR="003712BE" w:rsidRPr="003712BE" w:rsidTr="003712BE">
        <w:trPr>
          <w:trHeight w:val="300"/>
        </w:trPr>
        <w:tc>
          <w:tcPr>
            <w:tcW w:w="1980" w:type="dxa"/>
            <w:tcBorders>
              <w:top w:val="nil"/>
              <w:left w:val="nil"/>
              <w:bottom w:val="nil"/>
              <w:right w:val="nil"/>
            </w:tcBorders>
            <w:shd w:val="clear" w:color="auto" w:fill="auto"/>
            <w:noWrap/>
            <w:hideMark/>
          </w:tcPr>
          <w:p w:rsidR="003712BE" w:rsidRPr="003712BE" w:rsidRDefault="003712BE" w:rsidP="003712BE">
            <w:pPr>
              <w:rPr>
                <w:color w:val="000000"/>
                <w:sz w:val="20"/>
                <w:szCs w:val="20"/>
              </w:rPr>
            </w:pPr>
            <w:r w:rsidRPr="003712BE">
              <w:rPr>
                <w:color w:val="000000"/>
                <w:sz w:val="20"/>
                <w:szCs w:val="20"/>
              </w:rPr>
              <w:t>LOG_ASSETS</w:t>
            </w:r>
          </w:p>
        </w:tc>
        <w:tc>
          <w:tcPr>
            <w:tcW w:w="7200" w:type="dxa"/>
            <w:tcBorders>
              <w:top w:val="nil"/>
              <w:left w:val="nil"/>
              <w:bottom w:val="nil"/>
              <w:right w:val="nil"/>
            </w:tcBorders>
            <w:shd w:val="clear" w:color="auto" w:fill="auto"/>
            <w:hideMark/>
          </w:tcPr>
          <w:p w:rsidR="003712BE" w:rsidRPr="003712BE" w:rsidRDefault="003712BE" w:rsidP="003712BE">
            <w:pPr>
              <w:rPr>
                <w:color w:val="000000"/>
                <w:sz w:val="20"/>
                <w:szCs w:val="20"/>
              </w:rPr>
            </w:pPr>
            <w:r w:rsidRPr="003712BE">
              <w:rPr>
                <w:color w:val="000000"/>
                <w:sz w:val="20"/>
                <w:szCs w:val="20"/>
              </w:rPr>
              <w:t>Natural log of assets (at) at time t.</w:t>
            </w:r>
          </w:p>
        </w:tc>
      </w:tr>
      <w:tr w:rsidR="003712BE" w:rsidRPr="003712BE" w:rsidTr="003712BE">
        <w:trPr>
          <w:trHeight w:val="825"/>
        </w:trPr>
        <w:tc>
          <w:tcPr>
            <w:tcW w:w="1980" w:type="dxa"/>
            <w:tcBorders>
              <w:top w:val="nil"/>
              <w:left w:val="nil"/>
              <w:bottom w:val="single" w:sz="4" w:space="0" w:color="auto"/>
              <w:right w:val="nil"/>
            </w:tcBorders>
            <w:shd w:val="clear" w:color="auto" w:fill="auto"/>
            <w:noWrap/>
            <w:hideMark/>
          </w:tcPr>
          <w:p w:rsidR="003712BE" w:rsidRPr="003712BE" w:rsidRDefault="003712BE" w:rsidP="003712BE">
            <w:pPr>
              <w:rPr>
                <w:color w:val="000000"/>
                <w:sz w:val="20"/>
                <w:szCs w:val="20"/>
              </w:rPr>
            </w:pPr>
            <w:r w:rsidRPr="003712BE">
              <w:rPr>
                <w:color w:val="000000"/>
                <w:sz w:val="20"/>
                <w:szCs w:val="20"/>
              </w:rPr>
              <w:t>LT_GROWTH_PRED</w:t>
            </w:r>
          </w:p>
        </w:tc>
        <w:tc>
          <w:tcPr>
            <w:tcW w:w="7200" w:type="dxa"/>
            <w:tcBorders>
              <w:top w:val="nil"/>
              <w:left w:val="nil"/>
              <w:bottom w:val="single" w:sz="4" w:space="0" w:color="auto"/>
              <w:right w:val="nil"/>
            </w:tcBorders>
            <w:shd w:val="clear" w:color="auto" w:fill="auto"/>
            <w:hideMark/>
          </w:tcPr>
          <w:p w:rsidR="003712BE" w:rsidRPr="003712BE" w:rsidRDefault="003712BE" w:rsidP="003712BE">
            <w:pPr>
              <w:rPr>
                <w:color w:val="000000"/>
                <w:sz w:val="20"/>
                <w:szCs w:val="20"/>
              </w:rPr>
            </w:pPr>
            <w:r w:rsidRPr="003712BE">
              <w:rPr>
                <w:color w:val="000000"/>
                <w:sz w:val="20"/>
                <w:szCs w:val="20"/>
              </w:rPr>
              <w:t>Mean long-term growth earnings forecast from IBES in June of the current fiscal year t. If the long-term growth prediction is missing, I calculate it as (eps</w:t>
            </w:r>
            <w:r w:rsidRPr="003712BE">
              <w:rPr>
                <w:color w:val="000000"/>
                <w:sz w:val="20"/>
                <w:szCs w:val="20"/>
                <w:vertAlign w:val="subscript"/>
              </w:rPr>
              <w:t>5</w:t>
            </w:r>
            <w:r w:rsidRPr="003712BE">
              <w:rPr>
                <w:color w:val="000000"/>
                <w:sz w:val="20"/>
                <w:szCs w:val="20"/>
              </w:rPr>
              <w:t>-eps</w:t>
            </w:r>
            <w:r w:rsidRPr="003712BE">
              <w:rPr>
                <w:color w:val="000000"/>
                <w:sz w:val="20"/>
                <w:szCs w:val="20"/>
                <w:vertAlign w:val="subscript"/>
              </w:rPr>
              <w:t>4</w:t>
            </w:r>
            <w:r w:rsidRPr="003712BE">
              <w:rPr>
                <w:color w:val="000000"/>
                <w:sz w:val="20"/>
                <w:szCs w:val="20"/>
              </w:rPr>
              <w:t>)/</w:t>
            </w:r>
            <w:proofErr w:type="gramStart"/>
            <w:r w:rsidRPr="003712BE">
              <w:rPr>
                <w:color w:val="000000"/>
                <w:sz w:val="20"/>
                <w:szCs w:val="20"/>
              </w:rPr>
              <w:t>abs(</w:t>
            </w:r>
            <w:proofErr w:type="gramEnd"/>
            <w:r w:rsidRPr="003712BE">
              <w:rPr>
                <w:color w:val="000000"/>
                <w:sz w:val="20"/>
                <w:szCs w:val="20"/>
              </w:rPr>
              <w:t>eps</w:t>
            </w:r>
            <w:r w:rsidRPr="003712BE">
              <w:rPr>
                <w:color w:val="000000"/>
                <w:sz w:val="20"/>
                <w:szCs w:val="20"/>
                <w:vertAlign w:val="subscript"/>
              </w:rPr>
              <w:t>4</w:t>
            </w:r>
            <w:r w:rsidRPr="003712BE">
              <w:rPr>
                <w:color w:val="000000"/>
                <w:sz w:val="20"/>
                <w:szCs w:val="20"/>
              </w:rPr>
              <w:t>) or (eps</w:t>
            </w:r>
            <w:r w:rsidRPr="003712BE">
              <w:rPr>
                <w:color w:val="000000"/>
                <w:sz w:val="20"/>
                <w:szCs w:val="20"/>
                <w:vertAlign w:val="subscript"/>
              </w:rPr>
              <w:t>4</w:t>
            </w:r>
            <w:r w:rsidRPr="003712BE">
              <w:rPr>
                <w:color w:val="000000"/>
                <w:sz w:val="20"/>
                <w:szCs w:val="20"/>
              </w:rPr>
              <w:t>-eps</w:t>
            </w:r>
            <w:r w:rsidRPr="003712BE">
              <w:rPr>
                <w:color w:val="000000"/>
                <w:sz w:val="20"/>
                <w:szCs w:val="20"/>
                <w:vertAlign w:val="subscript"/>
              </w:rPr>
              <w:t>3</w:t>
            </w:r>
            <w:r w:rsidRPr="003712BE">
              <w:rPr>
                <w:color w:val="000000"/>
                <w:sz w:val="20"/>
                <w:szCs w:val="20"/>
              </w:rPr>
              <w:t>)/abs(eps</w:t>
            </w:r>
            <w:r w:rsidRPr="003712BE">
              <w:rPr>
                <w:color w:val="000000"/>
                <w:sz w:val="20"/>
                <w:szCs w:val="20"/>
                <w:vertAlign w:val="subscript"/>
              </w:rPr>
              <w:t>3</w:t>
            </w:r>
            <w:r w:rsidRPr="003712BE">
              <w:rPr>
                <w:color w:val="000000"/>
                <w:sz w:val="20"/>
                <w:szCs w:val="20"/>
              </w:rPr>
              <w:t>)</w:t>
            </w:r>
            <w:r w:rsidRPr="003712BE">
              <w:rPr>
                <w:color w:val="000000"/>
                <w:sz w:val="20"/>
                <w:szCs w:val="20"/>
                <w:vertAlign w:val="subscript"/>
              </w:rPr>
              <w:t xml:space="preserve"> </w:t>
            </w:r>
            <w:r w:rsidRPr="003712BE">
              <w:rPr>
                <w:color w:val="000000"/>
                <w:sz w:val="20"/>
                <w:szCs w:val="20"/>
              </w:rPr>
              <w:t>or (eps</w:t>
            </w:r>
            <w:r w:rsidRPr="003712BE">
              <w:rPr>
                <w:color w:val="000000"/>
                <w:sz w:val="20"/>
                <w:szCs w:val="20"/>
                <w:vertAlign w:val="subscript"/>
              </w:rPr>
              <w:t>3</w:t>
            </w:r>
            <w:r w:rsidRPr="003712BE">
              <w:rPr>
                <w:color w:val="000000"/>
                <w:sz w:val="20"/>
                <w:szCs w:val="20"/>
              </w:rPr>
              <w:t>-eps</w:t>
            </w:r>
            <w:r w:rsidRPr="003712BE">
              <w:rPr>
                <w:color w:val="000000"/>
                <w:sz w:val="20"/>
                <w:szCs w:val="20"/>
                <w:vertAlign w:val="subscript"/>
              </w:rPr>
              <w:t>2</w:t>
            </w:r>
            <w:r w:rsidRPr="003712BE">
              <w:rPr>
                <w:color w:val="000000"/>
                <w:sz w:val="20"/>
                <w:szCs w:val="20"/>
              </w:rPr>
              <w:t>)/abs(eps</w:t>
            </w:r>
            <w:r w:rsidRPr="003712BE">
              <w:rPr>
                <w:color w:val="000000"/>
                <w:sz w:val="20"/>
                <w:szCs w:val="20"/>
                <w:vertAlign w:val="subscript"/>
              </w:rPr>
              <w:t>2</w:t>
            </w:r>
            <w:r w:rsidRPr="003712BE">
              <w:rPr>
                <w:color w:val="000000"/>
                <w:sz w:val="20"/>
                <w:szCs w:val="20"/>
              </w:rPr>
              <w:t>).</w:t>
            </w:r>
          </w:p>
        </w:tc>
      </w:tr>
    </w:tbl>
    <w:p w:rsidR="00785F4B" w:rsidRDefault="00785F4B"/>
    <w:p w:rsidR="00785F4B" w:rsidRDefault="00785F4B">
      <w:r>
        <w:br w:type="page"/>
      </w:r>
    </w:p>
    <w:tbl>
      <w:tblPr>
        <w:tblW w:w="9180" w:type="dxa"/>
        <w:tblInd w:w="93" w:type="dxa"/>
        <w:tblLook w:val="04A0"/>
      </w:tblPr>
      <w:tblGrid>
        <w:gridCol w:w="1980"/>
        <w:gridCol w:w="7200"/>
      </w:tblGrid>
      <w:tr w:rsidR="00D24CA8" w:rsidRPr="00D24CA8" w:rsidTr="00D24CA8">
        <w:trPr>
          <w:trHeight w:val="300"/>
        </w:trPr>
        <w:tc>
          <w:tcPr>
            <w:tcW w:w="9180" w:type="dxa"/>
            <w:gridSpan w:val="2"/>
            <w:tcBorders>
              <w:top w:val="single" w:sz="4" w:space="0" w:color="auto"/>
              <w:left w:val="nil"/>
              <w:bottom w:val="single" w:sz="4" w:space="0" w:color="auto"/>
              <w:right w:val="nil"/>
            </w:tcBorders>
            <w:shd w:val="clear" w:color="auto" w:fill="auto"/>
            <w:noWrap/>
            <w:vAlign w:val="center"/>
            <w:hideMark/>
          </w:tcPr>
          <w:p w:rsidR="00D24CA8" w:rsidRPr="00D24CA8" w:rsidRDefault="00D24CA8" w:rsidP="00D24CA8">
            <w:pPr>
              <w:jc w:val="center"/>
              <w:rPr>
                <w:b/>
                <w:bCs/>
                <w:color w:val="000000"/>
                <w:sz w:val="20"/>
                <w:szCs w:val="20"/>
              </w:rPr>
            </w:pPr>
            <w:r w:rsidRPr="00D24CA8">
              <w:rPr>
                <w:b/>
                <w:bCs/>
                <w:color w:val="000000"/>
                <w:sz w:val="20"/>
                <w:szCs w:val="20"/>
              </w:rPr>
              <w:lastRenderedPageBreak/>
              <w:t>Governance Variables</w:t>
            </w:r>
          </w:p>
        </w:tc>
      </w:tr>
      <w:tr w:rsidR="00D24CA8" w:rsidRPr="00D24CA8" w:rsidTr="00D24CA8">
        <w:trPr>
          <w:trHeight w:val="737"/>
        </w:trPr>
        <w:tc>
          <w:tcPr>
            <w:tcW w:w="1980" w:type="dxa"/>
            <w:tcBorders>
              <w:top w:val="nil"/>
              <w:left w:val="nil"/>
              <w:bottom w:val="nil"/>
              <w:right w:val="nil"/>
            </w:tcBorders>
            <w:shd w:val="clear" w:color="auto" w:fill="auto"/>
            <w:noWrap/>
            <w:hideMark/>
          </w:tcPr>
          <w:p w:rsidR="00D24CA8" w:rsidRPr="00D24CA8" w:rsidRDefault="00D24CA8" w:rsidP="00D24CA8">
            <w:pPr>
              <w:rPr>
                <w:color w:val="000000"/>
                <w:sz w:val="20"/>
                <w:szCs w:val="20"/>
              </w:rPr>
            </w:pPr>
            <w:r w:rsidRPr="00D24CA8">
              <w:rPr>
                <w:color w:val="000000"/>
                <w:sz w:val="20"/>
                <w:szCs w:val="20"/>
              </w:rPr>
              <w:t>CEO_CHAIRMAN</w:t>
            </w:r>
          </w:p>
        </w:tc>
        <w:tc>
          <w:tcPr>
            <w:tcW w:w="7200" w:type="dxa"/>
            <w:tcBorders>
              <w:top w:val="nil"/>
              <w:left w:val="nil"/>
              <w:bottom w:val="nil"/>
              <w:right w:val="nil"/>
            </w:tcBorders>
            <w:shd w:val="clear" w:color="auto" w:fill="auto"/>
            <w:hideMark/>
          </w:tcPr>
          <w:p w:rsidR="00D24CA8" w:rsidRPr="00D24CA8" w:rsidRDefault="00D24CA8" w:rsidP="00D24CA8">
            <w:pPr>
              <w:rPr>
                <w:color w:val="000000"/>
                <w:sz w:val="20"/>
                <w:szCs w:val="20"/>
              </w:rPr>
            </w:pPr>
            <w:r w:rsidRPr="00D24CA8">
              <w:rPr>
                <w:color w:val="000000"/>
                <w:sz w:val="20"/>
                <w:szCs w:val="20"/>
              </w:rPr>
              <w:t>Indicator equal to 0 if the CEO is also listed as the chairman of the board of directors in Risk Metrics; equal to 1 if the firm is covered by Risk Metrics but the CEO is not the chairman; otherwise set to missing.</w:t>
            </w:r>
          </w:p>
        </w:tc>
      </w:tr>
      <w:tr w:rsidR="00D24CA8" w:rsidRPr="00D24CA8" w:rsidTr="00D24CA8">
        <w:trPr>
          <w:trHeight w:val="1188"/>
        </w:trPr>
        <w:tc>
          <w:tcPr>
            <w:tcW w:w="1980" w:type="dxa"/>
            <w:tcBorders>
              <w:top w:val="nil"/>
              <w:left w:val="nil"/>
              <w:bottom w:val="single" w:sz="4" w:space="0" w:color="auto"/>
              <w:right w:val="nil"/>
            </w:tcBorders>
            <w:shd w:val="clear" w:color="auto" w:fill="auto"/>
            <w:noWrap/>
            <w:hideMark/>
          </w:tcPr>
          <w:p w:rsidR="00D24CA8" w:rsidRPr="00D24CA8" w:rsidRDefault="00D24CA8" w:rsidP="00D24CA8">
            <w:pPr>
              <w:rPr>
                <w:color w:val="000000"/>
                <w:sz w:val="20"/>
                <w:szCs w:val="20"/>
              </w:rPr>
            </w:pPr>
            <w:r w:rsidRPr="00D24CA8">
              <w:rPr>
                <w:color w:val="000000"/>
                <w:sz w:val="20"/>
                <w:szCs w:val="20"/>
              </w:rPr>
              <w:t>INST_OWN</w:t>
            </w:r>
          </w:p>
        </w:tc>
        <w:tc>
          <w:tcPr>
            <w:tcW w:w="7200" w:type="dxa"/>
            <w:tcBorders>
              <w:top w:val="nil"/>
              <w:left w:val="nil"/>
              <w:bottom w:val="single" w:sz="4" w:space="0" w:color="auto"/>
              <w:right w:val="nil"/>
            </w:tcBorders>
            <w:shd w:val="clear" w:color="auto" w:fill="auto"/>
            <w:hideMark/>
          </w:tcPr>
          <w:p w:rsidR="00D24CA8" w:rsidRPr="00D24CA8" w:rsidRDefault="00D24CA8" w:rsidP="00D24CA8">
            <w:pPr>
              <w:rPr>
                <w:color w:val="000000"/>
                <w:sz w:val="20"/>
                <w:szCs w:val="20"/>
              </w:rPr>
            </w:pPr>
            <w:r w:rsidRPr="00D24CA8">
              <w:rPr>
                <w:color w:val="000000"/>
                <w:sz w:val="20"/>
                <w:szCs w:val="20"/>
              </w:rPr>
              <w:t xml:space="preserve">Indicator equal to 1 if the percentage of shares held by institutional owners is greater than the sample mean; 0 otherwise. Data are from Thomson-Reuters 13F Data (TR-13F) as of the closest 13-F filing date that occurs before the 10-K filing, in all cases within the previous 365 days. Following </w:t>
            </w:r>
            <w:proofErr w:type="spellStart"/>
            <w:r w:rsidRPr="00D24CA8">
              <w:rPr>
                <w:color w:val="000000"/>
                <w:sz w:val="20"/>
                <w:szCs w:val="20"/>
              </w:rPr>
              <w:t>Khurana</w:t>
            </w:r>
            <w:proofErr w:type="spellEnd"/>
            <w:r w:rsidRPr="00D24CA8">
              <w:rPr>
                <w:color w:val="000000"/>
                <w:sz w:val="20"/>
                <w:szCs w:val="20"/>
              </w:rPr>
              <w:t xml:space="preserve"> and Moser (2009) I </w:t>
            </w:r>
            <w:proofErr w:type="spellStart"/>
            <w:r w:rsidRPr="00D24CA8">
              <w:rPr>
                <w:color w:val="000000"/>
                <w:sz w:val="20"/>
                <w:szCs w:val="20"/>
              </w:rPr>
              <w:t>winsorize</w:t>
            </w:r>
            <w:proofErr w:type="spellEnd"/>
            <w:r w:rsidRPr="00D24CA8">
              <w:rPr>
                <w:color w:val="000000"/>
                <w:sz w:val="20"/>
                <w:szCs w:val="20"/>
              </w:rPr>
              <w:t xml:space="preserve"> the top tail of the distribution at 1.</w:t>
            </w:r>
          </w:p>
        </w:tc>
      </w:tr>
    </w:tbl>
    <w:p w:rsidR="00D24CA8" w:rsidRDefault="00D24CA8"/>
    <w:p w:rsidR="00D24CA8" w:rsidRDefault="00D24CA8"/>
    <w:p w:rsidR="00D24CA8" w:rsidRDefault="00D24CA8"/>
    <w:p w:rsidR="00B156A4" w:rsidRDefault="00B156A4">
      <w:pPr>
        <w:rPr>
          <w:rFonts w:cs="Arial"/>
          <w:b/>
          <w:bCs/>
          <w:caps/>
          <w:sz w:val="28"/>
          <w:szCs w:val="26"/>
        </w:rPr>
      </w:pPr>
      <w:r>
        <w:br w:type="page"/>
      </w:r>
    </w:p>
    <w:p w:rsidR="00785F4B" w:rsidRDefault="00785F4B" w:rsidP="00FD5702">
      <w:pPr>
        <w:pStyle w:val="Heading3"/>
      </w:pPr>
    </w:p>
    <w:p w:rsidR="00785F4B" w:rsidRDefault="00785F4B" w:rsidP="00FD5702">
      <w:pPr>
        <w:pStyle w:val="Heading3"/>
      </w:pPr>
    </w:p>
    <w:p w:rsidR="00785F4B" w:rsidRDefault="00785F4B" w:rsidP="00FD5702">
      <w:pPr>
        <w:pStyle w:val="Heading3"/>
      </w:pPr>
    </w:p>
    <w:p w:rsidR="00785F4B" w:rsidRDefault="00785F4B" w:rsidP="00FD5702">
      <w:pPr>
        <w:pStyle w:val="Heading3"/>
      </w:pPr>
    </w:p>
    <w:p w:rsidR="00785F4B" w:rsidRDefault="00785F4B" w:rsidP="00FD5702">
      <w:pPr>
        <w:pStyle w:val="Heading3"/>
      </w:pPr>
    </w:p>
    <w:p w:rsidR="00785F4B" w:rsidRDefault="00785F4B" w:rsidP="00FD5702">
      <w:pPr>
        <w:pStyle w:val="Heading3"/>
      </w:pPr>
    </w:p>
    <w:p w:rsidR="003C1575" w:rsidRDefault="00FD5702" w:rsidP="00FD5702">
      <w:pPr>
        <w:pStyle w:val="Heading3"/>
      </w:pPr>
      <w:bookmarkStart w:id="47" w:name="_Toc321493740"/>
      <w:r>
        <w:t>Appendix B: Tables and Figures</w:t>
      </w:r>
      <w:bookmarkEnd w:id="46"/>
      <w:bookmarkEnd w:id="47"/>
    </w:p>
    <w:p w:rsidR="001D7807" w:rsidRDefault="001D7807" w:rsidP="001D7807"/>
    <w:p w:rsidR="00B156A4" w:rsidRDefault="00B156A4">
      <w:pPr>
        <w:rPr>
          <w:rFonts w:eastAsiaTheme="majorEastAsia" w:cstheme="majorBidi"/>
          <w:b/>
          <w:bCs/>
          <w:iCs/>
        </w:rPr>
      </w:pPr>
      <w:r>
        <w:br w:type="page"/>
      </w:r>
    </w:p>
    <w:p w:rsidR="001D7807" w:rsidRDefault="001D7807" w:rsidP="001D7807">
      <w:pPr>
        <w:pStyle w:val="Heading4"/>
      </w:pPr>
      <w:bookmarkStart w:id="48" w:name="_Toc321418229"/>
      <w:r>
        <w:lastRenderedPageBreak/>
        <w:t xml:space="preserve">Table 1: Sample Selection and </w:t>
      </w:r>
      <w:r w:rsidR="002B0659">
        <w:t>Descriptive Statistics</w:t>
      </w:r>
      <w:bookmarkEnd w:id="48"/>
    </w:p>
    <w:p w:rsidR="00D61659" w:rsidRPr="00D61659" w:rsidRDefault="00D61659" w:rsidP="00D61659"/>
    <w:tbl>
      <w:tblPr>
        <w:tblW w:w="9180" w:type="dxa"/>
        <w:tblInd w:w="93" w:type="dxa"/>
        <w:tblLook w:val="04A0"/>
      </w:tblPr>
      <w:tblGrid>
        <w:gridCol w:w="6254"/>
        <w:gridCol w:w="937"/>
        <w:gridCol w:w="929"/>
        <w:gridCol w:w="1170"/>
      </w:tblGrid>
      <w:tr w:rsidR="00D61659" w:rsidRPr="00D61659" w:rsidTr="00D61659">
        <w:trPr>
          <w:trHeight w:val="300"/>
        </w:trPr>
        <w:tc>
          <w:tcPr>
            <w:tcW w:w="9180" w:type="dxa"/>
            <w:gridSpan w:val="4"/>
            <w:tcBorders>
              <w:top w:val="single" w:sz="4" w:space="0" w:color="auto"/>
              <w:left w:val="nil"/>
              <w:bottom w:val="single" w:sz="4" w:space="0" w:color="auto"/>
              <w:right w:val="nil"/>
            </w:tcBorders>
            <w:shd w:val="clear" w:color="auto" w:fill="auto"/>
            <w:noWrap/>
            <w:vAlign w:val="center"/>
            <w:hideMark/>
          </w:tcPr>
          <w:p w:rsidR="00D61659" w:rsidRPr="00D61659" w:rsidRDefault="00D61659" w:rsidP="00D61659">
            <w:pPr>
              <w:jc w:val="center"/>
              <w:rPr>
                <w:b/>
                <w:bCs/>
                <w:color w:val="000000"/>
                <w:sz w:val="22"/>
                <w:szCs w:val="22"/>
              </w:rPr>
            </w:pPr>
            <w:r w:rsidRPr="00D61659">
              <w:rPr>
                <w:b/>
                <w:bCs/>
                <w:color w:val="000000"/>
                <w:sz w:val="22"/>
                <w:szCs w:val="22"/>
              </w:rPr>
              <w:t>Panel A: Sample Selection</w:t>
            </w:r>
          </w:p>
        </w:tc>
      </w:tr>
      <w:tr w:rsidR="00D61659" w:rsidRPr="00D61659" w:rsidTr="00D61659">
        <w:trPr>
          <w:trHeight w:val="300"/>
        </w:trPr>
        <w:tc>
          <w:tcPr>
            <w:tcW w:w="7100" w:type="dxa"/>
            <w:gridSpan w:val="2"/>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CRSP/</w:t>
            </w:r>
            <w:proofErr w:type="spellStart"/>
            <w:r w:rsidRPr="00D61659">
              <w:rPr>
                <w:color w:val="000000"/>
                <w:sz w:val="22"/>
                <w:szCs w:val="22"/>
              </w:rPr>
              <w:t>Compustat</w:t>
            </w:r>
            <w:proofErr w:type="spellEnd"/>
            <w:r w:rsidRPr="00D61659">
              <w:rPr>
                <w:color w:val="000000"/>
                <w:sz w:val="22"/>
                <w:szCs w:val="22"/>
              </w:rPr>
              <w:t xml:space="preserve"> Merged U.S. firm-year observations during sample period</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22,485</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 xml:space="preserve">   Less: utilities and financial services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(10,026)</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 xml:space="preserve">   Less: observations with negative total stockholder's equity</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(626)</w:t>
            </w:r>
          </w:p>
        </w:tc>
      </w:tr>
      <w:tr w:rsidR="00D61659" w:rsidRPr="00D61659" w:rsidTr="00D61659">
        <w:trPr>
          <w:trHeight w:val="300"/>
        </w:trPr>
        <w:tc>
          <w:tcPr>
            <w:tcW w:w="8029" w:type="dxa"/>
            <w:gridSpan w:val="3"/>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 xml:space="preserve">   Less: observations where filing date is missing or greater than 150 days after year end*</w:t>
            </w: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(73)</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 xml:space="preserve">   Less: observations with missing tax reserve data</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(4,211)</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 xml:space="preserve">   Less: observations with missing control variables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single" w:sz="4" w:space="0" w:color="auto"/>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(1,602)</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Preliminary Sample</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 xml:space="preserve">5,947 </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b/>
                <w:bCs/>
                <w:color w:val="000000"/>
                <w:sz w:val="22"/>
                <w:szCs w:val="22"/>
              </w:rPr>
            </w:pPr>
            <w:r w:rsidRPr="00D61659">
              <w:rPr>
                <w:b/>
                <w:bCs/>
                <w:color w:val="000000"/>
                <w:sz w:val="22"/>
                <w:szCs w:val="22"/>
              </w:rPr>
              <w:t>Sample for H1: Firm Value Regressions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Preliminary Sample</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 xml:space="preserve">5,947 </w:t>
            </w:r>
          </w:p>
        </w:tc>
      </w:tr>
      <w:tr w:rsidR="00D61659" w:rsidRPr="00D61659" w:rsidTr="00D61659">
        <w:trPr>
          <w:trHeight w:val="300"/>
        </w:trPr>
        <w:tc>
          <w:tcPr>
            <w:tcW w:w="7100" w:type="dxa"/>
            <w:gridSpan w:val="2"/>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 xml:space="preserve">   Less: observations with missing lagged tax reserve data for IV estimation</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single" w:sz="4" w:space="0" w:color="auto"/>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(1,819)</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Final Sample For Firm Value Regressions (Tables 3 and 5)</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 xml:space="preserve">4,128 </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b/>
                <w:bCs/>
                <w:color w:val="000000"/>
                <w:sz w:val="22"/>
                <w:szCs w:val="22"/>
              </w:rPr>
            </w:pPr>
            <w:r w:rsidRPr="00D61659">
              <w:rPr>
                <w:b/>
                <w:bCs/>
                <w:color w:val="000000"/>
                <w:sz w:val="22"/>
                <w:szCs w:val="22"/>
              </w:rPr>
              <w:t>Sample for H2: Cost of Capital Regressions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Preliminary Sample</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 xml:space="preserve">5,947 </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 xml:space="preserve">   Less: observations with missing cost of capital estimates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(1,446)</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 xml:space="preserve">   Less: observations with missing control variables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single" w:sz="4" w:space="0" w:color="auto"/>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(2,228)</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Final Sample For Cost of Capital Regressions (Tables 4 and 6)</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 xml:space="preserve">2,273 </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846"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929" w:type="dxa"/>
            <w:tcBorders>
              <w:top w:val="nil"/>
              <w:left w:val="nil"/>
              <w:bottom w:val="nil"/>
              <w:right w:val="nil"/>
            </w:tcBorders>
            <w:shd w:val="clear" w:color="auto" w:fill="auto"/>
            <w:noWrap/>
            <w:vAlign w:val="bottom"/>
            <w:hideMark/>
          </w:tcPr>
          <w:p w:rsidR="00D61659" w:rsidRPr="00D61659" w:rsidRDefault="00D61659" w:rsidP="00D61659">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r>
      <w:tr w:rsidR="00D61659" w:rsidRPr="00D61659" w:rsidTr="00D61659">
        <w:trPr>
          <w:trHeight w:val="300"/>
        </w:trPr>
        <w:tc>
          <w:tcPr>
            <w:tcW w:w="9180" w:type="dxa"/>
            <w:gridSpan w:val="4"/>
            <w:tcBorders>
              <w:top w:val="nil"/>
              <w:left w:val="nil"/>
              <w:bottom w:val="single" w:sz="4" w:space="0" w:color="auto"/>
              <w:right w:val="nil"/>
            </w:tcBorders>
            <w:shd w:val="clear" w:color="auto" w:fill="auto"/>
            <w:noWrap/>
            <w:vAlign w:val="center"/>
            <w:hideMark/>
          </w:tcPr>
          <w:p w:rsidR="00D61659" w:rsidRPr="00D61659" w:rsidRDefault="00D61659" w:rsidP="00D61659">
            <w:pPr>
              <w:jc w:val="center"/>
              <w:rPr>
                <w:b/>
                <w:bCs/>
                <w:color w:val="000000"/>
                <w:sz w:val="22"/>
                <w:szCs w:val="22"/>
              </w:rPr>
            </w:pPr>
            <w:r w:rsidRPr="00D61659">
              <w:rPr>
                <w:b/>
                <w:bCs/>
                <w:color w:val="000000"/>
                <w:sz w:val="22"/>
                <w:szCs w:val="22"/>
              </w:rPr>
              <w:t>Panel B: Industry Distribution</w:t>
            </w:r>
          </w:p>
        </w:tc>
      </w:tr>
      <w:tr w:rsidR="00D61659" w:rsidRPr="00D61659" w:rsidTr="00D61659">
        <w:trPr>
          <w:trHeight w:val="9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i/>
                <w:iCs/>
                <w:color w:val="000000"/>
                <w:sz w:val="22"/>
                <w:szCs w:val="22"/>
              </w:rPr>
            </w:pPr>
            <w:proofErr w:type="spellStart"/>
            <w:r w:rsidRPr="00D61659">
              <w:rPr>
                <w:i/>
                <w:iCs/>
                <w:color w:val="000000"/>
                <w:sz w:val="22"/>
                <w:szCs w:val="22"/>
              </w:rPr>
              <w:t>Fama</w:t>
            </w:r>
            <w:proofErr w:type="spellEnd"/>
            <w:r w:rsidRPr="00D61659">
              <w:rPr>
                <w:i/>
                <w:iCs/>
                <w:color w:val="000000"/>
                <w:sz w:val="22"/>
                <w:szCs w:val="22"/>
              </w:rPr>
              <w:t>-French 12 Industries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jc w:val="center"/>
              <w:rPr>
                <w:color w:val="000000"/>
                <w:sz w:val="22"/>
                <w:szCs w:val="22"/>
              </w:rPr>
            </w:pPr>
            <w:r w:rsidRPr="00D61659">
              <w:rPr>
                <w:color w:val="000000"/>
                <w:sz w:val="22"/>
                <w:szCs w:val="22"/>
              </w:rPr>
              <w:t>Number</w:t>
            </w:r>
          </w:p>
        </w:tc>
        <w:tc>
          <w:tcPr>
            <w:tcW w:w="929" w:type="dxa"/>
            <w:tcBorders>
              <w:top w:val="nil"/>
              <w:left w:val="nil"/>
              <w:bottom w:val="nil"/>
              <w:right w:val="nil"/>
            </w:tcBorders>
            <w:shd w:val="clear" w:color="auto" w:fill="auto"/>
            <w:vAlign w:val="bottom"/>
            <w:hideMark/>
          </w:tcPr>
          <w:p w:rsidR="00D61659" w:rsidRPr="00D61659" w:rsidRDefault="00D61659" w:rsidP="00D61659">
            <w:pPr>
              <w:jc w:val="center"/>
              <w:rPr>
                <w:color w:val="000000"/>
                <w:sz w:val="22"/>
                <w:szCs w:val="22"/>
              </w:rPr>
            </w:pPr>
            <w:r w:rsidRPr="00D61659">
              <w:rPr>
                <w:color w:val="000000"/>
                <w:sz w:val="22"/>
                <w:szCs w:val="22"/>
              </w:rPr>
              <w:t>Percent of Sample</w:t>
            </w:r>
          </w:p>
        </w:tc>
        <w:tc>
          <w:tcPr>
            <w:tcW w:w="1151" w:type="dxa"/>
            <w:tcBorders>
              <w:top w:val="nil"/>
              <w:left w:val="nil"/>
              <w:bottom w:val="nil"/>
              <w:right w:val="nil"/>
            </w:tcBorders>
            <w:shd w:val="clear" w:color="auto" w:fill="auto"/>
            <w:vAlign w:val="bottom"/>
            <w:hideMark/>
          </w:tcPr>
          <w:p w:rsidR="00D61659" w:rsidRPr="00D61659" w:rsidRDefault="00D61659" w:rsidP="00D61659">
            <w:pPr>
              <w:jc w:val="center"/>
              <w:rPr>
                <w:color w:val="000000"/>
                <w:sz w:val="22"/>
                <w:szCs w:val="22"/>
              </w:rPr>
            </w:pPr>
            <w:r w:rsidRPr="00D61659">
              <w:rPr>
                <w:color w:val="000000"/>
                <w:sz w:val="22"/>
                <w:szCs w:val="22"/>
              </w:rPr>
              <w:t>Mean TAXRISK</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 xml:space="preserve">Consumer </w:t>
            </w:r>
            <w:proofErr w:type="spellStart"/>
            <w:r w:rsidRPr="00D61659">
              <w:rPr>
                <w:color w:val="000000"/>
                <w:sz w:val="22"/>
                <w:szCs w:val="22"/>
              </w:rPr>
              <w:t>NonDurables</w:t>
            </w:r>
            <w:proofErr w:type="spellEnd"/>
          </w:p>
        </w:tc>
        <w:tc>
          <w:tcPr>
            <w:tcW w:w="846"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243</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5.9</w:t>
            </w: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1.4%</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Consumer Durables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116</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2.8</w:t>
            </w: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1.3%</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Manufacturing</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622</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15.1</w:t>
            </w: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1.2%</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Oil, Gas, and Coal Extraction and Products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205</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5.0</w:t>
            </w: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0.5%</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Chemicals and Allied Products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142</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3.4</w:t>
            </w: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1.0%</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Business Equipment</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1,088</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26.4</w:t>
            </w: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2.3%</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Telephone and Television Transmission</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145</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3.5</w:t>
            </w: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1.1%</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Wholesale, Retail, and Some Services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528</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12.8</w:t>
            </w: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0.8%</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Healthcare, Medical Equipment and Drugs</w:t>
            </w:r>
          </w:p>
        </w:tc>
        <w:tc>
          <w:tcPr>
            <w:tcW w:w="846"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510</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12.3</w:t>
            </w: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1.3%</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r w:rsidRPr="00D61659">
              <w:rPr>
                <w:color w:val="000000"/>
                <w:sz w:val="22"/>
                <w:szCs w:val="22"/>
              </w:rPr>
              <w:t>Other</w:t>
            </w:r>
          </w:p>
        </w:tc>
        <w:tc>
          <w:tcPr>
            <w:tcW w:w="846" w:type="dxa"/>
            <w:tcBorders>
              <w:top w:val="nil"/>
              <w:left w:val="nil"/>
              <w:bottom w:val="single" w:sz="4" w:space="0" w:color="auto"/>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529</w:t>
            </w:r>
          </w:p>
        </w:tc>
        <w:tc>
          <w:tcPr>
            <w:tcW w:w="929" w:type="dxa"/>
            <w:tcBorders>
              <w:top w:val="nil"/>
              <w:left w:val="nil"/>
              <w:bottom w:val="single" w:sz="4" w:space="0" w:color="auto"/>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12.8</w:t>
            </w:r>
          </w:p>
        </w:tc>
        <w:tc>
          <w:tcPr>
            <w:tcW w:w="1151" w:type="dxa"/>
            <w:tcBorders>
              <w:top w:val="nil"/>
              <w:left w:val="nil"/>
              <w:bottom w:val="single" w:sz="4" w:space="0" w:color="auto"/>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0.9%</w:t>
            </w:r>
          </w:p>
        </w:tc>
      </w:tr>
      <w:tr w:rsidR="00D61659" w:rsidRPr="00D61659" w:rsidTr="00D61659">
        <w:trPr>
          <w:trHeight w:val="300"/>
        </w:trPr>
        <w:tc>
          <w:tcPr>
            <w:tcW w:w="6254" w:type="dxa"/>
            <w:tcBorders>
              <w:top w:val="nil"/>
              <w:left w:val="nil"/>
              <w:bottom w:val="nil"/>
              <w:right w:val="nil"/>
            </w:tcBorders>
            <w:shd w:val="clear" w:color="auto" w:fill="auto"/>
            <w:noWrap/>
            <w:vAlign w:val="bottom"/>
            <w:hideMark/>
          </w:tcPr>
          <w:p w:rsidR="00D61659" w:rsidRPr="00D61659" w:rsidRDefault="00D61659" w:rsidP="00D61659">
            <w:pPr>
              <w:rPr>
                <w:color w:val="000000"/>
                <w:sz w:val="22"/>
                <w:szCs w:val="22"/>
              </w:rPr>
            </w:pPr>
          </w:p>
        </w:tc>
        <w:tc>
          <w:tcPr>
            <w:tcW w:w="846"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4,128</w:t>
            </w:r>
          </w:p>
        </w:tc>
        <w:tc>
          <w:tcPr>
            <w:tcW w:w="929"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100.0</w:t>
            </w:r>
          </w:p>
        </w:tc>
        <w:tc>
          <w:tcPr>
            <w:tcW w:w="1151" w:type="dxa"/>
            <w:tcBorders>
              <w:top w:val="nil"/>
              <w:left w:val="nil"/>
              <w:bottom w:val="nil"/>
              <w:right w:val="nil"/>
            </w:tcBorders>
            <w:shd w:val="clear" w:color="auto" w:fill="auto"/>
            <w:noWrap/>
            <w:vAlign w:val="bottom"/>
            <w:hideMark/>
          </w:tcPr>
          <w:p w:rsidR="00D61659" w:rsidRPr="00D61659" w:rsidRDefault="00D61659" w:rsidP="00D61659">
            <w:pPr>
              <w:jc w:val="right"/>
              <w:rPr>
                <w:color w:val="000000"/>
                <w:sz w:val="22"/>
                <w:szCs w:val="22"/>
              </w:rPr>
            </w:pPr>
            <w:r w:rsidRPr="00D61659">
              <w:rPr>
                <w:color w:val="000000"/>
                <w:sz w:val="22"/>
                <w:szCs w:val="22"/>
              </w:rPr>
              <w:t>1.4%</w:t>
            </w:r>
          </w:p>
        </w:tc>
      </w:tr>
      <w:tr w:rsidR="00D61659" w:rsidRPr="00D61659" w:rsidTr="00D61659">
        <w:trPr>
          <w:trHeight w:val="300"/>
        </w:trPr>
        <w:tc>
          <w:tcPr>
            <w:tcW w:w="9180" w:type="dxa"/>
            <w:gridSpan w:val="4"/>
            <w:tcBorders>
              <w:top w:val="nil"/>
              <w:left w:val="nil"/>
              <w:bottom w:val="single" w:sz="4" w:space="0" w:color="auto"/>
              <w:right w:val="nil"/>
            </w:tcBorders>
            <w:shd w:val="clear" w:color="auto" w:fill="auto"/>
            <w:noWrap/>
            <w:vAlign w:val="bottom"/>
            <w:hideMark/>
          </w:tcPr>
          <w:p w:rsidR="00D61659" w:rsidRPr="00D61659" w:rsidRDefault="00D61659" w:rsidP="00D61659">
            <w:pPr>
              <w:jc w:val="center"/>
              <w:rPr>
                <w:color w:val="000000"/>
                <w:sz w:val="22"/>
                <w:szCs w:val="22"/>
              </w:rPr>
            </w:pPr>
            <w:r w:rsidRPr="00D61659">
              <w:rPr>
                <w:color w:val="000000"/>
                <w:sz w:val="22"/>
                <w:szCs w:val="22"/>
              </w:rPr>
              <w:t> </w:t>
            </w:r>
          </w:p>
        </w:tc>
      </w:tr>
    </w:tbl>
    <w:p w:rsidR="002B0659" w:rsidRDefault="002B0659" w:rsidP="002B0659">
      <w:pPr>
        <w:rPr>
          <w:noProof/>
          <w:sz w:val="16"/>
          <w:szCs w:val="16"/>
        </w:rPr>
      </w:pPr>
    </w:p>
    <w:p w:rsidR="00D61659" w:rsidRPr="00C50F3A" w:rsidRDefault="00D61659" w:rsidP="002B0659">
      <w:pPr>
        <w:rPr>
          <w:noProof/>
          <w:sz w:val="20"/>
          <w:szCs w:val="20"/>
        </w:rPr>
      </w:pPr>
      <w:r w:rsidRPr="00C50F3A">
        <w:rPr>
          <w:noProof/>
          <w:sz w:val="20"/>
          <w:szCs w:val="20"/>
        </w:rPr>
        <w:t>*</w:t>
      </w:r>
      <w:r w:rsidR="00390828" w:rsidRPr="00C50F3A">
        <w:rPr>
          <w:noProof/>
          <w:sz w:val="20"/>
          <w:szCs w:val="20"/>
        </w:rPr>
        <w:t>The market value calculation requires a price around the date of the 10-K filing. I exclude firms where the 10-K filing occurs greater than 150 days after the fiscal year end since these firms would be considered late in their 10-K filing. Results are not sensitive to elimination of this filter.</w:t>
      </w:r>
      <w:r w:rsidRPr="00C50F3A">
        <w:rPr>
          <w:noProof/>
          <w:sz w:val="20"/>
          <w:szCs w:val="20"/>
        </w:rPr>
        <w:t xml:space="preserve">  </w:t>
      </w:r>
    </w:p>
    <w:p w:rsidR="00E812C7" w:rsidRDefault="00D61659" w:rsidP="00C50F3A">
      <w:pPr>
        <w:jc w:val="center"/>
        <w:rPr>
          <w:b/>
          <w:noProof/>
        </w:rPr>
      </w:pPr>
      <w:r w:rsidRPr="002B0659">
        <w:rPr>
          <w:b/>
          <w:noProof/>
        </w:rPr>
        <w:lastRenderedPageBreak/>
        <w:t>Table 1: Continued</w:t>
      </w:r>
    </w:p>
    <w:p w:rsidR="00C50F3A" w:rsidRPr="00E812C7" w:rsidRDefault="00C50F3A" w:rsidP="00C50F3A">
      <w:pPr>
        <w:jc w:val="center"/>
      </w:pPr>
    </w:p>
    <w:tbl>
      <w:tblPr>
        <w:tblW w:w="9167" w:type="dxa"/>
        <w:tblInd w:w="93" w:type="dxa"/>
        <w:tblLook w:val="04A0"/>
      </w:tblPr>
      <w:tblGrid>
        <w:gridCol w:w="2625"/>
        <w:gridCol w:w="711"/>
        <w:gridCol w:w="876"/>
        <w:gridCol w:w="986"/>
        <w:gridCol w:w="685"/>
        <w:gridCol w:w="711"/>
        <w:gridCol w:w="711"/>
        <w:gridCol w:w="876"/>
        <w:gridCol w:w="986"/>
      </w:tblGrid>
      <w:tr w:rsidR="00433126" w:rsidRPr="00433126" w:rsidTr="00433126">
        <w:trPr>
          <w:trHeight w:val="300"/>
        </w:trPr>
        <w:tc>
          <w:tcPr>
            <w:tcW w:w="9167" w:type="dxa"/>
            <w:gridSpan w:val="9"/>
            <w:tcBorders>
              <w:top w:val="single" w:sz="4" w:space="0" w:color="auto"/>
              <w:left w:val="nil"/>
              <w:bottom w:val="single" w:sz="4" w:space="0" w:color="auto"/>
              <w:right w:val="nil"/>
            </w:tcBorders>
            <w:shd w:val="clear" w:color="auto" w:fill="auto"/>
            <w:noWrap/>
            <w:vAlign w:val="bottom"/>
            <w:hideMark/>
          </w:tcPr>
          <w:p w:rsidR="00433126" w:rsidRPr="00F54348" w:rsidRDefault="00433126" w:rsidP="00433126">
            <w:pPr>
              <w:jc w:val="center"/>
              <w:rPr>
                <w:b/>
                <w:color w:val="000000"/>
                <w:sz w:val="22"/>
                <w:szCs w:val="22"/>
              </w:rPr>
            </w:pPr>
            <w:r w:rsidRPr="00F54348">
              <w:rPr>
                <w:b/>
                <w:color w:val="000000"/>
                <w:sz w:val="22"/>
                <w:szCs w:val="22"/>
              </w:rPr>
              <w:t>Panel C: Descriptive Statistics</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b/>
                <w:bCs/>
                <w:color w:val="000000"/>
                <w:sz w:val="22"/>
                <w:szCs w:val="22"/>
              </w:rPr>
            </w:pPr>
            <w:r w:rsidRPr="00433126">
              <w:rPr>
                <w:b/>
                <w:bCs/>
                <w:color w:val="000000"/>
                <w:sz w:val="22"/>
                <w:szCs w:val="22"/>
              </w:rPr>
              <w:t>Variable</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r w:rsidRPr="00433126">
              <w:rPr>
                <w:b/>
                <w:bCs/>
                <w:color w:val="000000"/>
                <w:sz w:val="22"/>
                <w:szCs w:val="22"/>
              </w:rPr>
              <w:t>N</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r w:rsidRPr="00433126">
              <w:rPr>
                <w:b/>
                <w:bCs/>
                <w:color w:val="000000"/>
                <w:sz w:val="22"/>
                <w:szCs w:val="22"/>
              </w:rPr>
              <w:t>Mean</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r w:rsidRPr="00433126">
              <w:rPr>
                <w:b/>
                <w:bCs/>
                <w:color w:val="000000"/>
                <w:sz w:val="22"/>
                <w:szCs w:val="22"/>
              </w:rPr>
              <w:t>S.D.</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r w:rsidRPr="00433126">
              <w:rPr>
                <w:b/>
                <w:bCs/>
                <w:color w:val="000000"/>
                <w:sz w:val="22"/>
                <w:szCs w:val="22"/>
              </w:rPr>
              <w:t>Min</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r w:rsidRPr="00433126">
              <w:rPr>
                <w:b/>
                <w:bCs/>
                <w:color w:val="000000"/>
                <w:sz w:val="22"/>
                <w:szCs w:val="22"/>
              </w:rPr>
              <w:t xml:space="preserve">25th </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r w:rsidRPr="00433126">
              <w:rPr>
                <w:b/>
                <w:bCs/>
                <w:color w:val="000000"/>
                <w:sz w:val="22"/>
                <w:szCs w:val="22"/>
              </w:rPr>
              <w:t>50th</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r w:rsidRPr="00433126">
              <w:rPr>
                <w:b/>
                <w:bCs/>
                <w:color w:val="000000"/>
                <w:sz w:val="22"/>
                <w:szCs w:val="22"/>
              </w:rPr>
              <w:t>75th</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r w:rsidRPr="00433126">
              <w:rPr>
                <w:b/>
                <w:bCs/>
                <w:color w:val="000000"/>
                <w:sz w:val="22"/>
                <w:szCs w:val="22"/>
              </w:rPr>
              <w:t>Max</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i/>
                <w:iCs/>
                <w:color w:val="000000"/>
                <w:sz w:val="22"/>
                <w:szCs w:val="22"/>
              </w:rPr>
            </w:pPr>
            <w:r w:rsidRPr="00433126">
              <w:rPr>
                <w:i/>
                <w:iCs/>
                <w:color w:val="000000"/>
                <w:sz w:val="22"/>
                <w:szCs w:val="22"/>
              </w:rPr>
              <w:t>Variables of Interest</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center"/>
              <w:rPr>
                <w:b/>
                <w:bCs/>
                <w:color w:val="000000"/>
                <w:sz w:val="22"/>
                <w:szCs w:val="22"/>
              </w:rPr>
            </w:pPr>
          </w:p>
        </w:tc>
      </w:tr>
      <w:tr w:rsidR="00433126" w:rsidRPr="00433126" w:rsidTr="00433126">
        <w:trPr>
          <w:trHeight w:val="300"/>
        </w:trPr>
        <w:tc>
          <w:tcPr>
            <w:tcW w:w="2625" w:type="dxa"/>
            <w:tcBorders>
              <w:top w:val="nil"/>
              <w:left w:val="nil"/>
              <w:bottom w:val="nil"/>
              <w:right w:val="nil"/>
            </w:tcBorders>
            <w:shd w:val="clear" w:color="auto" w:fill="auto"/>
            <w:vAlign w:val="bottom"/>
            <w:hideMark/>
          </w:tcPr>
          <w:p w:rsidR="00433126" w:rsidRPr="00433126" w:rsidRDefault="00433126" w:rsidP="00433126">
            <w:pPr>
              <w:rPr>
                <w:color w:val="000000"/>
                <w:sz w:val="22"/>
                <w:szCs w:val="22"/>
              </w:rPr>
            </w:pPr>
            <w:r w:rsidRPr="00433126">
              <w:rPr>
                <w:color w:val="000000"/>
                <w:sz w:val="22"/>
                <w:szCs w:val="22"/>
              </w:rPr>
              <w:t>Assets (millions)</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3,996.9</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10,340.9</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13.0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220.3</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747.2</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2,556.4</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69,588.0</w:t>
            </w:r>
          </w:p>
        </w:tc>
      </w:tr>
      <w:tr w:rsidR="00433126" w:rsidRPr="00433126" w:rsidTr="00433126">
        <w:trPr>
          <w:trHeight w:val="300"/>
        </w:trPr>
        <w:tc>
          <w:tcPr>
            <w:tcW w:w="2625" w:type="dxa"/>
            <w:tcBorders>
              <w:top w:val="nil"/>
              <w:left w:val="nil"/>
              <w:bottom w:val="nil"/>
              <w:right w:val="nil"/>
            </w:tcBorders>
            <w:shd w:val="clear" w:color="auto" w:fill="auto"/>
            <w:vAlign w:val="bottom"/>
            <w:hideMark/>
          </w:tcPr>
          <w:p w:rsidR="00433126" w:rsidRPr="00433126" w:rsidRDefault="00433126" w:rsidP="00433126">
            <w:pPr>
              <w:rPr>
                <w:color w:val="000000"/>
                <w:sz w:val="22"/>
                <w:szCs w:val="22"/>
              </w:rPr>
            </w:pPr>
            <w:r w:rsidRPr="00433126">
              <w:rPr>
                <w:color w:val="000000"/>
                <w:sz w:val="22"/>
                <w:szCs w:val="22"/>
              </w:rPr>
              <w:t>Market value (millions)</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3,935.2</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11,625.4</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6.8</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165.9</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618.9</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2,241.8</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89,732.2</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Ending reserve (millions)</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58.18</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194.04</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0.79</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4.80</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25.19</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1,483.00</w:t>
            </w:r>
          </w:p>
        </w:tc>
      </w:tr>
      <w:tr w:rsidR="00433126" w:rsidRPr="00433126" w:rsidTr="00433126">
        <w:trPr>
          <w:trHeight w:val="300"/>
        </w:trPr>
        <w:tc>
          <w:tcPr>
            <w:tcW w:w="2625" w:type="dxa"/>
            <w:tcBorders>
              <w:top w:val="nil"/>
              <w:left w:val="nil"/>
              <w:bottom w:val="nil"/>
              <w:right w:val="nil"/>
            </w:tcBorders>
            <w:shd w:val="clear" w:color="auto" w:fill="auto"/>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87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68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87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r>
      <w:tr w:rsidR="00433126" w:rsidRPr="00433126" w:rsidTr="00433126">
        <w:trPr>
          <w:trHeight w:val="300"/>
        </w:trPr>
        <w:tc>
          <w:tcPr>
            <w:tcW w:w="5883" w:type="dxa"/>
            <w:gridSpan w:val="5"/>
            <w:tcBorders>
              <w:top w:val="nil"/>
              <w:left w:val="nil"/>
              <w:bottom w:val="nil"/>
              <w:right w:val="nil"/>
            </w:tcBorders>
            <w:shd w:val="clear" w:color="auto" w:fill="auto"/>
            <w:noWrap/>
            <w:vAlign w:val="bottom"/>
            <w:hideMark/>
          </w:tcPr>
          <w:p w:rsidR="00433126" w:rsidRPr="00433126" w:rsidRDefault="00433126" w:rsidP="00433126">
            <w:pPr>
              <w:rPr>
                <w:i/>
                <w:iCs/>
                <w:color w:val="000000"/>
                <w:sz w:val="22"/>
                <w:szCs w:val="22"/>
              </w:rPr>
            </w:pPr>
            <w:r w:rsidRPr="00433126">
              <w:rPr>
                <w:i/>
                <w:iCs/>
                <w:color w:val="000000"/>
                <w:sz w:val="22"/>
                <w:szCs w:val="22"/>
              </w:rPr>
              <w:t>Variables in Firm Value Models (Tables 3 and 5)</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87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r>
      <w:tr w:rsidR="00433126" w:rsidRPr="00433126" w:rsidTr="00433126">
        <w:trPr>
          <w:trHeight w:val="300"/>
        </w:trPr>
        <w:tc>
          <w:tcPr>
            <w:tcW w:w="2625" w:type="dxa"/>
            <w:tcBorders>
              <w:top w:val="nil"/>
              <w:left w:val="nil"/>
              <w:bottom w:val="nil"/>
              <w:right w:val="nil"/>
            </w:tcBorders>
            <w:shd w:val="clear" w:color="auto" w:fill="auto"/>
            <w:vAlign w:val="bottom"/>
            <w:hideMark/>
          </w:tcPr>
          <w:p w:rsidR="00433126" w:rsidRPr="00433126" w:rsidRDefault="00433126" w:rsidP="00433126">
            <w:pPr>
              <w:rPr>
                <w:color w:val="000000"/>
                <w:sz w:val="22"/>
                <w:szCs w:val="22"/>
              </w:rPr>
            </w:pPr>
            <w:r w:rsidRPr="00433126">
              <w:rPr>
                <w:color w:val="000000"/>
                <w:sz w:val="22"/>
                <w:szCs w:val="22"/>
              </w:rPr>
              <w:t>LOG_MKT_VALUE</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6.42</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1.98</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1.91</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5.11</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6.43</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7.72</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11.40</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TAXRISK*</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1.37</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2.00</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0.21</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0.68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1.65</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11.70</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DISCR_ACCRUALS</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0.08</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-0.27</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-0.05</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0.04</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0.25</w:t>
            </w:r>
          </w:p>
        </w:tc>
      </w:tr>
      <w:tr w:rsidR="00433126" w:rsidRPr="00433126" w:rsidTr="00433126">
        <w:trPr>
          <w:trHeight w:val="300"/>
        </w:trPr>
        <w:tc>
          <w:tcPr>
            <w:tcW w:w="2625" w:type="dxa"/>
            <w:tcBorders>
              <w:top w:val="nil"/>
              <w:left w:val="nil"/>
              <w:bottom w:val="nil"/>
              <w:right w:val="nil"/>
            </w:tcBorders>
            <w:shd w:val="clear" w:color="auto" w:fill="auto"/>
            <w:vAlign w:val="bottom"/>
            <w:hideMark/>
          </w:tcPr>
          <w:p w:rsidR="00433126" w:rsidRPr="00433126" w:rsidRDefault="00433126" w:rsidP="00433126">
            <w:pPr>
              <w:rPr>
                <w:color w:val="000000"/>
                <w:sz w:val="22"/>
                <w:szCs w:val="22"/>
              </w:rPr>
            </w:pPr>
            <w:r w:rsidRPr="00433126">
              <w:rPr>
                <w:color w:val="000000"/>
                <w:sz w:val="22"/>
                <w:szCs w:val="22"/>
              </w:rPr>
              <w:t>FOREIGN_INCOME</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0.02</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0.04</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0.01</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0.04</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0.20</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NOL</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0.21</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0.64</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0.11</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4.42</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LT_DEBT</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0.18</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0.18</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0.15</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0.29</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0.70</w:t>
            </w:r>
          </w:p>
        </w:tc>
      </w:tr>
      <w:tr w:rsidR="00433126" w:rsidRPr="00433126" w:rsidTr="00433126">
        <w:trPr>
          <w:trHeight w:val="300"/>
        </w:trPr>
        <w:tc>
          <w:tcPr>
            <w:tcW w:w="2625" w:type="dxa"/>
            <w:tcBorders>
              <w:top w:val="nil"/>
              <w:left w:val="nil"/>
              <w:bottom w:val="nil"/>
              <w:right w:val="nil"/>
            </w:tcBorders>
            <w:shd w:val="clear" w:color="auto" w:fill="auto"/>
            <w:vAlign w:val="bottom"/>
            <w:hideMark/>
          </w:tcPr>
          <w:p w:rsidR="00433126" w:rsidRPr="00433126" w:rsidRDefault="00433126" w:rsidP="00433126">
            <w:pPr>
              <w:rPr>
                <w:color w:val="000000"/>
                <w:sz w:val="22"/>
                <w:szCs w:val="22"/>
              </w:rPr>
            </w:pPr>
            <w:r w:rsidRPr="00433126">
              <w:rPr>
                <w:color w:val="000000"/>
                <w:sz w:val="22"/>
                <w:szCs w:val="22"/>
              </w:rPr>
              <w:t>SALES_GROWTH</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0.10</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0.24</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-0.28</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-0.02</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0.05</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0.15</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1.54</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LOSS</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0.31</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0.46</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1.00</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1.00</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STD_DEV_RETURNS</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0.14</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0.05</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0.05</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0.13</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0.17</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0.26</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LOG_AGE</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2.73</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0.82</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0.85</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2.28</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2.75</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3.29</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4.42</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87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68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87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r>
      <w:tr w:rsidR="00433126" w:rsidRPr="00433126" w:rsidTr="00433126">
        <w:trPr>
          <w:trHeight w:val="300"/>
        </w:trPr>
        <w:tc>
          <w:tcPr>
            <w:tcW w:w="5883" w:type="dxa"/>
            <w:gridSpan w:val="5"/>
            <w:tcBorders>
              <w:top w:val="nil"/>
              <w:left w:val="nil"/>
              <w:bottom w:val="nil"/>
              <w:right w:val="nil"/>
            </w:tcBorders>
            <w:shd w:val="clear" w:color="auto" w:fill="auto"/>
            <w:noWrap/>
            <w:vAlign w:val="bottom"/>
            <w:hideMark/>
          </w:tcPr>
          <w:p w:rsidR="00433126" w:rsidRPr="00433126" w:rsidRDefault="00433126" w:rsidP="00433126">
            <w:pPr>
              <w:rPr>
                <w:i/>
                <w:iCs/>
                <w:color w:val="000000"/>
                <w:sz w:val="22"/>
                <w:szCs w:val="22"/>
              </w:rPr>
            </w:pPr>
            <w:r w:rsidRPr="00433126">
              <w:rPr>
                <w:i/>
                <w:iCs/>
                <w:color w:val="000000"/>
                <w:sz w:val="22"/>
                <w:szCs w:val="22"/>
              </w:rPr>
              <w:t>Variables in Cost of Capital Models (Tables 4 and 6)</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87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RPEG</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2,273</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0.13</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0.11</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0.09</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0.11</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0.14</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1.18</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RDIV</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617</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0.07</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0.05</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0.03</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0.06</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0.09</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0.28</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BETA</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2,273</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1.33</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0.63</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0.06</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0.90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1.27</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1.70</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3.23</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DISPERSION</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2,273</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0.17</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0.56</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0.01</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0.03</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0.09</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4.24</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BOOK_TO_MARKET</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2,273</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0.66</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0.55</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0.06</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0.32</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0.51</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0.82</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4.04</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LEVERAGE</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2,273</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0.41</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0.79</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0.15</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0.43</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5.49</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LOG_ASSETS</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2,273</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7.60</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1.54</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3.56</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6.49</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7.54</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8.60</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11.15</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LT_GROWTH_PRED</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2,273</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0.18</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0.24</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0.02</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0.11</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0.14</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0.19</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2.33</w:t>
            </w: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87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68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87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r>
      <w:tr w:rsidR="00433126" w:rsidRPr="00433126" w:rsidTr="00433126">
        <w:trPr>
          <w:trHeight w:val="300"/>
        </w:trPr>
        <w:tc>
          <w:tcPr>
            <w:tcW w:w="3336" w:type="dxa"/>
            <w:gridSpan w:val="2"/>
            <w:tcBorders>
              <w:top w:val="nil"/>
              <w:left w:val="nil"/>
              <w:bottom w:val="nil"/>
              <w:right w:val="nil"/>
            </w:tcBorders>
            <w:shd w:val="clear" w:color="auto" w:fill="auto"/>
            <w:noWrap/>
            <w:vAlign w:val="bottom"/>
            <w:hideMark/>
          </w:tcPr>
          <w:p w:rsidR="00433126" w:rsidRPr="00433126" w:rsidRDefault="00433126" w:rsidP="00433126">
            <w:pPr>
              <w:rPr>
                <w:i/>
                <w:iCs/>
                <w:color w:val="000000"/>
                <w:sz w:val="22"/>
                <w:szCs w:val="22"/>
              </w:rPr>
            </w:pPr>
            <w:r w:rsidRPr="00433126">
              <w:rPr>
                <w:i/>
                <w:iCs/>
                <w:color w:val="000000"/>
                <w:sz w:val="22"/>
                <w:szCs w:val="22"/>
              </w:rPr>
              <w:t>Governance Variables</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68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711"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87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c>
          <w:tcPr>
            <w:tcW w:w="986"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p>
        </w:tc>
      </w:tr>
      <w:tr w:rsidR="00433126" w:rsidRPr="00433126" w:rsidTr="00433126">
        <w:trPr>
          <w:trHeight w:val="300"/>
        </w:trPr>
        <w:tc>
          <w:tcPr>
            <w:tcW w:w="2625" w:type="dxa"/>
            <w:tcBorders>
              <w:top w:val="nil"/>
              <w:left w:val="nil"/>
              <w:bottom w:val="nil"/>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CEO_CHAIRMAN</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2,004</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0.38</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0.49</w:t>
            </w:r>
          </w:p>
        </w:tc>
        <w:tc>
          <w:tcPr>
            <w:tcW w:w="685"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711"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0.00</w:t>
            </w:r>
          </w:p>
        </w:tc>
        <w:tc>
          <w:tcPr>
            <w:tcW w:w="87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1.00</w:t>
            </w:r>
          </w:p>
        </w:tc>
        <w:tc>
          <w:tcPr>
            <w:tcW w:w="986" w:type="dxa"/>
            <w:tcBorders>
              <w:top w:val="nil"/>
              <w:left w:val="nil"/>
              <w:bottom w:val="nil"/>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1.00</w:t>
            </w:r>
          </w:p>
        </w:tc>
      </w:tr>
      <w:tr w:rsidR="00433126" w:rsidRPr="00433126" w:rsidTr="00433126">
        <w:trPr>
          <w:trHeight w:val="300"/>
        </w:trPr>
        <w:tc>
          <w:tcPr>
            <w:tcW w:w="2625" w:type="dxa"/>
            <w:tcBorders>
              <w:top w:val="nil"/>
              <w:left w:val="nil"/>
              <w:bottom w:val="single" w:sz="4" w:space="0" w:color="auto"/>
              <w:right w:val="nil"/>
            </w:tcBorders>
            <w:shd w:val="clear" w:color="auto" w:fill="auto"/>
            <w:noWrap/>
            <w:vAlign w:val="bottom"/>
            <w:hideMark/>
          </w:tcPr>
          <w:p w:rsidR="00433126" w:rsidRPr="00433126" w:rsidRDefault="00433126" w:rsidP="00433126">
            <w:pPr>
              <w:rPr>
                <w:color w:val="000000"/>
                <w:sz w:val="22"/>
                <w:szCs w:val="22"/>
              </w:rPr>
            </w:pPr>
            <w:r w:rsidRPr="00433126">
              <w:rPr>
                <w:color w:val="000000"/>
                <w:sz w:val="22"/>
                <w:szCs w:val="22"/>
              </w:rPr>
              <w:t>INST_OWN**</w:t>
            </w:r>
          </w:p>
        </w:tc>
        <w:tc>
          <w:tcPr>
            <w:tcW w:w="711" w:type="dxa"/>
            <w:tcBorders>
              <w:top w:val="nil"/>
              <w:left w:val="nil"/>
              <w:bottom w:val="single" w:sz="4" w:space="0" w:color="auto"/>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4,128</w:t>
            </w:r>
          </w:p>
        </w:tc>
        <w:tc>
          <w:tcPr>
            <w:tcW w:w="876" w:type="dxa"/>
            <w:tcBorders>
              <w:top w:val="nil"/>
              <w:left w:val="nil"/>
              <w:bottom w:val="single" w:sz="4" w:space="0" w:color="auto"/>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0.67</w:t>
            </w:r>
          </w:p>
        </w:tc>
        <w:tc>
          <w:tcPr>
            <w:tcW w:w="986" w:type="dxa"/>
            <w:tcBorders>
              <w:top w:val="nil"/>
              <w:left w:val="nil"/>
              <w:bottom w:val="single" w:sz="4" w:space="0" w:color="auto"/>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0.27</w:t>
            </w:r>
          </w:p>
        </w:tc>
        <w:tc>
          <w:tcPr>
            <w:tcW w:w="685" w:type="dxa"/>
            <w:tcBorders>
              <w:top w:val="nil"/>
              <w:left w:val="nil"/>
              <w:bottom w:val="single" w:sz="4" w:space="0" w:color="auto"/>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0.02</w:t>
            </w:r>
          </w:p>
        </w:tc>
        <w:tc>
          <w:tcPr>
            <w:tcW w:w="711" w:type="dxa"/>
            <w:tcBorders>
              <w:top w:val="nil"/>
              <w:left w:val="nil"/>
              <w:bottom w:val="single" w:sz="4" w:space="0" w:color="auto"/>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0.50</w:t>
            </w:r>
          </w:p>
        </w:tc>
        <w:tc>
          <w:tcPr>
            <w:tcW w:w="711" w:type="dxa"/>
            <w:tcBorders>
              <w:top w:val="nil"/>
              <w:left w:val="nil"/>
              <w:bottom w:val="single" w:sz="4" w:space="0" w:color="auto"/>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0.76</w:t>
            </w:r>
          </w:p>
        </w:tc>
        <w:tc>
          <w:tcPr>
            <w:tcW w:w="876" w:type="dxa"/>
            <w:tcBorders>
              <w:top w:val="nil"/>
              <w:left w:val="nil"/>
              <w:bottom w:val="single" w:sz="4" w:space="0" w:color="auto"/>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0.89</w:t>
            </w:r>
          </w:p>
        </w:tc>
        <w:tc>
          <w:tcPr>
            <w:tcW w:w="986" w:type="dxa"/>
            <w:tcBorders>
              <w:top w:val="nil"/>
              <w:left w:val="nil"/>
              <w:bottom w:val="single" w:sz="4" w:space="0" w:color="auto"/>
              <w:right w:val="nil"/>
            </w:tcBorders>
            <w:shd w:val="clear" w:color="auto" w:fill="auto"/>
            <w:noWrap/>
            <w:vAlign w:val="bottom"/>
            <w:hideMark/>
          </w:tcPr>
          <w:p w:rsidR="00433126" w:rsidRPr="00433126" w:rsidRDefault="00433126" w:rsidP="00433126">
            <w:pPr>
              <w:jc w:val="right"/>
              <w:rPr>
                <w:color w:val="000000"/>
                <w:sz w:val="22"/>
                <w:szCs w:val="22"/>
              </w:rPr>
            </w:pPr>
            <w:r w:rsidRPr="00433126">
              <w:rPr>
                <w:color w:val="000000"/>
                <w:sz w:val="22"/>
                <w:szCs w:val="22"/>
              </w:rPr>
              <w:t>1.00</w:t>
            </w:r>
          </w:p>
        </w:tc>
      </w:tr>
    </w:tbl>
    <w:p w:rsidR="00D61659" w:rsidRDefault="00D61659">
      <w:pPr>
        <w:rPr>
          <w:rFonts w:eastAsiaTheme="majorEastAsia" w:cstheme="majorBidi"/>
          <w:b/>
          <w:bCs/>
          <w:iCs/>
          <w:noProof/>
        </w:rPr>
      </w:pPr>
    </w:p>
    <w:p w:rsidR="00640169" w:rsidRDefault="00D61659" w:rsidP="00D61659">
      <w:pPr>
        <w:rPr>
          <w:rFonts w:eastAsiaTheme="majorEastAsia" w:cstheme="majorBidi"/>
          <w:bCs/>
          <w:iCs/>
          <w:noProof/>
          <w:sz w:val="20"/>
          <w:szCs w:val="20"/>
        </w:rPr>
      </w:pPr>
      <w:r w:rsidRPr="00C50F3A">
        <w:rPr>
          <w:rFonts w:eastAsiaTheme="majorEastAsia" w:cstheme="majorBidi"/>
          <w:bCs/>
          <w:iCs/>
          <w:noProof/>
          <w:sz w:val="20"/>
          <w:szCs w:val="20"/>
        </w:rPr>
        <w:t>All variables are defined in Appendix A. All continuous variables are winsorized at one and ninety-nine percent. TAXRISK, FOREIGN_INCOME, NOL and LT_DEBT are scaled by assets. Note that</w:t>
      </w:r>
      <w:r w:rsidR="00E812C7" w:rsidRPr="00C50F3A">
        <w:rPr>
          <w:rFonts w:eastAsiaTheme="majorEastAsia" w:cstheme="majorBidi"/>
          <w:bCs/>
          <w:iCs/>
          <w:noProof/>
          <w:sz w:val="20"/>
          <w:szCs w:val="20"/>
        </w:rPr>
        <w:t xml:space="preserve"> </w:t>
      </w:r>
      <w:r w:rsidRPr="00C50F3A">
        <w:rPr>
          <w:rFonts w:eastAsiaTheme="majorEastAsia" w:cstheme="majorBidi"/>
          <w:bCs/>
          <w:iCs/>
          <w:noProof/>
          <w:sz w:val="20"/>
          <w:szCs w:val="20"/>
        </w:rPr>
        <w:t>CEO_CHAIRMAN is coded as a 0 if the CEO is also the chairman of the board in order to make it</w:t>
      </w:r>
      <w:r w:rsidR="00E812C7" w:rsidRPr="00C50F3A">
        <w:rPr>
          <w:rFonts w:eastAsiaTheme="majorEastAsia" w:cstheme="majorBidi"/>
          <w:bCs/>
          <w:iCs/>
          <w:noProof/>
          <w:sz w:val="20"/>
          <w:szCs w:val="20"/>
        </w:rPr>
        <w:t xml:space="preserve"> </w:t>
      </w:r>
      <w:r w:rsidRPr="00C50F3A">
        <w:rPr>
          <w:rFonts w:eastAsiaTheme="majorEastAsia" w:cstheme="majorBidi"/>
          <w:bCs/>
          <w:iCs/>
          <w:noProof/>
          <w:sz w:val="20"/>
          <w:szCs w:val="20"/>
        </w:rPr>
        <w:t xml:space="preserve">consistent with INST_OWN where better governance is represented by a 1 rather than a 0. </w:t>
      </w:r>
    </w:p>
    <w:p w:rsidR="00E812C7" w:rsidRPr="00C50F3A" w:rsidRDefault="00D61659" w:rsidP="00D61659">
      <w:pPr>
        <w:rPr>
          <w:rFonts w:eastAsiaTheme="majorEastAsia" w:cstheme="majorBidi"/>
          <w:bCs/>
          <w:iCs/>
          <w:noProof/>
          <w:sz w:val="20"/>
          <w:szCs w:val="20"/>
        </w:rPr>
      </w:pPr>
      <w:r w:rsidRPr="00C50F3A">
        <w:rPr>
          <w:rFonts w:eastAsiaTheme="majorEastAsia" w:cstheme="majorBidi"/>
          <w:bCs/>
          <w:iCs/>
          <w:noProof/>
          <w:sz w:val="20"/>
          <w:szCs w:val="20"/>
        </w:rPr>
        <w:t>*TAXRISK is the ending tax reserve balance scaled by to</w:t>
      </w:r>
      <w:r w:rsidR="00E812C7" w:rsidRPr="00C50F3A">
        <w:rPr>
          <w:rFonts w:eastAsiaTheme="majorEastAsia" w:cstheme="majorBidi"/>
          <w:bCs/>
          <w:iCs/>
          <w:noProof/>
          <w:sz w:val="20"/>
          <w:szCs w:val="20"/>
        </w:rPr>
        <w:t>tal assets and multipled by 100.</w:t>
      </w:r>
    </w:p>
    <w:p w:rsidR="00D61659" w:rsidRPr="00C50F3A" w:rsidRDefault="00D61659" w:rsidP="00D61659">
      <w:pPr>
        <w:rPr>
          <w:rFonts w:eastAsiaTheme="majorEastAsia" w:cstheme="majorBidi"/>
          <w:bCs/>
          <w:iCs/>
          <w:noProof/>
          <w:sz w:val="20"/>
          <w:szCs w:val="20"/>
        </w:rPr>
        <w:sectPr w:rsidR="00D61659" w:rsidRPr="00C50F3A" w:rsidSect="00CC5AB2">
          <w:pgSz w:w="12240" w:h="15840" w:code="1"/>
          <w:pgMar w:top="1440" w:right="1440" w:bottom="1872" w:left="1800" w:header="720" w:footer="1440" w:gutter="0"/>
          <w:pgNumType w:start="1"/>
          <w:cols w:space="720"/>
          <w:noEndnote/>
          <w:docGrid w:linePitch="360"/>
        </w:sectPr>
      </w:pPr>
      <w:r w:rsidRPr="00C50F3A">
        <w:rPr>
          <w:rFonts w:eastAsiaTheme="majorEastAsia" w:cstheme="majorBidi"/>
          <w:bCs/>
          <w:iCs/>
          <w:noProof/>
          <w:sz w:val="20"/>
          <w:szCs w:val="20"/>
        </w:rPr>
        <w:t>**This is the continuous version of the variable. For regression analysis, INST_OWN is coded as 1 if the</w:t>
      </w:r>
      <w:r w:rsidR="00E812C7" w:rsidRPr="00C50F3A">
        <w:rPr>
          <w:rFonts w:eastAsiaTheme="majorEastAsia" w:cstheme="majorBidi"/>
          <w:bCs/>
          <w:iCs/>
          <w:noProof/>
          <w:sz w:val="20"/>
          <w:szCs w:val="20"/>
        </w:rPr>
        <w:t xml:space="preserve"> </w:t>
      </w:r>
      <w:r w:rsidRPr="00C50F3A">
        <w:rPr>
          <w:rFonts w:eastAsiaTheme="majorEastAsia" w:cstheme="majorBidi"/>
          <w:bCs/>
          <w:iCs/>
          <w:noProof/>
          <w:sz w:val="20"/>
          <w:szCs w:val="20"/>
        </w:rPr>
        <w:t>value is above the mean for the sample and 0 otherwise.</w:t>
      </w:r>
    </w:p>
    <w:p w:rsidR="001D7807" w:rsidRDefault="001D7807" w:rsidP="00B156A4">
      <w:pPr>
        <w:pStyle w:val="Heading4"/>
        <w:rPr>
          <w:noProof/>
        </w:rPr>
      </w:pPr>
      <w:bookmarkStart w:id="49" w:name="_Toc321418230"/>
      <w:r>
        <w:rPr>
          <w:noProof/>
        </w:rPr>
        <w:lastRenderedPageBreak/>
        <w:t>Table 2: Spearman and Pearson Correlations</w:t>
      </w:r>
      <w:bookmarkEnd w:id="49"/>
    </w:p>
    <w:tbl>
      <w:tblPr>
        <w:tblW w:w="12759" w:type="dxa"/>
        <w:tblInd w:w="93" w:type="dxa"/>
        <w:tblLook w:val="04A0"/>
      </w:tblPr>
      <w:tblGrid>
        <w:gridCol w:w="1132"/>
        <w:gridCol w:w="1114"/>
        <w:gridCol w:w="946"/>
        <w:gridCol w:w="1105"/>
        <w:gridCol w:w="1043"/>
        <w:gridCol w:w="748"/>
        <w:gridCol w:w="946"/>
        <w:gridCol w:w="972"/>
        <w:gridCol w:w="735"/>
        <w:gridCol w:w="1026"/>
        <w:gridCol w:w="868"/>
        <w:gridCol w:w="1223"/>
        <w:gridCol w:w="901"/>
      </w:tblGrid>
      <w:tr w:rsidR="001E6D46" w:rsidRPr="001E6D46" w:rsidTr="00446C3B">
        <w:trPr>
          <w:trHeight w:val="315"/>
        </w:trPr>
        <w:tc>
          <w:tcPr>
            <w:tcW w:w="12759" w:type="dxa"/>
            <w:gridSpan w:val="13"/>
            <w:tcBorders>
              <w:top w:val="single" w:sz="4" w:space="0" w:color="auto"/>
              <w:left w:val="single" w:sz="4" w:space="0" w:color="auto"/>
              <w:right w:val="single" w:sz="4" w:space="0" w:color="000000"/>
            </w:tcBorders>
            <w:shd w:val="clear" w:color="auto" w:fill="auto"/>
            <w:noWrap/>
            <w:vAlign w:val="bottom"/>
            <w:hideMark/>
          </w:tcPr>
          <w:p w:rsidR="001E6D46" w:rsidRPr="00F54348" w:rsidRDefault="001E6D46" w:rsidP="001E6D46">
            <w:pPr>
              <w:jc w:val="center"/>
              <w:rPr>
                <w:b/>
                <w:color w:val="000000"/>
              </w:rPr>
            </w:pPr>
            <w:r w:rsidRPr="00F54348">
              <w:rPr>
                <w:b/>
                <w:color w:val="000000"/>
              </w:rPr>
              <w:t>Panel A: Correlation Matrix for Firm Value Regressions (H1 and H3a)</w:t>
            </w:r>
          </w:p>
        </w:tc>
      </w:tr>
      <w:tr w:rsidR="001E6D46" w:rsidRPr="001E6D46" w:rsidTr="00446C3B">
        <w:trPr>
          <w:trHeight w:val="300"/>
        </w:trPr>
        <w:tc>
          <w:tcPr>
            <w:tcW w:w="12759" w:type="dxa"/>
            <w:gridSpan w:val="13"/>
            <w:tcBorders>
              <w:top w:val="nil"/>
              <w:left w:val="single" w:sz="4" w:space="0" w:color="auto"/>
              <w:bottom w:val="single" w:sz="4" w:space="0" w:color="auto"/>
              <w:right w:val="single" w:sz="4" w:space="0" w:color="000000"/>
            </w:tcBorders>
            <w:shd w:val="clear" w:color="auto" w:fill="auto"/>
            <w:noWrap/>
            <w:vAlign w:val="bottom"/>
            <w:hideMark/>
          </w:tcPr>
          <w:p w:rsidR="001E6D46" w:rsidRPr="001E6D46" w:rsidRDefault="001E6D46" w:rsidP="001E6D46">
            <w:pPr>
              <w:jc w:val="center"/>
              <w:rPr>
                <w:color w:val="000000"/>
                <w:sz w:val="20"/>
                <w:szCs w:val="20"/>
              </w:rPr>
            </w:pPr>
            <w:r w:rsidRPr="001E6D46">
              <w:rPr>
                <w:color w:val="000000"/>
                <w:sz w:val="20"/>
                <w:szCs w:val="20"/>
              </w:rPr>
              <w:t>Spearman below \ Pearson above</w:t>
            </w:r>
            <w:r w:rsidR="00446C3B">
              <w:rPr>
                <w:color w:val="000000"/>
                <w:sz w:val="20"/>
                <w:szCs w:val="20"/>
              </w:rPr>
              <w:t xml:space="preserve"> (</w:t>
            </w:r>
            <w:r w:rsidR="00446C3B" w:rsidRPr="001E6D46">
              <w:rPr>
                <w:color w:val="000000"/>
                <w:sz w:val="20"/>
                <w:szCs w:val="20"/>
              </w:rPr>
              <w:t>p-values shown below correlation coefficient</w:t>
            </w:r>
            <w:r w:rsidR="00446C3B">
              <w:rPr>
                <w:color w:val="000000"/>
                <w:sz w:val="20"/>
                <w:szCs w:val="20"/>
              </w:rPr>
              <w:t>)</w:t>
            </w:r>
          </w:p>
        </w:tc>
      </w:tr>
      <w:tr w:rsidR="001E6D46" w:rsidRPr="001E6D46" w:rsidTr="00446C3B">
        <w:trPr>
          <w:trHeight w:val="675"/>
        </w:trPr>
        <w:tc>
          <w:tcPr>
            <w:tcW w:w="1132" w:type="dxa"/>
            <w:tcBorders>
              <w:top w:val="single" w:sz="4" w:space="0" w:color="auto"/>
              <w:left w:val="single" w:sz="4" w:space="0" w:color="auto"/>
              <w:bottom w:val="single" w:sz="4" w:space="0" w:color="auto"/>
              <w:right w:val="nil"/>
            </w:tcBorders>
            <w:shd w:val="clear" w:color="auto" w:fill="auto"/>
            <w:hideMark/>
          </w:tcPr>
          <w:p w:rsidR="001E6D46" w:rsidRPr="001E6D46" w:rsidRDefault="001E6D46" w:rsidP="001E6D46">
            <w:pPr>
              <w:rPr>
                <w:b/>
                <w:bCs/>
                <w:color w:val="002288"/>
                <w:sz w:val="20"/>
                <w:szCs w:val="20"/>
              </w:rPr>
            </w:pPr>
            <w:r w:rsidRPr="001E6D46">
              <w:rPr>
                <w:b/>
                <w:bCs/>
                <w:color w:val="002288"/>
                <w:sz w:val="20"/>
                <w:szCs w:val="20"/>
              </w:rPr>
              <w:t> </w:t>
            </w:r>
          </w:p>
        </w:tc>
        <w:tc>
          <w:tcPr>
            <w:tcW w:w="1114" w:type="dxa"/>
            <w:tcBorders>
              <w:top w:val="single" w:sz="4" w:space="0" w:color="auto"/>
              <w:left w:val="nil"/>
              <w:bottom w:val="single" w:sz="4" w:space="0" w:color="auto"/>
              <w:right w:val="nil"/>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LOG_MKT_</w:t>
            </w:r>
            <w:r w:rsidRPr="001E6D46">
              <w:rPr>
                <w:b/>
                <w:bCs/>
                <w:sz w:val="16"/>
                <w:szCs w:val="16"/>
              </w:rPr>
              <w:br/>
              <w:t>VALUE</w:t>
            </w:r>
          </w:p>
        </w:tc>
        <w:tc>
          <w:tcPr>
            <w:tcW w:w="946" w:type="dxa"/>
            <w:tcBorders>
              <w:top w:val="single" w:sz="4" w:space="0" w:color="auto"/>
              <w:left w:val="nil"/>
              <w:bottom w:val="single" w:sz="4" w:space="0" w:color="auto"/>
              <w:right w:val="nil"/>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TAXRISK</w:t>
            </w:r>
          </w:p>
        </w:tc>
        <w:tc>
          <w:tcPr>
            <w:tcW w:w="1105" w:type="dxa"/>
            <w:tcBorders>
              <w:top w:val="single" w:sz="4" w:space="0" w:color="auto"/>
              <w:left w:val="nil"/>
              <w:bottom w:val="single" w:sz="4" w:space="0" w:color="auto"/>
              <w:right w:val="nil"/>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DISCR_ ACCRUALS</w:t>
            </w:r>
          </w:p>
        </w:tc>
        <w:tc>
          <w:tcPr>
            <w:tcW w:w="1043" w:type="dxa"/>
            <w:tcBorders>
              <w:top w:val="single" w:sz="4" w:space="0" w:color="auto"/>
              <w:left w:val="nil"/>
              <w:bottom w:val="single" w:sz="4" w:space="0" w:color="auto"/>
              <w:right w:val="nil"/>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FOREIGN_ INCOME</w:t>
            </w:r>
          </w:p>
        </w:tc>
        <w:tc>
          <w:tcPr>
            <w:tcW w:w="748" w:type="dxa"/>
            <w:tcBorders>
              <w:top w:val="single" w:sz="4" w:space="0" w:color="auto"/>
              <w:left w:val="nil"/>
              <w:bottom w:val="single" w:sz="4" w:space="0" w:color="auto"/>
              <w:right w:val="nil"/>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NOL</w:t>
            </w:r>
          </w:p>
        </w:tc>
        <w:tc>
          <w:tcPr>
            <w:tcW w:w="946" w:type="dxa"/>
            <w:tcBorders>
              <w:top w:val="single" w:sz="4" w:space="0" w:color="auto"/>
              <w:left w:val="nil"/>
              <w:bottom w:val="single" w:sz="4" w:space="0" w:color="auto"/>
              <w:right w:val="nil"/>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LT_DEBT</w:t>
            </w:r>
          </w:p>
        </w:tc>
        <w:tc>
          <w:tcPr>
            <w:tcW w:w="972" w:type="dxa"/>
            <w:tcBorders>
              <w:top w:val="single" w:sz="4" w:space="0" w:color="auto"/>
              <w:left w:val="nil"/>
              <w:bottom w:val="single" w:sz="4" w:space="0" w:color="auto"/>
              <w:right w:val="nil"/>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SALES_ GROWTH</w:t>
            </w:r>
          </w:p>
        </w:tc>
        <w:tc>
          <w:tcPr>
            <w:tcW w:w="735" w:type="dxa"/>
            <w:tcBorders>
              <w:top w:val="single" w:sz="4" w:space="0" w:color="auto"/>
              <w:left w:val="nil"/>
              <w:bottom w:val="single" w:sz="4" w:space="0" w:color="auto"/>
              <w:right w:val="nil"/>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LOSS</w:t>
            </w:r>
          </w:p>
        </w:tc>
        <w:tc>
          <w:tcPr>
            <w:tcW w:w="1026" w:type="dxa"/>
            <w:tcBorders>
              <w:top w:val="single" w:sz="4" w:space="0" w:color="auto"/>
              <w:left w:val="nil"/>
              <w:bottom w:val="single" w:sz="4" w:space="0" w:color="auto"/>
              <w:right w:val="nil"/>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STD_DEV_ RETURNS</w:t>
            </w:r>
          </w:p>
        </w:tc>
        <w:tc>
          <w:tcPr>
            <w:tcW w:w="868" w:type="dxa"/>
            <w:tcBorders>
              <w:top w:val="single" w:sz="4" w:space="0" w:color="auto"/>
              <w:left w:val="nil"/>
              <w:bottom w:val="single" w:sz="4" w:space="0" w:color="auto"/>
              <w:right w:val="nil"/>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LOG_</w:t>
            </w:r>
            <w:r w:rsidRPr="001E6D46">
              <w:rPr>
                <w:b/>
                <w:bCs/>
                <w:sz w:val="16"/>
                <w:szCs w:val="16"/>
              </w:rPr>
              <w:br/>
              <w:t>AGE</w:t>
            </w:r>
          </w:p>
        </w:tc>
        <w:tc>
          <w:tcPr>
            <w:tcW w:w="1223" w:type="dxa"/>
            <w:tcBorders>
              <w:top w:val="single" w:sz="4" w:space="0" w:color="auto"/>
              <w:left w:val="nil"/>
              <w:bottom w:val="single" w:sz="4" w:space="0" w:color="auto"/>
              <w:right w:val="nil"/>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CEO_ CHAIRMAN</w:t>
            </w:r>
          </w:p>
        </w:tc>
        <w:tc>
          <w:tcPr>
            <w:tcW w:w="901" w:type="dxa"/>
            <w:tcBorders>
              <w:top w:val="single" w:sz="4" w:space="0" w:color="auto"/>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b/>
                <w:bCs/>
                <w:sz w:val="16"/>
                <w:szCs w:val="16"/>
              </w:rPr>
            </w:pPr>
            <w:r w:rsidRPr="001E6D46">
              <w:rPr>
                <w:b/>
                <w:bCs/>
                <w:sz w:val="16"/>
                <w:szCs w:val="16"/>
              </w:rPr>
              <w:t>INST_</w:t>
            </w:r>
            <w:r w:rsidRPr="001E6D46">
              <w:rPr>
                <w:b/>
                <w:bCs/>
                <w:sz w:val="16"/>
                <w:szCs w:val="16"/>
              </w:rPr>
              <w:br/>
              <w:t>OWN</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LOG_MKT_</w:t>
            </w:r>
            <w:r w:rsidRPr="001E6D46">
              <w:rPr>
                <w:b/>
                <w:bCs/>
                <w:color w:val="000000"/>
                <w:sz w:val="16"/>
                <w:szCs w:val="16"/>
              </w:rPr>
              <w:br/>
              <w:t>VALUE</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0.039</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-0.124</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0.250</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-0.237</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0.112</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0.031</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-0.403</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-0.487</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0.251</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-0.226</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0.491</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0.013</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0.044</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TAXRISK</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0.212</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-0.024</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0.184</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0.263</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-0.163</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-0.060</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0.127</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0.026</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-0.003</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0.026</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0.033</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0.125</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0.000</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0.094</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0.824</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0.247</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0.032</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DISCR_</w:t>
            </w:r>
            <w:r w:rsidRPr="001E6D46">
              <w:rPr>
                <w:b/>
                <w:bCs/>
                <w:color w:val="000000"/>
                <w:sz w:val="16"/>
                <w:szCs w:val="16"/>
              </w:rPr>
              <w:br/>
              <w:t>ACCRUALS</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-0.120</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-0.081</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-0.045</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0.094</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-0.006</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-0.057</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-0.034</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0.090</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0.055</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-0.061</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-0.180</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0.004</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0.683</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0.000</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0.029</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0.000</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0.006</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FOREIGN_</w:t>
            </w:r>
            <w:r w:rsidRPr="001E6D46">
              <w:rPr>
                <w:b/>
                <w:bCs/>
                <w:color w:val="000000"/>
                <w:sz w:val="16"/>
                <w:szCs w:val="16"/>
              </w:rPr>
              <w:br/>
              <w:t>INCOME</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0.313</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0.333</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-0.038</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-0.032</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-0.062</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0.020</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-0.094</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-0.083</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0.121</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-0.058</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0.073</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0.014</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0.040</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0.202</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0.010</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NOL</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-0.115</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0.096</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0.036</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0.076</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-0.105</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0.095</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0.270</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0.263</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-0.095</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0.073</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-0.193</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0.021</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0.001</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LT_DEBT</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0.186</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-0.108</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0.003</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-0.026</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0.013</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-0.012</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0.043</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0.007</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0.010</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-0.073</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0.065</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0.869</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0.096</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0.395</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0.452</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0.006</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0.674</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0.537</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0.001</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SALES_</w:t>
            </w:r>
            <w:r w:rsidRPr="001E6D46">
              <w:rPr>
                <w:b/>
                <w:bCs/>
                <w:color w:val="000000"/>
                <w:sz w:val="16"/>
                <w:szCs w:val="16"/>
              </w:rPr>
              <w:br/>
              <w:t>GROWTH</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0.130</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-0.084</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-0.127</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0.014</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-0.017</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-0.030</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-0.027</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0.082</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-0.230</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-0.017</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-0.028</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0.373</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0.272</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0.058</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0.086</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0.436</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0.076</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LOSS</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-0.405</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0.018</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-0.027</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-0.116</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0.193</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0.008</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-0.175</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0.360</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-0.144</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0.066</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-0.224</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0.257</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0.078</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0.622</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0.003</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STD_DEV_</w:t>
            </w:r>
            <w:r w:rsidRPr="001E6D46">
              <w:rPr>
                <w:b/>
                <w:bCs/>
                <w:color w:val="000000"/>
                <w:sz w:val="16"/>
                <w:szCs w:val="16"/>
              </w:rPr>
              <w:br/>
              <w:t>RETURNS</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-0.493</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-0.113</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0.068</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-0.151</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0.199</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-0.053</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-0.038</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0.368</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-0.347</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0.100</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-0.302</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0.001</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0.014</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LOG_</w:t>
            </w:r>
            <w:r w:rsidRPr="001E6D46">
              <w:rPr>
                <w:b/>
                <w:bCs/>
                <w:color w:val="000000"/>
                <w:sz w:val="16"/>
                <w:szCs w:val="16"/>
              </w:rPr>
              <w:br/>
              <w:t>AGE</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0.238</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0.085</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0.069</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0.172</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-0.082</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0.078</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-0.233</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-0.145</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-0.340</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-0.112</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0.085</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CEO_</w:t>
            </w:r>
            <w:r w:rsidRPr="001E6D46">
              <w:rPr>
                <w:b/>
                <w:bCs/>
                <w:color w:val="000000"/>
                <w:sz w:val="16"/>
                <w:szCs w:val="16"/>
              </w:rPr>
              <w:br/>
              <w:t>CHAIRMAN</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-0.223</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-0.031</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-0.059</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-0.058</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0.049</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-0.090</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-0.034</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0.066</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0.103</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-0.119</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-0.051</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0.164</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0.008</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0.009</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0.028</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0.127</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0.003</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0.022</w:t>
            </w:r>
          </w:p>
        </w:tc>
      </w:tr>
      <w:tr w:rsidR="001E6D46" w:rsidRPr="001E6D46" w:rsidTr="00446C3B">
        <w:trPr>
          <w:trHeight w:val="300"/>
        </w:trPr>
        <w:tc>
          <w:tcPr>
            <w:tcW w:w="1132" w:type="dxa"/>
            <w:vMerge w:val="restart"/>
            <w:tcBorders>
              <w:top w:val="nil"/>
              <w:left w:val="single" w:sz="4" w:space="0" w:color="auto"/>
              <w:bottom w:val="single" w:sz="4" w:space="0" w:color="000000"/>
              <w:right w:val="nil"/>
            </w:tcBorders>
            <w:shd w:val="clear" w:color="auto" w:fill="auto"/>
            <w:vAlign w:val="center"/>
            <w:hideMark/>
          </w:tcPr>
          <w:p w:rsidR="001E6D46" w:rsidRPr="001E6D46" w:rsidRDefault="001E6D46" w:rsidP="001E6D46">
            <w:pPr>
              <w:rPr>
                <w:b/>
                <w:bCs/>
                <w:color w:val="000000"/>
                <w:sz w:val="16"/>
                <w:szCs w:val="16"/>
              </w:rPr>
            </w:pPr>
            <w:r w:rsidRPr="001E6D46">
              <w:rPr>
                <w:b/>
                <w:bCs/>
                <w:color w:val="000000"/>
                <w:sz w:val="16"/>
                <w:szCs w:val="16"/>
              </w:rPr>
              <w:t>INST_</w:t>
            </w:r>
            <w:r w:rsidRPr="001E6D46">
              <w:rPr>
                <w:b/>
                <w:bCs/>
                <w:color w:val="000000"/>
                <w:sz w:val="16"/>
                <w:szCs w:val="16"/>
              </w:rPr>
              <w:br/>
              <w:t>OWN</w:t>
            </w:r>
          </w:p>
        </w:tc>
        <w:tc>
          <w:tcPr>
            <w:tcW w:w="1114"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0.520</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0.153</w:t>
            </w:r>
          </w:p>
        </w:tc>
        <w:tc>
          <w:tcPr>
            <w:tcW w:w="110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-0.180</w:t>
            </w:r>
          </w:p>
        </w:tc>
        <w:tc>
          <w:tcPr>
            <w:tcW w:w="104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0.160</w:t>
            </w:r>
          </w:p>
        </w:tc>
        <w:tc>
          <w:tcPr>
            <w:tcW w:w="74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-0.064</w:t>
            </w:r>
          </w:p>
        </w:tc>
        <w:tc>
          <w:tcPr>
            <w:tcW w:w="94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0.106</w:t>
            </w:r>
          </w:p>
        </w:tc>
        <w:tc>
          <w:tcPr>
            <w:tcW w:w="972"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0.054</w:t>
            </w:r>
          </w:p>
        </w:tc>
        <w:tc>
          <w:tcPr>
            <w:tcW w:w="735"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-0.224</w:t>
            </w:r>
          </w:p>
        </w:tc>
        <w:tc>
          <w:tcPr>
            <w:tcW w:w="1026"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-0.297</w:t>
            </w:r>
          </w:p>
        </w:tc>
        <w:tc>
          <w:tcPr>
            <w:tcW w:w="868"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0.083</w:t>
            </w:r>
          </w:p>
        </w:tc>
        <w:tc>
          <w:tcPr>
            <w:tcW w:w="1223" w:type="dxa"/>
            <w:tcBorders>
              <w:top w:val="nil"/>
              <w:left w:val="nil"/>
              <w:bottom w:val="nil"/>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-0.053</w:t>
            </w:r>
          </w:p>
        </w:tc>
        <w:tc>
          <w:tcPr>
            <w:tcW w:w="901" w:type="dxa"/>
            <w:tcBorders>
              <w:top w:val="nil"/>
              <w:left w:val="nil"/>
              <w:bottom w:val="nil"/>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1.000</w:t>
            </w:r>
          </w:p>
        </w:tc>
      </w:tr>
      <w:tr w:rsidR="001E6D46" w:rsidRPr="001E6D46" w:rsidTr="00446C3B">
        <w:trPr>
          <w:trHeight w:val="300"/>
        </w:trPr>
        <w:tc>
          <w:tcPr>
            <w:tcW w:w="1132" w:type="dxa"/>
            <w:vMerge/>
            <w:tcBorders>
              <w:top w:val="nil"/>
              <w:left w:val="single" w:sz="4" w:space="0" w:color="auto"/>
              <w:bottom w:val="single" w:sz="4" w:space="0" w:color="000000"/>
              <w:right w:val="nil"/>
            </w:tcBorders>
            <w:vAlign w:val="center"/>
            <w:hideMark/>
          </w:tcPr>
          <w:p w:rsidR="001E6D46" w:rsidRPr="001E6D46" w:rsidRDefault="001E6D46" w:rsidP="001E6D46">
            <w:pPr>
              <w:rPr>
                <w:b/>
                <w:bCs/>
                <w:color w:val="000000"/>
                <w:sz w:val="16"/>
                <w:szCs w:val="16"/>
              </w:rPr>
            </w:pPr>
          </w:p>
        </w:tc>
        <w:tc>
          <w:tcPr>
            <w:tcW w:w="1114"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10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4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74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4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972"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0.001</w:t>
            </w:r>
          </w:p>
        </w:tc>
        <w:tc>
          <w:tcPr>
            <w:tcW w:w="735"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026"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868"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&lt;.001</w:t>
            </w:r>
          </w:p>
        </w:tc>
        <w:tc>
          <w:tcPr>
            <w:tcW w:w="1223" w:type="dxa"/>
            <w:tcBorders>
              <w:top w:val="nil"/>
              <w:left w:val="nil"/>
              <w:bottom w:val="single" w:sz="4" w:space="0" w:color="auto"/>
              <w:right w:val="nil"/>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0.017</w:t>
            </w:r>
          </w:p>
        </w:tc>
        <w:tc>
          <w:tcPr>
            <w:tcW w:w="901" w:type="dxa"/>
            <w:tcBorders>
              <w:top w:val="nil"/>
              <w:left w:val="nil"/>
              <w:bottom w:val="single" w:sz="4" w:space="0" w:color="auto"/>
              <w:right w:val="single" w:sz="4" w:space="0" w:color="auto"/>
            </w:tcBorders>
            <w:shd w:val="clear" w:color="auto" w:fill="auto"/>
            <w:vAlign w:val="center"/>
            <w:hideMark/>
          </w:tcPr>
          <w:p w:rsidR="001E6D46" w:rsidRPr="001E6D46" w:rsidRDefault="001E6D46" w:rsidP="001E6D46">
            <w:pPr>
              <w:jc w:val="center"/>
              <w:rPr>
                <w:color w:val="000000"/>
                <w:sz w:val="20"/>
                <w:szCs w:val="20"/>
              </w:rPr>
            </w:pPr>
            <w:r w:rsidRPr="001E6D46">
              <w:rPr>
                <w:color w:val="000000"/>
                <w:sz w:val="20"/>
                <w:szCs w:val="20"/>
              </w:rPr>
              <w:t> </w:t>
            </w:r>
          </w:p>
        </w:tc>
      </w:tr>
    </w:tbl>
    <w:p w:rsidR="0069521D" w:rsidRDefault="006F680A" w:rsidP="006F680A">
      <w:pPr>
        <w:jc w:val="center"/>
        <w:rPr>
          <w:b/>
          <w:noProof/>
        </w:rPr>
      </w:pPr>
      <w:r w:rsidRPr="006F680A">
        <w:rPr>
          <w:b/>
          <w:noProof/>
        </w:rPr>
        <w:lastRenderedPageBreak/>
        <w:t>Table 2: Continued</w:t>
      </w:r>
    </w:p>
    <w:tbl>
      <w:tblPr>
        <w:tblW w:w="13340" w:type="dxa"/>
        <w:tblInd w:w="93" w:type="dxa"/>
        <w:tblLook w:val="04A0"/>
      </w:tblPr>
      <w:tblGrid>
        <w:gridCol w:w="1808"/>
        <w:gridCol w:w="1160"/>
        <w:gridCol w:w="1160"/>
        <w:gridCol w:w="1122"/>
        <w:gridCol w:w="1195"/>
        <w:gridCol w:w="1160"/>
        <w:gridCol w:w="1160"/>
        <w:gridCol w:w="1160"/>
        <w:gridCol w:w="1239"/>
        <w:gridCol w:w="1160"/>
        <w:gridCol w:w="1016"/>
      </w:tblGrid>
      <w:tr w:rsidR="00712883" w:rsidRPr="00712883" w:rsidTr="00712883">
        <w:trPr>
          <w:trHeight w:val="315"/>
        </w:trPr>
        <w:tc>
          <w:tcPr>
            <w:tcW w:w="13340" w:type="dxa"/>
            <w:gridSpan w:val="11"/>
            <w:tcBorders>
              <w:top w:val="single" w:sz="4" w:space="0" w:color="auto"/>
              <w:left w:val="single" w:sz="4" w:space="0" w:color="auto"/>
              <w:bottom w:val="nil"/>
              <w:right w:val="single" w:sz="4" w:space="0" w:color="000000"/>
            </w:tcBorders>
            <w:shd w:val="clear" w:color="auto" w:fill="auto"/>
            <w:noWrap/>
            <w:vAlign w:val="bottom"/>
            <w:hideMark/>
          </w:tcPr>
          <w:p w:rsidR="00712883" w:rsidRPr="00F54348" w:rsidRDefault="00712883" w:rsidP="00712883">
            <w:pPr>
              <w:jc w:val="center"/>
              <w:rPr>
                <w:b/>
                <w:color w:val="000000"/>
              </w:rPr>
            </w:pPr>
            <w:r w:rsidRPr="00F54348">
              <w:rPr>
                <w:b/>
                <w:color w:val="000000"/>
              </w:rPr>
              <w:t>Panel B: Correlation Matrix for Cost of Capital Regressions (H2 and H3b)</w:t>
            </w:r>
          </w:p>
        </w:tc>
      </w:tr>
      <w:tr w:rsidR="00712883" w:rsidRPr="00712883" w:rsidTr="00712883">
        <w:trPr>
          <w:trHeight w:val="300"/>
        </w:trPr>
        <w:tc>
          <w:tcPr>
            <w:tcW w:w="13340" w:type="dxa"/>
            <w:gridSpan w:val="11"/>
            <w:tcBorders>
              <w:top w:val="nil"/>
              <w:left w:val="single" w:sz="4" w:space="0" w:color="auto"/>
              <w:bottom w:val="single" w:sz="4" w:space="0" w:color="auto"/>
              <w:right w:val="single" w:sz="4" w:space="0" w:color="000000"/>
            </w:tcBorders>
            <w:shd w:val="clear" w:color="auto" w:fill="auto"/>
            <w:noWrap/>
            <w:vAlign w:val="bottom"/>
            <w:hideMark/>
          </w:tcPr>
          <w:p w:rsidR="00712883" w:rsidRPr="00712883" w:rsidRDefault="00712883" w:rsidP="00712883">
            <w:pPr>
              <w:jc w:val="center"/>
              <w:rPr>
                <w:color w:val="000000"/>
                <w:sz w:val="20"/>
                <w:szCs w:val="20"/>
              </w:rPr>
            </w:pPr>
            <w:r w:rsidRPr="00712883">
              <w:rPr>
                <w:color w:val="000000"/>
                <w:sz w:val="20"/>
                <w:szCs w:val="20"/>
              </w:rPr>
              <w:t>Spearman below \ Pearson above (p-values shown below correlation coefficient)</w:t>
            </w:r>
          </w:p>
        </w:tc>
      </w:tr>
      <w:tr w:rsidR="00712883" w:rsidRPr="00712883" w:rsidTr="00712883">
        <w:trPr>
          <w:trHeight w:val="690"/>
        </w:trPr>
        <w:tc>
          <w:tcPr>
            <w:tcW w:w="1740" w:type="dxa"/>
            <w:tcBorders>
              <w:top w:val="nil"/>
              <w:left w:val="single" w:sz="4" w:space="0" w:color="auto"/>
              <w:bottom w:val="nil"/>
              <w:right w:val="nil"/>
            </w:tcBorders>
            <w:shd w:val="clear" w:color="auto" w:fill="auto"/>
            <w:hideMark/>
          </w:tcPr>
          <w:p w:rsidR="00712883" w:rsidRPr="00712883" w:rsidRDefault="00712883" w:rsidP="00712883">
            <w:pPr>
              <w:rPr>
                <w:b/>
                <w:bCs/>
                <w:color w:val="002288"/>
                <w:sz w:val="20"/>
                <w:szCs w:val="20"/>
              </w:rPr>
            </w:pPr>
            <w:r w:rsidRPr="00712883">
              <w:rPr>
                <w:b/>
                <w:bCs/>
                <w:color w:val="002288"/>
                <w:sz w:val="20"/>
                <w:szCs w:val="20"/>
              </w:rPr>
              <w:t> </w:t>
            </w:r>
          </w:p>
        </w:tc>
        <w:tc>
          <w:tcPr>
            <w:tcW w:w="1160" w:type="dxa"/>
            <w:tcBorders>
              <w:top w:val="nil"/>
              <w:left w:val="nil"/>
              <w:bottom w:val="nil"/>
              <w:right w:val="nil"/>
            </w:tcBorders>
            <w:shd w:val="clear" w:color="auto" w:fill="auto"/>
            <w:vAlign w:val="center"/>
            <w:hideMark/>
          </w:tcPr>
          <w:p w:rsidR="00712883" w:rsidRPr="00712883" w:rsidRDefault="00712883" w:rsidP="00712883">
            <w:pPr>
              <w:jc w:val="center"/>
              <w:rPr>
                <w:b/>
                <w:bCs/>
                <w:sz w:val="16"/>
                <w:szCs w:val="16"/>
              </w:rPr>
            </w:pPr>
            <w:proofErr w:type="spellStart"/>
            <w:r w:rsidRPr="00712883">
              <w:rPr>
                <w:b/>
                <w:bCs/>
                <w:sz w:val="16"/>
                <w:szCs w:val="16"/>
              </w:rPr>
              <w:t>r</w:t>
            </w:r>
            <w:r w:rsidRPr="00712883">
              <w:rPr>
                <w:b/>
                <w:bCs/>
                <w:sz w:val="16"/>
                <w:szCs w:val="16"/>
                <w:vertAlign w:val="subscript"/>
              </w:rPr>
              <w:t>PEG</w:t>
            </w:r>
            <w:proofErr w:type="spellEnd"/>
          </w:p>
        </w:tc>
        <w:tc>
          <w:tcPr>
            <w:tcW w:w="1160" w:type="dxa"/>
            <w:tcBorders>
              <w:top w:val="nil"/>
              <w:left w:val="nil"/>
              <w:bottom w:val="nil"/>
              <w:right w:val="nil"/>
            </w:tcBorders>
            <w:shd w:val="clear" w:color="auto" w:fill="auto"/>
            <w:vAlign w:val="center"/>
            <w:hideMark/>
          </w:tcPr>
          <w:p w:rsidR="00712883" w:rsidRPr="00712883" w:rsidRDefault="00712883" w:rsidP="00712883">
            <w:pPr>
              <w:jc w:val="center"/>
              <w:rPr>
                <w:b/>
                <w:bCs/>
                <w:sz w:val="16"/>
                <w:szCs w:val="16"/>
              </w:rPr>
            </w:pPr>
            <w:proofErr w:type="spellStart"/>
            <w:r w:rsidRPr="00712883">
              <w:rPr>
                <w:b/>
                <w:bCs/>
                <w:sz w:val="16"/>
                <w:szCs w:val="16"/>
              </w:rPr>
              <w:t>r</w:t>
            </w:r>
            <w:r w:rsidRPr="00712883">
              <w:rPr>
                <w:b/>
                <w:bCs/>
                <w:sz w:val="16"/>
                <w:szCs w:val="16"/>
                <w:vertAlign w:val="subscript"/>
              </w:rPr>
              <w:t>DIV</w:t>
            </w:r>
            <w:proofErr w:type="spellEnd"/>
          </w:p>
        </w:tc>
        <w:tc>
          <w:tcPr>
            <w:tcW w:w="1160" w:type="dxa"/>
            <w:tcBorders>
              <w:top w:val="nil"/>
              <w:left w:val="nil"/>
              <w:bottom w:val="nil"/>
              <w:right w:val="nil"/>
            </w:tcBorders>
            <w:shd w:val="clear" w:color="auto" w:fill="auto"/>
            <w:vAlign w:val="center"/>
            <w:hideMark/>
          </w:tcPr>
          <w:p w:rsidR="00712883" w:rsidRPr="00712883" w:rsidRDefault="00712883" w:rsidP="00712883">
            <w:pPr>
              <w:jc w:val="center"/>
              <w:rPr>
                <w:b/>
                <w:bCs/>
                <w:sz w:val="16"/>
                <w:szCs w:val="16"/>
              </w:rPr>
            </w:pPr>
            <w:r w:rsidRPr="00712883">
              <w:rPr>
                <w:b/>
                <w:bCs/>
                <w:sz w:val="16"/>
                <w:szCs w:val="16"/>
              </w:rPr>
              <w:t>BETA</w:t>
            </w:r>
          </w:p>
        </w:tc>
        <w:tc>
          <w:tcPr>
            <w:tcW w:w="1160" w:type="dxa"/>
            <w:tcBorders>
              <w:top w:val="nil"/>
              <w:left w:val="nil"/>
              <w:bottom w:val="nil"/>
              <w:right w:val="nil"/>
            </w:tcBorders>
            <w:shd w:val="clear" w:color="auto" w:fill="auto"/>
            <w:vAlign w:val="center"/>
            <w:hideMark/>
          </w:tcPr>
          <w:p w:rsidR="00712883" w:rsidRPr="00712883" w:rsidRDefault="00712883" w:rsidP="00712883">
            <w:pPr>
              <w:jc w:val="center"/>
              <w:rPr>
                <w:b/>
                <w:bCs/>
                <w:sz w:val="16"/>
                <w:szCs w:val="16"/>
              </w:rPr>
            </w:pPr>
            <w:r w:rsidRPr="00712883">
              <w:rPr>
                <w:b/>
                <w:bCs/>
                <w:sz w:val="16"/>
                <w:szCs w:val="16"/>
              </w:rPr>
              <w:t>DISPERSION</w:t>
            </w:r>
          </w:p>
        </w:tc>
        <w:tc>
          <w:tcPr>
            <w:tcW w:w="1160" w:type="dxa"/>
            <w:tcBorders>
              <w:top w:val="nil"/>
              <w:left w:val="nil"/>
              <w:bottom w:val="nil"/>
              <w:right w:val="nil"/>
            </w:tcBorders>
            <w:shd w:val="clear" w:color="auto" w:fill="auto"/>
            <w:vAlign w:val="center"/>
            <w:hideMark/>
          </w:tcPr>
          <w:p w:rsidR="00712883" w:rsidRPr="00712883" w:rsidRDefault="00712883" w:rsidP="00712883">
            <w:pPr>
              <w:jc w:val="center"/>
              <w:rPr>
                <w:b/>
                <w:bCs/>
                <w:sz w:val="16"/>
                <w:szCs w:val="16"/>
              </w:rPr>
            </w:pPr>
            <w:r w:rsidRPr="00712883">
              <w:rPr>
                <w:b/>
                <w:bCs/>
                <w:sz w:val="16"/>
                <w:szCs w:val="16"/>
              </w:rPr>
              <w:t>BOOK_TO_ MARKET</w:t>
            </w:r>
          </w:p>
        </w:tc>
        <w:tc>
          <w:tcPr>
            <w:tcW w:w="1160" w:type="dxa"/>
            <w:tcBorders>
              <w:top w:val="nil"/>
              <w:left w:val="nil"/>
              <w:bottom w:val="nil"/>
              <w:right w:val="nil"/>
            </w:tcBorders>
            <w:shd w:val="clear" w:color="auto" w:fill="auto"/>
            <w:vAlign w:val="center"/>
            <w:hideMark/>
          </w:tcPr>
          <w:p w:rsidR="00712883" w:rsidRPr="00712883" w:rsidRDefault="00712883" w:rsidP="00712883">
            <w:pPr>
              <w:jc w:val="center"/>
              <w:rPr>
                <w:b/>
                <w:bCs/>
                <w:sz w:val="16"/>
                <w:szCs w:val="16"/>
              </w:rPr>
            </w:pPr>
            <w:r w:rsidRPr="00712883">
              <w:rPr>
                <w:b/>
                <w:bCs/>
                <w:sz w:val="16"/>
                <w:szCs w:val="16"/>
              </w:rPr>
              <w:t>LEVERAGE</w:t>
            </w:r>
          </w:p>
        </w:tc>
        <w:tc>
          <w:tcPr>
            <w:tcW w:w="1160" w:type="dxa"/>
            <w:tcBorders>
              <w:top w:val="nil"/>
              <w:left w:val="nil"/>
              <w:bottom w:val="nil"/>
              <w:right w:val="nil"/>
            </w:tcBorders>
            <w:shd w:val="clear" w:color="auto" w:fill="auto"/>
            <w:vAlign w:val="center"/>
            <w:hideMark/>
          </w:tcPr>
          <w:p w:rsidR="00712883" w:rsidRPr="00712883" w:rsidRDefault="00712883" w:rsidP="00712883">
            <w:pPr>
              <w:jc w:val="center"/>
              <w:rPr>
                <w:b/>
                <w:bCs/>
                <w:sz w:val="16"/>
                <w:szCs w:val="16"/>
              </w:rPr>
            </w:pPr>
            <w:r w:rsidRPr="00712883">
              <w:rPr>
                <w:b/>
                <w:bCs/>
                <w:sz w:val="16"/>
                <w:szCs w:val="16"/>
              </w:rPr>
              <w:t>LOG_ ASSETS</w:t>
            </w:r>
          </w:p>
        </w:tc>
        <w:tc>
          <w:tcPr>
            <w:tcW w:w="1160" w:type="dxa"/>
            <w:tcBorders>
              <w:top w:val="nil"/>
              <w:left w:val="nil"/>
              <w:bottom w:val="nil"/>
              <w:right w:val="nil"/>
            </w:tcBorders>
            <w:shd w:val="clear" w:color="auto" w:fill="auto"/>
            <w:vAlign w:val="center"/>
            <w:hideMark/>
          </w:tcPr>
          <w:p w:rsidR="00712883" w:rsidRPr="00712883" w:rsidRDefault="00712883" w:rsidP="00712883">
            <w:pPr>
              <w:jc w:val="center"/>
              <w:rPr>
                <w:b/>
                <w:bCs/>
                <w:sz w:val="16"/>
                <w:szCs w:val="16"/>
              </w:rPr>
            </w:pPr>
            <w:r w:rsidRPr="00712883">
              <w:rPr>
                <w:b/>
                <w:bCs/>
                <w:sz w:val="16"/>
                <w:szCs w:val="16"/>
              </w:rPr>
              <w:t>LT_ GROWTH_ PREDICTION</w:t>
            </w:r>
          </w:p>
        </w:tc>
        <w:tc>
          <w:tcPr>
            <w:tcW w:w="1160" w:type="dxa"/>
            <w:tcBorders>
              <w:top w:val="nil"/>
              <w:left w:val="nil"/>
              <w:bottom w:val="nil"/>
              <w:right w:val="nil"/>
            </w:tcBorders>
            <w:shd w:val="clear" w:color="auto" w:fill="auto"/>
            <w:vAlign w:val="center"/>
            <w:hideMark/>
          </w:tcPr>
          <w:p w:rsidR="00712883" w:rsidRPr="00712883" w:rsidRDefault="00712883" w:rsidP="00712883">
            <w:pPr>
              <w:jc w:val="center"/>
              <w:rPr>
                <w:b/>
                <w:bCs/>
                <w:sz w:val="16"/>
                <w:szCs w:val="16"/>
              </w:rPr>
            </w:pPr>
            <w:r w:rsidRPr="00712883">
              <w:rPr>
                <w:b/>
                <w:bCs/>
                <w:sz w:val="16"/>
                <w:szCs w:val="16"/>
              </w:rPr>
              <w:t>CEO_ CHAIRMAN</w:t>
            </w:r>
          </w:p>
        </w:tc>
        <w:tc>
          <w:tcPr>
            <w:tcW w:w="1160" w:type="dxa"/>
            <w:tcBorders>
              <w:top w:val="nil"/>
              <w:left w:val="nil"/>
              <w:bottom w:val="nil"/>
              <w:right w:val="single" w:sz="4" w:space="0" w:color="auto"/>
            </w:tcBorders>
            <w:shd w:val="clear" w:color="auto" w:fill="auto"/>
            <w:vAlign w:val="center"/>
            <w:hideMark/>
          </w:tcPr>
          <w:p w:rsidR="00712883" w:rsidRPr="00712883" w:rsidRDefault="00712883" w:rsidP="00712883">
            <w:pPr>
              <w:jc w:val="center"/>
              <w:rPr>
                <w:b/>
                <w:bCs/>
                <w:sz w:val="16"/>
                <w:szCs w:val="16"/>
              </w:rPr>
            </w:pPr>
            <w:r w:rsidRPr="00712883">
              <w:rPr>
                <w:b/>
                <w:bCs/>
                <w:sz w:val="16"/>
                <w:szCs w:val="16"/>
              </w:rPr>
              <w:t>INST_ OWN</w:t>
            </w:r>
          </w:p>
        </w:tc>
      </w:tr>
      <w:tr w:rsidR="00712883" w:rsidRPr="00712883" w:rsidTr="00712883">
        <w:trPr>
          <w:trHeight w:val="300"/>
        </w:trPr>
        <w:tc>
          <w:tcPr>
            <w:tcW w:w="1740" w:type="dxa"/>
            <w:vMerge w:val="restart"/>
            <w:tcBorders>
              <w:top w:val="nil"/>
              <w:left w:val="single" w:sz="4" w:space="0" w:color="auto"/>
              <w:bottom w:val="single" w:sz="4" w:space="0" w:color="000000"/>
              <w:right w:val="nil"/>
            </w:tcBorders>
            <w:shd w:val="clear" w:color="auto" w:fill="auto"/>
            <w:vAlign w:val="center"/>
            <w:hideMark/>
          </w:tcPr>
          <w:p w:rsidR="00712883" w:rsidRPr="00712883" w:rsidRDefault="00712883" w:rsidP="00712883">
            <w:pPr>
              <w:rPr>
                <w:b/>
                <w:bCs/>
                <w:color w:val="000000"/>
                <w:sz w:val="16"/>
                <w:szCs w:val="16"/>
              </w:rPr>
            </w:pPr>
            <w:proofErr w:type="spellStart"/>
            <w:r w:rsidRPr="00712883">
              <w:rPr>
                <w:b/>
                <w:bCs/>
                <w:color w:val="000000"/>
                <w:sz w:val="16"/>
                <w:szCs w:val="16"/>
              </w:rPr>
              <w:t>r</w:t>
            </w:r>
            <w:r w:rsidRPr="00712883">
              <w:rPr>
                <w:b/>
                <w:bCs/>
                <w:color w:val="000000"/>
                <w:sz w:val="16"/>
                <w:szCs w:val="16"/>
                <w:vertAlign w:val="subscript"/>
              </w:rPr>
              <w:t>PEG</w:t>
            </w:r>
            <w:proofErr w:type="spellEnd"/>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1.000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0.086</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0.201</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0.170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0.228</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0.221</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-0.135</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0.246</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0.056</w:t>
            </w:r>
          </w:p>
        </w:tc>
        <w:tc>
          <w:tcPr>
            <w:tcW w:w="1160" w:type="dxa"/>
            <w:tcBorders>
              <w:top w:val="nil"/>
              <w:left w:val="nil"/>
              <w:bottom w:val="nil"/>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-0.093</w:t>
            </w:r>
          </w:p>
        </w:tc>
      </w:tr>
      <w:tr w:rsidR="00712883" w:rsidRPr="00712883" w:rsidTr="00712883">
        <w:trPr>
          <w:trHeight w:val="300"/>
        </w:trPr>
        <w:tc>
          <w:tcPr>
            <w:tcW w:w="1740" w:type="dxa"/>
            <w:vMerge/>
            <w:tcBorders>
              <w:top w:val="nil"/>
              <w:left w:val="single" w:sz="4" w:space="0" w:color="auto"/>
              <w:bottom w:val="single" w:sz="4" w:space="0" w:color="000000"/>
              <w:right w:val="nil"/>
            </w:tcBorders>
            <w:vAlign w:val="center"/>
            <w:hideMark/>
          </w:tcPr>
          <w:p w:rsidR="00712883" w:rsidRPr="00712883" w:rsidRDefault="00712883" w:rsidP="00712883">
            <w:pPr>
              <w:rPr>
                <w:b/>
                <w:bCs/>
                <w:color w:val="000000"/>
                <w:sz w:val="16"/>
                <w:szCs w:val="16"/>
              </w:rPr>
            </w:pP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 </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0.033</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0.035</w:t>
            </w:r>
          </w:p>
        </w:tc>
        <w:tc>
          <w:tcPr>
            <w:tcW w:w="1160" w:type="dxa"/>
            <w:tcBorders>
              <w:top w:val="nil"/>
              <w:left w:val="nil"/>
              <w:bottom w:val="single" w:sz="4" w:space="0" w:color="auto"/>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r>
      <w:tr w:rsidR="00712883" w:rsidRPr="00712883" w:rsidTr="00712883">
        <w:trPr>
          <w:trHeight w:val="300"/>
        </w:trPr>
        <w:tc>
          <w:tcPr>
            <w:tcW w:w="1740" w:type="dxa"/>
            <w:vMerge w:val="restart"/>
            <w:tcBorders>
              <w:top w:val="nil"/>
              <w:left w:val="single" w:sz="4" w:space="0" w:color="auto"/>
              <w:bottom w:val="single" w:sz="4" w:space="0" w:color="000000"/>
              <w:right w:val="nil"/>
            </w:tcBorders>
            <w:shd w:val="clear" w:color="auto" w:fill="auto"/>
            <w:vAlign w:val="center"/>
            <w:hideMark/>
          </w:tcPr>
          <w:p w:rsidR="00712883" w:rsidRPr="00712883" w:rsidRDefault="00712883" w:rsidP="00712883">
            <w:pPr>
              <w:rPr>
                <w:b/>
                <w:bCs/>
                <w:color w:val="000000"/>
                <w:sz w:val="16"/>
                <w:szCs w:val="16"/>
              </w:rPr>
            </w:pPr>
            <w:proofErr w:type="spellStart"/>
            <w:r w:rsidRPr="00712883">
              <w:rPr>
                <w:b/>
                <w:bCs/>
                <w:color w:val="000000"/>
                <w:sz w:val="16"/>
                <w:szCs w:val="16"/>
              </w:rPr>
              <w:t>r</w:t>
            </w:r>
            <w:r w:rsidRPr="00712883">
              <w:rPr>
                <w:b/>
                <w:bCs/>
                <w:color w:val="000000"/>
                <w:sz w:val="16"/>
                <w:szCs w:val="16"/>
                <w:vertAlign w:val="subscript"/>
              </w:rPr>
              <w:t>DIV</w:t>
            </w:r>
            <w:proofErr w:type="spellEnd"/>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0.102</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1.000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0.145</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0.025</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0.256</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0.302</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0.040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0.026</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-0.032</w:t>
            </w:r>
          </w:p>
        </w:tc>
        <w:tc>
          <w:tcPr>
            <w:tcW w:w="1160" w:type="dxa"/>
            <w:tcBorders>
              <w:top w:val="nil"/>
              <w:left w:val="nil"/>
              <w:bottom w:val="nil"/>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-0.018</w:t>
            </w:r>
          </w:p>
        </w:tc>
      </w:tr>
      <w:tr w:rsidR="00712883" w:rsidRPr="00712883" w:rsidTr="00712883">
        <w:trPr>
          <w:trHeight w:val="300"/>
        </w:trPr>
        <w:tc>
          <w:tcPr>
            <w:tcW w:w="1740" w:type="dxa"/>
            <w:vMerge/>
            <w:tcBorders>
              <w:top w:val="nil"/>
              <w:left w:val="single" w:sz="4" w:space="0" w:color="auto"/>
              <w:bottom w:val="single" w:sz="4" w:space="0" w:color="000000"/>
              <w:right w:val="nil"/>
            </w:tcBorders>
            <w:vAlign w:val="center"/>
            <w:hideMark/>
          </w:tcPr>
          <w:p w:rsidR="00712883" w:rsidRPr="00712883" w:rsidRDefault="00712883" w:rsidP="00712883">
            <w:pPr>
              <w:rPr>
                <w:b/>
                <w:bCs/>
                <w:color w:val="000000"/>
                <w:sz w:val="16"/>
                <w:szCs w:val="16"/>
              </w:rPr>
            </w:pP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0.011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 </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0.000</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0.534</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0.320</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0.524</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0.490</w:t>
            </w:r>
          </w:p>
        </w:tc>
        <w:tc>
          <w:tcPr>
            <w:tcW w:w="1160" w:type="dxa"/>
            <w:tcBorders>
              <w:top w:val="nil"/>
              <w:left w:val="nil"/>
              <w:bottom w:val="single" w:sz="4" w:space="0" w:color="auto"/>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0.660</w:t>
            </w:r>
          </w:p>
        </w:tc>
      </w:tr>
      <w:tr w:rsidR="00712883" w:rsidRPr="00712883" w:rsidTr="00712883">
        <w:trPr>
          <w:trHeight w:val="300"/>
        </w:trPr>
        <w:tc>
          <w:tcPr>
            <w:tcW w:w="1740" w:type="dxa"/>
            <w:vMerge w:val="restart"/>
            <w:tcBorders>
              <w:top w:val="nil"/>
              <w:left w:val="single" w:sz="4" w:space="0" w:color="auto"/>
              <w:bottom w:val="single" w:sz="4" w:space="0" w:color="000000"/>
              <w:right w:val="nil"/>
            </w:tcBorders>
            <w:shd w:val="clear" w:color="auto" w:fill="auto"/>
            <w:vAlign w:val="center"/>
            <w:hideMark/>
          </w:tcPr>
          <w:p w:rsidR="00712883" w:rsidRPr="00712883" w:rsidRDefault="00712883" w:rsidP="00712883">
            <w:pPr>
              <w:rPr>
                <w:b/>
                <w:bCs/>
                <w:color w:val="000000"/>
                <w:sz w:val="16"/>
                <w:szCs w:val="16"/>
              </w:rPr>
            </w:pPr>
            <w:r w:rsidRPr="00712883">
              <w:rPr>
                <w:b/>
                <w:bCs/>
                <w:color w:val="000000"/>
                <w:sz w:val="16"/>
                <w:szCs w:val="16"/>
              </w:rPr>
              <w:t>BETA</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0.219</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0.128</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1.000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0.133</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0.184</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0.149</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-0.175</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0.120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0.042</w:t>
            </w:r>
          </w:p>
        </w:tc>
        <w:tc>
          <w:tcPr>
            <w:tcW w:w="1160" w:type="dxa"/>
            <w:tcBorders>
              <w:top w:val="nil"/>
              <w:left w:val="nil"/>
              <w:bottom w:val="nil"/>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-0.006</w:t>
            </w:r>
          </w:p>
        </w:tc>
      </w:tr>
      <w:tr w:rsidR="00712883" w:rsidRPr="00712883" w:rsidTr="00712883">
        <w:trPr>
          <w:trHeight w:val="300"/>
        </w:trPr>
        <w:tc>
          <w:tcPr>
            <w:tcW w:w="1740" w:type="dxa"/>
            <w:vMerge/>
            <w:tcBorders>
              <w:top w:val="nil"/>
              <w:left w:val="single" w:sz="4" w:space="0" w:color="auto"/>
              <w:bottom w:val="single" w:sz="4" w:space="0" w:color="000000"/>
              <w:right w:val="nil"/>
            </w:tcBorders>
            <w:vAlign w:val="center"/>
            <w:hideMark/>
          </w:tcPr>
          <w:p w:rsidR="00712883" w:rsidRPr="00712883" w:rsidRDefault="00712883" w:rsidP="00712883">
            <w:pPr>
              <w:rPr>
                <w:b/>
                <w:bCs/>
                <w:color w:val="000000"/>
                <w:sz w:val="16"/>
                <w:szCs w:val="16"/>
              </w:rPr>
            </w:pP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 </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0.109</w:t>
            </w:r>
          </w:p>
        </w:tc>
        <w:tc>
          <w:tcPr>
            <w:tcW w:w="1160" w:type="dxa"/>
            <w:tcBorders>
              <w:top w:val="nil"/>
              <w:left w:val="nil"/>
              <w:bottom w:val="single" w:sz="4" w:space="0" w:color="auto"/>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0.792</w:t>
            </w:r>
          </w:p>
        </w:tc>
      </w:tr>
      <w:tr w:rsidR="00712883" w:rsidRPr="00712883" w:rsidTr="00712883">
        <w:trPr>
          <w:trHeight w:val="300"/>
        </w:trPr>
        <w:tc>
          <w:tcPr>
            <w:tcW w:w="1740" w:type="dxa"/>
            <w:vMerge w:val="restart"/>
            <w:tcBorders>
              <w:top w:val="nil"/>
              <w:left w:val="single" w:sz="4" w:space="0" w:color="auto"/>
              <w:bottom w:val="single" w:sz="4" w:space="0" w:color="000000"/>
              <w:right w:val="nil"/>
            </w:tcBorders>
            <w:shd w:val="clear" w:color="auto" w:fill="auto"/>
            <w:vAlign w:val="center"/>
            <w:hideMark/>
          </w:tcPr>
          <w:p w:rsidR="00712883" w:rsidRPr="00712883" w:rsidRDefault="00712883" w:rsidP="00712883">
            <w:pPr>
              <w:rPr>
                <w:b/>
                <w:bCs/>
                <w:color w:val="000000"/>
                <w:sz w:val="16"/>
                <w:szCs w:val="16"/>
              </w:rPr>
            </w:pPr>
            <w:r w:rsidRPr="00712883">
              <w:rPr>
                <w:b/>
                <w:bCs/>
                <w:color w:val="000000"/>
                <w:sz w:val="16"/>
                <w:szCs w:val="16"/>
              </w:rPr>
              <w:t>DISPERSION</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0.102</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0.035</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0.310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1.000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0.192</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0.185</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-0.043</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0.150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0.012</w:t>
            </w:r>
          </w:p>
        </w:tc>
        <w:tc>
          <w:tcPr>
            <w:tcW w:w="1160" w:type="dxa"/>
            <w:tcBorders>
              <w:top w:val="nil"/>
              <w:left w:val="nil"/>
              <w:bottom w:val="nil"/>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-0.048</w:t>
            </w:r>
          </w:p>
        </w:tc>
      </w:tr>
      <w:tr w:rsidR="00712883" w:rsidRPr="00712883" w:rsidTr="00712883">
        <w:trPr>
          <w:trHeight w:val="300"/>
        </w:trPr>
        <w:tc>
          <w:tcPr>
            <w:tcW w:w="1740" w:type="dxa"/>
            <w:vMerge/>
            <w:tcBorders>
              <w:top w:val="nil"/>
              <w:left w:val="single" w:sz="4" w:space="0" w:color="auto"/>
              <w:bottom w:val="single" w:sz="4" w:space="0" w:color="000000"/>
              <w:right w:val="nil"/>
            </w:tcBorders>
            <w:vAlign w:val="center"/>
            <w:hideMark/>
          </w:tcPr>
          <w:p w:rsidR="00712883" w:rsidRPr="00712883" w:rsidRDefault="00712883" w:rsidP="00712883">
            <w:pPr>
              <w:rPr>
                <w:b/>
                <w:bCs/>
                <w:color w:val="000000"/>
                <w:sz w:val="16"/>
                <w:szCs w:val="16"/>
              </w:rPr>
            </w:pP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0.380</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 </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0.042</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0.638</w:t>
            </w:r>
          </w:p>
        </w:tc>
        <w:tc>
          <w:tcPr>
            <w:tcW w:w="1160" w:type="dxa"/>
            <w:tcBorders>
              <w:top w:val="nil"/>
              <w:left w:val="nil"/>
              <w:bottom w:val="single" w:sz="4" w:space="0" w:color="auto"/>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0.024</w:t>
            </w:r>
          </w:p>
        </w:tc>
      </w:tr>
      <w:tr w:rsidR="00712883" w:rsidRPr="00712883" w:rsidTr="00712883">
        <w:trPr>
          <w:trHeight w:val="300"/>
        </w:trPr>
        <w:tc>
          <w:tcPr>
            <w:tcW w:w="1740" w:type="dxa"/>
            <w:vMerge w:val="restart"/>
            <w:tcBorders>
              <w:top w:val="nil"/>
              <w:left w:val="single" w:sz="4" w:space="0" w:color="auto"/>
              <w:bottom w:val="single" w:sz="4" w:space="0" w:color="000000"/>
              <w:right w:val="nil"/>
            </w:tcBorders>
            <w:shd w:val="clear" w:color="auto" w:fill="auto"/>
            <w:vAlign w:val="center"/>
            <w:hideMark/>
          </w:tcPr>
          <w:p w:rsidR="00712883" w:rsidRPr="00712883" w:rsidRDefault="00712883" w:rsidP="00712883">
            <w:pPr>
              <w:rPr>
                <w:b/>
                <w:bCs/>
                <w:color w:val="000000"/>
                <w:sz w:val="16"/>
                <w:szCs w:val="16"/>
              </w:rPr>
            </w:pPr>
            <w:r w:rsidRPr="00712883">
              <w:rPr>
                <w:b/>
                <w:bCs/>
                <w:color w:val="000000"/>
                <w:sz w:val="16"/>
                <w:szCs w:val="16"/>
              </w:rPr>
              <w:t>BOOK_TO_MARKET</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0.082</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0.154</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0.224</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0.296</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1.000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0.545</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0.008</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-0.048</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0.012</w:t>
            </w:r>
          </w:p>
        </w:tc>
        <w:tc>
          <w:tcPr>
            <w:tcW w:w="1160" w:type="dxa"/>
            <w:tcBorders>
              <w:top w:val="nil"/>
              <w:left w:val="nil"/>
              <w:bottom w:val="nil"/>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-0.055</w:t>
            </w:r>
          </w:p>
        </w:tc>
      </w:tr>
      <w:tr w:rsidR="00712883" w:rsidRPr="00712883" w:rsidTr="00712883">
        <w:trPr>
          <w:trHeight w:val="300"/>
        </w:trPr>
        <w:tc>
          <w:tcPr>
            <w:tcW w:w="1740" w:type="dxa"/>
            <w:vMerge/>
            <w:tcBorders>
              <w:top w:val="nil"/>
              <w:left w:val="single" w:sz="4" w:space="0" w:color="auto"/>
              <w:bottom w:val="single" w:sz="4" w:space="0" w:color="000000"/>
              <w:right w:val="nil"/>
            </w:tcBorders>
            <w:vAlign w:val="center"/>
            <w:hideMark/>
          </w:tcPr>
          <w:p w:rsidR="00712883" w:rsidRPr="00712883" w:rsidRDefault="00712883" w:rsidP="00712883">
            <w:pPr>
              <w:rPr>
                <w:b/>
                <w:bCs/>
                <w:color w:val="000000"/>
                <w:sz w:val="16"/>
                <w:szCs w:val="16"/>
              </w:rPr>
            </w:pP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0.000</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 </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0.720</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0.022</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0.637</w:t>
            </w:r>
          </w:p>
        </w:tc>
        <w:tc>
          <w:tcPr>
            <w:tcW w:w="1160" w:type="dxa"/>
            <w:tcBorders>
              <w:top w:val="nil"/>
              <w:left w:val="nil"/>
              <w:bottom w:val="single" w:sz="4" w:space="0" w:color="auto"/>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0.009</w:t>
            </w:r>
          </w:p>
        </w:tc>
      </w:tr>
      <w:tr w:rsidR="00712883" w:rsidRPr="00712883" w:rsidTr="00712883">
        <w:trPr>
          <w:trHeight w:val="300"/>
        </w:trPr>
        <w:tc>
          <w:tcPr>
            <w:tcW w:w="1740" w:type="dxa"/>
            <w:vMerge w:val="restart"/>
            <w:tcBorders>
              <w:top w:val="nil"/>
              <w:left w:val="single" w:sz="4" w:space="0" w:color="auto"/>
              <w:bottom w:val="single" w:sz="4" w:space="0" w:color="000000"/>
              <w:right w:val="nil"/>
            </w:tcBorders>
            <w:shd w:val="clear" w:color="auto" w:fill="auto"/>
            <w:vAlign w:val="center"/>
            <w:hideMark/>
          </w:tcPr>
          <w:p w:rsidR="00712883" w:rsidRPr="00712883" w:rsidRDefault="00712883" w:rsidP="00712883">
            <w:pPr>
              <w:rPr>
                <w:b/>
                <w:bCs/>
                <w:color w:val="000000"/>
                <w:sz w:val="16"/>
                <w:szCs w:val="16"/>
              </w:rPr>
            </w:pPr>
            <w:r w:rsidRPr="00712883">
              <w:rPr>
                <w:b/>
                <w:bCs/>
                <w:color w:val="000000"/>
                <w:sz w:val="16"/>
                <w:szCs w:val="16"/>
              </w:rPr>
              <w:t>LEVERAGE</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0.031</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0.242</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0.108</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0.127</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0.376</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1.000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0.158</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-0.033</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-0.039</w:t>
            </w:r>
          </w:p>
        </w:tc>
        <w:tc>
          <w:tcPr>
            <w:tcW w:w="1160" w:type="dxa"/>
            <w:tcBorders>
              <w:top w:val="nil"/>
              <w:left w:val="nil"/>
              <w:bottom w:val="nil"/>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-0.068</w:t>
            </w:r>
          </w:p>
        </w:tc>
      </w:tr>
      <w:tr w:rsidR="00712883" w:rsidRPr="00712883" w:rsidTr="00712883">
        <w:trPr>
          <w:trHeight w:val="300"/>
        </w:trPr>
        <w:tc>
          <w:tcPr>
            <w:tcW w:w="1740" w:type="dxa"/>
            <w:vMerge/>
            <w:tcBorders>
              <w:top w:val="nil"/>
              <w:left w:val="single" w:sz="4" w:space="0" w:color="auto"/>
              <w:bottom w:val="single" w:sz="4" w:space="0" w:color="000000"/>
              <w:right w:val="nil"/>
            </w:tcBorders>
            <w:vAlign w:val="center"/>
            <w:hideMark/>
          </w:tcPr>
          <w:p w:rsidR="00712883" w:rsidRPr="00712883" w:rsidRDefault="00712883" w:rsidP="00712883">
            <w:pPr>
              <w:rPr>
                <w:b/>
                <w:bCs/>
                <w:color w:val="000000"/>
                <w:sz w:val="16"/>
                <w:szCs w:val="16"/>
              </w:rPr>
            </w:pP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0.134</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 </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0.119</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0.139</w:t>
            </w:r>
          </w:p>
        </w:tc>
        <w:tc>
          <w:tcPr>
            <w:tcW w:w="1160" w:type="dxa"/>
            <w:tcBorders>
              <w:top w:val="nil"/>
              <w:left w:val="nil"/>
              <w:bottom w:val="single" w:sz="4" w:space="0" w:color="auto"/>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0.001</w:t>
            </w:r>
          </w:p>
        </w:tc>
      </w:tr>
      <w:tr w:rsidR="00712883" w:rsidRPr="00712883" w:rsidTr="00712883">
        <w:trPr>
          <w:trHeight w:val="300"/>
        </w:trPr>
        <w:tc>
          <w:tcPr>
            <w:tcW w:w="1740" w:type="dxa"/>
            <w:vMerge w:val="restart"/>
            <w:tcBorders>
              <w:top w:val="nil"/>
              <w:left w:val="single" w:sz="4" w:space="0" w:color="auto"/>
              <w:bottom w:val="single" w:sz="4" w:space="0" w:color="000000"/>
              <w:right w:val="nil"/>
            </w:tcBorders>
            <w:shd w:val="clear" w:color="auto" w:fill="auto"/>
            <w:vAlign w:val="center"/>
            <w:hideMark/>
          </w:tcPr>
          <w:p w:rsidR="00712883" w:rsidRPr="00712883" w:rsidRDefault="00712883" w:rsidP="00712883">
            <w:pPr>
              <w:rPr>
                <w:b/>
                <w:bCs/>
                <w:color w:val="000000"/>
                <w:sz w:val="16"/>
                <w:szCs w:val="16"/>
              </w:rPr>
            </w:pPr>
            <w:r w:rsidRPr="00712883">
              <w:rPr>
                <w:b/>
                <w:bCs/>
                <w:color w:val="000000"/>
                <w:sz w:val="16"/>
                <w:szCs w:val="16"/>
              </w:rPr>
              <w:t>LOG_ASSETS</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-0.177</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0.117</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-0.182</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-0.118</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0.023</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0.421</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1.000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-0.199</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-0.197</w:t>
            </w:r>
          </w:p>
        </w:tc>
        <w:tc>
          <w:tcPr>
            <w:tcW w:w="1160" w:type="dxa"/>
            <w:tcBorders>
              <w:top w:val="nil"/>
              <w:left w:val="nil"/>
              <w:bottom w:val="nil"/>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0.126</w:t>
            </w:r>
          </w:p>
        </w:tc>
      </w:tr>
      <w:tr w:rsidR="00712883" w:rsidRPr="00712883" w:rsidTr="00712883">
        <w:trPr>
          <w:trHeight w:val="300"/>
        </w:trPr>
        <w:tc>
          <w:tcPr>
            <w:tcW w:w="1740" w:type="dxa"/>
            <w:vMerge/>
            <w:tcBorders>
              <w:top w:val="nil"/>
              <w:left w:val="single" w:sz="4" w:space="0" w:color="auto"/>
              <w:bottom w:val="single" w:sz="4" w:space="0" w:color="000000"/>
              <w:right w:val="nil"/>
            </w:tcBorders>
            <w:vAlign w:val="center"/>
            <w:hideMark/>
          </w:tcPr>
          <w:p w:rsidR="00712883" w:rsidRPr="00712883" w:rsidRDefault="00712883" w:rsidP="00712883">
            <w:pPr>
              <w:rPr>
                <w:b/>
                <w:bCs/>
                <w:color w:val="000000"/>
                <w:sz w:val="16"/>
                <w:szCs w:val="16"/>
              </w:rPr>
            </w:pP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0.004</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0.278</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 </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r>
      <w:tr w:rsidR="00712883" w:rsidRPr="00712883" w:rsidTr="00712883">
        <w:trPr>
          <w:trHeight w:val="300"/>
        </w:trPr>
        <w:tc>
          <w:tcPr>
            <w:tcW w:w="1740" w:type="dxa"/>
            <w:vMerge w:val="restart"/>
            <w:tcBorders>
              <w:top w:val="nil"/>
              <w:left w:val="single" w:sz="4" w:space="0" w:color="auto"/>
              <w:bottom w:val="single" w:sz="4" w:space="0" w:color="000000"/>
              <w:right w:val="nil"/>
            </w:tcBorders>
            <w:shd w:val="clear" w:color="auto" w:fill="auto"/>
            <w:vAlign w:val="center"/>
            <w:hideMark/>
          </w:tcPr>
          <w:p w:rsidR="00712883" w:rsidRPr="00712883" w:rsidRDefault="00712883" w:rsidP="00712883">
            <w:pPr>
              <w:rPr>
                <w:b/>
                <w:bCs/>
                <w:color w:val="000000"/>
                <w:sz w:val="16"/>
                <w:szCs w:val="16"/>
              </w:rPr>
            </w:pPr>
            <w:r w:rsidRPr="00712883">
              <w:rPr>
                <w:b/>
                <w:bCs/>
                <w:color w:val="000000"/>
                <w:sz w:val="16"/>
                <w:szCs w:val="16"/>
              </w:rPr>
              <w:t>LT_GROWTH_PRED</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0.303</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0.051</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0.166</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0.091</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-0.133</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-0.279</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-0.379</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1.000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0.037</w:t>
            </w:r>
          </w:p>
        </w:tc>
        <w:tc>
          <w:tcPr>
            <w:tcW w:w="1160" w:type="dxa"/>
            <w:tcBorders>
              <w:top w:val="nil"/>
              <w:left w:val="nil"/>
              <w:bottom w:val="nil"/>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-0.119</w:t>
            </w:r>
          </w:p>
        </w:tc>
      </w:tr>
      <w:tr w:rsidR="00712883" w:rsidRPr="00712883" w:rsidTr="00712883">
        <w:trPr>
          <w:trHeight w:val="300"/>
        </w:trPr>
        <w:tc>
          <w:tcPr>
            <w:tcW w:w="1740" w:type="dxa"/>
            <w:vMerge/>
            <w:tcBorders>
              <w:top w:val="nil"/>
              <w:left w:val="single" w:sz="4" w:space="0" w:color="auto"/>
              <w:bottom w:val="single" w:sz="4" w:space="0" w:color="000000"/>
              <w:right w:val="nil"/>
            </w:tcBorders>
            <w:vAlign w:val="center"/>
            <w:hideMark/>
          </w:tcPr>
          <w:p w:rsidR="00712883" w:rsidRPr="00712883" w:rsidRDefault="00712883" w:rsidP="00712883">
            <w:pPr>
              <w:rPr>
                <w:b/>
                <w:bCs/>
                <w:color w:val="000000"/>
                <w:sz w:val="16"/>
                <w:szCs w:val="16"/>
              </w:rPr>
            </w:pP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0.203</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 </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0.161</w:t>
            </w:r>
          </w:p>
        </w:tc>
        <w:tc>
          <w:tcPr>
            <w:tcW w:w="1160" w:type="dxa"/>
            <w:tcBorders>
              <w:top w:val="nil"/>
              <w:left w:val="nil"/>
              <w:bottom w:val="single" w:sz="4" w:space="0" w:color="auto"/>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r>
      <w:tr w:rsidR="00712883" w:rsidRPr="00712883" w:rsidTr="00712883">
        <w:trPr>
          <w:trHeight w:val="300"/>
        </w:trPr>
        <w:tc>
          <w:tcPr>
            <w:tcW w:w="1740" w:type="dxa"/>
            <w:vMerge w:val="restart"/>
            <w:tcBorders>
              <w:top w:val="nil"/>
              <w:left w:val="single" w:sz="4" w:space="0" w:color="auto"/>
              <w:bottom w:val="single" w:sz="4" w:space="0" w:color="000000"/>
              <w:right w:val="nil"/>
            </w:tcBorders>
            <w:shd w:val="clear" w:color="auto" w:fill="auto"/>
            <w:vAlign w:val="center"/>
            <w:hideMark/>
          </w:tcPr>
          <w:p w:rsidR="00712883" w:rsidRPr="00712883" w:rsidRDefault="00712883" w:rsidP="00712883">
            <w:pPr>
              <w:rPr>
                <w:b/>
                <w:bCs/>
                <w:color w:val="000000"/>
                <w:sz w:val="16"/>
                <w:szCs w:val="16"/>
              </w:rPr>
            </w:pPr>
            <w:r w:rsidRPr="00712883">
              <w:rPr>
                <w:b/>
                <w:bCs/>
                <w:color w:val="000000"/>
                <w:sz w:val="16"/>
                <w:szCs w:val="16"/>
              </w:rPr>
              <w:t>CEO_CHAIRMAN</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0.066</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-0.056</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0.034</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0.029</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0.005</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-0.105</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-0.196</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0.104</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1.000</w:t>
            </w:r>
          </w:p>
        </w:tc>
        <w:tc>
          <w:tcPr>
            <w:tcW w:w="1160" w:type="dxa"/>
            <w:tcBorders>
              <w:top w:val="nil"/>
              <w:left w:val="nil"/>
              <w:bottom w:val="nil"/>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0.014</w:t>
            </w:r>
          </w:p>
        </w:tc>
      </w:tr>
      <w:tr w:rsidR="00712883" w:rsidRPr="00712883" w:rsidTr="00712883">
        <w:trPr>
          <w:trHeight w:val="300"/>
        </w:trPr>
        <w:tc>
          <w:tcPr>
            <w:tcW w:w="1740" w:type="dxa"/>
            <w:vMerge/>
            <w:tcBorders>
              <w:top w:val="nil"/>
              <w:left w:val="single" w:sz="4" w:space="0" w:color="auto"/>
              <w:bottom w:val="single" w:sz="4" w:space="0" w:color="000000"/>
              <w:right w:val="nil"/>
            </w:tcBorders>
            <w:vAlign w:val="center"/>
            <w:hideMark/>
          </w:tcPr>
          <w:p w:rsidR="00712883" w:rsidRPr="00712883" w:rsidRDefault="00712883" w:rsidP="00712883">
            <w:pPr>
              <w:rPr>
                <w:b/>
                <w:bCs/>
                <w:color w:val="000000"/>
                <w:sz w:val="16"/>
                <w:szCs w:val="16"/>
              </w:rPr>
            </w:pP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0.012</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0.220</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0.198</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0.265</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0.843</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 </w:t>
            </w:r>
          </w:p>
        </w:tc>
        <w:tc>
          <w:tcPr>
            <w:tcW w:w="1160" w:type="dxa"/>
            <w:tcBorders>
              <w:top w:val="nil"/>
              <w:left w:val="nil"/>
              <w:bottom w:val="single" w:sz="4" w:space="0" w:color="auto"/>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0.598</w:t>
            </w:r>
          </w:p>
        </w:tc>
      </w:tr>
      <w:tr w:rsidR="00712883" w:rsidRPr="00712883" w:rsidTr="00712883">
        <w:trPr>
          <w:trHeight w:val="300"/>
        </w:trPr>
        <w:tc>
          <w:tcPr>
            <w:tcW w:w="1740" w:type="dxa"/>
            <w:vMerge w:val="restart"/>
            <w:tcBorders>
              <w:top w:val="nil"/>
              <w:left w:val="single" w:sz="4" w:space="0" w:color="auto"/>
              <w:bottom w:val="single" w:sz="4" w:space="0" w:color="000000"/>
              <w:right w:val="nil"/>
            </w:tcBorders>
            <w:shd w:val="clear" w:color="auto" w:fill="auto"/>
            <w:vAlign w:val="center"/>
            <w:hideMark/>
          </w:tcPr>
          <w:p w:rsidR="00712883" w:rsidRPr="00712883" w:rsidRDefault="00712883" w:rsidP="00712883">
            <w:pPr>
              <w:rPr>
                <w:b/>
                <w:bCs/>
                <w:color w:val="000000"/>
                <w:sz w:val="16"/>
                <w:szCs w:val="16"/>
              </w:rPr>
            </w:pPr>
            <w:r w:rsidRPr="00712883">
              <w:rPr>
                <w:b/>
                <w:bCs/>
                <w:color w:val="000000"/>
                <w:sz w:val="16"/>
                <w:szCs w:val="16"/>
              </w:rPr>
              <w:t>INST_OWN</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-0.038</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-0.050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0.012</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-0.062</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0.010</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0.049</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0.137</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-0.049</w:t>
            </w:r>
          </w:p>
        </w:tc>
        <w:tc>
          <w:tcPr>
            <w:tcW w:w="1160" w:type="dxa"/>
            <w:tcBorders>
              <w:top w:val="nil"/>
              <w:left w:val="nil"/>
              <w:bottom w:val="nil"/>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0.014</w:t>
            </w:r>
          </w:p>
        </w:tc>
        <w:tc>
          <w:tcPr>
            <w:tcW w:w="1160" w:type="dxa"/>
            <w:tcBorders>
              <w:top w:val="nil"/>
              <w:left w:val="nil"/>
              <w:bottom w:val="nil"/>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1.000</w:t>
            </w:r>
          </w:p>
        </w:tc>
      </w:tr>
      <w:tr w:rsidR="00712883" w:rsidRPr="00712883" w:rsidTr="00712883">
        <w:trPr>
          <w:trHeight w:val="300"/>
        </w:trPr>
        <w:tc>
          <w:tcPr>
            <w:tcW w:w="1740" w:type="dxa"/>
            <w:vMerge/>
            <w:tcBorders>
              <w:top w:val="nil"/>
              <w:left w:val="single" w:sz="4" w:space="0" w:color="auto"/>
              <w:bottom w:val="single" w:sz="4" w:space="0" w:color="000000"/>
              <w:right w:val="nil"/>
            </w:tcBorders>
            <w:vAlign w:val="center"/>
            <w:hideMark/>
          </w:tcPr>
          <w:p w:rsidR="00712883" w:rsidRPr="00712883" w:rsidRDefault="00712883" w:rsidP="00712883">
            <w:pPr>
              <w:rPr>
                <w:b/>
                <w:bCs/>
                <w:color w:val="000000"/>
                <w:sz w:val="16"/>
                <w:szCs w:val="16"/>
              </w:rPr>
            </w:pP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0.071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0.215</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0.583</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0.003</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0.636</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0.019</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&lt;.001</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0.020</w:t>
            </w:r>
          </w:p>
        </w:tc>
        <w:tc>
          <w:tcPr>
            <w:tcW w:w="1160" w:type="dxa"/>
            <w:tcBorders>
              <w:top w:val="nil"/>
              <w:left w:val="nil"/>
              <w:bottom w:val="single" w:sz="4" w:space="0" w:color="auto"/>
              <w:right w:val="nil"/>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0.598</w:t>
            </w:r>
          </w:p>
        </w:tc>
        <w:tc>
          <w:tcPr>
            <w:tcW w:w="1160" w:type="dxa"/>
            <w:tcBorders>
              <w:top w:val="nil"/>
              <w:left w:val="nil"/>
              <w:bottom w:val="single" w:sz="4" w:space="0" w:color="auto"/>
              <w:right w:val="single" w:sz="4" w:space="0" w:color="auto"/>
            </w:tcBorders>
            <w:shd w:val="clear" w:color="auto" w:fill="auto"/>
            <w:hideMark/>
          </w:tcPr>
          <w:p w:rsidR="00712883" w:rsidRPr="00712883" w:rsidRDefault="00712883" w:rsidP="00712883">
            <w:pPr>
              <w:jc w:val="center"/>
              <w:rPr>
                <w:color w:val="000000"/>
                <w:sz w:val="20"/>
                <w:szCs w:val="20"/>
              </w:rPr>
            </w:pPr>
            <w:r w:rsidRPr="00712883">
              <w:rPr>
                <w:color w:val="000000"/>
                <w:sz w:val="20"/>
                <w:szCs w:val="20"/>
              </w:rPr>
              <w:t> </w:t>
            </w:r>
          </w:p>
        </w:tc>
      </w:tr>
    </w:tbl>
    <w:p w:rsidR="006F680A" w:rsidRDefault="006F680A" w:rsidP="00712883">
      <w:pPr>
        <w:rPr>
          <w:b/>
          <w:noProof/>
        </w:rPr>
      </w:pPr>
    </w:p>
    <w:p w:rsidR="006F680A" w:rsidRPr="006F680A" w:rsidRDefault="006F680A" w:rsidP="006F680A">
      <w:pPr>
        <w:jc w:val="center"/>
        <w:rPr>
          <w:b/>
          <w:noProof/>
        </w:rPr>
      </w:pPr>
    </w:p>
    <w:p w:rsidR="006F680A" w:rsidRDefault="006F680A" w:rsidP="006F680A"/>
    <w:p w:rsidR="006F680A" w:rsidRDefault="006F680A" w:rsidP="006F680A"/>
    <w:p w:rsidR="006F680A" w:rsidRPr="006F680A" w:rsidRDefault="006F680A" w:rsidP="006F680A">
      <w:pPr>
        <w:sectPr w:rsidR="006F680A" w:rsidRPr="006F680A" w:rsidSect="00446C3B">
          <w:pgSz w:w="15840" w:h="12240" w:orient="landscape" w:code="1"/>
          <w:pgMar w:top="1440" w:right="1440" w:bottom="1440" w:left="1440" w:header="720" w:footer="720" w:gutter="0"/>
          <w:cols w:space="720"/>
          <w:noEndnote/>
          <w:docGrid w:linePitch="360"/>
        </w:sectPr>
      </w:pPr>
    </w:p>
    <w:p w:rsidR="001D7807" w:rsidRDefault="001D7807" w:rsidP="001D7807">
      <w:pPr>
        <w:pStyle w:val="Heading4"/>
        <w:rPr>
          <w:noProof/>
        </w:rPr>
      </w:pPr>
      <w:bookmarkStart w:id="50" w:name="_Toc321418231"/>
      <w:r>
        <w:rPr>
          <w:noProof/>
        </w:rPr>
        <w:lastRenderedPageBreak/>
        <w:t>Table 3: Regressions of Log Market Value on TAXRISK (H1)</w:t>
      </w:r>
      <w:bookmarkEnd w:id="50"/>
    </w:p>
    <w:p w:rsidR="001D7807" w:rsidRDefault="001D7807" w:rsidP="001D7807">
      <w:pPr>
        <w:pStyle w:val="Heading4"/>
        <w:rPr>
          <w:noProof/>
        </w:rPr>
      </w:pPr>
    </w:p>
    <w:tbl>
      <w:tblPr>
        <w:tblW w:w="8300" w:type="dxa"/>
        <w:tblInd w:w="93" w:type="dxa"/>
        <w:tblLook w:val="04A0"/>
      </w:tblPr>
      <w:tblGrid>
        <w:gridCol w:w="2117"/>
        <w:gridCol w:w="266"/>
        <w:gridCol w:w="266"/>
        <w:gridCol w:w="1360"/>
        <w:gridCol w:w="271"/>
        <w:gridCol w:w="1360"/>
        <w:gridCol w:w="271"/>
        <w:gridCol w:w="1360"/>
        <w:gridCol w:w="271"/>
        <w:gridCol w:w="1360"/>
      </w:tblGrid>
      <w:tr w:rsidR="00C762F1" w:rsidRPr="00C762F1" w:rsidTr="00C762F1">
        <w:trPr>
          <w:trHeight w:val="300"/>
        </w:trPr>
        <w:tc>
          <w:tcPr>
            <w:tcW w:w="2020" w:type="dxa"/>
            <w:tcBorders>
              <w:top w:val="single" w:sz="4" w:space="0" w:color="auto"/>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 </w:t>
            </w:r>
          </w:p>
        </w:tc>
        <w:tc>
          <w:tcPr>
            <w:tcW w:w="80" w:type="dxa"/>
            <w:tcBorders>
              <w:top w:val="single" w:sz="4" w:space="0" w:color="auto"/>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 </w:t>
            </w:r>
          </w:p>
        </w:tc>
        <w:tc>
          <w:tcPr>
            <w:tcW w:w="100" w:type="dxa"/>
            <w:tcBorders>
              <w:top w:val="single" w:sz="4" w:space="0" w:color="auto"/>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 </w:t>
            </w:r>
          </w:p>
        </w:tc>
        <w:tc>
          <w:tcPr>
            <w:tcW w:w="1360" w:type="dxa"/>
            <w:tcBorders>
              <w:top w:val="single" w:sz="4" w:space="0" w:color="auto"/>
              <w:left w:val="nil"/>
              <w:bottom w:val="nil"/>
              <w:right w:val="nil"/>
            </w:tcBorders>
            <w:shd w:val="clear" w:color="auto" w:fill="auto"/>
            <w:vAlign w:val="center"/>
            <w:hideMark/>
          </w:tcPr>
          <w:p w:rsidR="00C762F1" w:rsidRPr="00C762F1" w:rsidRDefault="00C762F1" w:rsidP="00C762F1">
            <w:pPr>
              <w:jc w:val="center"/>
              <w:rPr>
                <w:b/>
                <w:bCs/>
                <w:sz w:val="20"/>
                <w:szCs w:val="20"/>
              </w:rPr>
            </w:pPr>
            <w:r w:rsidRPr="00C762F1">
              <w:rPr>
                <w:b/>
                <w:bCs/>
                <w:sz w:val="20"/>
                <w:szCs w:val="20"/>
              </w:rPr>
              <w:t>(1)</w:t>
            </w:r>
          </w:p>
        </w:tc>
        <w:tc>
          <w:tcPr>
            <w:tcW w:w="220" w:type="dxa"/>
            <w:tcBorders>
              <w:top w:val="single" w:sz="4" w:space="0" w:color="auto"/>
              <w:left w:val="nil"/>
              <w:bottom w:val="nil"/>
              <w:right w:val="nil"/>
            </w:tcBorders>
            <w:shd w:val="clear" w:color="auto" w:fill="auto"/>
            <w:vAlign w:val="bottom"/>
            <w:hideMark/>
          </w:tcPr>
          <w:p w:rsidR="00C762F1" w:rsidRPr="00C762F1" w:rsidRDefault="00C762F1" w:rsidP="00C762F1">
            <w:pPr>
              <w:rPr>
                <w:sz w:val="20"/>
                <w:szCs w:val="20"/>
              </w:rPr>
            </w:pPr>
            <w:r w:rsidRPr="00C762F1">
              <w:rPr>
                <w:sz w:val="20"/>
                <w:szCs w:val="20"/>
              </w:rPr>
              <w:t> </w:t>
            </w:r>
          </w:p>
        </w:tc>
        <w:tc>
          <w:tcPr>
            <w:tcW w:w="1360" w:type="dxa"/>
            <w:tcBorders>
              <w:top w:val="single" w:sz="4" w:space="0" w:color="auto"/>
              <w:left w:val="nil"/>
              <w:bottom w:val="nil"/>
              <w:right w:val="nil"/>
            </w:tcBorders>
            <w:shd w:val="clear" w:color="auto" w:fill="auto"/>
            <w:vAlign w:val="center"/>
            <w:hideMark/>
          </w:tcPr>
          <w:p w:rsidR="00C762F1" w:rsidRPr="00C762F1" w:rsidRDefault="00C762F1" w:rsidP="00C762F1">
            <w:pPr>
              <w:jc w:val="center"/>
              <w:rPr>
                <w:b/>
                <w:bCs/>
                <w:sz w:val="20"/>
                <w:szCs w:val="20"/>
              </w:rPr>
            </w:pPr>
            <w:r w:rsidRPr="00C762F1">
              <w:rPr>
                <w:b/>
                <w:bCs/>
                <w:sz w:val="20"/>
                <w:szCs w:val="20"/>
              </w:rPr>
              <w:t>(2)</w:t>
            </w:r>
          </w:p>
        </w:tc>
        <w:tc>
          <w:tcPr>
            <w:tcW w:w="220" w:type="dxa"/>
            <w:tcBorders>
              <w:top w:val="single" w:sz="4" w:space="0" w:color="auto"/>
              <w:left w:val="nil"/>
              <w:bottom w:val="nil"/>
              <w:right w:val="nil"/>
            </w:tcBorders>
            <w:shd w:val="clear" w:color="auto" w:fill="auto"/>
            <w:vAlign w:val="bottom"/>
            <w:hideMark/>
          </w:tcPr>
          <w:p w:rsidR="00C762F1" w:rsidRPr="00C762F1" w:rsidRDefault="00C762F1" w:rsidP="00C762F1">
            <w:pPr>
              <w:rPr>
                <w:sz w:val="20"/>
                <w:szCs w:val="20"/>
              </w:rPr>
            </w:pPr>
            <w:r w:rsidRPr="00C762F1">
              <w:rPr>
                <w:sz w:val="20"/>
                <w:szCs w:val="20"/>
              </w:rPr>
              <w:t> </w:t>
            </w:r>
          </w:p>
        </w:tc>
        <w:tc>
          <w:tcPr>
            <w:tcW w:w="1360" w:type="dxa"/>
            <w:tcBorders>
              <w:top w:val="single" w:sz="4" w:space="0" w:color="auto"/>
              <w:left w:val="nil"/>
              <w:bottom w:val="nil"/>
              <w:right w:val="nil"/>
            </w:tcBorders>
            <w:shd w:val="clear" w:color="auto" w:fill="auto"/>
            <w:vAlign w:val="center"/>
            <w:hideMark/>
          </w:tcPr>
          <w:p w:rsidR="00C762F1" w:rsidRPr="00C762F1" w:rsidRDefault="00C762F1" w:rsidP="00C762F1">
            <w:pPr>
              <w:jc w:val="center"/>
              <w:rPr>
                <w:b/>
                <w:bCs/>
                <w:sz w:val="20"/>
                <w:szCs w:val="20"/>
              </w:rPr>
            </w:pPr>
            <w:r w:rsidRPr="00C762F1">
              <w:rPr>
                <w:b/>
                <w:bCs/>
                <w:sz w:val="20"/>
                <w:szCs w:val="20"/>
              </w:rPr>
              <w:t>(3)</w:t>
            </w:r>
          </w:p>
        </w:tc>
        <w:tc>
          <w:tcPr>
            <w:tcW w:w="220" w:type="dxa"/>
            <w:tcBorders>
              <w:top w:val="single" w:sz="4" w:space="0" w:color="auto"/>
              <w:left w:val="nil"/>
              <w:bottom w:val="nil"/>
              <w:right w:val="nil"/>
            </w:tcBorders>
            <w:shd w:val="clear" w:color="auto" w:fill="auto"/>
            <w:vAlign w:val="bottom"/>
            <w:hideMark/>
          </w:tcPr>
          <w:p w:rsidR="00C762F1" w:rsidRPr="00C762F1" w:rsidRDefault="00C762F1" w:rsidP="00C762F1">
            <w:pPr>
              <w:rPr>
                <w:sz w:val="20"/>
                <w:szCs w:val="20"/>
              </w:rPr>
            </w:pPr>
            <w:r w:rsidRPr="00C762F1">
              <w:rPr>
                <w:sz w:val="20"/>
                <w:szCs w:val="20"/>
              </w:rPr>
              <w:t> </w:t>
            </w:r>
          </w:p>
        </w:tc>
        <w:tc>
          <w:tcPr>
            <w:tcW w:w="1360" w:type="dxa"/>
            <w:tcBorders>
              <w:top w:val="single" w:sz="4" w:space="0" w:color="auto"/>
              <w:left w:val="nil"/>
              <w:bottom w:val="nil"/>
              <w:right w:val="nil"/>
            </w:tcBorders>
            <w:shd w:val="clear" w:color="auto" w:fill="auto"/>
            <w:vAlign w:val="center"/>
            <w:hideMark/>
          </w:tcPr>
          <w:p w:rsidR="00C762F1" w:rsidRPr="00C762F1" w:rsidRDefault="00C762F1" w:rsidP="00C762F1">
            <w:pPr>
              <w:jc w:val="center"/>
              <w:rPr>
                <w:b/>
                <w:bCs/>
                <w:sz w:val="20"/>
                <w:szCs w:val="20"/>
              </w:rPr>
            </w:pPr>
            <w:r w:rsidRPr="00C762F1">
              <w:rPr>
                <w:b/>
                <w:bCs/>
                <w:sz w:val="20"/>
                <w:szCs w:val="20"/>
              </w:rPr>
              <w:t>(4)</w:t>
            </w:r>
          </w:p>
        </w:tc>
      </w:tr>
      <w:tr w:rsidR="00C762F1" w:rsidRPr="00C762F1" w:rsidTr="00C762F1">
        <w:trPr>
          <w:trHeight w:val="540"/>
        </w:trPr>
        <w:tc>
          <w:tcPr>
            <w:tcW w:w="2020" w:type="dxa"/>
            <w:tcBorders>
              <w:top w:val="nil"/>
              <w:left w:val="nil"/>
              <w:bottom w:val="single" w:sz="4" w:space="0" w:color="auto"/>
              <w:right w:val="nil"/>
            </w:tcBorders>
            <w:shd w:val="clear" w:color="auto" w:fill="auto"/>
            <w:vAlign w:val="center"/>
            <w:hideMark/>
          </w:tcPr>
          <w:p w:rsidR="00C762F1" w:rsidRPr="00C762F1" w:rsidRDefault="00C762F1" w:rsidP="00C762F1">
            <w:pPr>
              <w:rPr>
                <w:sz w:val="20"/>
                <w:szCs w:val="20"/>
              </w:rPr>
            </w:pPr>
            <w:r w:rsidRPr="00C762F1">
              <w:rPr>
                <w:sz w:val="20"/>
                <w:szCs w:val="20"/>
              </w:rPr>
              <w:t> </w:t>
            </w:r>
          </w:p>
        </w:tc>
        <w:tc>
          <w:tcPr>
            <w:tcW w:w="80" w:type="dxa"/>
            <w:tcBorders>
              <w:top w:val="nil"/>
              <w:left w:val="nil"/>
              <w:bottom w:val="single" w:sz="4" w:space="0" w:color="auto"/>
              <w:right w:val="nil"/>
            </w:tcBorders>
            <w:shd w:val="clear" w:color="auto" w:fill="auto"/>
            <w:vAlign w:val="center"/>
            <w:hideMark/>
          </w:tcPr>
          <w:p w:rsidR="00C762F1" w:rsidRPr="00C762F1" w:rsidRDefault="00C762F1" w:rsidP="00C762F1">
            <w:pPr>
              <w:rPr>
                <w:sz w:val="20"/>
                <w:szCs w:val="20"/>
              </w:rPr>
            </w:pPr>
            <w:r w:rsidRPr="00C762F1">
              <w:rPr>
                <w:sz w:val="20"/>
                <w:szCs w:val="20"/>
              </w:rPr>
              <w:t> </w:t>
            </w:r>
          </w:p>
        </w:tc>
        <w:tc>
          <w:tcPr>
            <w:tcW w:w="100" w:type="dxa"/>
            <w:tcBorders>
              <w:top w:val="nil"/>
              <w:left w:val="nil"/>
              <w:bottom w:val="single" w:sz="4" w:space="0" w:color="auto"/>
              <w:right w:val="nil"/>
            </w:tcBorders>
            <w:shd w:val="clear" w:color="auto" w:fill="auto"/>
            <w:vAlign w:val="center"/>
            <w:hideMark/>
          </w:tcPr>
          <w:p w:rsidR="00C762F1" w:rsidRPr="00C762F1" w:rsidRDefault="00C762F1" w:rsidP="00C762F1">
            <w:pPr>
              <w:rPr>
                <w:sz w:val="20"/>
                <w:szCs w:val="20"/>
              </w:rPr>
            </w:pPr>
            <w:r w:rsidRPr="00C762F1">
              <w:rPr>
                <w:sz w:val="20"/>
                <w:szCs w:val="20"/>
              </w:rPr>
              <w:t> </w:t>
            </w:r>
          </w:p>
        </w:tc>
        <w:tc>
          <w:tcPr>
            <w:tcW w:w="1360" w:type="dxa"/>
            <w:tcBorders>
              <w:top w:val="nil"/>
              <w:left w:val="nil"/>
              <w:bottom w:val="single" w:sz="4" w:space="0" w:color="auto"/>
              <w:right w:val="nil"/>
            </w:tcBorders>
            <w:shd w:val="clear" w:color="auto" w:fill="auto"/>
            <w:vAlign w:val="center"/>
            <w:hideMark/>
          </w:tcPr>
          <w:p w:rsidR="00C762F1" w:rsidRPr="00C762F1" w:rsidRDefault="00C762F1" w:rsidP="00C762F1">
            <w:pPr>
              <w:jc w:val="center"/>
              <w:rPr>
                <w:b/>
                <w:bCs/>
                <w:sz w:val="20"/>
                <w:szCs w:val="20"/>
              </w:rPr>
            </w:pPr>
            <w:r w:rsidRPr="00C762F1">
              <w:rPr>
                <w:b/>
                <w:bCs/>
                <w:sz w:val="20"/>
                <w:szCs w:val="20"/>
              </w:rPr>
              <w:t xml:space="preserve"> OLS Linear</w:t>
            </w:r>
          </w:p>
        </w:tc>
        <w:tc>
          <w:tcPr>
            <w:tcW w:w="220" w:type="dxa"/>
            <w:tcBorders>
              <w:top w:val="nil"/>
              <w:left w:val="nil"/>
              <w:bottom w:val="single" w:sz="4" w:space="0" w:color="auto"/>
              <w:right w:val="nil"/>
            </w:tcBorders>
            <w:shd w:val="clear" w:color="auto" w:fill="auto"/>
            <w:vAlign w:val="bottom"/>
            <w:hideMark/>
          </w:tcPr>
          <w:p w:rsidR="00C762F1" w:rsidRPr="00C762F1" w:rsidRDefault="00C762F1" w:rsidP="00C762F1">
            <w:pPr>
              <w:jc w:val="center"/>
              <w:rPr>
                <w:sz w:val="20"/>
                <w:szCs w:val="20"/>
              </w:rPr>
            </w:pPr>
            <w:r w:rsidRPr="00C762F1">
              <w:rPr>
                <w:sz w:val="20"/>
                <w:szCs w:val="20"/>
              </w:rPr>
              <w:t> </w:t>
            </w:r>
          </w:p>
        </w:tc>
        <w:tc>
          <w:tcPr>
            <w:tcW w:w="1360" w:type="dxa"/>
            <w:tcBorders>
              <w:top w:val="nil"/>
              <w:left w:val="nil"/>
              <w:bottom w:val="single" w:sz="4" w:space="0" w:color="auto"/>
              <w:right w:val="nil"/>
            </w:tcBorders>
            <w:shd w:val="clear" w:color="auto" w:fill="auto"/>
            <w:vAlign w:val="center"/>
            <w:hideMark/>
          </w:tcPr>
          <w:p w:rsidR="00C762F1" w:rsidRPr="00C762F1" w:rsidRDefault="00C762F1" w:rsidP="00C762F1">
            <w:pPr>
              <w:jc w:val="center"/>
              <w:rPr>
                <w:b/>
                <w:bCs/>
                <w:sz w:val="20"/>
                <w:szCs w:val="20"/>
              </w:rPr>
            </w:pPr>
            <w:r w:rsidRPr="00C762F1">
              <w:rPr>
                <w:b/>
                <w:bCs/>
                <w:sz w:val="20"/>
                <w:szCs w:val="20"/>
              </w:rPr>
              <w:t>OLS Quadratic</w:t>
            </w:r>
          </w:p>
        </w:tc>
        <w:tc>
          <w:tcPr>
            <w:tcW w:w="220" w:type="dxa"/>
            <w:tcBorders>
              <w:top w:val="nil"/>
              <w:left w:val="nil"/>
              <w:bottom w:val="single" w:sz="4" w:space="0" w:color="auto"/>
              <w:right w:val="nil"/>
            </w:tcBorders>
            <w:shd w:val="clear" w:color="auto" w:fill="auto"/>
            <w:vAlign w:val="bottom"/>
            <w:hideMark/>
          </w:tcPr>
          <w:p w:rsidR="00C762F1" w:rsidRPr="00C762F1" w:rsidRDefault="00C762F1" w:rsidP="00C762F1">
            <w:pPr>
              <w:jc w:val="center"/>
              <w:rPr>
                <w:sz w:val="20"/>
                <w:szCs w:val="20"/>
              </w:rPr>
            </w:pPr>
            <w:r w:rsidRPr="00C762F1">
              <w:rPr>
                <w:sz w:val="20"/>
                <w:szCs w:val="20"/>
              </w:rPr>
              <w:t> </w:t>
            </w:r>
          </w:p>
        </w:tc>
        <w:tc>
          <w:tcPr>
            <w:tcW w:w="1360" w:type="dxa"/>
            <w:tcBorders>
              <w:top w:val="nil"/>
              <w:left w:val="nil"/>
              <w:bottom w:val="single" w:sz="4" w:space="0" w:color="auto"/>
              <w:right w:val="nil"/>
            </w:tcBorders>
            <w:shd w:val="clear" w:color="auto" w:fill="auto"/>
            <w:vAlign w:val="center"/>
            <w:hideMark/>
          </w:tcPr>
          <w:p w:rsidR="00C762F1" w:rsidRPr="00C762F1" w:rsidRDefault="00C762F1" w:rsidP="00C762F1">
            <w:pPr>
              <w:jc w:val="center"/>
              <w:rPr>
                <w:b/>
                <w:bCs/>
                <w:sz w:val="20"/>
                <w:szCs w:val="20"/>
              </w:rPr>
            </w:pPr>
            <w:r w:rsidRPr="00C762F1">
              <w:rPr>
                <w:b/>
                <w:bCs/>
                <w:sz w:val="20"/>
                <w:szCs w:val="20"/>
              </w:rPr>
              <w:t>OLS Lag TAXRISK</w:t>
            </w:r>
          </w:p>
        </w:tc>
        <w:tc>
          <w:tcPr>
            <w:tcW w:w="220" w:type="dxa"/>
            <w:tcBorders>
              <w:top w:val="nil"/>
              <w:left w:val="nil"/>
              <w:bottom w:val="single" w:sz="4" w:space="0" w:color="auto"/>
              <w:right w:val="nil"/>
            </w:tcBorders>
            <w:shd w:val="clear" w:color="auto" w:fill="auto"/>
            <w:vAlign w:val="bottom"/>
            <w:hideMark/>
          </w:tcPr>
          <w:p w:rsidR="00C762F1" w:rsidRPr="00C762F1" w:rsidRDefault="00C762F1" w:rsidP="00C762F1">
            <w:pPr>
              <w:jc w:val="center"/>
              <w:rPr>
                <w:sz w:val="20"/>
                <w:szCs w:val="20"/>
              </w:rPr>
            </w:pPr>
            <w:r w:rsidRPr="00C762F1">
              <w:rPr>
                <w:sz w:val="20"/>
                <w:szCs w:val="20"/>
              </w:rPr>
              <w:t> </w:t>
            </w:r>
          </w:p>
        </w:tc>
        <w:tc>
          <w:tcPr>
            <w:tcW w:w="1360" w:type="dxa"/>
            <w:tcBorders>
              <w:top w:val="nil"/>
              <w:left w:val="nil"/>
              <w:bottom w:val="single" w:sz="4" w:space="0" w:color="auto"/>
              <w:right w:val="nil"/>
            </w:tcBorders>
            <w:shd w:val="clear" w:color="auto" w:fill="auto"/>
            <w:vAlign w:val="center"/>
            <w:hideMark/>
          </w:tcPr>
          <w:p w:rsidR="00C762F1" w:rsidRPr="00C762F1" w:rsidRDefault="00C762F1" w:rsidP="00C762F1">
            <w:pPr>
              <w:jc w:val="center"/>
              <w:rPr>
                <w:b/>
                <w:bCs/>
                <w:sz w:val="20"/>
                <w:szCs w:val="20"/>
              </w:rPr>
            </w:pPr>
            <w:r w:rsidRPr="00C762F1">
              <w:rPr>
                <w:b/>
                <w:bCs/>
                <w:sz w:val="20"/>
                <w:szCs w:val="20"/>
              </w:rPr>
              <w:t>IV with Bootstrap</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TAXRISK</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0.119***</w:t>
            </w:r>
          </w:p>
        </w:tc>
        <w:tc>
          <w:tcPr>
            <w:tcW w:w="220" w:type="dxa"/>
            <w:tcBorders>
              <w:top w:val="nil"/>
              <w:left w:val="nil"/>
              <w:bottom w:val="nil"/>
              <w:right w:val="nil"/>
            </w:tcBorders>
            <w:shd w:val="clear" w:color="auto" w:fill="auto"/>
            <w:noWrap/>
            <w:vAlign w:val="bottom"/>
            <w:hideMark/>
          </w:tcPr>
          <w:p w:rsidR="00C762F1" w:rsidRPr="00C762F1" w:rsidRDefault="00C762F1" w:rsidP="00C762F1">
            <w:pPr>
              <w:rPr>
                <w:color w:val="000000"/>
                <w:sz w:val="22"/>
                <w:szCs w:val="22"/>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0.430***</w:t>
            </w:r>
          </w:p>
        </w:tc>
        <w:tc>
          <w:tcPr>
            <w:tcW w:w="220" w:type="dxa"/>
            <w:tcBorders>
              <w:top w:val="nil"/>
              <w:left w:val="nil"/>
              <w:bottom w:val="nil"/>
              <w:right w:val="nil"/>
            </w:tcBorders>
            <w:shd w:val="clear" w:color="auto" w:fill="auto"/>
            <w:noWrap/>
            <w:vAlign w:val="bottom"/>
            <w:hideMark/>
          </w:tcPr>
          <w:p w:rsidR="00C762F1" w:rsidRPr="00C762F1" w:rsidRDefault="00C762F1" w:rsidP="00C762F1">
            <w:pPr>
              <w:rPr>
                <w:color w:val="000000"/>
                <w:sz w:val="22"/>
                <w:szCs w:val="22"/>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0.423***</w:t>
            </w:r>
          </w:p>
        </w:tc>
        <w:tc>
          <w:tcPr>
            <w:tcW w:w="220" w:type="dxa"/>
            <w:tcBorders>
              <w:top w:val="nil"/>
              <w:left w:val="nil"/>
              <w:bottom w:val="nil"/>
              <w:right w:val="nil"/>
            </w:tcBorders>
            <w:shd w:val="clear" w:color="auto" w:fill="auto"/>
            <w:noWrap/>
            <w:vAlign w:val="bottom"/>
            <w:hideMark/>
          </w:tcPr>
          <w:p w:rsidR="00C762F1" w:rsidRPr="00C762F1" w:rsidRDefault="00C762F1" w:rsidP="00C762F1">
            <w:pPr>
              <w:rPr>
                <w:color w:val="000000"/>
                <w:sz w:val="22"/>
                <w:szCs w:val="22"/>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0.490***</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(5.541)</w:t>
            </w: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(9.427)</w:t>
            </w: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(9.246)</w:t>
            </w: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(13.506)</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TAXRISK_SQ</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220" w:type="dxa"/>
            <w:tcBorders>
              <w:top w:val="nil"/>
              <w:left w:val="nil"/>
              <w:bottom w:val="nil"/>
              <w:right w:val="nil"/>
            </w:tcBorders>
            <w:shd w:val="clear" w:color="auto" w:fill="auto"/>
            <w:noWrap/>
            <w:vAlign w:val="bottom"/>
            <w:hideMark/>
          </w:tcPr>
          <w:p w:rsidR="00C762F1" w:rsidRPr="00C762F1" w:rsidRDefault="00C762F1" w:rsidP="00C762F1">
            <w:pPr>
              <w:rPr>
                <w:color w:val="000000"/>
                <w:sz w:val="22"/>
                <w:szCs w:val="22"/>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-0.035***</w:t>
            </w:r>
          </w:p>
        </w:tc>
        <w:tc>
          <w:tcPr>
            <w:tcW w:w="220" w:type="dxa"/>
            <w:tcBorders>
              <w:top w:val="nil"/>
              <w:left w:val="nil"/>
              <w:bottom w:val="nil"/>
              <w:right w:val="nil"/>
            </w:tcBorders>
            <w:shd w:val="clear" w:color="auto" w:fill="auto"/>
            <w:noWrap/>
            <w:vAlign w:val="bottom"/>
            <w:hideMark/>
          </w:tcPr>
          <w:p w:rsidR="00C762F1" w:rsidRPr="00C762F1" w:rsidRDefault="00C762F1" w:rsidP="00C762F1">
            <w:pPr>
              <w:rPr>
                <w:color w:val="000000"/>
                <w:sz w:val="22"/>
                <w:szCs w:val="22"/>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-0.034***</w:t>
            </w:r>
          </w:p>
        </w:tc>
        <w:tc>
          <w:tcPr>
            <w:tcW w:w="220" w:type="dxa"/>
            <w:tcBorders>
              <w:top w:val="nil"/>
              <w:left w:val="nil"/>
              <w:bottom w:val="nil"/>
              <w:right w:val="nil"/>
            </w:tcBorders>
            <w:shd w:val="clear" w:color="auto" w:fill="auto"/>
            <w:noWrap/>
            <w:vAlign w:val="bottom"/>
            <w:hideMark/>
          </w:tcPr>
          <w:p w:rsidR="00C762F1" w:rsidRPr="00C762F1" w:rsidRDefault="00C762F1" w:rsidP="00C762F1">
            <w:pPr>
              <w:rPr>
                <w:color w:val="000000"/>
                <w:sz w:val="22"/>
                <w:szCs w:val="22"/>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-0.041***</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(-7.677)</w:t>
            </w: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(-7.533)</w:t>
            </w: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(-9.849)</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DISCR_ACCRUALS</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-2.049***</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-1.896***</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-1.947***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-1.867***</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(-6.409)</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(-5.818)</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(-6.015)</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(-6.067)</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FOREIGN_INCOME</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9.061***</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7.884***</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7.915***</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7.313***</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(9.756)</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(8.514)</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(8.538)</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(9.133)</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NOL</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-0.232***</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-0.185***</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-0.194***</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-0.226***</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(-4.602)</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(-3.473)</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(-3.748)</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(-5.592)</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LT_DEBT</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1.577***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1.616***</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1.590***</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1.696***</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(7.889)</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(8.167)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(7.999)</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(12.572)</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SALES_GROWTH</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0.946***</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0.957***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0.987***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1.035***</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(6.656)</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(6.691)</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(6.926)</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(9.549)</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LOSS</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-0.899***</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-0.897***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-0.868***</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-0.979***</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(-12.799)</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(-13.112)</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(-12.696)</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(-13.452)</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STD_DEV_RETURNS</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-16.747***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-16.361***</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-16.244***</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-16.087***</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(-19.793)</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(-19.530)</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(-19.378)</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(-25.426)</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LOG_AGE</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0.167***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0.152***</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0.147***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0.159***</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(3.597)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(3.280)</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(3.189)</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(6.202)</w:t>
            </w:r>
          </w:p>
        </w:tc>
      </w:tr>
      <w:tr w:rsidR="00C762F1" w:rsidRPr="00C762F1" w:rsidTr="00945055">
        <w:trPr>
          <w:trHeight w:val="135"/>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22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rPr>
                <w:sz w:val="20"/>
                <w:szCs w:val="20"/>
              </w:rPr>
            </w:pP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Year Fixed Effects</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Yes</w:t>
            </w: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Yes</w:t>
            </w: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Yes</w:t>
            </w: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Yes</w:t>
            </w:r>
          </w:p>
        </w:tc>
      </w:tr>
      <w:tr w:rsidR="00C762F1" w:rsidRPr="00C762F1" w:rsidTr="00C762F1">
        <w:trPr>
          <w:trHeight w:val="345"/>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Industry Fixed Effects</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Yes</w:t>
            </w: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Yes</w:t>
            </w: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Yes</w:t>
            </w:r>
          </w:p>
        </w:tc>
        <w:tc>
          <w:tcPr>
            <w:tcW w:w="220" w:type="dxa"/>
            <w:tcBorders>
              <w:top w:val="nil"/>
              <w:left w:val="nil"/>
              <w:bottom w:val="nil"/>
              <w:right w:val="nil"/>
            </w:tcBorders>
            <w:shd w:val="clear" w:color="auto" w:fill="auto"/>
            <w:vAlign w:val="bottom"/>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Yes</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Adjusted R-Squared</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0.460</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0.477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0.477</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0.475</w:t>
            </w:r>
          </w:p>
        </w:tc>
      </w:tr>
      <w:tr w:rsidR="00C762F1" w:rsidRPr="00C762F1" w:rsidTr="00C762F1">
        <w:trPr>
          <w:trHeight w:val="300"/>
        </w:trPr>
        <w:tc>
          <w:tcPr>
            <w:tcW w:w="2020" w:type="dxa"/>
            <w:tcBorders>
              <w:top w:val="nil"/>
              <w:left w:val="nil"/>
              <w:bottom w:val="nil"/>
              <w:right w:val="nil"/>
            </w:tcBorders>
            <w:shd w:val="clear" w:color="auto" w:fill="auto"/>
            <w:vAlign w:val="center"/>
            <w:hideMark/>
          </w:tcPr>
          <w:p w:rsidR="00C762F1" w:rsidRPr="00C762F1" w:rsidRDefault="00C762F1" w:rsidP="00C762F1">
            <w:pPr>
              <w:rPr>
                <w:sz w:val="20"/>
                <w:szCs w:val="20"/>
              </w:rPr>
            </w:pPr>
            <w:r w:rsidRPr="00C762F1">
              <w:rPr>
                <w:sz w:val="20"/>
                <w:szCs w:val="20"/>
              </w:rPr>
              <w:t>N</w:t>
            </w:r>
          </w:p>
        </w:tc>
        <w:tc>
          <w:tcPr>
            <w:tcW w:w="8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00" w:type="dxa"/>
            <w:tcBorders>
              <w:top w:val="nil"/>
              <w:left w:val="nil"/>
              <w:bottom w:val="nil"/>
              <w:right w:val="nil"/>
            </w:tcBorders>
            <w:shd w:val="clear" w:color="auto" w:fill="auto"/>
            <w:vAlign w:val="center"/>
            <w:hideMark/>
          </w:tcPr>
          <w:p w:rsidR="00C762F1" w:rsidRPr="00C762F1" w:rsidRDefault="00C762F1" w:rsidP="00C762F1">
            <w:pP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4,128</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4,128</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4,128</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4,128</w:t>
            </w:r>
          </w:p>
        </w:tc>
      </w:tr>
      <w:tr w:rsidR="00C762F1" w:rsidRPr="00C762F1" w:rsidTr="00C762F1">
        <w:trPr>
          <w:trHeight w:val="300"/>
        </w:trPr>
        <w:tc>
          <w:tcPr>
            <w:tcW w:w="3560" w:type="dxa"/>
            <w:gridSpan w:val="4"/>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 xml:space="preserve">(a) </w:t>
            </w:r>
            <w:proofErr w:type="spellStart"/>
            <w:r w:rsidRPr="00C762F1">
              <w:rPr>
                <w:sz w:val="20"/>
                <w:szCs w:val="20"/>
              </w:rPr>
              <w:t>Argmax</w:t>
            </w:r>
            <w:proofErr w:type="spellEnd"/>
            <w:r w:rsidRPr="00C762F1">
              <w:rPr>
                <w:sz w:val="20"/>
                <w:szCs w:val="20"/>
              </w:rPr>
              <w:t xml:space="preserve"> (Implied Optimum)</w:t>
            </w:r>
          </w:p>
        </w:tc>
        <w:tc>
          <w:tcPr>
            <w:tcW w:w="220" w:type="dxa"/>
            <w:tcBorders>
              <w:top w:val="nil"/>
              <w:left w:val="nil"/>
              <w:bottom w:val="nil"/>
              <w:right w:val="nil"/>
            </w:tcBorders>
            <w:shd w:val="clear" w:color="auto" w:fill="auto"/>
            <w:noWrap/>
            <w:vAlign w:val="bottom"/>
            <w:hideMark/>
          </w:tcPr>
          <w:p w:rsidR="00C762F1" w:rsidRPr="00C762F1" w:rsidRDefault="00C762F1" w:rsidP="00C762F1">
            <w:pPr>
              <w:jc w:val="center"/>
              <w:rPr>
                <w:color w:val="000000"/>
                <w:sz w:val="22"/>
                <w:szCs w:val="22"/>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6.1</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6.3</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6.0</w:t>
            </w:r>
          </w:p>
        </w:tc>
      </w:tr>
      <w:tr w:rsidR="00C762F1" w:rsidRPr="00C762F1" w:rsidTr="00C762F1">
        <w:trPr>
          <w:trHeight w:val="300"/>
        </w:trPr>
        <w:tc>
          <w:tcPr>
            <w:tcW w:w="3560" w:type="dxa"/>
            <w:gridSpan w:val="4"/>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 xml:space="preserve">(b) Percent </w:t>
            </w:r>
            <w:proofErr w:type="spellStart"/>
            <w:r w:rsidRPr="00C762F1">
              <w:rPr>
                <w:sz w:val="20"/>
                <w:szCs w:val="20"/>
              </w:rPr>
              <w:t>obs</w:t>
            </w:r>
            <w:proofErr w:type="spellEnd"/>
            <w:r w:rsidRPr="00C762F1">
              <w:rPr>
                <w:sz w:val="20"/>
                <w:szCs w:val="20"/>
              </w:rPr>
              <w:t xml:space="preserve"> with TAXRISK&lt;</w:t>
            </w:r>
            <w:proofErr w:type="spellStart"/>
            <w:r w:rsidRPr="00C762F1">
              <w:rPr>
                <w:sz w:val="20"/>
                <w:szCs w:val="20"/>
              </w:rPr>
              <w:t>argmax</w:t>
            </w:r>
            <w:proofErr w:type="spellEnd"/>
          </w:p>
        </w:tc>
        <w:tc>
          <w:tcPr>
            <w:tcW w:w="220" w:type="dxa"/>
            <w:tcBorders>
              <w:top w:val="nil"/>
              <w:left w:val="nil"/>
              <w:bottom w:val="nil"/>
              <w:right w:val="nil"/>
            </w:tcBorders>
            <w:shd w:val="clear" w:color="auto" w:fill="auto"/>
            <w:noWrap/>
            <w:vAlign w:val="bottom"/>
            <w:hideMark/>
          </w:tcPr>
          <w:p w:rsidR="00C762F1" w:rsidRPr="00C762F1" w:rsidRDefault="00C762F1" w:rsidP="00C762F1">
            <w:pPr>
              <w:jc w:val="center"/>
              <w:rPr>
                <w:color w:val="000000"/>
                <w:sz w:val="22"/>
                <w:szCs w:val="22"/>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96.0%</w:t>
            </w:r>
          </w:p>
        </w:tc>
        <w:tc>
          <w:tcPr>
            <w:tcW w:w="220" w:type="dxa"/>
            <w:tcBorders>
              <w:top w:val="nil"/>
              <w:left w:val="nil"/>
              <w:bottom w:val="nil"/>
              <w:right w:val="nil"/>
            </w:tcBorders>
            <w:shd w:val="clear" w:color="auto" w:fill="auto"/>
            <w:noWrap/>
            <w:vAlign w:val="bottom"/>
            <w:hideMark/>
          </w:tcPr>
          <w:p w:rsidR="00C762F1" w:rsidRPr="00C762F1" w:rsidRDefault="00C762F1" w:rsidP="00C762F1">
            <w:pPr>
              <w:jc w:val="center"/>
              <w:rPr>
                <w:color w:val="000000"/>
                <w:sz w:val="22"/>
                <w:szCs w:val="22"/>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96.2%</w:t>
            </w:r>
          </w:p>
        </w:tc>
        <w:tc>
          <w:tcPr>
            <w:tcW w:w="220" w:type="dxa"/>
            <w:tcBorders>
              <w:top w:val="nil"/>
              <w:left w:val="nil"/>
              <w:bottom w:val="nil"/>
              <w:right w:val="nil"/>
            </w:tcBorders>
            <w:shd w:val="clear" w:color="auto" w:fill="auto"/>
            <w:noWrap/>
            <w:vAlign w:val="bottom"/>
            <w:hideMark/>
          </w:tcPr>
          <w:p w:rsidR="00C762F1" w:rsidRPr="00C762F1" w:rsidRDefault="00C762F1" w:rsidP="00C762F1">
            <w:pPr>
              <w:jc w:val="center"/>
              <w:rPr>
                <w:color w:val="000000"/>
                <w:sz w:val="22"/>
                <w:szCs w:val="22"/>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95.8%</w:t>
            </w:r>
          </w:p>
        </w:tc>
      </w:tr>
      <w:tr w:rsidR="00C762F1" w:rsidRPr="00C762F1" w:rsidTr="00C762F1">
        <w:trPr>
          <w:trHeight w:val="300"/>
        </w:trPr>
        <w:tc>
          <w:tcPr>
            <w:tcW w:w="3780" w:type="dxa"/>
            <w:gridSpan w:val="5"/>
            <w:tcBorders>
              <w:top w:val="nil"/>
              <w:left w:val="nil"/>
              <w:bottom w:val="nil"/>
              <w:right w:val="nil"/>
            </w:tcBorders>
            <w:shd w:val="clear" w:color="auto" w:fill="auto"/>
            <w:noWrap/>
            <w:vAlign w:val="center"/>
            <w:hideMark/>
          </w:tcPr>
          <w:p w:rsidR="00C762F1" w:rsidRPr="00C762F1" w:rsidRDefault="00C762F1" w:rsidP="00C762F1">
            <w:pPr>
              <w:rPr>
                <w:sz w:val="20"/>
                <w:szCs w:val="20"/>
              </w:rPr>
            </w:pPr>
            <w:r w:rsidRPr="00C762F1">
              <w:rPr>
                <w:sz w:val="20"/>
                <w:szCs w:val="20"/>
              </w:rPr>
              <w:t>(c) Average shortage of tax reserves (millions)</w:t>
            </w: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206.1</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213.8</w:t>
            </w:r>
          </w:p>
        </w:tc>
        <w:tc>
          <w:tcPr>
            <w:tcW w:w="22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p>
        </w:tc>
        <w:tc>
          <w:tcPr>
            <w:tcW w:w="1360" w:type="dxa"/>
            <w:tcBorders>
              <w:top w:val="nil"/>
              <w:left w:val="nil"/>
              <w:bottom w:val="nil"/>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200.5</w:t>
            </w:r>
          </w:p>
        </w:tc>
      </w:tr>
      <w:tr w:rsidR="00C762F1" w:rsidRPr="00C762F1" w:rsidTr="00C762F1">
        <w:trPr>
          <w:trHeight w:val="300"/>
        </w:trPr>
        <w:tc>
          <w:tcPr>
            <w:tcW w:w="3560" w:type="dxa"/>
            <w:gridSpan w:val="4"/>
            <w:tcBorders>
              <w:top w:val="nil"/>
              <w:left w:val="nil"/>
              <w:bottom w:val="single" w:sz="4" w:space="0" w:color="auto"/>
              <w:right w:val="nil"/>
            </w:tcBorders>
            <w:shd w:val="clear" w:color="auto" w:fill="auto"/>
            <w:noWrap/>
            <w:vAlign w:val="center"/>
            <w:hideMark/>
          </w:tcPr>
          <w:p w:rsidR="00C762F1" w:rsidRPr="00C762F1" w:rsidRDefault="00C762F1" w:rsidP="00C762F1">
            <w:pPr>
              <w:rPr>
                <w:sz w:val="20"/>
                <w:szCs w:val="20"/>
              </w:rPr>
            </w:pPr>
            <w:r w:rsidRPr="00C762F1">
              <w:rPr>
                <w:sz w:val="20"/>
                <w:szCs w:val="20"/>
              </w:rPr>
              <w:t>(d) Cumulative inc. in reserves (millions)</w:t>
            </w:r>
          </w:p>
        </w:tc>
        <w:tc>
          <w:tcPr>
            <w:tcW w:w="220" w:type="dxa"/>
            <w:tcBorders>
              <w:top w:val="nil"/>
              <w:left w:val="nil"/>
              <w:bottom w:val="single" w:sz="4" w:space="0" w:color="auto"/>
              <w:right w:val="nil"/>
            </w:tcBorders>
            <w:shd w:val="clear" w:color="auto" w:fill="auto"/>
            <w:noWrap/>
            <w:vAlign w:val="bottom"/>
            <w:hideMark/>
          </w:tcPr>
          <w:p w:rsidR="00C762F1" w:rsidRPr="00C762F1" w:rsidRDefault="00C762F1" w:rsidP="00C762F1">
            <w:pPr>
              <w:jc w:val="center"/>
              <w:rPr>
                <w:color w:val="000000"/>
                <w:sz w:val="22"/>
                <w:szCs w:val="22"/>
              </w:rPr>
            </w:pPr>
            <w:r w:rsidRPr="00C762F1">
              <w:rPr>
                <w:color w:val="000000"/>
                <w:sz w:val="22"/>
                <w:szCs w:val="22"/>
              </w:rPr>
              <w:t> </w:t>
            </w:r>
          </w:p>
        </w:tc>
        <w:tc>
          <w:tcPr>
            <w:tcW w:w="1360" w:type="dxa"/>
            <w:tcBorders>
              <w:top w:val="nil"/>
              <w:left w:val="nil"/>
              <w:bottom w:val="single" w:sz="4" w:space="0" w:color="auto"/>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753,926</w:t>
            </w:r>
          </w:p>
        </w:tc>
        <w:tc>
          <w:tcPr>
            <w:tcW w:w="220" w:type="dxa"/>
            <w:tcBorders>
              <w:top w:val="nil"/>
              <w:left w:val="nil"/>
              <w:bottom w:val="single" w:sz="4" w:space="0" w:color="auto"/>
              <w:right w:val="nil"/>
            </w:tcBorders>
            <w:shd w:val="clear" w:color="auto" w:fill="auto"/>
            <w:noWrap/>
            <w:vAlign w:val="bottom"/>
            <w:hideMark/>
          </w:tcPr>
          <w:p w:rsidR="00C762F1" w:rsidRPr="00C762F1" w:rsidRDefault="00C762F1" w:rsidP="00C762F1">
            <w:pPr>
              <w:jc w:val="center"/>
              <w:rPr>
                <w:color w:val="000000"/>
                <w:sz w:val="22"/>
                <w:szCs w:val="22"/>
              </w:rPr>
            </w:pPr>
            <w:r w:rsidRPr="00C762F1">
              <w:rPr>
                <w:color w:val="000000"/>
                <w:sz w:val="22"/>
                <w:szCs w:val="22"/>
              </w:rPr>
              <w:t> </w:t>
            </w:r>
          </w:p>
        </w:tc>
        <w:tc>
          <w:tcPr>
            <w:tcW w:w="1360" w:type="dxa"/>
            <w:tcBorders>
              <w:top w:val="nil"/>
              <w:left w:val="nil"/>
              <w:bottom w:val="single" w:sz="4" w:space="0" w:color="auto"/>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788,223</w:t>
            </w:r>
          </w:p>
        </w:tc>
        <w:tc>
          <w:tcPr>
            <w:tcW w:w="220" w:type="dxa"/>
            <w:tcBorders>
              <w:top w:val="nil"/>
              <w:left w:val="nil"/>
              <w:bottom w:val="single" w:sz="4" w:space="0" w:color="auto"/>
              <w:right w:val="nil"/>
            </w:tcBorders>
            <w:shd w:val="clear" w:color="auto" w:fill="auto"/>
            <w:noWrap/>
            <w:vAlign w:val="bottom"/>
            <w:hideMark/>
          </w:tcPr>
          <w:p w:rsidR="00C762F1" w:rsidRPr="00C762F1" w:rsidRDefault="00C762F1" w:rsidP="00C762F1">
            <w:pPr>
              <w:jc w:val="center"/>
              <w:rPr>
                <w:color w:val="000000"/>
                <w:sz w:val="22"/>
                <w:szCs w:val="22"/>
              </w:rPr>
            </w:pPr>
            <w:r w:rsidRPr="00C762F1">
              <w:rPr>
                <w:color w:val="000000"/>
                <w:sz w:val="22"/>
                <w:szCs w:val="22"/>
              </w:rPr>
              <w:t> </w:t>
            </w:r>
          </w:p>
        </w:tc>
        <w:tc>
          <w:tcPr>
            <w:tcW w:w="1360" w:type="dxa"/>
            <w:tcBorders>
              <w:top w:val="nil"/>
              <w:left w:val="nil"/>
              <w:bottom w:val="single" w:sz="4" w:space="0" w:color="auto"/>
              <w:right w:val="nil"/>
            </w:tcBorders>
            <w:shd w:val="clear" w:color="auto" w:fill="auto"/>
            <w:noWrap/>
            <w:vAlign w:val="center"/>
            <w:hideMark/>
          </w:tcPr>
          <w:p w:rsidR="00C762F1" w:rsidRPr="00C762F1" w:rsidRDefault="00C762F1" w:rsidP="00C762F1">
            <w:pPr>
              <w:jc w:val="center"/>
              <w:rPr>
                <w:sz w:val="20"/>
                <w:szCs w:val="20"/>
              </w:rPr>
            </w:pPr>
            <w:r w:rsidRPr="00C762F1">
              <w:rPr>
                <w:sz w:val="20"/>
                <w:szCs w:val="20"/>
              </w:rPr>
              <w:t>733,096</w:t>
            </w:r>
          </w:p>
        </w:tc>
      </w:tr>
    </w:tbl>
    <w:p w:rsidR="00F850F5" w:rsidRDefault="00F850F5" w:rsidP="0015097E">
      <w:pPr>
        <w:rPr>
          <w:noProof/>
          <w:sz w:val="16"/>
          <w:szCs w:val="16"/>
        </w:rPr>
      </w:pPr>
    </w:p>
    <w:p w:rsidR="00B156A4" w:rsidRPr="00945055" w:rsidRDefault="0015097E" w:rsidP="0015097E">
      <w:pPr>
        <w:rPr>
          <w:rFonts w:eastAsiaTheme="majorEastAsia" w:cstheme="majorBidi"/>
          <w:b/>
          <w:bCs/>
          <w:iCs/>
          <w:noProof/>
          <w:sz w:val="18"/>
          <w:szCs w:val="18"/>
        </w:rPr>
      </w:pPr>
      <w:r w:rsidRPr="00945055">
        <w:rPr>
          <w:noProof/>
          <w:sz w:val="18"/>
          <w:szCs w:val="18"/>
        </w:rPr>
        <w:t>This table</w:t>
      </w:r>
      <w:r w:rsidR="00BB39A6">
        <w:rPr>
          <w:noProof/>
          <w:sz w:val="18"/>
          <w:szCs w:val="18"/>
        </w:rPr>
        <w:t xml:space="preserve"> presents results for tests of m</w:t>
      </w:r>
      <w:r w:rsidRPr="00945055">
        <w:rPr>
          <w:noProof/>
          <w:sz w:val="18"/>
          <w:szCs w:val="18"/>
        </w:rPr>
        <w:t>odel (10). All variables are defined in Appendix A. T-statistics are reported in parentheses below each coefficient. ***,**,* indicate the coefficient is significantly different from zero at the 1, 5, and 10 percent level, respectively, using a two tailed test of significance.  All standard errors are clustered by firm except for column 4 which uses boostrapped standard errors.</w:t>
      </w:r>
      <w:r w:rsidR="00390828" w:rsidRPr="00945055">
        <w:rPr>
          <w:noProof/>
          <w:sz w:val="18"/>
          <w:szCs w:val="18"/>
        </w:rPr>
        <w:t xml:space="preserve">  </w:t>
      </w:r>
      <w:r w:rsidRPr="00945055">
        <w:rPr>
          <w:noProof/>
          <w:sz w:val="18"/>
          <w:szCs w:val="18"/>
        </w:rPr>
        <w:t xml:space="preserve">(a) </w:t>
      </w:r>
      <w:r w:rsidR="00390828" w:rsidRPr="00945055">
        <w:rPr>
          <w:noProof/>
          <w:sz w:val="18"/>
          <w:szCs w:val="18"/>
        </w:rPr>
        <w:t>is the</w:t>
      </w:r>
      <w:r w:rsidRPr="00945055">
        <w:rPr>
          <w:noProof/>
          <w:sz w:val="18"/>
          <w:szCs w:val="18"/>
        </w:rPr>
        <w:t xml:space="preserve"> average implied optimal level of TAXRISK</w:t>
      </w:r>
      <w:r w:rsidR="00390828" w:rsidRPr="00945055">
        <w:rPr>
          <w:noProof/>
          <w:sz w:val="18"/>
          <w:szCs w:val="18"/>
        </w:rPr>
        <w:t>, c</w:t>
      </w:r>
      <w:r w:rsidRPr="00945055">
        <w:rPr>
          <w:noProof/>
          <w:sz w:val="18"/>
          <w:szCs w:val="18"/>
        </w:rPr>
        <w:t>alculated as the coefficient on TAXRISK divided by -2 times the coefficient on TAXRISK_SQ.</w:t>
      </w:r>
      <w:r w:rsidR="00390828" w:rsidRPr="00945055">
        <w:rPr>
          <w:noProof/>
          <w:sz w:val="18"/>
          <w:szCs w:val="18"/>
        </w:rPr>
        <w:t xml:space="preserve"> </w:t>
      </w:r>
      <w:r w:rsidRPr="00945055">
        <w:rPr>
          <w:noProof/>
          <w:sz w:val="18"/>
          <w:szCs w:val="18"/>
        </w:rPr>
        <w:t>(b)</w:t>
      </w:r>
      <w:r w:rsidR="00390828" w:rsidRPr="00945055">
        <w:rPr>
          <w:noProof/>
          <w:sz w:val="18"/>
          <w:szCs w:val="18"/>
        </w:rPr>
        <w:t xml:space="preserve"> is the p</w:t>
      </w:r>
      <w:r w:rsidRPr="00945055">
        <w:rPr>
          <w:noProof/>
          <w:sz w:val="18"/>
          <w:szCs w:val="18"/>
        </w:rPr>
        <w:t>ercentage of observations in the sample that have a TAXRISK value below the argmax value.</w:t>
      </w:r>
      <w:r w:rsidR="00390828" w:rsidRPr="00945055">
        <w:rPr>
          <w:noProof/>
          <w:sz w:val="18"/>
          <w:szCs w:val="18"/>
        </w:rPr>
        <w:t xml:space="preserve"> </w:t>
      </w:r>
      <w:r w:rsidRPr="00945055">
        <w:rPr>
          <w:noProof/>
          <w:sz w:val="18"/>
          <w:szCs w:val="18"/>
        </w:rPr>
        <w:t>(c)</w:t>
      </w:r>
      <w:r w:rsidR="00390828" w:rsidRPr="00945055">
        <w:rPr>
          <w:noProof/>
          <w:sz w:val="18"/>
          <w:szCs w:val="18"/>
        </w:rPr>
        <w:t xml:space="preserve"> is the </w:t>
      </w:r>
      <w:r w:rsidRPr="00945055">
        <w:rPr>
          <w:noProof/>
          <w:sz w:val="18"/>
          <w:szCs w:val="18"/>
        </w:rPr>
        <w:t xml:space="preserve">difference between the argmax and </w:t>
      </w:r>
      <w:r w:rsidR="000532E0" w:rsidRPr="00945055">
        <w:rPr>
          <w:noProof/>
          <w:sz w:val="18"/>
          <w:szCs w:val="18"/>
        </w:rPr>
        <w:t xml:space="preserve">average </w:t>
      </w:r>
      <w:r w:rsidRPr="00945055">
        <w:rPr>
          <w:noProof/>
          <w:sz w:val="18"/>
          <w:szCs w:val="18"/>
        </w:rPr>
        <w:t>TAXRISK</w:t>
      </w:r>
      <w:r w:rsidR="000532E0" w:rsidRPr="00945055">
        <w:rPr>
          <w:noProof/>
          <w:sz w:val="18"/>
          <w:szCs w:val="18"/>
        </w:rPr>
        <w:t xml:space="preserve"> for those firms that are below the argmax</w:t>
      </w:r>
      <w:r w:rsidRPr="00945055">
        <w:rPr>
          <w:noProof/>
          <w:sz w:val="18"/>
          <w:szCs w:val="18"/>
        </w:rPr>
        <w:t xml:space="preserve">, multiplied by the average level of assets, to get the </w:t>
      </w:r>
      <w:r w:rsidR="000532E0" w:rsidRPr="00945055">
        <w:rPr>
          <w:noProof/>
          <w:sz w:val="18"/>
          <w:szCs w:val="18"/>
        </w:rPr>
        <w:t xml:space="preserve">average </w:t>
      </w:r>
      <w:r w:rsidRPr="00945055">
        <w:rPr>
          <w:noProof/>
          <w:sz w:val="18"/>
          <w:szCs w:val="18"/>
        </w:rPr>
        <w:t>shortage in total tax reserves.</w:t>
      </w:r>
      <w:r w:rsidR="000532E0" w:rsidRPr="00945055">
        <w:rPr>
          <w:noProof/>
          <w:sz w:val="18"/>
          <w:szCs w:val="18"/>
        </w:rPr>
        <w:t xml:space="preserve"> </w:t>
      </w:r>
      <w:r w:rsidRPr="00945055">
        <w:rPr>
          <w:noProof/>
          <w:sz w:val="18"/>
          <w:szCs w:val="18"/>
        </w:rPr>
        <w:t xml:space="preserve">(d) </w:t>
      </w:r>
      <w:r w:rsidR="000532E0" w:rsidRPr="00945055">
        <w:rPr>
          <w:noProof/>
          <w:sz w:val="18"/>
          <w:szCs w:val="18"/>
        </w:rPr>
        <w:t>is the c</w:t>
      </w:r>
      <w:r w:rsidRPr="00945055">
        <w:rPr>
          <w:noProof/>
          <w:sz w:val="18"/>
          <w:szCs w:val="18"/>
        </w:rPr>
        <w:t>umulative increase in total tax reserves required to get all firm-years to the argmax value of TAXRISK</w:t>
      </w:r>
      <w:r w:rsidR="000532E0" w:rsidRPr="00945055">
        <w:rPr>
          <w:noProof/>
          <w:sz w:val="18"/>
          <w:szCs w:val="18"/>
        </w:rPr>
        <w:t xml:space="preserve"> and includes the</w:t>
      </w:r>
      <w:r w:rsidRPr="00945055">
        <w:rPr>
          <w:noProof/>
          <w:sz w:val="18"/>
          <w:szCs w:val="18"/>
        </w:rPr>
        <w:t xml:space="preserve"> offsetting effect of firms </w:t>
      </w:r>
      <w:r w:rsidR="000532E0" w:rsidRPr="00945055">
        <w:rPr>
          <w:noProof/>
          <w:sz w:val="18"/>
          <w:szCs w:val="18"/>
        </w:rPr>
        <w:t>with</w:t>
      </w:r>
      <w:r w:rsidRPr="00945055">
        <w:rPr>
          <w:noProof/>
          <w:sz w:val="18"/>
          <w:szCs w:val="18"/>
        </w:rPr>
        <w:t xml:space="preserve"> a TAXRISK higher than the argmax.</w:t>
      </w:r>
      <w:r w:rsidR="00B156A4" w:rsidRPr="00945055">
        <w:rPr>
          <w:noProof/>
          <w:sz w:val="18"/>
          <w:szCs w:val="18"/>
        </w:rPr>
        <w:br w:type="page"/>
      </w:r>
    </w:p>
    <w:p w:rsidR="001D7807" w:rsidRDefault="001D7807" w:rsidP="001D7807">
      <w:pPr>
        <w:pStyle w:val="Heading4"/>
        <w:rPr>
          <w:noProof/>
        </w:rPr>
      </w:pPr>
      <w:bookmarkStart w:id="51" w:name="_Toc321418232"/>
      <w:r>
        <w:rPr>
          <w:noProof/>
        </w:rPr>
        <w:lastRenderedPageBreak/>
        <w:t>Table 4: Regressions of Cost of Capital on TAXRISK (H2)</w:t>
      </w:r>
      <w:bookmarkEnd w:id="51"/>
    </w:p>
    <w:p w:rsidR="00C50F3A" w:rsidRPr="00C50F3A" w:rsidRDefault="00C50F3A" w:rsidP="00C50F3A"/>
    <w:tbl>
      <w:tblPr>
        <w:tblW w:w="8080" w:type="dxa"/>
        <w:jc w:val="center"/>
        <w:tblInd w:w="93" w:type="dxa"/>
        <w:tblLook w:val="04A0"/>
      </w:tblPr>
      <w:tblGrid>
        <w:gridCol w:w="2094"/>
        <w:gridCol w:w="1360"/>
        <w:gridCol w:w="271"/>
        <w:gridCol w:w="640"/>
        <w:gridCol w:w="271"/>
        <w:gridCol w:w="1360"/>
        <w:gridCol w:w="271"/>
        <w:gridCol w:w="480"/>
        <w:gridCol w:w="266"/>
        <w:gridCol w:w="1360"/>
      </w:tblGrid>
      <w:tr w:rsidR="00C50F3A" w:rsidRPr="00C50F3A" w:rsidTr="00C50F3A">
        <w:trPr>
          <w:trHeight w:val="300"/>
          <w:jc w:val="center"/>
        </w:trPr>
        <w:tc>
          <w:tcPr>
            <w:tcW w:w="2000" w:type="dxa"/>
            <w:tcBorders>
              <w:top w:val="single" w:sz="4" w:space="0" w:color="auto"/>
              <w:left w:val="nil"/>
              <w:bottom w:val="nil"/>
              <w:right w:val="nil"/>
            </w:tcBorders>
            <w:shd w:val="clear" w:color="auto" w:fill="auto"/>
            <w:vAlign w:val="center"/>
            <w:hideMark/>
          </w:tcPr>
          <w:p w:rsidR="00C50F3A" w:rsidRPr="00C50F3A" w:rsidRDefault="00C50F3A" w:rsidP="00C50F3A">
            <w:pPr>
              <w:rPr>
                <w:sz w:val="20"/>
                <w:szCs w:val="20"/>
              </w:rPr>
            </w:pPr>
            <w:r w:rsidRPr="00C50F3A">
              <w:rPr>
                <w:sz w:val="20"/>
                <w:szCs w:val="20"/>
              </w:rPr>
              <w:t> </w:t>
            </w:r>
          </w:p>
        </w:tc>
        <w:tc>
          <w:tcPr>
            <w:tcW w:w="1360" w:type="dxa"/>
            <w:tcBorders>
              <w:top w:val="single" w:sz="4" w:space="0" w:color="auto"/>
              <w:left w:val="nil"/>
              <w:bottom w:val="nil"/>
              <w:right w:val="nil"/>
            </w:tcBorders>
            <w:shd w:val="clear" w:color="auto" w:fill="auto"/>
            <w:vAlign w:val="center"/>
            <w:hideMark/>
          </w:tcPr>
          <w:p w:rsidR="00C50F3A" w:rsidRPr="00C50F3A" w:rsidRDefault="00C50F3A" w:rsidP="00C50F3A">
            <w:pPr>
              <w:jc w:val="center"/>
              <w:rPr>
                <w:b/>
                <w:bCs/>
                <w:sz w:val="20"/>
                <w:szCs w:val="20"/>
              </w:rPr>
            </w:pPr>
            <w:r w:rsidRPr="00C50F3A">
              <w:rPr>
                <w:b/>
                <w:bCs/>
                <w:sz w:val="20"/>
                <w:szCs w:val="20"/>
              </w:rPr>
              <w:t> </w:t>
            </w:r>
          </w:p>
        </w:tc>
        <w:tc>
          <w:tcPr>
            <w:tcW w:w="220" w:type="dxa"/>
            <w:tcBorders>
              <w:top w:val="single" w:sz="4" w:space="0" w:color="auto"/>
              <w:left w:val="nil"/>
              <w:bottom w:val="nil"/>
              <w:right w:val="nil"/>
            </w:tcBorders>
            <w:shd w:val="clear" w:color="auto" w:fill="auto"/>
            <w:vAlign w:val="bottom"/>
            <w:hideMark/>
          </w:tcPr>
          <w:p w:rsidR="00C50F3A" w:rsidRPr="00C50F3A" w:rsidRDefault="00C50F3A" w:rsidP="00C50F3A">
            <w:pPr>
              <w:rPr>
                <w:sz w:val="20"/>
                <w:szCs w:val="20"/>
              </w:rPr>
            </w:pPr>
            <w:r w:rsidRPr="00C50F3A">
              <w:rPr>
                <w:sz w:val="20"/>
                <w:szCs w:val="20"/>
              </w:rPr>
              <w:t> </w:t>
            </w:r>
          </w:p>
        </w:tc>
        <w:tc>
          <w:tcPr>
            <w:tcW w:w="640" w:type="dxa"/>
            <w:tcBorders>
              <w:top w:val="single" w:sz="4" w:space="0" w:color="auto"/>
              <w:left w:val="nil"/>
              <w:bottom w:val="nil"/>
              <w:right w:val="nil"/>
            </w:tcBorders>
            <w:shd w:val="clear" w:color="auto" w:fill="auto"/>
            <w:vAlign w:val="center"/>
            <w:hideMark/>
          </w:tcPr>
          <w:p w:rsidR="00C50F3A" w:rsidRPr="00C50F3A" w:rsidRDefault="00C50F3A" w:rsidP="00C50F3A">
            <w:pPr>
              <w:jc w:val="center"/>
              <w:rPr>
                <w:b/>
                <w:bCs/>
                <w:sz w:val="20"/>
                <w:szCs w:val="20"/>
              </w:rPr>
            </w:pPr>
            <w:r w:rsidRPr="00C50F3A">
              <w:rPr>
                <w:b/>
                <w:bCs/>
                <w:sz w:val="20"/>
                <w:szCs w:val="20"/>
              </w:rPr>
              <w:t> </w:t>
            </w:r>
          </w:p>
        </w:tc>
        <w:tc>
          <w:tcPr>
            <w:tcW w:w="220" w:type="dxa"/>
            <w:tcBorders>
              <w:top w:val="single" w:sz="4" w:space="0" w:color="auto"/>
              <w:left w:val="nil"/>
              <w:bottom w:val="nil"/>
              <w:right w:val="nil"/>
            </w:tcBorders>
            <w:shd w:val="clear" w:color="auto" w:fill="auto"/>
            <w:vAlign w:val="bottom"/>
            <w:hideMark/>
          </w:tcPr>
          <w:p w:rsidR="00C50F3A" w:rsidRPr="00C50F3A" w:rsidRDefault="00C50F3A" w:rsidP="00C50F3A">
            <w:pPr>
              <w:rPr>
                <w:sz w:val="20"/>
                <w:szCs w:val="20"/>
              </w:rPr>
            </w:pPr>
            <w:r w:rsidRPr="00C50F3A">
              <w:rPr>
                <w:sz w:val="20"/>
                <w:szCs w:val="20"/>
              </w:rPr>
              <w:t> </w:t>
            </w:r>
          </w:p>
        </w:tc>
        <w:tc>
          <w:tcPr>
            <w:tcW w:w="1360" w:type="dxa"/>
            <w:tcBorders>
              <w:top w:val="single" w:sz="4" w:space="0" w:color="auto"/>
              <w:left w:val="nil"/>
              <w:bottom w:val="nil"/>
              <w:right w:val="nil"/>
            </w:tcBorders>
            <w:shd w:val="clear" w:color="auto" w:fill="auto"/>
            <w:vAlign w:val="center"/>
            <w:hideMark/>
          </w:tcPr>
          <w:p w:rsidR="00C50F3A" w:rsidRPr="00C50F3A" w:rsidRDefault="00C50F3A" w:rsidP="00C50F3A">
            <w:pPr>
              <w:jc w:val="center"/>
              <w:rPr>
                <w:b/>
                <w:bCs/>
                <w:sz w:val="20"/>
                <w:szCs w:val="20"/>
              </w:rPr>
            </w:pPr>
            <w:r w:rsidRPr="00C50F3A">
              <w:rPr>
                <w:b/>
                <w:bCs/>
                <w:sz w:val="20"/>
                <w:szCs w:val="20"/>
              </w:rPr>
              <w:t>(1)</w:t>
            </w:r>
          </w:p>
        </w:tc>
        <w:tc>
          <w:tcPr>
            <w:tcW w:w="220" w:type="dxa"/>
            <w:tcBorders>
              <w:top w:val="single" w:sz="4" w:space="0" w:color="auto"/>
              <w:left w:val="nil"/>
              <w:bottom w:val="nil"/>
              <w:right w:val="nil"/>
            </w:tcBorders>
            <w:shd w:val="clear" w:color="auto" w:fill="auto"/>
            <w:vAlign w:val="bottom"/>
            <w:hideMark/>
          </w:tcPr>
          <w:p w:rsidR="00C50F3A" w:rsidRPr="00C50F3A" w:rsidRDefault="00C50F3A" w:rsidP="00C50F3A">
            <w:pPr>
              <w:rPr>
                <w:sz w:val="20"/>
                <w:szCs w:val="20"/>
              </w:rPr>
            </w:pPr>
            <w:r w:rsidRPr="00C50F3A">
              <w:rPr>
                <w:sz w:val="20"/>
                <w:szCs w:val="20"/>
              </w:rPr>
              <w:t> </w:t>
            </w:r>
          </w:p>
        </w:tc>
        <w:tc>
          <w:tcPr>
            <w:tcW w:w="480" w:type="dxa"/>
            <w:tcBorders>
              <w:top w:val="single" w:sz="4" w:space="0" w:color="auto"/>
              <w:left w:val="nil"/>
              <w:bottom w:val="nil"/>
              <w:right w:val="nil"/>
            </w:tcBorders>
            <w:shd w:val="clear" w:color="auto" w:fill="auto"/>
            <w:vAlign w:val="center"/>
            <w:hideMark/>
          </w:tcPr>
          <w:p w:rsidR="00C50F3A" w:rsidRPr="00C50F3A" w:rsidRDefault="00C50F3A" w:rsidP="00C50F3A">
            <w:pPr>
              <w:jc w:val="center"/>
              <w:rPr>
                <w:b/>
                <w:bCs/>
                <w:sz w:val="20"/>
                <w:szCs w:val="20"/>
              </w:rPr>
            </w:pPr>
            <w:r w:rsidRPr="00C50F3A">
              <w:rPr>
                <w:b/>
                <w:bCs/>
                <w:sz w:val="20"/>
                <w:szCs w:val="20"/>
              </w:rPr>
              <w:t> </w:t>
            </w:r>
          </w:p>
        </w:tc>
        <w:tc>
          <w:tcPr>
            <w:tcW w:w="220" w:type="dxa"/>
            <w:tcBorders>
              <w:top w:val="single" w:sz="4" w:space="0" w:color="auto"/>
              <w:left w:val="nil"/>
              <w:bottom w:val="nil"/>
              <w:right w:val="nil"/>
            </w:tcBorders>
            <w:shd w:val="clear" w:color="auto" w:fill="auto"/>
            <w:vAlign w:val="center"/>
            <w:hideMark/>
          </w:tcPr>
          <w:p w:rsidR="00C50F3A" w:rsidRPr="00C50F3A" w:rsidRDefault="00C50F3A" w:rsidP="00C50F3A">
            <w:pPr>
              <w:jc w:val="center"/>
              <w:rPr>
                <w:b/>
                <w:bCs/>
                <w:sz w:val="20"/>
                <w:szCs w:val="20"/>
              </w:rPr>
            </w:pPr>
            <w:r w:rsidRPr="00C50F3A">
              <w:rPr>
                <w:b/>
                <w:bCs/>
                <w:sz w:val="20"/>
                <w:szCs w:val="20"/>
              </w:rPr>
              <w:t> </w:t>
            </w:r>
          </w:p>
        </w:tc>
        <w:tc>
          <w:tcPr>
            <w:tcW w:w="1360" w:type="dxa"/>
            <w:tcBorders>
              <w:top w:val="single" w:sz="4" w:space="0" w:color="auto"/>
              <w:left w:val="nil"/>
              <w:bottom w:val="nil"/>
              <w:right w:val="nil"/>
            </w:tcBorders>
            <w:shd w:val="clear" w:color="auto" w:fill="auto"/>
            <w:vAlign w:val="center"/>
            <w:hideMark/>
          </w:tcPr>
          <w:p w:rsidR="00C50F3A" w:rsidRPr="00C50F3A" w:rsidRDefault="00C50F3A" w:rsidP="00C50F3A">
            <w:pPr>
              <w:jc w:val="center"/>
              <w:rPr>
                <w:b/>
                <w:bCs/>
                <w:sz w:val="20"/>
                <w:szCs w:val="20"/>
              </w:rPr>
            </w:pPr>
            <w:r w:rsidRPr="00C50F3A">
              <w:rPr>
                <w:b/>
                <w:bCs/>
                <w:sz w:val="20"/>
                <w:szCs w:val="20"/>
              </w:rPr>
              <w:t>(2)</w:t>
            </w:r>
          </w:p>
        </w:tc>
      </w:tr>
      <w:tr w:rsidR="00C50F3A" w:rsidRPr="00C50F3A" w:rsidTr="00C50F3A">
        <w:trPr>
          <w:trHeight w:val="300"/>
          <w:jc w:val="center"/>
        </w:trPr>
        <w:tc>
          <w:tcPr>
            <w:tcW w:w="2000" w:type="dxa"/>
            <w:tcBorders>
              <w:top w:val="nil"/>
              <w:left w:val="nil"/>
              <w:bottom w:val="single" w:sz="4" w:space="0" w:color="auto"/>
              <w:right w:val="nil"/>
            </w:tcBorders>
            <w:shd w:val="clear" w:color="auto" w:fill="auto"/>
            <w:vAlign w:val="center"/>
            <w:hideMark/>
          </w:tcPr>
          <w:p w:rsidR="00C50F3A" w:rsidRPr="00C50F3A" w:rsidRDefault="00C50F3A" w:rsidP="00C50F3A">
            <w:pPr>
              <w:rPr>
                <w:sz w:val="20"/>
                <w:szCs w:val="20"/>
              </w:rPr>
            </w:pPr>
            <w:r w:rsidRPr="00C50F3A">
              <w:rPr>
                <w:sz w:val="20"/>
                <w:szCs w:val="20"/>
              </w:rPr>
              <w:t> </w:t>
            </w:r>
          </w:p>
        </w:tc>
        <w:tc>
          <w:tcPr>
            <w:tcW w:w="1360" w:type="dxa"/>
            <w:tcBorders>
              <w:top w:val="nil"/>
              <w:left w:val="nil"/>
              <w:bottom w:val="single" w:sz="4" w:space="0" w:color="auto"/>
              <w:right w:val="nil"/>
            </w:tcBorders>
            <w:shd w:val="clear" w:color="auto" w:fill="auto"/>
            <w:vAlign w:val="center"/>
            <w:hideMark/>
          </w:tcPr>
          <w:p w:rsidR="00C50F3A" w:rsidRPr="00C50F3A" w:rsidRDefault="00C50F3A" w:rsidP="00C50F3A">
            <w:pPr>
              <w:jc w:val="center"/>
              <w:rPr>
                <w:b/>
                <w:bCs/>
                <w:sz w:val="20"/>
                <w:szCs w:val="20"/>
              </w:rPr>
            </w:pPr>
            <w:r w:rsidRPr="00C50F3A">
              <w:rPr>
                <w:b/>
                <w:bCs/>
                <w:sz w:val="20"/>
                <w:szCs w:val="20"/>
              </w:rPr>
              <w:t> </w:t>
            </w:r>
          </w:p>
        </w:tc>
        <w:tc>
          <w:tcPr>
            <w:tcW w:w="220" w:type="dxa"/>
            <w:tcBorders>
              <w:top w:val="nil"/>
              <w:left w:val="nil"/>
              <w:bottom w:val="single" w:sz="4" w:space="0" w:color="auto"/>
              <w:right w:val="nil"/>
            </w:tcBorders>
            <w:shd w:val="clear" w:color="auto" w:fill="auto"/>
            <w:vAlign w:val="bottom"/>
            <w:hideMark/>
          </w:tcPr>
          <w:p w:rsidR="00C50F3A" w:rsidRPr="00C50F3A" w:rsidRDefault="00C50F3A" w:rsidP="00C50F3A">
            <w:pPr>
              <w:jc w:val="center"/>
              <w:rPr>
                <w:sz w:val="20"/>
                <w:szCs w:val="20"/>
              </w:rPr>
            </w:pPr>
            <w:r w:rsidRPr="00C50F3A">
              <w:rPr>
                <w:sz w:val="20"/>
                <w:szCs w:val="20"/>
              </w:rPr>
              <w:t> </w:t>
            </w:r>
          </w:p>
        </w:tc>
        <w:tc>
          <w:tcPr>
            <w:tcW w:w="640" w:type="dxa"/>
            <w:tcBorders>
              <w:top w:val="nil"/>
              <w:left w:val="nil"/>
              <w:bottom w:val="single" w:sz="4" w:space="0" w:color="auto"/>
              <w:right w:val="nil"/>
            </w:tcBorders>
            <w:shd w:val="clear" w:color="auto" w:fill="auto"/>
            <w:vAlign w:val="center"/>
            <w:hideMark/>
          </w:tcPr>
          <w:p w:rsidR="00C50F3A" w:rsidRPr="00C50F3A" w:rsidRDefault="00C50F3A" w:rsidP="00C50F3A">
            <w:pPr>
              <w:jc w:val="center"/>
              <w:rPr>
                <w:b/>
                <w:bCs/>
                <w:sz w:val="20"/>
                <w:szCs w:val="20"/>
              </w:rPr>
            </w:pPr>
            <w:r w:rsidRPr="00C50F3A">
              <w:rPr>
                <w:b/>
                <w:bCs/>
                <w:sz w:val="20"/>
                <w:szCs w:val="20"/>
              </w:rPr>
              <w:t> </w:t>
            </w:r>
          </w:p>
        </w:tc>
        <w:tc>
          <w:tcPr>
            <w:tcW w:w="220" w:type="dxa"/>
            <w:tcBorders>
              <w:top w:val="nil"/>
              <w:left w:val="nil"/>
              <w:bottom w:val="single" w:sz="4" w:space="0" w:color="auto"/>
              <w:right w:val="nil"/>
            </w:tcBorders>
            <w:shd w:val="clear" w:color="auto" w:fill="auto"/>
            <w:vAlign w:val="bottom"/>
            <w:hideMark/>
          </w:tcPr>
          <w:p w:rsidR="00C50F3A" w:rsidRPr="00C50F3A" w:rsidRDefault="00C50F3A" w:rsidP="00C50F3A">
            <w:pPr>
              <w:jc w:val="center"/>
              <w:rPr>
                <w:sz w:val="20"/>
                <w:szCs w:val="20"/>
              </w:rPr>
            </w:pPr>
            <w:r w:rsidRPr="00C50F3A">
              <w:rPr>
                <w:sz w:val="20"/>
                <w:szCs w:val="20"/>
              </w:rPr>
              <w:t> </w:t>
            </w:r>
          </w:p>
        </w:tc>
        <w:tc>
          <w:tcPr>
            <w:tcW w:w="1360" w:type="dxa"/>
            <w:tcBorders>
              <w:top w:val="nil"/>
              <w:left w:val="nil"/>
              <w:bottom w:val="single" w:sz="4" w:space="0" w:color="auto"/>
              <w:right w:val="nil"/>
            </w:tcBorders>
            <w:shd w:val="clear" w:color="auto" w:fill="auto"/>
            <w:vAlign w:val="center"/>
            <w:hideMark/>
          </w:tcPr>
          <w:p w:rsidR="00C50F3A" w:rsidRPr="00C50F3A" w:rsidRDefault="00C50F3A" w:rsidP="00C50F3A">
            <w:pPr>
              <w:jc w:val="center"/>
              <w:rPr>
                <w:b/>
                <w:bCs/>
                <w:sz w:val="20"/>
                <w:szCs w:val="20"/>
              </w:rPr>
            </w:pPr>
            <w:proofErr w:type="spellStart"/>
            <w:r w:rsidRPr="00C50F3A">
              <w:rPr>
                <w:b/>
                <w:bCs/>
                <w:sz w:val="20"/>
                <w:szCs w:val="20"/>
              </w:rPr>
              <w:t>r</w:t>
            </w:r>
            <w:r w:rsidRPr="00C50F3A">
              <w:rPr>
                <w:b/>
                <w:bCs/>
                <w:sz w:val="20"/>
                <w:szCs w:val="20"/>
                <w:vertAlign w:val="subscript"/>
              </w:rPr>
              <w:t>PEG</w:t>
            </w:r>
            <w:proofErr w:type="spellEnd"/>
          </w:p>
        </w:tc>
        <w:tc>
          <w:tcPr>
            <w:tcW w:w="220" w:type="dxa"/>
            <w:tcBorders>
              <w:top w:val="nil"/>
              <w:left w:val="nil"/>
              <w:bottom w:val="single" w:sz="4" w:space="0" w:color="auto"/>
              <w:right w:val="nil"/>
            </w:tcBorders>
            <w:shd w:val="clear" w:color="auto" w:fill="auto"/>
            <w:vAlign w:val="bottom"/>
            <w:hideMark/>
          </w:tcPr>
          <w:p w:rsidR="00C50F3A" w:rsidRPr="00C50F3A" w:rsidRDefault="00C50F3A" w:rsidP="00C50F3A">
            <w:pPr>
              <w:jc w:val="center"/>
              <w:rPr>
                <w:sz w:val="20"/>
                <w:szCs w:val="20"/>
              </w:rPr>
            </w:pPr>
            <w:r w:rsidRPr="00C50F3A">
              <w:rPr>
                <w:sz w:val="20"/>
                <w:szCs w:val="20"/>
              </w:rPr>
              <w:t> </w:t>
            </w:r>
          </w:p>
        </w:tc>
        <w:tc>
          <w:tcPr>
            <w:tcW w:w="480" w:type="dxa"/>
            <w:tcBorders>
              <w:top w:val="nil"/>
              <w:left w:val="nil"/>
              <w:bottom w:val="single" w:sz="4" w:space="0" w:color="auto"/>
              <w:right w:val="nil"/>
            </w:tcBorders>
            <w:shd w:val="clear" w:color="auto" w:fill="auto"/>
            <w:vAlign w:val="center"/>
            <w:hideMark/>
          </w:tcPr>
          <w:p w:rsidR="00C50F3A" w:rsidRPr="00C50F3A" w:rsidRDefault="00C50F3A" w:rsidP="00C50F3A">
            <w:pPr>
              <w:jc w:val="center"/>
              <w:rPr>
                <w:b/>
                <w:bCs/>
                <w:sz w:val="20"/>
                <w:szCs w:val="20"/>
              </w:rPr>
            </w:pPr>
            <w:r w:rsidRPr="00C50F3A">
              <w:rPr>
                <w:b/>
                <w:bCs/>
                <w:sz w:val="20"/>
                <w:szCs w:val="20"/>
              </w:rPr>
              <w:t> </w:t>
            </w:r>
          </w:p>
        </w:tc>
        <w:tc>
          <w:tcPr>
            <w:tcW w:w="220" w:type="dxa"/>
            <w:tcBorders>
              <w:top w:val="nil"/>
              <w:left w:val="nil"/>
              <w:bottom w:val="single" w:sz="4" w:space="0" w:color="auto"/>
              <w:right w:val="nil"/>
            </w:tcBorders>
            <w:shd w:val="clear" w:color="auto" w:fill="auto"/>
            <w:vAlign w:val="center"/>
            <w:hideMark/>
          </w:tcPr>
          <w:p w:rsidR="00C50F3A" w:rsidRPr="00C50F3A" w:rsidRDefault="00C50F3A" w:rsidP="00C50F3A">
            <w:pPr>
              <w:jc w:val="center"/>
              <w:rPr>
                <w:b/>
                <w:bCs/>
                <w:sz w:val="20"/>
                <w:szCs w:val="20"/>
              </w:rPr>
            </w:pPr>
            <w:r w:rsidRPr="00C50F3A">
              <w:rPr>
                <w:b/>
                <w:bCs/>
                <w:sz w:val="20"/>
                <w:szCs w:val="20"/>
              </w:rPr>
              <w:t> </w:t>
            </w:r>
          </w:p>
        </w:tc>
        <w:tc>
          <w:tcPr>
            <w:tcW w:w="1360" w:type="dxa"/>
            <w:tcBorders>
              <w:top w:val="nil"/>
              <w:left w:val="nil"/>
              <w:bottom w:val="single" w:sz="4" w:space="0" w:color="auto"/>
              <w:right w:val="nil"/>
            </w:tcBorders>
            <w:shd w:val="clear" w:color="auto" w:fill="auto"/>
            <w:vAlign w:val="center"/>
            <w:hideMark/>
          </w:tcPr>
          <w:p w:rsidR="00C50F3A" w:rsidRPr="00C50F3A" w:rsidRDefault="00C50F3A" w:rsidP="00C50F3A">
            <w:pPr>
              <w:jc w:val="center"/>
              <w:rPr>
                <w:b/>
                <w:bCs/>
                <w:sz w:val="20"/>
                <w:szCs w:val="20"/>
              </w:rPr>
            </w:pPr>
            <w:proofErr w:type="spellStart"/>
            <w:r w:rsidRPr="00C50F3A">
              <w:rPr>
                <w:b/>
                <w:bCs/>
                <w:sz w:val="20"/>
                <w:szCs w:val="20"/>
              </w:rPr>
              <w:t>r</w:t>
            </w:r>
            <w:r w:rsidRPr="00C50F3A">
              <w:rPr>
                <w:b/>
                <w:bCs/>
                <w:sz w:val="20"/>
                <w:szCs w:val="20"/>
                <w:vertAlign w:val="subscript"/>
              </w:rPr>
              <w:t>DIV</w:t>
            </w:r>
            <w:proofErr w:type="spellEnd"/>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r w:rsidRPr="00C50F3A">
              <w:rPr>
                <w:sz w:val="20"/>
                <w:szCs w:val="20"/>
              </w:rPr>
              <w:t>TAXRISK</w:t>
            </w: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bottom"/>
            <w:hideMark/>
          </w:tcPr>
          <w:p w:rsidR="00C50F3A" w:rsidRPr="00C50F3A" w:rsidRDefault="00C50F3A" w:rsidP="00C50F3A">
            <w:pPr>
              <w:rPr>
                <w:color w:val="000000"/>
                <w:sz w:val="22"/>
                <w:szCs w:val="22"/>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bottom"/>
            <w:hideMark/>
          </w:tcPr>
          <w:p w:rsidR="00C50F3A" w:rsidRPr="00C50F3A" w:rsidRDefault="00C50F3A" w:rsidP="00C50F3A">
            <w:pPr>
              <w:rPr>
                <w:color w:val="000000"/>
                <w:sz w:val="22"/>
                <w:szCs w:val="22"/>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0.003*</w:t>
            </w:r>
          </w:p>
        </w:tc>
        <w:tc>
          <w:tcPr>
            <w:tcW w:w="220" w:type="dxa"/>
            <w:tcBorders>
              <w:top w:val="nil"/>
              <w:left w:val="nil"/>
              <w:bottom w:val="nil"/>
              <w:right w:val="nil"/>
            </w:tcBorders>
            <w:shd w:val="clear" w:color="auto" w:fill="auto"/>
            <w:noWrap/>
            <w:vAlign w:val="bottom"/>
            <w:hideMark/>
          </w:tcPr>
          <w:p w:rsidR="00C50F3A" w:rsidRPr="00C50F3A" w:rsidRDefault="00C50F3A" w:rsidP="00C50F3A">
            <w:pPr>
              <w:rPr>
                <w:color w:val="000000"/>
                <w:sz w:val="22"/>
                <w:szCs w:val="22"/>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0.003*</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(1.768)</w:t>
            </w: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(1.931)</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r w:rsidRPr="00C50F3A">
              <w:rPr>
                <w:sz w:val="20"/>
                <w:szCs w:val="20"/>
              </w:rPr>
              <w:t>BETA</w:t>
            </w: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bottom"/>
            <w:hideMark/>
          </w:tcPr>
          <w:p w:rsidR="00C50F3A" w:rsidRPr="00C50F3A" w:rsidRDefault="00C50F3A" w:rsidP="00C50F3A">
            <w:pPr>
              <w:rPr>
                <w:color w:val="000000"/>
                <w:sz w:val="22"/>
                <w:szCs w:val="22"/>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bottom"/>
            <w:hideMark/>
          </w:tcPr>
          <w:p w:rsidR="00C50F3A" w:rsidRPr="00C50F3A" w:rsidRDefault="00C50F3A" w:rsidP="00C50F3A">
            <w:pPr>
              <w:rPr>
                <w:color w:val="000000"/>
                <w:sz w:val="22"/>
                <w:szCs w:val="22"/>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0.019***</w:t>
            </w:r>
          </w:p>
        </w:tc>
        <w:tc>
          <w:tcPr>
            <w:tcW w:w="220" w:type="dxa"/>
            <w:tcBorders>
              <w:top w:val="nil"/>
              <w:left w:val="nil"/>
              <w:bottom w:val="nil"/>
              <w:right w:val="nil"/>
            </w:tcBorders>
            <w:shd w:val="clear" w:color="auto" w:fill="auto"/>
            <w:noWrap/>
            <w:vAlign w:val="bottom"/>
            <w:hideMark/>
          </w:tcPr>
          <w:p w:rsidR="00C50F3A" w:rsidRPr="00C50F3A" w:rsidRDefault="00C50F3A" w:rsidP="00C50F3A">
            <w:pPr>
              <w:rPr>
                <w:color w:val="000000"/>
                <w:sz w:val="22"/>
                <w:szCs w:val="22"/>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0.006</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(3.856)</w:t>
            </w: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(1.606)</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r w:rsidRPr="00C50F3A">
              <w:rPr>
                <w:sz w:val="20"/>
                <w:szCs w:val="20"/>
              </w:rPr>
              <w:t>DISPERSION</w:t>
            </w: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0.014*</w:t>
            </w: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-0.005</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(1.645)</w:t>
            </w: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(-1.223)</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r w:rsidRPr="00C50F3A">
              <w:rPr>
                <w:sz w:val="20"/>
                <w:szCs w:val="20"/>
              </w:rPr>
              <w:t>BOOK_TO_MARKET</w:t>
            </w: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0.027**</w:t>
            </w:r>
          </w:p>
        </w:tc>
        <w:tc>
          <w:tcPr>
            <w:tcW w:w="220" w:type="dxa"/>
            <w:tcBorders>
              <w:top w:val="nil"/>
              <w:left w:val="nil"/>
              <w:bottom w:val="nil"/>
              <w:right w:val="nil"/>
            </w:tcBorders>
            <w:shd w:val="clear" w:color="auto" w:fill="auto"/>
            <w:noWrap/>
            <w:vAlign w:val="bottom"/>
            <w:hideMark/>
          </w:tcPr>
          <w:p w:rsidR="00C50F3A" w:rsidRPr="00C50F3A" w:rsidRDefault="00C50F3A" w:rsidP="00C50F3A">
            <w:pPr>
              <w:rPr>
                <w:color w:val="000000"/>
                <w:sz w:val="22"/>
                <w:szCs w:val="22"/>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0.012</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(2.325)</w:t>
            </w: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(1.228)</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r w:rsidRPr="00C50F3A">
              <w:rPr>
                <w:sz w:val="20"/>
                <w:szCs w:val="20"/>
              </w:rPr>
              <w:t>LEVERAGE</w:t>
            </w: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0.020***</w:t>
            </w:r>
          </w:p>
        </w:tc>
        <w:tc>
          <w:tcPr>
            <w:tcW w:w="220" w:type="dxa"/>
            <w:tcBorders>
              <w:top w:val="nil"/>
              <w:left w:val="nil"/>
              <w:bottom w:val="nil"/>
              <w:right w:val="nil"/>
            </w:tcBorders>
            <w:shd w:val="clear" w:color="auto" w:fill="auto"/>
            <w:noWrap/>
            <w:vAlign w:val="bottom"/>
            <w:hideMark/>
          </w:tcPr>
          <w:p w:rsidR="00C50F3A" w:rsidRPr="00C50F3A" w:rsidRDefault="00C50F3A" w:rsidP="00C50F3A">
            <w:pPr>
              <w:rPr>
                <w:color w:val="000000"/>
                <w:sz w:val="22"/>
                <w:szCs w:val="22"/>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0.026**</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(2.655)</w:t>
            </w: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(2.274)</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r w:rsidRPr="00C50F3A">
              <w:rPr>
                <w:sz w:val="20"/>
                <w:szCs w:val="20"/>
              </w:rPr>
              <w:t>LOG_ASSETS</w:t>
            </w: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-0.007***</w:t>
            </w:r>
          </w:p>
        </w:tc>
        <w:tc>
          <w:tcPr>
            <w:tcW w:w="220" w:type="dxa"/>
            <w:tcBorders>
              <w:top w:val="nil"/>
              <w:left w:val="nil"/>
              <w:bottom w:val="nil"/>
              <w:right w:val="nil"/>
            </w:tcBorders>
            <w:shd w:val="clear" w:color="auto" w:fill="auto"/>
            <w:noWrap/>
            <w:vAlign w:val="bottom"/>
            <w:hideMark/>
          </w:tcPr>
          <w:p w:rsidR="00C50F3A" w:rsidRPr="00C50F3A" w:rsidRDefault="00C50F3A" w:rsidP="00C50F3A">
            <w:pPr>
              <w:rPr>
                <w:color w:val="000000"/>
                <w:sz w:val="22"/>
                <w:szCs w:val="22"/>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0.001</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(-4.360)</w:t>
            </w: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(0.363)</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r w:rsidRPr="00C50F3A">
              <w:rPr>
                <w:sz w:val="20"/>
                <w:szCs w:val="20"/>
              </w:rPr>
              <w:t>LT_GROWTH_PRED</w:t>
            </w: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0.102***</w:t>
            </w:r>
          </w:p>
        </w:tc>
        <w:tc>
          <w:tcPr>
            <w:tcW w:w="220" w:type="dxa"/>
            <w:tcBorders>
              <w:top w:val="nil"/>
              <w:left w:val="nil"/>
              <w:bottom w:val="nil"/>
              <w:right w:val="nil"/>
            </w:tcBorders>
            <w:shd w:val="clear" w:color="auto" w:fill="auto"/>
            <w:noWrap/>
            <w:vAlign w:val="bottom"/>
            <w:hideMark/>
          </w:tcPr>
          <w:p w:rsidR="00C50F3A" w:rsidRPr="00C50F3A" w:rsidRDefault="00C50F3A" w:rsidP="00C50F3A">
            <w:pPr>
              <w:rPr>
                <w:color w:val="000000"/>
                <w:sz w:val="22"/>
                <w:szCs w:val="22"/>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0.011</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(3.652)</w:t>
            </w: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r w:rsidRPr="00C50F3A">
              <w:rPr>
                <w:sz w:val="20"/>
                <w:szCs w:val="20"/>
              </w:rPr>
              <w:t>(0.789)</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r w:rsidRPr="00C50F3A">
              <w:rPr>
                <w:sz w:val="20"/>
                <w:szCs w:val="20"/>
              </w:rPr>
              <w:t>Year Fixed Effects</w:t>
            </w:r>
          </w:p>
        </w:tc>
        <w:tc>
          <w:tcPr>
            <w:tcW w:w="136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Yes</w:t>
            </w: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Yes</w:t>
            </w:r>
          </w:p>
        </w:tc>
      </w:tr>
      <w:tr w:rsidR="00C50F3A" w:rsidRPr="00C50F3A" w:rsidTr="00C50F3A">
        <w:trPr>
          <w:trHeight w:val="345"/>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r w:rsidRPr="00C50F3A">
              <w:rPr>
                <w:sz w:val="20"/>
                <w:szCs w:val="20"/>
              </w:rPr>
              <w:t>Industry Fixed Effects</w:t>
            </w:r>
          </w:p>
        </w:tc>
        <w:tc>
          <w:tcPr>
            <w:tcW w:w="136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Yes</w:t>
            </w: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Yes</w:t>
            </w:r>
          </w:p>
        </w:tc>
      </w:tr>
      <w:tr w:rsidR="00C50F3A" w:rsidRPr="00C50F3A" w:rsidTr="00C50F3A">
        <w:trPr>
          <w:trHeight w:val="300"/>
          <w:jc w:val="center"/>
        </w:trPr>
        <w:tc>
          <w:tcPr>
            <w:tcW w:w="2000" w:type="dxa"/>
            <w:tcBorders>
              <w:top w:val="nil"/>
              <w:left w:val="nil"/>
              <w:bottom w:val="nil"/>
              <w:right w:val="nil"/>
            </w:tcBorders>
            <w:shd w:val="clear" w:color="auto" w:fill="auto"/>
            <w:vAlign w:val="center"/>
            <w:hideMark/>
          </w:tcPr>
          <w:p w:rsidR="00C50F3A" w:rsidRPr="00C50F3A" w:rsidRDefault="00C50F3A" w:rsidP="00C50F3A">
            <w:pPr>
              <w:rPr>
                <w:sz w:val="20"/>
                <w:szCs w:val="20"/>
              </w:rPr>
            </w:pPr>
            <w:r w:rsidRPr="00C50F3A">
              <w:rPr>
                <w:sz w:val="20"/>
                <w:szCs w:val="20"/>
              </w:rPr>
              <w:t>Adjusted R-Squared</w:t>
            </w:r>
          </w:p>
        </w:tc>
        <w:tc>
          <w:tcPr>
            <w:tcW w:w="136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64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0.160</w:t>
            </w:r>
          </w:p>
        </w:tc>
        <w:tc>
          <w:tcPr>
            <w:tcW w:w="220" w:type="dxa"/>
            <w:tcBorders>
              <w:top w:val="nil"/>
              <w:left w:val="nil"/>
              <w:bottom w:val="nil"/>
              <w:right w:val="nil"/>
            </w:tcBorders>
            <w:shd w:val="clear" w:color="auto" w:fill="auto"/>
            <w:vAlign w:val="bottom"/>
            <w:hideMark/>
          </w:tcPr>
          <w:p w:rsidR="00C50F3A" w:rsidRPr="00C50F3A" w:rsidRDefault="00C50F3A" w:rsidP="00C50F3A">
            <w:pPr>
              <w:rPr>
                <w:sz w:val="20"/>
                <w:szCs w:val="20"/>
              </w:rPr>
            </w:pPr>
          </w:p>
        </w:tc>
        <w:tc>
          <w:tcPr>
            <w:tcW w:w="48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p>
        </w:tc>
        <w:tc>
          <w:tcPr>
            <w:tcW w:w="220" w:type="dxa"/>
            <w:tcBorders>
              <w:top w:val="nil"/>
              <w:left w:val="nil"/>
              <w:bottom w:val="nil"/>
              <w:right w:val="nil"/>
            </w:tcBorders>
            <w:shd w:val="clear" w:color="auto" w:fill="auto"/>
            <w:noWrap/>
            <w:vAlign w:val="center"/>
            <w:hideMark/>
          </w:tcPr>
          <w:p w:rsidR="00C50F3A" w:rsidRPr="00C50F3A" w:rsidRDefault="00C50F3A" w:rsidP="00C50F3A">
            <w:pPr>
              <w:rPr>
                <w:sz w:val="20"/>
                <w:szCs w:val="20"/>
              </w:rPr>
            </w:pPr>
          </w:p>
        </w:tc>
        <w:tc>
          <w:tcPr>
            <w:tcW w:w="1360" w:type="dxa"/>
            <w:tcBorders>
              <w:top w:val="nil"/>
              <w:left w:val="nil"/>
              <w:bottom w:val="nil"/>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0.248</w:t>
            </w:r>
          </w:p>
        </w:tc>
      </w:tr>
      <w:tr w:rsidR="00C50F3A" w:rsidRPr="00C50F3A" w:rsidTr="00C50F3A">
        <w:trPr>
          <w:trHeight w:val="300"/>
          <w:jc w:val="center"/>
        </w:trPr>
        <w:tc>
          <w:tcPr>
            <w:tcW w:w="2000" w:type="dxa"/>
            <w:tcBorders>
              <w:top w:val="nil"/>
              <w:left w:val="nil"/>
              <w:bottom w:val="single" w:sz="4" w:space="0" w:color="auto"/>
              <w:right w:val="nil"/>
            </w:tcBorders>
            <w:shd w:val="clear" w:color="auto" w:fill="auto"/>
            <w:vAlign w:val="center"/>
            <w:hideMark/>
          </w:tcPr>
          <w:p w:rsidR="00C50F3A" w:rsidRPr="00C50F3A" w:rsidRDefault="00C50F3A" w:rsidP="00C50F3A">
            <w:pPr>
              <w:rPr>
                <w:sz w:val="20"/>
                <w:szCs w:val="20"/>
              </w:rPr>
            </w:pPr>
            <w:r w:rsidRPr="00C50F3A">
              <w:rPr>
                <w:sz w:val="20"/>
                <w:szCs w:val="20"/>
              </w:rPr>
              <w:t>N</w:t>
            </w:r>
          </w:p>
        </w:tc>
        <w:tc>
          <w:tcPr>
            <w:tcW w:w="1360" w:type="dxa"/>
            <w:tcBorders>
              <w:top w:val="nil"/>
              <w:left w:val="nil"/>
              <w:bottom w:val="single" w:sz="4" w:space="0" w:color="auto"/>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 </w:t>
            </w:r>
          </w:p>
        </w:tc>
        <w:tc>
          <w:tcPr>
            <w:tcW w:w="220" w:type="dxa"/>
            <w:tcBorders>
              <w:top w:val="nil"/>
              <w:left w:val="nil"/>
              <w:bottom w:val="single" w:sz="4" w:space="0" w:color="auto"/>
              <w:right w:val="nil"/>
            </w:tcBorders>
            <w:shd w:val="clear" w:color="auto" w:fill="auto"/>
            <w:noWrap/>
            <w:vAlign w:val="bottom"/>
            <w:hideMark/>
          </w:tcPr>
          <w:p w:rsidR="00C50F3A" w:rsidRPr="00C50F3A" w:rsidRDefault="00C50F3A" w:rsidP="00C50F3A">
            <w:pPr>
              <w:jc w:val="center"/>
              <w:rPr>
                <w:color w:val="000000"/>
                <w:sz w:val="22"/>
                <w:szCs w:val="22"/>
              </w:rPr>
            </w:pPr>
            <w:r w:rsidRPr="00C50F3A">
              <w:rPr>
                <w:color w:val="000000"/>
                <w:sz w:val="22"/>
                <w:szCs w:val="22"/>
              </w:rPr>
              <w:t> </w:t>
            </w:r>
          </w:p>
        </w:tc>
        <w:tc>
          <w:tcPr>
            <w:tcW w:w="640" w:type="dxa"/>
            <w:tcBorders>
              <w:top w:val="nil"/>
              <w:left w:val="nil"/>
              <w:bottom w:val="single" w:sz="4" w:space="0" w:color="auto"/>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 </w:t>
            </w:r>
          </w:p>
        </w:tc>
        <w:tc>
          <w:tcPr>
            <w:tcW w:w="220" w:type="dxa"/>
            <w:tcBorders>
              <w:top w:val="nil"/>
              <w:left w:val="nil"/>
              <w:bottom w:val="single" w:sz="4" w:space="0" w:color="auto"/>
              <w:right w:val="nil"/>
            </w:tcBorders>
            <w:shd w:val="clear" w:color="auto" w:fill="auto"/>
            <w:noWrap/>
            <w:vAlign w:val="bottom"/>
            <w:hideMark/>
          </w:tcPr>
          <w:p w:rsidR="00C50F3A" w:rsidRPr="00C50F3A" w:rsidRDefault="00C50F3A" w:rsidP="00C50F3A">
            <w:pPr>
              <w:jc w:val="center"/>
              <w:rPr>
                <w:color w:val="000000"/>
                <w:sz w:val="22"/>
                <w:szCs w:val="22"/>
              </w:rPr>
            </w:pPr>
            <w:r w:rsidRPr="00C50F3A">
              <w:rPr>
                <w:color w:val="000000"/>
                <w:sz w:val="22"/>
                <w:szCs w:val="22"/>
              </w:rPr>
              <w:t> </w:t>
            </w:r>
          </w:p>
        </w:tc>
        <w:tc>
          <w:tcPr>
            <w:tcW w:w="1360" w:type="dxa"/>
            <w:tcBorders>
              <w:top w:val="nil"/>
              <w:left w:val="nil"/>
              <w:bottom w:val="single" w:sz="4" w:space="0" w:color="auto"/>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2,273</w:t>
            </w:r>
          </w:p>
        </w:tc>
        <w:tc>
          <w:tcPr>
            <w:tcW w:w="220" w:type="dxa"/>
            <w:tcBorders>
              <w:top w:val="nil"/>
              <w:left w:val="nil"/>
              <w:bottom w:val="single" w:sz="4" w:space="0" w:color="auto"/>
              <w:right w:val="nil"/>
            </w:tcBorders>
            <w:shd w:val="clear" w:color="auto" w:fill="auto"/>
            <w:noWrap/>
            <w:vAlign w:val="bottom"/>
            <w:hideMark/>
          </w:tcPr>
          <w:p w:rsidR="00C50F3A" w:rsidRPr="00C50F3A" w:rsidRDefault="00C50F3A" w:rsidP="00C50F3A">
            <w:pPr>
              <w:jc w:val="center"/>
              <w:rPr>
                <w:color w:val="000000"/>
                <w:sz w:val="22"/>
                <w:szCs w:val="22"/>
              </w:rPr>
            </w:pPr>
            <w:r w:rsidRPr="00C50F3A">
              <w:rPr>
                <w:color w:val="000000"/>
                <w:sz w:val="22"/>
                <w:szCs w:val="22"/>
              </w:rPr>
              <w:t> </w:t>
            </w:r>
          </w:p>
        </w:tc>
        <w:tc>
          <w:tcPr>
            <w:tcW w:w="480" w:type="dxa"/>
            <w:tcBorders>
              <w:top w:val="nil"/>
              <w:left w:val="nil"/>
              <w:bottom w:val="single" w:sz="4" w:space="0" w:color="auto"/>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 </w:t>
            </w:r>
          </w:p>
        </w:tc>
        <w:tc>
          <w:tcPr>
            <w:tcW w:w="220" w:type="dxa"/>
            <w:tcBorders>
              <w:top w:val="nil"/>
              <w:left w:val="nil"/>
              <w:bottom w:val="single" w:sz="4" w:space="0" w:color="auto"/>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 </w:t>
            </w:r>
          </w:p>
        </w:tc>
        <w:tc>
          <w:tcPr>
            <w:tcW w:w="1360" w:type="dxa"/>
            <w:tcBorders>
              <w:top w:val="nil"/>
              <w:left w:val="nil"/>
              <w:bottom w:val="single" w:sz="4" w:space="0" w:color="auto"/>
              <w:right w:val="nil"/>
            </w:tcBorders>
            <w:shd w:val="clear" w:color="auto" w:fill="auto"/>
            <w:noWrap/>
            <w:vAlign w:val="center"/>
            <w:hideMark/>
          </w:tcPr>
          <w:p w:rsidR="00C50F3A" w:rsidRPr="00C50F3A" w:rsidRDefault="00C50F3A" w:rsidP="00C50F3A">
            <w:pPr>
              <w:jc w:val="center"/>
              <w:rPr>
                <w:sz w:val="20"/>
                <w:szCs w:val="20"/>
              </w:rPr>
            </w:pPr>
            <w:r w:rsidRPr="00C50F3A">
              <w:rPr>
                <w:sz w:val="20"/>
                <w:szCs w:val="20"/>
              </w:rPr>
              <w:t>617</w:t>
            </w:r>
          </w:p>
        </w:tc>
      </w:tr>
    </w:tbl>
    <w:p w:rsidR="00C50F3A" w:rsidRDefault="00C50F3A" w:rsidP="00C50F3A"/>
    <w:p w:rsidR="00C50F3A" w:rsidRPr="00945055" w:rsidRDefault="00C50F3A" w:rsidP="00C50F3A">
      <w:pPr>
        <w:ind w:left="270"/>
        <w:rPr>
          <w:sz w:val="20"/>
          <w:szCs w:val="20"/>
        </w:rPr>
      </w:pPr>
      <w:r w:rsidRPr="00945055">
        <w:rPr>
          <w:sz w:val="20"/>
          <w:szCs w:val="20"/>
        </w:rPr>
        <w:t>This table</w:t>
      </w:r>
      <w:r w:rsidR="00BB39A6">
        <w:rPr>
          <w:sz w:val="20"/>
          <w:szCs w:val="20"/>
        </w:rPr>
        <w:t xml:space="preserve"> presents results for tests of m</w:t>
      </w:r>
      <w:r w:rsidRPr="00945055">
        <w:rPr>
          <w:sz w:val="20"/>
          <w:szCs w:val="20"/>
        </w:rPr>
        <w:t>odel (11). All variables are defined in Appendix A. T-statistics are reported in parentheses below each coefficient. ***,**,* indicate the coefficient is significantly different from zero at the 1, 5, and 10 percent level, respectively, using a two tailed test of significance. All standard errors are clustered by firm.</w:t>
      </w:r>
    </w:p>
    <w:p w:rsidR="001D7807" w:rsidRDefault="001D7807" w:rsidP="001D7807">
      <w:pPr>
        <w:pStyle w:val="Heading4"/>
        <w:rPr>
          <w:noProof/>
        </w:rPr>
      </w:pPr>
    </w:p>
    <w:p w:rsidR="00B156A4" w:rsidRDefault="00B156A4">
      <w:pPr>
        <w:rPr>
          <w:rFonts w:eastAsiaTheme="majorEastAsia" w:cstheme="majorBidi"/>
          <w:b/>
          <w:bCs/>
          <w:iCs/>
          <w:noProof/>
        </w:rPr>
      </w:pPr>
      <w:r>
        <w:rPr>
          <w:noProof/>
        </w:rPr>
        <w:br w:type="page"/>
      </w:r>
    </w:p>
    <w:p w:rsidR="001D7807" w:rsidRDefault="001D7807" w:rsidP="001D7807">
      <w:pPr>
        <w:pStyle w:val="Heading4"/>
        <w:rPr>
          <w:noProof/>
        </w:rPr>
      </w:pPr>
      <w:bookmarkStart w:id="52" w:name="_Toc321418233"/>
      <w:r>
        <w:rPr>
          <w:noProof/>
        </w:rPr>
        <w:lastRenderedPageBreak/>
        <w:t>Table 5: Regressions of Log Market Value on TAXRISK and Governance (H3a)</w:t>
      </w:r>
      <w:bookmarkEnd w:id="52"/>
    </w:p>
    <w:p w:rsidR="001D7807" w:rsidRDefault="001D7807" w:rsidP="001D7807">
      <w:pPr>
        <w:pStyle w:val="Heading4"/>
        <w:rPr>
          <w:noProof/>
        </w:rPr>
      </w:pPr>
    </w:p>
    <w:tbl>
      <w:tblPr>
        <w:tblW w:w="8540" w:type="dxa"/>
        <w:jc w:val="center"/>
        <w:tblInd w:w="93" w:type="dxa"/>
        <w:tblLook w:val="04A0"/>
      </w:tblPr>
      <w:tblGrid>
        <w:gridCol w:w="398"/>
        <w:gridCol w:w="4060"/>
        <w:gridCol w:w="2080"/>
        <w:gridCol w:w="2060"/>
      </w:tblGrid>
      <w:tr w:rsidR="00CC5012" w:rsidRPr="00CC5012" w:rsidTr="00CC5012">
        <w:trPr>
          <w:trHeight w:val="300"/>
          <w:jc w:val="center"/>
        </w:trPr>
        <w:tc>
          <w:tcPr>
            <w:tcW w:w="340" w:type="dxa"/>
            <w:tcBorders>
              <w:top w:val="single" w:sz="4" w:space="0" w:color="auto"/>
              <w:left w:val="nil"/>
              <w:bottom w:val="nil"/>
              <w:right w:val="nil"/>
            </w:tcBorders>
            <w:shd w:val="clear" w:color="auto" w:fill="auto"/>
            <w:noWrap/>
            <w:vAlign w:val="bottom"/>
            <w:hideMark/>
          </w:tcPr>
          <w:p w:rsidR="00CC5012" w:rsidRPr="00CC5012" w:rsidRDefault="00CC5012" w:rsidP="00CC5012">
            <w:pPr>
              <w:rPr>
                <w:color w:val="000000"/>
                <w:sz w:val="22"/>
                <w:szCs w:val="22"/>
              </w:rPr>
            </w:pPr>
            <w:r w:rsidRPr="00CC5012">
              <w:rPr>
                <w:color w:val="000000"/>
                <w:sz w:val="22"/>
                <w:szCs w:val="22"/>
              </w:rPr>
              <w:t> </w:t>
            </w:r>
          </w:p>
        </w:tc>
        <w:tc>
          <w:tcPr>
            <w:tcW w:w="4060" w:type="dxa"/>
            <w:tcBorders>
              <w:top w:val="single" w:sz="4" w:space="0" w:color="auto"/>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 </w:t>
            </w:r>
          </w:p>
        </w:tc>
        <w:tc>
          <w:tcPr>
            <w:tcW w:w="2080" w:type="dxa"/>
            <w:tcBorders>
              <w:top w:val="single" w:sz="4" w:space="0" w:color="auto"/>
              <w:left w:val="nil"/>
              <w:bottom w:val="nil"/>
              <w:right w:val="nil"/>
            </w:tcBorders>
            <w:shd w:val="clear" w:color="auto" w:fill="auto"/>
            <w:vAlign w:val="center"/>
            <w:hideMark/>
          </w:tcPr>
          <w:p w:rsidR="00CC5012" w:rsidRPr="00CC5012" w:rsidRDefault="00CC5012" w:rsidP="00CC5012">
            <w:pPr>
              <w:jc w:val="center"/>
              <w:rPr>
                <w:b/>
                <w:bCs/>
                <w:sz w:val="20"/>
                <w:szCs w:val="20"/>
              </w:rPr>
            </w:pPr>
            <w:r w:rsidRPr="00CC5012">
              <w:rPr>
                <w:b/>
                <w:bCs/>
                <w:sz w:val="20"/>
                <w:szCs w:val="20"/>
              </w:rPr>
              <w:t>(1)</w:t>
            </w:r>
          </w:p>
        </w:tc>
        <w:tc>
          <w:tcPr>
            <w:tcW w:w="2060" w:type="dxa"/>
            <w:tcBorders>
              <w:top w:val="single" w:sz="4" w:space="0" w:color="auto"/>
              <w:left w:val="nil"/>
              <w:bottom w:val="nil"/>
              <w:right w:val="nil"/>
            </w:tcBorders>
            <w:shd w:val="clear" w:color="auto" w:fill="auto"/>
            <w:vAlign w:val="center"/>
            <w:hideMark/>
          </w:tcPr>
          <w:p w:rsidR="00CC5012" w:rsidRPr="00CC5012" w:rsidRDefault="00CC5012" w:rsidP="00CC5012">
            <w:pPr>
              <w:jc w:val="center"/>
              <w:rPr>
                <w:b/>
                <w:bCs/>
                <w:sz w:val="20"/>
                <w:szCs w:val="20"/>
              </w:rPr>
            </w:pPr>
            <w:r w:rsidRPr="00CC5012">
              <w:rPr>
                <w:b/>
                <w:bCs/>
                <w:sz w:val="20"/>
                <w:szCs w:val="20"/>
              </w:rPr>
              <w:t>(2)</w:t>
            </w:r>
          </w:p>
        </w:tc>
      </w:tr>
      <w:tr w:rsidR="00CC5012" w:rsidRPr="00CC5012" w:rsidTr="00CC5012">
        <w:trPr>
          <w:trHeight w:val="825"/>
          <w:jc w:val="center"/>
        </w:trPr>
        <w:tc>
          <w:tcPr>
            <w:tcW w:w="340" w:type="dxa"/>
            <w:tcBorders>
              <w:top w:val="nil"/>
              <w:left w:val="nil"/>
              <w:bottom w:val="single" w:sz="4" w:space="0" w:color="auto"/>
              <w:right w:val="nil"/>
            </w:tcBorders>
            <w:shd w:val="clear" w:color="auto" w:fill="auto"/>
            <w:noWrap/>
            <w:vAlign w:val="bottom"/>
            <w:hideMark/>
          </w:tcPr>
          <w:p w:rsidR="00CC5012" w:rsidRPr="00CC5012" w:rsidRDefault="00CC5012" w:rsidP="00CC5012">
            <w:pPr>
              <w:rPr>
                <w:color w:val="000000"/>
                <w:sz w:val="22"/>
                <w:szCs w:val="22"/>
              </w:rPr>
            </w:pPr>
            <w:r w:rsidRPr="00CC5012">
              <w:rPr>
                <w:color w:val="000000"/>
                <w:sz w:val="22"/>
                <w:szCs w:val="22"/>
              </w:rPr>
              <w:t> </w:t>
            </w:r>
          </w:p>
        </w:tc>
        <w:tc>
          <w:tcPr>
            <w:tcW w:w="4060" w:type="dxa"/>
            <w:tcBorders>
              <w:top w:val="nil"/>
              <w:left w:val="nil"/>
              <w:bottom w:val="single" w:sz="4" w:space="0" w:color="auto"/>
              <w:right w:val="nil"/>
            </w:tcBorders>
            <w:shd w:val="clear" w:color="auto" w:fill="auto"/>
            <w:vAlign w:val="center"/>
            <w:hideMark/>
          </w:tcPr>
          <w:p w:rsidR="00CC5012" w:rsidRPr="00CC5012" w:rsidRDefault="00CC5012" w:rsidP="00CC5012">
            <w:pPr>
              <w:rPr>
                <w:sz w:val="20"/>
                <w:szCs w:val="20"/>
              </w:rPr>
            </w:pPr>
            <w:r w:rsidRPr="00CC5012">
              <w:rPr>
                <w:sz w:val="20"/>
                <w:szCs w:val="20"/>
              </w:rPr>
              <w:t> </w:t>
            </w:r>
          </w:p>
        </w:tc>
        <w:tc>
          <w:tcPr>
            <w:tcW w:w="2080" w:type="dxa"/>
            <w:tcBorders>
              <w:top w:val="nil"/>
              <w:left w:val="nil"/>
              <w:bottom w:val="single" w:sz="4" w:space="0" w:color="auto"/>
              <w:right w:val="nil"/>
            </w:tcBorders>
            <w:shd w:val="clear" w:color="auto" w:fill="auto"/>
            <w:vAlign w:val="center"/>
            <w:hideMark/>
          </w:tcPr>
          <w:p w:rsidR="00CC5012" w:rsidRPr="00CC5012" w:rsidRDefault="00CC5012" w:rsidP="00CC5012">
            <w:pPr>
              <w:jc w:val="center"/>
              <w:rPr>
                <w:b/>
                <w:bCs/>
                <w:sz w:val="20"/>
                <w:szCs w:val="20"/>
              </w:rPr>
            </w:pPr>
            <w:r w:rsidRPr="00CC5012">
              <w:rPr>
                <w:b/>
                <w:bCs/>
                <w:sz w:val="20"/>
                <w:szCs w:val="20"/>
              </w:rPr>
              <w:t>GOVERNANCE=1 if INST_OWN &gt; mean</w:t>
            </w:r>
          </w:p>
        </w:tc>
        <w:tc>
          <w:tcPr>
            <w:tcW w:w="2060" w:type="dxa"/>
            <w:tcBorders>
              <w:top w:val="nil"/>
              <w:left w:val="nil"/>
              <w:bottom w:val="single" w:sz="4" w:space="0" w:color="auto"/>
              <w:right w:val="nil"/>
            </w:tcBorders>
            <w:shd w:val="clear" w:color="auto" w:fill="auto"/>
            <w:vAlign w:val="center"/>
            <w:hideMark/>
          </w:tcPr>
          <w:p w:rsidR="00CC5012" w:rsidRPr="00CC5012" w:rsidRDefault="00CC5012" w:rsidP="00CC5012">
            <w:pPr>
              <w:jc w:val="center"/>
              <w:rPr>
                <w:b/>
                <w:bCs/>
                <w:sz w:val="20"/>
                <w:szCs w:val="20"/>
              </w:rPr>
            </w:pPr>
            <w:r w:rsidRPr="00CC5012">
              <w:rPr>
                <w:b/>
                <w:bCs/>
                <w:sz w:val="20"/>
                <w:szCs w:val="20"/>
              </w:rPr>
              <w:t>GOVERNANCE=1 if CEO is not the Chairman</w:t>
            </w:r>
          </w:p>
        </w:tc>
      </w:tr>
      <w:tr w:rsidR="00CC5012" w:rsidRPr="00CC5012" w:rsidTr="00CC5012">
        <w:trPr>
          <w:trHeight w:val="330"/>
          <w:jc w:val="center"/>
        </w:trPr>
        <w:tc>
          <w:tcPr>
            <w:tcW w:w="34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r w:rsidRPr="00CC5012">
              <w:rPr>
                <w:color w:val="000000"/>
                <w:sz w:val="22"/>
                <w:szCs w:val="22"/>
              </w:rPr>
              <w:t>β</w:t>
            </w:r>
            <w:r w:rsidRPr="00CC5012">
              <w:rPr>
                <w:color w:val="000000"/>
                <w:sz w:val="22"/>
                <w:szCs w:val="22"/>
                <w:vertAlign w:val="subscript"/>
              </w:rPr>
              <w:t>1</w:t>
            </w:r>
          </w:p>
        </w:tc>
        <w:tc>
          <w:tcPr>
            <w:tcW w:w="406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TAXRISK</w:t>
            </w:r>
          </w:p>
        </w:tc>
        <w:tc>
          <w:tcPr>
            <w:tcW w:w="208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0.420***</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0.388***</w:t>
            </w:r>
          </w:p>
        </w:tc>
      </w:tr>
      <w:tr w:rsidR="00CC5012" w:rsidRPr="00CC5012" w:rsidTr="00CC5012">
        <w:trPr>
          <w:trHeight w:val="300"/>
          <w:jc w:val="center"/>
        </w:trPr>
        <w:tc>
          <w:tcPr>
            <w:tcW w:w="34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p>
        </w:tc>
        <w:tc>
          <w:tcPr>
            <w:tcW w:w="406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208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(6.016)</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(5.499)</w:t>
            </w:r>
          </w:p>
        </w:tc>
      </w:tr>
      <w:tr w:rsidR="00CC5012" w:rsidRPr="00CC5012" w:rsidTr="00CC5012">
        <w:trPr>
          <w:trHeight w:val="330"/>
          <w:jc w:val="center"/>
        </w:trPr>
        <w:tc>
          <w:tcPr>
            <w:tcW w:w="34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r w:rsidRPr="00CC5012">
              <w:rPr>
                <w:color w:val="000000"/>
                <w:sz w:val="22"/>
                <w:szCs w:val="22"/>
              </w:rPr>
              <w:t>β</w:t>
            </w:r>
            <w:r w:rsidRPr="00CC5012">
              <w:rPr>
                <w:color w:val="000000"/>
                <w:sz w:val="22"/>
                <w:szCs w:val="22"/>
                <w:vertAlign w:val="subscript"/>
              </w:rPr>
              <w:t>2</w:t>
            </w:r>
          </w:p>
        </w:tc>
        <w:tc>
          <w:tcPr>
            <w:tcW w:w="406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TAXRISK_SQ</w:t>
            </w:r>
          </w:p>
        </w:tc>
        <w:tc>
          <w:tcPr>
            <w:tcW w:w="208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-0.037***</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-0.040***</w:t>
            </w:r>
          </w:p>
        </w:tc>
      </w:tr>
      <w:tr w:rsidR="00CC5012" w:rsidRPr="00CC5012" w:rsidTr="00CC5012">
        <w:trPr>
          <w:trHeight w:val="300"/>
          <w:jc w:val="center"/>
        </w:trPr>
        <w:tc>
          <w:tcPr>
            <w:tcW w:w="34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p>
        </w:tc>
        <w:tc>
          <w:tcPr>
            <w:tcW w:w="406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208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(-5.806)</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(-4.782)</w:t>
            </w:r>
          </w:p>
        </w:tc>
      </w:tr>
      <w:tr w:rsidR="00CC5012" w:rsidRPr="00CC5012" w:rsidTr="00CC5012">
        <w:trPr>
          <w:trHeight w:val="330"/>
          <w:jc w:val="center"/>
        </w:trPr>
        <w:tc>
          <w:tcPr>
            <w:tcW w:w="34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r w:rsidRPr="00CC5012">
              <w:rPr>
                <w:color w:val="000000"/>
                <w:sz w:val="22"/>
                <w:szCs w:val="22"/>
              </w:rPr>
              <w:t>β</w:t>
            </w:r>
            <w:r w:rsidRPr="00CC5012">
              <w:rPr>
                <w:color w:val="000000"/>
                <w:sz w:val="22"/>
                <w:szCs w:val="22"/>
                <w:vertAlign w:val="subscript"/>
              </w:rPr>
              <w:t>3</w:t>
            </w:r>
          </w:p>
        </w:tc>
        <w:tc>
          <w:tcPr>
            <w:tcW w:w="4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GOVERNANCE</w:t>
            </w:r>
          </w:p>
        </w:tc>
        <w:tc>
          <w:tcPr>
            <w:tcW w:w="208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1.274***</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-0.435***</w:t>
            </w:r>
          </w:p>
        </w:tc>
      </w:tr>
      <w:tr w:rsidR="00CC5012" w:rsidRPr="00CC5012" w:rsidTr="00CC5012">
        <w:trPr>
          <w:trHeight w:val="300"/>
          <w:jc w:val="center"/>
        </w:trPr>
        <w:tc>
          <w:tcPr>
            <w:tcW w:w="34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p>
        </w:tc>
        <w:tc>
          <w:tcPr>
            <w:tcW w:w="406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208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(13.365)</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(-4.162)</w:t>
            </w:r>
          </w:p>
        </w:tc>
      </w:tr>
      <w:tr w:rsidR="00CC5012" w:rsidRPr="00CC5012" w:rsidTr="00CC5012">
        <w:trPr>
          <w:trHeight w:val="330"/>
          <w:jc w:val="center"/>
        </w:trPr>
        <w:tc>
          <w:tcPr>
            <w:tcW w:w="34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r w:rsidRPr="00CC5012">
              <w:rPr>
                <w:color w:val="000000"/>
                <w:sz w:val="22"/>
                <w:szCs w:val="22"/>
              </w:rPr>
              <w:t>β</w:t>
            </w:r>
            <w:r w:rsidRPr="00CC5012">
              <w:rPr>
                <w:color w:val="000000"/>
                <w:sz w:val="22"/>
                <w:szCs w:val="22"/>
                <w:vertAlign w:val="subscript"/>
              </w:rPr>
              <w:t>4</w:t>
            </w:r>
          </w:p>
        </w:tc>
        <w:tc>
          <w:tcPr>
            <w:tcW w:w="4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proofErr w:type="spellStart"/>
            <w:r w:rsidRPr="00CC5012">
              <w:rPr>
                <w:sz w:val="20"/>
                <w:szCs w:val="20"/>
              </w:rPr>
              <w:t>TAXRISK_x_GOVERNANCE</w:t>
            </w:r>
            <w:proofErr w:type="spellEnd"/>
          </w:p>
        </w:tc>
        <w:tc>
          <w:tcPr>
            <w:tcW w:w="208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-0.141*</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-0.070</w:t>
            </w:r>
          </w:p>
        </w:tc>
      </w:tr>
      <w:tr w:rsidR="00CC5012" w:rsidRPr="00CC5012" w:rsidTr="00CC5012">
        <w:trPr>
          <w:trHeight w:val="300"/>
          <w:jc w:val="center"/>
        </w:trPr>
        <w:tc>
          <w:tcPr>
            <w:tcW w:w="34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p>
        </w:tc>
        <w:tc>
          <w:tcPr>
            <w:tcW w:w="406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208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(-1.759)</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(-0.732)</w:t>
            </w:r>
          </w:p>
        </w:tc>
      </w:tr>
      <w:tr w:rsidR="00CC5012" w:rsidRPr="00CC5012" w:rsidTr="00CC5012">
        <w:trPr>
          <w:trHeight w:val="330"/>
          <w:jc w:val="center"/>
        </w:trPr>
        <w:tc>
          <w:tcPr>
            <w:tcW w:w="34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r w:rsidRPr="00CC5012">
              <w:rPr>
                <w:color w:val="000000"/>
                <w:sz w:val="22"/>
                <w:szCs w:val="22"/>
              </w:rPr>
              <w:t>β</w:t>
            </w:r>
            <w:r w:rsidRPr="00CC5012">
              <w:rPr>
                <w:color w:val="000000"/>
                <w:sz w:val="22"/>
                <w:szCs w:val="22"/>
                <w:vertAlign w:val="subscript"/>
              </w:rPr>
              <w:t>5</w:t>
            </w:r>
          </w:p>
        </w:tc>
        <w:tc>
          <w:tcPr>
            <w:tcW w:w="4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proofErr w:type="spellStart"/>
            <w:r w:rsidRPr="00CC5012">
              <w:rPr>
                <w:sz w:val="20"/>
                <w:szCs w:val="20"/>
              </w:rPr>
              <w:t>TAXRISK_SQ_x_GOVERNANCE</w:t>
            </w:r>
            <w:proofErr w:type="spellEnd"/>
          </w:p>
        </w:tc>
        <w:tc>
          <w:tcPr>
            <w:tcW w:w="208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0.015*</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0.019*</w:t>
            </w:r>
          </w:p>
        </w:tc>
      </w:tr>
      <w:tr w:rsidR="00CC5012" w:rsidRPr="00CC5012" w:rsidTr="00CC5012">
        <w:trPr>
          <w:trHeight w:val="300"/>
          <w:jc w:val="center"/>
        </w:trPr>
        <w:tc>
          <w:tcPr>
            <w:tcW w:w="34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p>
        </w:tc>
        <w:tc>
          <w:tcPr>
            <w:tcW w:w="4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p>
        </w:tc>
        <w:tc>
          <w:tcPr>
            <w:tcW w:w="208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(1.926)</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(1.768)</w:t>
            </w:r>
          </w:p>
        </w:tc>
      </w:tr>
      <w:tr w:rsidR="00CC5012" w:rsidRPr="00CC5012" w:rsidTr="00CC5012">
        <w:trPr>
          <w:trHeight w:val="300"/>
          <w:jc w:val="center"/>
        </w:trPr>
        <w:tc>
          <w:tcPr>
            <w:tcW w:w="34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p>
        </w:tc>
        <w:tc>
          <w:tcPr>
            <w:tcW w:w="4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p>
        </w:tc>
        <w:tc>
          <w:tcPr>
            <w:tcW w:w="208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p>
        </w:tc>
        <w:tc>
          <w:tcPr>
            <w:tcW w:w="206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p>
        </w:tc>
      </w:tr>
      <w:tr w:rsidR="00CC5012" w:rsidRPr="00CC5012" w:rsidTr="00CC5012">
        <w:trPr>
          <w:trHeight w:val="300"/>
          <w:jc w:val="center"/>
        </w:trPr>
        <w:tc>
          <w:tcPr>
            <w:tcW w:w="4400" w:type="dxa"/>
            <w:gridSpan w:val="2"/>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Controls</w:t>
            </w:r>
          </w:p>
        </w:tc>
        <w:tc>
          <w:tcPr>
            <w:tcW w:w="208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Yes</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Yes</w:t>
            </w:r>
          </w:p>
        </w:tc>
      </w:tr>
      <w:tr w:rsidR="00CC5012" w:rsidRPr="00CC5012" w:rsidTr="00CC5012">
        <w:trPr>
          <w:trHeight w:val="300"/>
          <w:jc w:val="center"/>
        </w:trPr>
        <w:tc>
          <w:tcPr>
            <w:tcW w:w="4400" w:type="dxa"/>
            <w:gridSpan w:val="2"/>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Year Fixed Effects</w:t>
            </w:r>
          </w:p>
        </w:tc>
        <w:tc>
          <w:tcPr>
            <w:tcW w:w="208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Yes</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Yes</w:t>
            </w:r>
          </w:p>
        </w:tc>
      </w:tr>
      <w:tr w:rsidR="00CC5012" w:rsidRPr="00CC5012" w:rsidTr="00CC5012">
        <w:trPr>
          <w:trHeight w:val="345"/>
          <w:jc w:val="center"/>
        </w:trPr>
        <w:tc>
          <w:tcPr>
            <w:tcW w:w="4400" w:type="dxa"/>
            <w:gridSpan w:val="2"/>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Industry Fixed Effects</w:t>
            </w:r>
          </w:p>
        </w:tc>
        <w:tc>
          <w:tcPr>
            <w:tcW w:w="208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Yes</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Yes</w:t>
            </w:r>
          </w:p>
        </w:tc>
      </w:tr>
      <w:tr w:rsidR="00CC5012" w:rsidRPr="00CC5012" w:rsidTr="00CC5012">
        <w:trPr>
          <w:trHeight w:val="300"/>
          <w:jc w:val="center"/>
        </w:trPr>
        <w:tc>
          <w:tcPr>
            <w:tcW w:w="4400" w:type="dxa"/>
            <w:gridSpan w:val="2"/>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Adjusted R-Squared</w:t>
            </w:r>
          </w:p>
        </w:tc>
        <w:tc>
          <w:tcPr>
            <w:tcW w:w="208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0.546</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0.484</w:t>
            </w:r>
          </w:p>
        </w:tc>
      </w:tr>
      <w:tr w:rsidR="00CC5012" w:rsidRPr="00CC5012" w:rsidTr="00CC5012">
        <w:trPr>
          <w:trHeight w:val="300"/>
          <w:jc w:val="center"/>
        </w:trPr>
        <w:tc>
          <w:tcPr>
            <w:tcW w:w="340" w:type="dxa"/>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N</w:t>
            </w:r>
          </w:p>
        </w:tc>
        <w:tc>
          <w:tcPr>
            <w:tcW w:w="4060" w:type="dxa"/>
            <w:tcBorders>
              <w:top w:val="nil"/>
              <w:left w:val="nil"/>
              <w:bottom w:val="nil"/>
              <w:right w:val="nil"/>
            </w:tcBorders>
            <w:shd w:val="clear" w:color="auto" w:fill="auto"/>
            <w:noWrap/>
            <w:vAlign w:val="bottom"/>
            <w:hideMark/>
          </w:tcPr>
          <w:p w:rsidR="00CC5012" w:rsidRPr="00CC5012" w:rsidRDefault="00CC5012" w:rsidP="00CC5012">
            <w:pPr>
              <w:rPr>
                <w:color w:val="000000"/>
                <w:sz w:val="22"/>
                <w:szCs w:val="22"/>
              </w:rPr>
            </w:pPr>
          </w:p>
        </w:tc>
        <w:tc>
          <w:tcPr>
            <w:tcW w:w="208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4,128</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2,004</w:t>
            </w:r>
          </w:p>
        </w:tc>
      </w:tr>
      <w:tr w:rsidR="00CC5012" w:rsidRPr="00CC5012" w:rsidTr="00CC5012">
        <w:trPr>
          <w:trHeight w:val="300"/>
          <w:jc w:val="center"/>
        </w:trPr>
        <w:tc>
          <w:tcPr>
            <w:tcW w:w="4400" w:type="dxa"/>
            <w:gridSpan w:val="2"/>
            <w:tcBorders>
              <w:top w:val="nil"/>
              <w:left w:val="nil"/>
              <w:bottom w:val="nil"/>
              <w:right w:val="nil"/>
            </w:tcBorders>
            <w:shd w:val="clear" w:color="auto" w:fill="auto"/>
            <w:noWrap/>
            <w:vAlign w:val="center"/>
            <w:hideMark/>
          </w:tcPr>
          <w:p w:rsidR="00CC5012" w:rsidRPr="00CC5012" w:rsidRDefault="0003149A" w:rsidP="00CC5012">
            <w:pPr>
              <w:rPr>
                <w:sz w:val="20"/>
                <w:szCs w:val="20"/>
              </w:rPr>
            </w:pPr>
            <w:r>
              <w:rPr>
                <w:sz w:val="20"/>
                <w:szCs w:val="20"/>
              </w:rPr>
              <w:t xml:space="preserve">(a) </w:t>
            </w:r>
            <w:proofErr w:type="spellStart"/>
            <w:r>
              <w:rPr>
                <w:sz w:val="20"/>
                <w:szCs w:val="20"/>
              </w:rPr>
              <w:t>Argmax</w:t>
            </w:r>
            <w:proofErr w:type="spellEnd"/>
            <w:r>
              <w:rPr>
                <w:sz w:val="20"/>
                <w:szCs w:val="20"/>
              </w:rPr>
              <w:t xml:space="preserve"> for well </w:t>
            </w:r>
            <w:r w:rsidR="00CC5012" w:rsidRPr="00CC5012">
              <w:rPr>
                <w:sz w:val="20"/>
                <w:szCs w:val="20"/>
              </w:rPr>
              <w:t>governed [(β</w:t>
            </w:r>
            <w:r w:rsidR="00CC5012" w:rsidRPr="00CC5012">
              <w:rPr>
                <w:sz w:val="20"/>
                <w:szCs w:val="20"/>
                <w:vertAlign w:val="subscript"/>
              </w:rPr>
              <w:t>1</w:t>
            </w:r>
            <w:r w:rsidR="00CC5012" w:rsidRPr="00CC5012">
              <w:rPr>
                <w:sz w:val="20"/>
                <w:szCs w:val="20"/>
              </w:rPr>
              <w:t>+β</w:t>
            </w:r>
            <w:r w:rsidR="00CC5012" w:rsidRPr="00CC5012">
              <w:rPr>
                <w:sz w:val="20"/>
                <w:szCs w:val="20"/>
                <w:vertAlign w:val="subscript"/>
              </w:rPr>
              <w:t>4</w:t>
            </w:r>
            <w:r w:rsidR="00CC5012" w:rsidRPr="00CC5012">
              <w:rPr>
                <w:sz w:val="20"/>
                <w:szCs w:val="20"/>
              </w:rPr>
              <w:t>)/(-2*(β</w:t>
            </w:r>
            <w:r w:rsidR="00CC5012" w:rsidRPr="00CC5012">
              <w:rPr>
                <w:sz w:val="20"/>
                <w:szCs w:val="20"/>
                <w:vertAlign w:val="subscript"/>
              </w:rPr>
              <w:t>2</w:t>
            </w:r>
            <w:r w:rsidR="00CC5012" w:rsidRPr="00CC5012">
              <w:rPr>
                <w:sz w:val="20"/>
                <w:szCs w:val="20"/>
              </w:rPr>
              <w:t>+β</w:t>
            </w:r>
            <w:r w:rsidR="00CC5012" w:rsidRPr="00CC5012">
              <w:rPr>
                <w:sz w:val="20"/>
                <w:szCs w:val="20"/>
                <w:vertAlign w:val="subscript"/>
              </w:rPr>
              <w:t>5</w:t>
            </w:r>
            <w:r w:rsidR="00CC5012" w:rsidRPr="00CC5012">
              <w:rPr>
                <w:sz w:val="20"/>
                <w:szCs w:val="20"/>
              </w:rPr>
              <w:t>))]</w:t>
            </w:r>
          </w:p>
        </w:tc>
        <w:tc>
          <w:tcPr>
            <w:tcW w:w="208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6.5</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7.7</w:t>
            </w:r>
          </w:p>
        </w:tc>
      </w:tr>
      <w:tr w:rsidR="00CC5012" w:rsidRPr="00CC5012" w:rsidTr="00CC5012">
        <w:trPr>
          <w:trHeight w:val="300"/>
          <w:jc w:val="center"/>
        </w:trPr>
        <w:tc>
          <w:tcPr>
            <w:tcW w:w="4400" w:type="dxa"/>
            <w:gridSpan w:val="2"/>
            <w:tcBorders>
              <w:top w:val="nil"/>
              <w:left w:val="nil"/>
              <w:bottom w:val="nil"/>
              <w:right w:val="nil"/>
            </w:tcBorders>
            <w:shd w:val="clear" w:color="auto" w:fill="auto"/>
            <w:noWrap/>
            <w:vAlign w:val="center"/>
            <w:hideMark/>
          </w:tcPr>
          <w:p w:rsidR="00CC5012" w:rsidRPr="00CC5012" w:rsidRDefault="0003149A" w:rsidP="00CC5012">
            <w:pPr>
              <w:rPr>
                <w:sz w:val="20"/>
                <w:szCs w:val="20"/>
              </w:rPr>
            </w:pPr>
            <w:r>
              <w:rPr>
                <w:sz w:val="20"/>
                <w:szCs w:val="20"/>
              </w:rPr>
              <w:t xml:space="preserve">(b) </w:t>
            </w:r>
            <w:proofErr w:type="spellStart"/>
            <w:r>
              <w:rPr>
                <w:sz w:val="20"/>
                <w:szCs w:val="20"/>
              </w:rPr>
              <w:t>Argmax</w:t>
            </w:r>
            <w:proofErr w:type="spellEnd"/>
            <w:r>
              <w:rPr>
                <w:sz w:val="20"/>
                <w:szCs w:val="20"/>
              </w:rPr>
              <w:t xml:space="preserve"> for poorly </w:t>
            </w:r>
            <w:r w:rsidR="00CC5012" w:rsidRPr="00CC5012">
              <w:rPr>
                <w:sz w:val="20"/>
                <w:szCs w:val="20"/>
              </w:rPr>
              <w:t>governed [β</w:t>
            </w:r>
            <w:r w:rsidR="00CC5012" w:rsidRPr="00CC5012">
              <w:rPr>
                <w:sz w:val="20"/>
                <w:szCs w:val="20"/>
                <w:vertAlign w:val="subscript"/>
              </w:rPr>
              <w:t>1</w:t>
            </w:r>
            <w:r w:rsidR="00CC5012" w:rsidRPr="00CC5012">
              <w:rPr>
                <w:sz w:val="20"/>
                <w:szCs w:val="20"/>
              </w:rPr>
              <w:t>/(-2*(β</w:t>
            </w:r>
            <w:r w:rsidR="00CC5012" w:rsidRPr="00CC5012">
              <w:rPr>
                <w:sz w:val="20"/>
                <w:szCs w:val="20"/>
                <w:vertAlign w:val="subscript"/>
              </w:rPr>
              <w:t>2</w:t>
            </w:r>
            <w:r w:rsidR="00CC5012" w:rsidRPr="00CC5012">
              <w:rPr>
                <w:sz w:val="20"/>
                <w:szCs w:val="20"/>
              </w:rPr>
              <w:t>))]</w:t>
            </w:r>
          </w:p>
        </w:tc>
        <w:tc>
          <w:tcPr>
            <w:tcW w:w="208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5.7</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4.9</w:t>
            </w:r>
          </w:p>
        </w:tc>
      </w:tr>
      <w:tr w:rsidR="00CC5012" w:rsidRPr="00CC5012" w:rsidTr="00CC5012">
        <w:trPr>
          <w:trHeight w:val="300"/>
          <w:jc w:val="center"/>
        </w:trPr>
        <w:tc>
          <w:tcPr>
            <w:tcW w:w="4400" w:type="dxa"/>
            <w:gridSpan w:val="2"/>
            <w:tcBorders>
              <w:top w:val="nil"/>
              <w:left w:val="nil"/>
              <w:bottom w:val="nil"/>
              <w:right w:val="nil"/>
            </w:tcBorders>
            <w:shd w:val="clear" w:color="auto" w:fill="auto"/>
            <w:noWrap/>
            <w:vAlign w:val="center"/>
            <w:hideMark/>
          </w:tcPr>
          <w:p w:rsidR="00CC5012" w:rsidRPr="00CC5012" w:rsidRDefault="00CC5012" w:rsidP="00CC5012">
            <w:pPr>
              <w:rPr>
                <w:sz w:val="20"/>
                <w:szCs w:val="20"/>
              </w:rPr>
            </w:pPr>
            <w:r w:rsidRPr="00CC5012">
              <w:rPr>
                <w:sz w:val="20"/>
                <w:szCs w:val="20"/>
              </w:rPr>
              <w:t>(c) F-statistic for Delta Method nonlinear test</w:t>
            </w:r>
          </w:p>
        </w:tc>
        <w:tc>
          <w:tcPr>
            <w:tcW w:w="208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1.09</w:t>
            </w:r>
          </w:p>
        </w:tc>
        <w:tc>
          <w:tcPr>
            <w:tcW w:w="2060" w:type="dxa"/>
            <w:tcBorders>
              <w:top w:val="nil"/>
              <w:left w:val="nil"/>
              <w:bottom w:val="nil"/>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4.43**</w:t>
            </w:r>
          </w:p>
        </w:tc>
      </w:tr>
      <w:tr w:rsidR="00CC5012" w:rsidRPr="00CC5012" w:rsidTr="00CC5012">
        <w:trPr>
          <w:trHeight w:val="300"/>
          <w:jc w:val="center"/>
        </w:trPr>
        <w:tc>
          <w:tcPr>
            <w:tcW w:w="4400" w:type="dxa"/>
            <w:gridSpan w:val="2"/>
            <w:tcBorders>
              <w:top w:val="nil"/>
              <w:left w:val="nil"/>
              <w:bottom w:val="single" w:sz="4" w:space="0" w:color="auto"/>
              <w:right w:val="nil"/>
            </w:tcBorders>
            <w:shd w:val="clear" w:color="auto" w:fill="auto"/>
            <w:noWrap/>
            <w:vAlign w:val="center"/>
            <w:hideMark/>
          </w:tcPr>
          <w:p w:rsidR="00CC5012" w:rsidRPr="00CC5012" w:rsidRDefault="00CC5012" w:rsidP="00CC5012">
            <w:pPr>
              <w:rPr>
                <w:sz w:val="20"/>
                <w:szCs w:val="20"/>
              </w:rPr>
            </w:pPr>
            <w:r w:rsidRPr="00CC5012">
              <w:rPr>
                <w:sz w:val="20"/>
                <w:szCs w:val="20"/>
              </w:rPr>
              <w:t xml:space="preserve">(d) p-value for difference in </w:t>
            </w:r>
            <w:proofErr w:type="spellStart"/>
            <w:r w:rsidRPr="00CC5012">
              <w:rPr>
                <w:sz w:val="20"/>
                <w:szCs w:val="20"/>
              </w:rPr>
              <w:t>argmax</w:t>
            </w:r>
            <w:proofErr w:type="spellEnd"/>
          </w:p>
        </w:tc>
        <w:tc>
          <w:tcPr>
            <w:tcW w:w="2080" w:type="dxa"/>
            <w:tcBorders>
              <w:top w:val="nil"/>
              <w:left w:val="nil"/>
              <w:bottom w:val="single" w:sz="4" w:space="0" w:color="auto"/>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0.296</w:t>
            </w:r>
          </w:p>
        </w:tc>
        <w:tc>
          <w:tcPr>
            <w:tcW w:w="2060" w:type="dxa"/>
            <w:tcBorders>
              <w:top w:val="nil"/>
              <w:left w:val="nil"/>
              <w:bottom w:val="single" w:sz="4" w:space="0" w:color="auto"/>
              <w:right w:val="nil"/>
            </w:tcBorders>
            <w:shd w:val="clear" w:color="auto" w:fill="auto"/>
            <w:noWrap/>
            <w:vAlign w:val="center"/>
            <w:hideMark/>
          </w:tcPr>
          <w:p w:rsidR="00CC5012" w:rsidRPr="00CC5012" w:rsidRDefault="00CC5012" w:rsidP="00CC5012">
            <w:pPr>
              <w:jc w:val="center"/>
              <w:rPr>
                <w:sz w:val="20"/>
                <w:szCs w:val="20"/>
              </w:rPr>
            </w:pPr>
            <w:r w:rsidRPr="00CC5012">
              <w:rPr>
                <w:sz w:val="20"/>
                <w:szCs w:val="20"/>
              </w:rPr>
              <w:t>0.036</w:t>
            </w:r>
          </w:p>
        </w:tc>
      </w:tr>
    </w:tbl>
    <w:p w:rsidR="00CC5012" w:rsidRDefault="00CC5012">
      <w:pPr>
        <w:rPr>
          <w:noProof/>
        </w:rPr>
      </w:pPr>
    </w:p>
    <w:p w:rsidR="00CC5012" w:rsidRPr="00CC5012" w:rsidRDefault="00CC5012" w:rsidP="00CC5012">
      <w:pPr>
        <w:ind w:left="180"/>
        <w:rPr>
          <w:noProof/>
          <w:sz w:val="20"/>
          <w:szCs w:val="20"/>
        </w:rPr>
      </w:pPr>
      <w:r w:rsidRPr="00CC5012">
        <w:rPr>
          <w:noProof/>
          <w:sz w:val="20"/>
          <w:szCs w:val="20"/>
        </w:rPr>
        <w:t>This table</w:t>
      </w:r>
      <w:r w:rsidR="00BB39A6">
        <w:rPr>
          <w:noProof/>
          <w:sz w:val="20"/>
          <w:szCs w:val="20"/>
        </w:rPr>
        <w:t xml:space="preserve"> presents results for tests of m</w:t>
      </w:r>
      <w:r w:rsidRPr="00CC5012">
        <w:rPr>
          <w:noProof/>
          <w:sz w:val="20"/>
          <w:szCs w:val="20"/>
        </w:rPr>
        <w:t>odel (10) based on the interaction of either institutional ownership or CEO/ chairman duality with TAXRISK and TAXRISK_SQ.  All variables are defined in Appendix A. T-statistics are reported in parentheses below each coefficient. ***,**,* indicate the coefficient is significantly different from zero at the 1, 5, and 10 percent level, respectively, using a two tailed test of significance. All standard errors are clustered by firm.</w:t>
      </w:r>
    </w:p>
    <w:p w:rsidR="00CC5012" w:rsidRPr="00CC5012" w:rsidRDefault="00CC5012" w:rsidP="00CC5012">
      <w:pPr>
        <w:ind w:left="180"/>
        <w:rPr>
          <w:noProof/>
          <w:sz w:val="20"/>
          <w:szCs w:val="20"/>
        </w:rPr>
      </w:pPr>
      <w:r w:rsidRPr="00CC5012">
        <w:rPr>
          <w:noProof/>
          <w:sz w:val="20"/>
          <w:szCs w:val="20"/>
        </w:rPr>
        <w:t>(a) The optimal level of TAXRISK when GOVERNANCE=1</w:t>
      </w:r>
    </w:p>
    <w:p w:rsidR="00CC5012" w:rsidRPr="00CC5012" w:rsidRDefault="00CC5012" w:rsidP="00CC5012">
      <w:pPr>
        <w:ind w:left="180"/>
        <w:rPr>
          <w:noProof/>
          <w:sz w:val="20"/>
          <w:szCs w:val="20"/>
        </w:rPr>
      </w:pPr>
      <w:r w:rsidRPr="00CC5012">
        <w:rPr>
          <w:noProof/>
          <w:sz w:val="20"/>
          <w:szCs w:val="20"/>
        </w:rPr>
        <w:t xml:space="preserve">(b) The optimal level of TAXRISK when GOVERNANCE=0 </w:t>
      </w:r>
    </w:p>
    <w:p w:rsidR="00CC5012" w:rsidRPr="00CC5012" w:rsidRDefault="00CC5012" w:rsidP="00CC5012">
      <w:pPr>
        <w:ind w:left="180"/>
        <w:rPr>
          <w:noProof/>
          <w:sz w:val="20"/>
          <w:szCs w:val="20"/>
        </w:rPr>
      </w:pPr>
      <w:r w:rsidRPr="00CC5012">
        <w:rPr>
          <w:noProof/>
          <w:sz w:val="20"/>
          <w:szCs w:val="20"/>
        </w:rPr>
        <w:t xml:space="preserve">(c) The F-statistic produced </w:t>
      </w:r>
      <w:r w:rsidR="009B0DA3">
        <w:rPr>
          <w:noProof/>
          <w:sz w:val="20"/>
          <w:szCs w:val="20"/>
        </w:rPr>
        <w:t xml:space="preserve">from the wald-type test of the </w:t>
      </w:r>
      <w:r w:rsidRPr="00CC5012">
        <w:rPr>
          <w:noProof/>
          <w:sz w:val="20"/>
          <w:szCs w:val="20"/>
        </w:rPr>
        <w:t>null hypothesis t</w:t>
      </w:r>
      <w:r w:rsidR="0003149A">
        <w:rPr>
          <w:noProof/>
          <w:sz w:val="20"/>
          <w:szCs w:val="20"/>
        </w:rPr>
        <w:t xml:space="preserve">hat the implied argmax for well </w:t>
      </w:r>
      <w:r w:rsidRPr="00CC5012">
        <w:rPr>
          <w:noProof/>
          <w:sz w:val="20"/>
          <w:szCs w:val="20"/>
        </w:rPr>
        <w:t>governed firms equals the implied argmax f</w:t>
      </w:r>
      <w:r w:rsidR="0003149A">
        <w:rPr>
          <w:noProof/>
          <w:sz w:val="20"/>
          <w:szCs w:val="20"/>
        </w:rPr>
        <w:t xml:space="preserve">or poorly </w:t>
      </w:r>
      <w:r w:rsidRPr="00CC5012">
        <w:rPr>
          <w:noProof/>
          <w:sz w:val="20"/>
          <w:szCs w:val="20"/>
        </w:rPr>
        <w:t>governed firms. The nonlinear test of parameters is performed using the Delta method. The null hypothesis is: [(β</w:t>
      </w:r>
      <w:r w:rsidRPr="00640169">
        <w:rPr>
          <w:noProof/>
          <w:sz w:val="20"/>
          <w:szCs w:val="20"/>
          <w:vertAlign w:val="subscript"/>
        </w:rPr>
        <w:t>1</w:t>
      </w:r>
      <w:r w:rsidRPr="00CC5012">
        <w:rPr>
          <w:noProof/>
          <w:sz w:val="20"/>
          <w:szCs w:val="20"/>
        </w:rPr>
        <w:t>+β</w:t>
      </w:r>
      <w:r w:rsidRPr="00640169">
        <w:rPr>
          <w:noProof/>
          <w:sz w:val="20"/>
          <w:szCs w:val="20"/>
          <w:vertAlign w:val="subscript"/>
        </w:rPr>
        <w:t>4</w:t>
      </w:r>
      <w:r w:rsidRPr="00CC5012">
        <w:rPr>
          <w:noProof/>
          <w:sz w:val="20"/>
          <w:szCs w:val="20"/>
        </w:rPr>
        <w:t>)/(-2*(β</w:t>
      </w:r>
      <w:r w:rsidRPr="00640169">
        <w:rPr>
          <w:noProof/>
          <w:sz w:val="20"/>
          <w:szCs w:val="20"/>
          <w:vertAlign w:val="subscript"/>
        </w:rPr>
        <w:t>2</w:t>
      </w:r>
      <w:r w:rsidRPr="00CC5012">
        <w:rPr>
          <w:noProof/>
          <w:sz w:val="20"/>
          <w:szCs w:val="20"/>
        </w:rPr>
        <w:t>+β</w:t>
      </w:r>
      <w:r w:rsidRPr="00640169">
        <w:rPr>
          <w:noProof/>
          <w:sz w:val="20"/>
          <w:szCs w:val="20"/>
          <w:vertAlign w:val="subscript"/>
        </w:rPr>
        <w:t>5</w:t>
      </w:r>
      <w:r w:rsidRPr="00CC5012">
        <w:rPr>
          <w:noProof/>
          <w:sz w:val="20"/>
          <w:szCs w:val="20"/>
        </w:rPr>
        <w:t>))]= [β</w:t>
      </w:r>
      <w:r w:rsidRPr="00640169">
        <w:rPr>
          <w:noProof/>
          <w:sz w:val="20"/>
          <w:szCs w:val="20"/>
          <w:vertAlign w:val="subscript"/>
        </w:rPr>
        <w:t>1</w:t>
      </w:r>
      <w:r w:rsidRPr="00CC5012">
        <w:rPr>
          <w:noProof/>
          <w:sz w:val="20"/>
          <w:szCs w:val="20"/>
        </w:rPr>
        <w:t>/(-2*(β</w:t>
      </w:r>
      <w:r w:rsidRPr="00640169">
        <w:rPr>
          <w:noProof/>
          <w:sz w:val="20"/>
          <w:szCs w:val="20"/>
          <w:vertAlign w:val="subscript"/>
        </w:rPr>
        <w:t>2</w:t>
      </w:r>
      <w:r w:rsidRPr="00CC5012">
        <w:rPr>
          <w:noProof/>
          <w:sz w:val="20"/>
          <w:szCs w:val="20"/>
        </w:rPr>
        <w:t xml:space="preserve">))]. </w:t>
      </w:r>
    </w:p>
    <w:p w:rsidR="00B156A4" w:rsidRDefault="00CC5012" w:rsidP="00CC5012">
      <w:pPr>
        <w:ind w:left="180"/>
        <w:rPr>
          <w:rFonts w:eastAsiaTheme="majorEastAsia" w:cstheme="majorBidi"/>
          <w:b/>
          <w:bCs/>
          <w:iCs/>
          <w:noProof/>
        </w:rPr>
      </w:pPr>
      <w:r w:rsidRPr="00CC5012">
        <w:rPr>
          <w:noProof/>
          <w:sz w:val="20"/>
          <w:szCs w:val="20"/>
        </w:rPr>
        <w:t>(d) The corresponding two-tailed p-value for the test above.</w:t>
      </w:r>
      <w:r w:rsidR="00B156A4">
        <w:rPr>
          <w:noProof/>
        </w:rPr>
        <w:br w:type="page"/>
      </w:r>
    </w:p>
    <w:p w:rsidR="001D7807" w:rsidRDefault="001D7807" w:rsidP="001D7807">
      <w:pPr>
        <w:pStyle w:val="Heading4"/>
        <w:rPr>
          <w:noProof/>
        </w:rPr>
      </w:pPr>
      <w:bookmarkStart w:id="53" w:name="_Toc321418234"/>
      <w:r>
        <w:rPr>
          <w:noProof/>
        </w:rPr>
        <w:lastRenderedPageBreak/>
        <w:t>Table 6: Regressions of Cost of Capital on TAXRISK and Governance (H3b)</w:t>
      </w:r>
      <w:bookmarkEnd w:id="53"/>
    </w:p>
    <w:p w:rsidR="001D7807" w:rsidRDefault="001D7807" w:rsidP="001D7807">
      <w:pPr>
        <w:pStyle w:val="Heading4"/>
        <w:rPr>
          <w:noProof/>
        </w:rPr>
      </w:pPr>
    </w:p>
    <w:tbl>
      <w:tblPr>
        <w:tblW w:w="7996" w:type="dxa"/>
        <w:jc w:val="center"/>
        <w:tblInd w:w="93" w:type="dxa"/>
        <w:tblLook w:val="04A0"/>
      </w:tblPr>
      <w:tblGrid>
        <w:gridCol w:w="2072"/>
        <w:gridCol w:w="1283"/>
        <w:gridCol w:w="266"/>
        <w:gridCol w:w="1280"/>
        <w:gridCol w:w="266"/>
        <w:gridCol w:w="1283"/>
        <w:gridCol w:w="266"/>
        <w:gridCol w:w="1280"/>
      </w:tblGrid>
      <w:tr w:rsidR="00F850F5" w:rsidRPr="00F850F5" w:rsidTr="00945055">
        <w:trPr>
          <w:trHeight w:val="300"/>
          <w:jc w:val="center"/>
        </w:trPr>
        <w:tc>
          <w:tcPr>
            <w:tcW w:w="2072" w:type="dxa"/>
            <w:tcBorders>
              <w:top w:val="single" w:sz="4" w:space="0" w:color="auto"/>
              <w:left w:val="nil"/>
              <w:bottom w:val="nil"/>
              <w:right w:val="nil"/>
            </w:tcBorders>
            <w:shd w:val="clear" w:color="auto" w:fill="auto"/>
            <w:vAlign w:val="center"/>
            <w:hideMark/>
          </w:tcPr>
          <w:p w:rsidR="00F850F5" w:rsidRPr="00F850F5" w:rsidRDefault="00F850F5" w:rsidP="00F850F5">
            <w:pPr>
              <w:rPr>
                <w:sz w:val="20"/>
                <w:szCs w:val="20"/>
              </w:rPr>
            </w:pPr>
            <w:r w:rsidRPr="00F850F5">
              <w:rPr>
                <w:sz w:val="20"/>
                <w:szCs w:val="20"/>
              </w:rPr>
              <w:t> </w:t>
            </w:r>
          </w:p>
        </w:tc>
        <w:tc>
          <w:tcPr>
            <w:tcW w:w="1283" w:type="dxa"/>
            <w:tcBorders>
              <w:top w:val="single" w:sz="4" w:space="0" w:color="auto"/>
              <w:left w:val="nil"/>
              <w:bottom w:val="nil"/>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(1)</w:t>
            </w:r>
          </w:p>
        </w:tc>
        <w:tc>
          <w:tcPr>
            <w:tcW w:w="266" w:type="dxa"/>
            <w:tcBorders>
              <w:top w:val="single" w:sz="4" w:space="0" w:color="auto"/>
              <w:left w:val="nil"/>
              <w:bottom w:val="nil"/>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 </w:t>
            </w:r>
          </w:p>
        </w:tc>
        <w:tc>
          <w:tcPr>
            <w:tcW w:w="1280" w:type="dxa"/>
            <w:tcBorders>
              <w:top w:val="single" w:sz="4" w:space="0" w:color="auto"/>
              <w:left w:val="nil"/>
              <w:bottom w:val="nil"/>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(2)</w:t>
            </w:r>
          </w:p>
        </w:tc>
        <w:tc>
          <w:tcPr>
            <w:tcW w:w="266" w:type="dxa"/>
            <w:tcBorders>
              <w:top w:val="single" w:sz="4" w:space="0" w:color="auto"/>
              <w:left w:val="nil"/>
              <w:bottom w:val="nil"/>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 </w:t>
            </w:r>
          </w:p>
        </w:tc>
        <w:tc>
          <w:tcPr>
            <w:tcW w:w="1283" w:type="dxa"/>
            <w:tcBorders>
              <w:top w:val="single" w:sz="4" w:space="0" w:color="auto"/>
              <w:left w:val="nil"/>
              <w:bottom w:val="nil"/>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(3)</w:t>
            </w:r>
          </w:p>
        </w:tc>
        <w:tc>
          <w:tcPr>
            <w:tcW w:w="266" w:type="dxa"/>
            <w:tcBorders>
              <w:top w:val="single" w:sz="4" w:space="0" w:color="auto"/>
              <w:left w:val="nil"/>
              <w:bottom w:val="nil"/>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 </w:t>
            </w:r>
          </w:p>
        </w:tc>
        <w:tc>
          <w:tcPr>
            <w:tcW w:w="1280" w:type="dxa"/>
            <w:tcBorders>
              <w:top w:val="single" w:sz="4" w:space="0" w:color="auto"/>
              <w:left w:val="nil"/>
              <w:bottom w:val="nil"/>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(4)</w:t>
            </w:r>
          </w:p>
        </w:tc>
      </w:tr>
      <w:tr w:rsidR="00F850F5" w:rsidRPr="00F850F5" w:rsidTr="00945055">
        <w:trPr>
          <w:trHeight w:val="300"/>
          <w:jc w:val="center"/>
        </w:trPr>
        <w:tc>
          <w:tcPr>
            <w:tcW w:w="2072" w:type="dxa"/>
            <w:tcBorders>
              <w:top w:val="nil"/>
              <w:left w:val="nil"/>
              <w:bottom w:val="nil"/>
              <w:right w:val="nil"/>
            </w:tcBorders>
            <w:shd w:val="clear" w:color="auto" w:fill="auto"/>
            <w:vAlign w:val="center"/>
            <w:hideMark/>
          </w:tcPr>
          <w:p w:rsidR="00F850F5" w:rsidRPr="00F850F5" w:rsidRDefault="00F850F5" w:rsidP="00F850F5">
            <w:pPr>
              <w:rPr>
                <w:sz w:val="20"/>
                <w:szCs w:val="20"/>
              </w:rPr>
            </w:pPr>
          </w:p>
        </w:tc>
        <w:tc>
          <w:tcPr>
            <w:tcW w:w="2829" w:type="dxa"/>
            <w:gridSpan w:val="3"/>
            <w:tcBorders>
              <w:top w:val="nil"/>
              <w:left w:val="nil"/>
              <w:bottom w:val="single" w:sz="4" w:space="0" w:color="auto"/>
              <w:right w:val="nil"/>
            </w:tcBorders>
            <w:shd w:val="clear" w:color="auto" w:fill="auto"/>
            <w:vAlign w:val="center"/>
            <w:hideMark/>
          </w:tcPr>
          <w:p w:rsidR="00F850F5" w:rsidRPr="00F850F5" w:rsidRDefault="00F850F5" w:rsidP="00F850F5">
            <w:pPr>
              <w:jc w:val="center"/>
              <w:rPr>
                <w:b/>
                <w:bCs/>
                <w:sz w:val="20"/>
                <w:szCs w:val="20"/>
              </w:rPr>
            </w:pPr>
            <w:proofErr w:type="spellStart"/>
            <w:r w:rsidRPr="00F850F5">
              <w:rPr>
                <w:b/>
                <w:bCs/>
                <w:sz w:val="20"/>
                <w:szCs w:val="20"/>
              </w:rPr>
              <w:t>r</w:t>
            </w:r>
            <w:r w:rsidRPr="00F850F5">
              <w:rPr>
                <w:b/>
                <w:bCs/>
                <w:sz w:val="20"/>
                <w:szCs w:val="20"/>
                <w:vertAlign w:val="subscript"/>
              </w:rPr>
              <w:t>PEG</w:t>
            </w:r>
            <w:proofErr w:type="spellEnd"/>
          </w:p>
        </w:tc>
        <w:tc>
          <w:tcPr>
            <w:tcW w:w="266" w:type="dxa"/>
            <w:tcBorders>
              <w:top w:val="nil"/>
              <w:left w:val="nil"/>
              <w:bottom w:val="nil"/>
              <w:right w:val="nil"/>
            </w:tcBorders>
            <w:shd w:val="clear" w:color="auto" w:fill="auto"/>
            <w:vAlign w:val="bottom"/>
            <w:hideMark/>
          </w:tcPr>
          <w:p w:rsidR="00F850F5" w:rsidRPr="00F850F5" w:rsidRDefault="00F850F5" w:rsidP="00F850F5">
            <w:pPr>
              <w:jc w:val="center"/>
              <w:rPr>
                <w:color w:val="000000"/>
                <w:sz w:val="22"/>
                <w:szCs w:val="22"/>
              </w:rPr>
            </w:pPr>
          </w:p>
        </w:tc>
        <w:tc>
          <w:tcPr>
            <w:tcW w:w="2829" w:type="dxa"/>
            <w:gridSpan w:val="3"/>
            <w:tcBorders>
              <w:top w:val="nil"/>
              <w:left w:val="nil"/>
              <w:bottom w:val="single" w:sz="4" w:space="0" w:color="auto"/>
              <w:right w:val="nil"/>
            </w:tcBorders>
            <w:shd w:val="clear" w:color="auto" w:fill="auto"/>
            <w:vAlign w:val="center"/>
            <w:hideMark/>
          </w:tcPr>
          <w:p w:rsidR="00F850F5" w:rsidRPr="00F850F5" w:rsidRDefault="00F850F5" w:rsidP="00F850F5">
            <w:pPr>
              <w:jc w:val="center"/>
              <w:rPr>
                <w:b/>
                <w:bCs/>
                <w:sz w:val="20"/>
                <w:szCs w:val="20"/>
              </w:rPr>
            </w:pPr>
            <w:proofErr w:type="spellStart"/>
            <w:r w:rsidRPr="00F850F5">
              <w:rPr>
                <w:b/>
                <w:bCs/>
                <w:sz w:val="20"/>
                <w:szCs w:val="20"/>
              </w:rPr>
              <w:t>r</w:t>
            </w:r>
            <w:r w:rsidRPr="00F850F5">
              <w:rPr>
                <w:b/>
                <w:bCs/>
                <w:sz w:val="20"/>
                <w:szCs w:val="20"/>
                <w:vertAlign w:val="subscript"/>
              </w:rPr>
              <w:t>DIV</w:t>
            </w:r>
            <w:proofErr w:type="spellEnd"/>
          </w:p>
        </w:tc>
      </w:tr>
      <w:tr w:rsidR="00F850F5" w:rsidRPr="00F850F5" w:rsidTr="00945055">
        <w:trPr>
          <w:trHeight w:val="1020"/>
          <w:jc w:val="center"/>
        </w:trPr>
        <w:tc>
          <w:tcPr>
            <w:tcW w:w="2072" w:type="dxa"/>
            <w:tcBorders>
              <w:top w:val="nil"/>
              <w:left w:val="nil"/>
              <w:bottom w:val="single" w:sz="4" w:space="0" w:color="auto"/>
              <w:right w:val="nil"/>
            </w:tcBorders>
            <w:shd w:val="clear" w:color="auto" w:fill="auto"/>
            <w:vAlign w:val="center"/>
            <w:hideMark/>
          </w:tcPr>
          <w:p w:rsidR="00F850F5" w:rsidRPr="00F850F5" w:rsidRDefault="00F850F5" w:rsidP="00F850F5">
            <w:pPr>
              <w:rPr>
                <w:sz w:val="20"/>
                <w:szCs w:val="20"/>
              </w:rPr>
            </w:pPr>
            <w:r w:rsidRPr="00F850F5">
              <w:rPr>
                <w:sz w:val="20"/>
                <w:szCs w:val="20"/>
              </w:rPr>
              <w:t> </w:t>
            </w:r>
          </w:p>
        </w:tc>
        <w:tc>
          <w:tcPr>
            <w:tcW w:w="1283" w:type="dxa"/>
            <w:tcBorders>
              <w:top w:val="nil"/>
              <w:left w:val="nil"/>
              <w:bottom w:val="single" w:sz="4" w:space="0" w:color="auto"/>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GOV=1 if INST_OWN &gt; mean</w:t>
            </w:r>
          </w:p>
        </w:tc>
        <w:tc>
          <w:tcPr>
            <w:tcW w:w="266" w:type="dxa"/>
            <w:tcBorders>
              <w:top w:val="nil"/>
              <w:left w:val="nil"/>
              <w:bottom w:val="single" w:sz="4" w:space="0" w:color="auto"/>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 </w:t>
            </w:r>
          </w:p>
        </w:tc>
        <w:tc>
          <w:tcPr>
            <w:tcW w:w="1280" w:type="dxa"/>
            <w:tcBorders>
              <w:top w:val="nil"/>
              <w:left w:val="nil"/>
              <w:bottom w:val="single" w:sz="4" w:space="0" w:color="auto"/>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GOV=1 if CEO is not the Chairman</w:t>
            </w:r>
          </w:p>
        </w:tc>
        <w:tc>
          <w:tcPr>
            <w:tcW w:w="266" w:type="dxa"/>
            <w:tcBorders>
              <w:top w:val="nil"/>
              <w:left w:val="nil"/>
              <w:bottom w:val="single" w:sz="4" w:space="0" w:color="auto"/>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 </w:t>
            </w:r>
          </w:p>
        </w:tc>
        <w:tc>
          <w:tcPr>
            <w:tcW w:w="1283" w:type="dxa"/>
            <w:tcBorders>
              <w:top w:val="nil"/>
              <w:left w:val="nil"/>
              <w:bottom w:val="single" w:sz="4" w:space="0" w:color="auto"/>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GOV=1 if INST_OWN &gt; mean</w:t>
            </w:r>
          </w:p>
        </w:tc>
        <w:tc>
          <w:tcPr>
            <w:tcW w:w="266" w:type="dxa"/>
            <w:tcBorders>
              <w:top w:val="nil"/>
              <w:left w:val="nil"/>
              <w:bottom w:val="single" w:sz="4" w:space="0" w:color="auto"/>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 </w:t>
            </w:r>
          </w:p>
        </w:tc>
        <w:tc>
          <w:tcPr>
            <w:tcW w:w="1280" w:type="dxa"/>
            <w:tcBorders>
              <w:top w:val="nil"/>
              <w:left w:val="nil"/>
              <w:bottom w:val="single" w:sz="4" w:space="0" w:color="auto"/>
              <w:right w:val="nil"/>
            </w:tcBorders>
            <w:shd w:val="clear" w:color="auto" w:fill="auto"/>
            <w:vAlign w:val="center"/>
            <w:hideMark/>
          </w:tcPr>
          <w:p w:rsidR="00F850F5" w:rsidRPr="00F850F5" w:rsidRDefault="00F850F5" w:rsidP="00F850F5">
            <w:pPr>
              <w:jc w:val="center"/>
              <w:rPr>
                <w:b/>
                <w:bCs/>
                <w:sz w:val="20"/>
                <w:szCs w:val="20"/>
              </w:rPr>
            </w:pPr>
            <w:r w:rsidRPr="00F850F5">
              <w:rPr>
                <w:b/>
                <w:bCs/>
                <w:sz w:val="20"/>
                <w:szCs w:val="20"/>
              </w:rPr>
              <w:t>GOV=1 if CEO is not the Chairman</w:t>
            </w:r>
          </w:p>
        </w:tc>
      </w:tr>
      <w:tr w:rsidR="00F850F5" w:rsidRPr="00F850F5" w:rsidTr="00945055">
        <w:trPr>
          <w:trHeight w:val="300"/>
          <w:jc w:val="center"/>
        </w:trPr>
        <w:tc>
          <w:tcPr>
            <w:tcW w:w="2072" w:type="dxa"/>
            <w:vMerge w:val="restart"/>
            <w:tcBorders>
              <w:top w:val="nil"/>
              <w:left w:val="nil"/>
              <w:bottom w:val="nil"/>
              <w:right w:val="nil"/>
            </w:tcBorders>
            <w:shd w:val="clear" w:color="auto" w:fill="auto"/>
            <w:hideMark/>
          </w:tcPr>
          <w:p w:rsidR="00F850F5" w:rsidRPr="00F850F5" w:rsidRDefault="00F850F5" w:rsidP="00F850F5">
            <w:pPr>
              <w:rPr>
                <w:sz w:val="20"/>
                <w:szCs w:val="20"/>
              </w:rPr>
            </w:pPr>
            <w:r w:rsidRPr="00F850F5">
              <w:rPr>
                <w:sz w:val="20"/>
                <w:szCs w:val="20"/>
              </w:rPr>
              <w:t>TAXRISK</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0.007*</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0.001</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0.007***</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0.004***</w:t>
            </w:r>
          </w:p>
        </w:tc>
      </w:tr>
      <w:tr w:rsidR="00F850F5" w:rsidRPr="00F850F5" w:rsidTr="00945055">
        <w:trPr>
          <w:trHeight w:val="300"/>
          <w:jc w:val="center"/>
        </w:trPr>
        <w:tc>
          <w:tcPr>
            <w:tcW w:w="2072" w:type="dxa"/>
            <w:vMerge/>
            <w:tcBorders>
              <w:top w:val="nil"/>
              <w:left w:val="nil"/>
              <w:bottom w:val="nil"/>
              <w:right w:val="nil"/>
            </w:tcBorders>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(1.817)</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(1.046)</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(2.895)</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(2.621)</w:t>
            </w:r>
          </w:p>
        </w:tc>
      </w:tr>
      <w:tr w:rsidR="00F850F5" w:rsidRPr="00F850F5" w:rsidTr="00945055">
        <w:trPr>
          <w:trHeight w:val="300"/>
          <w:jc w:val="center"/>
        </w:trPr>
        <w:tc>
          <w:tcPr>
            <w:tcW w:w="2072" w:type="dxa"/>
            <w:vMerge w:val="restart"/>
            <w:tcBorders>
              <w:top w:val="nil"/>
              <w:left w:val="nil"/>
              <w:bottom w:val="nil"/>
              <w:right w:val="nil"/>
            </w:tcBorders>
            <w:shd w:val="clear" w:color="auto" w:fill="auto"/>
            <w:hideMark/>
          </w:tcPr>
          <w:p w:rsidR="00F850F5" w:rsidRPr="00F850F5" w:rsidRDefault="00F850F5" w:rsidP="00F850F5">
            <w:pPr>
              <w:rPr>
                <w:sz w:val="20"/>
                <w:szCs w:val="20"/>
              </w:rPr>
            </w:pPr>
            <w:r w:rsidRPr="00F850F5">
              <w:rPr>
                <w:sz w:val="20"/>
                <w:szCs w:val="20"/>
              </w:rPr>
              <w:t>GOVERNANCE</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-0.004</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0.006</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-0.001</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-0.006</w:t>
            </w:r>
          </w:p>
        </w:tc>
      </w:tr>
      <w:tr w:rsidR="00F850F5" w:rsidRPr="00F850F5" w:rsidTr="00945055">
        <w:trPr>
          <w:trHeight w:val="300"/>
          <w:jc w:val="center"/>
        </w:trPr>
        <w:tc>
          <w:tcPr>
            <w:tcW w:w="2072" w:type="dxa"/>
            <w:vMerge/>
            <w:tcBorders>
              <w:top w:val="nil"/>
              <w:left w:val="nil"/>
              <w:bottom w:val="nil"/>
              <w:right w:val="nil"/>
            </w:tcBorders>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(-0.503)</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(1.014)</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(-0.201)</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(-0.895)</w:t>
            </w:r>
          </w:p>
        </w:tc>
      </w:tr>
      <w:tr w:rsidR="00F850F5" w:rsidRPr="00F850F5" w:rsidTr="00945055">
        <w:trPr>
          <w:trHeight w:val="300"/>
          <w:jc w:val="center"/>
        </w:trPr>
        <w:tc>
          <w:tcPr>
            <w:tcW w:w="2072" w:type="dxa"/>
            <w:vMerge w:val="restart"/>
            <w:tcBorders>
              <w:top w:val="nil"/>
              <w:left w:val="nil"/>
              <w:bottom w:val="nil"/>
              <w:right w:val="nil"/>
            </w:tcBorders>
            <w:shd w:val="clear" w:color="auto" w:fill="auto"/>
            <w:hideMark/>
          </w:tcPr>
          <w:p w:rsidR="00F850F5" w:rsidRPr="00F850F5" w:rsidRDefault="00F850F5" w:rsidP="00F850F5">
            <w:pPr>
              <w:rPr>
                <w:sz w:val="20"/>
                <w:szCs w:val="20"/>
              </w:rPr>
            </w:pPr>
            <w:proofErr w:type="spellStart"/>
            <w:r w:rsidRPr="00F850F5">
              <w:rPr>
                <w:sz w:val="20"/>
                <w:szCs w:val="20"/>
              </w:rPr>
              <w:t>TAXRISK_x</w:t>
            </w:r>
            <w:proofErr w:type="spellEnd"/>
            <w:r w:rsidRPr="00F850F5">
              <w:rPr>
                <w:sz w:val="20"/>
                <w:szCs w:val="20"/>
              </w:rPr>
              <w:t>_</w:t>
            </w:r>
            <w:r w:rsidRPr="00F850F5">
              <w:rPr>
                <w:sz w:val="20"/>
                <w:szCs w:val="20"/>
              </w:rPr>
              <w:br/>
              <w:t>GOVERNANCE</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-0.005</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0.001</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-0.005*</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0.004</w:t>
            </w:r>
          </w:p>
        </w:tc>
      </w:tr>
      <w:tr w:rsidR="00F850F5" w:rsidRPr="00F850F5" w:rsidTr="00945055">
        <w:trPr>
          <w:trHeight w:val="300"/>
          <w:jc w:val="center"/>
        </w:trPr>
        <w:tc>
          <w:tcPr>
            <w:tcW w:w="2072" w:type="dxa"/>
            <w:vMerge/>
            <w:tcBorders>
              <w:top w:val="nil"/>
              <w:left w:val="nil"/>
              <w:bottom w:val="nil"/>
              <w:right w:val="nil"/>
            </w:tcBorders>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(-1.303)</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(0.253)</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(-1.780)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(1.019)</w:t>
            </w:r>
          </w:p>
        </w:tc>
      </w:tr>
      <w:tr w:rsidR="00F850F5" w:rsidRPr="00F850F5" w:rsidTr="00945055">
        <w:trPr>
          <w:trHeight w:val="300"/>
          <w:jc w:val="center"/>
        </w:trPr>
        <w:tc>
          <w:tcPr>
            <w:tcW w:w="2072" w:type="dxa"/>
            <w:vMerge w:val="restart"/>
            <w:tcBorders>
              <w:top w:val="nil"/>
              <w:left w:val="nil"/>
              <w:bottom w:val="nil"/>
              <w:right w:val="nil"/>
            </w:tcBorders>
            <w:shd w:val="clear" w:color="auto" w:fill="auto"/>
            <w:hideMark/>
          </w:tcPr>
          <w:p w:rsidR="00F850F5" w:rsidRPr="00F850F5" w:rsidRDefault="00F850F5" w:rsidP="00F850F5">
            <w:pPr>
              <w:rPr>
                <w:sz w:val="20"/>
                <w:szCs w:val="20"/>
              </w:rPr>
            </w:pPr>
            <w:r w:rsidRPr="00F850F5">
              <w:rPr>
                <w:sz w:val="20"/>
                <w:szCs w:val="20"/>
              </w:rPr>
              <w:t>BETA</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0.020***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0.015***</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0.007*</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0.006</w:t>
            </w:r>
          </w:p>
        </w:tc>
      </w:tr>
      <w:tr w:rsidR="00F850F5" w:rsidRPr="00F850F5" w:rsidTr="00945055">
        <w:trPr>
          <w:trHeight w:val="300"/>
          <w:jc w:val="center"/>
        </w:trPr>
        <w:tc>
          <w:tcPr>
            <w:tcW w:w="2072" w:type="dxa"/>
            <w:vMerge/>
            <w:tcBorders>
              <w:top w:val="nil"/>
              <w:left w:val="nil"/>
              <w:bottom w:val="nil"/>
              <w:right w:val="nil"/>
            </w:tcBorders>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(3.910)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(2.646)</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(1.732)</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(1.322)</w:t>
            </w:r>
          </w:p>
        </w:tc>
      </w:tr>
      <w:tr w:rsidR="00F850F5" w:rsidRPr="00F850F5" w:rsidTr="00945055">
        <w:trPr>
          <w:trHeight w:val="300"/>
          <w:jc w:val="center"/>
        </w:trPr>
        <w:tc>
          <w:tcPr>
            <w:tcW w:w="2072" w:type="dxa"/>
            <w:vMerge w:val="restart"/>
            <w:tcBorders>
              <w:top w:val="nil"/>
              <w:left w:val="nil"/>
              <w:bottom w:val="nil"/>
              <w:right w:val="nil"/>
            </w:tcBorders>
            <w:shd w:val="clear" w:color="auto" w:fill="auto"/>
            <w:hideMark/>
          </w:tcPr>
          <w:p w:rsidR="00F850F5" w:rsidRPr="00F850F5" w:rsidRDefault="00F850F5" w:rsidP="00F850F5">
            <w:pPr>
              <w:rPr>
                <w:sz w:val="20"/>
                <w:szCs w:val="20"/>
              </w:rPr>
            </w:pPr>
            <w:r w:rsidRPr="00F850F5">
              <w:rPr>
                <w:sz w:val="20"/>
                <w:szCs w:val="20"/>
              </w:rPr>
              <w:t>DISPERSION</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0.014</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0.013</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-0.004</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-0.006</w:t>
            </w:r>
          </w:p>
        </w:tc>
      </w:tr>
      <w:tr w:rsidR="00F850F5" w:rsidRPr="00F850F5" w:rsidTr="00945055">
        <w:trPr>
          <w:trHeight w:val="300"/>
          <w:jc w:val="center"/>
        </w:trPr>
        <w:tc>
          <w:tcPr>
            <w:tcW w:w="2072" w:type="dxa"/>
            <w:vMerge/>
            <w:tcBorders>
              <w:top w:val="nil"/>
              <w:left w:val="nil"/>
              <w:bottom w:val="nil"/>
              <w:right w:val="nil"/>
            </w:tcBorders>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(1.593)</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(1.303)</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(-1.210)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(-1.292)</w:t>
            </w:r>
          </w:p>
        </w:tc>
      </w:tr>
      <w:tr w:rsidR="00F850F5" w:rsidRPr="00F850F5" w:rsidTr="00945055">
        <w:trPr>
          <w:trHeight w:val="300"/>
          <w:jc w:val="center"/>
        </w:trPr>
        <w:tc>
          <w:tcPr>
            <w:tcW w:w="2072" w:type="dxa"/>
            <w:vMerge w:val="restart"/>
            <w:tcBorders>
              <w:top w:val="nil"/>
              <w:left w:val="nil"/>
              <w:bottom w:val="nil"/>
              <w:right w:val="nil"/>
            </w:tcBorders>
            <w:shd w:val="clear" w:color="auto" w:fill="auto"/>
            <w:hideMark/>
          </w:tcPr>
          <w:p w:rsidR="00F850F5" w:rsidRPr="00F850F5" w:rsidRDefault="00F850F5" w:rsidP="00F850F5">
            <w:pPr>
              <w:rPr>
                <w:sz w:val="20"/>
                <w:szCs w:val="20"/>
              </w:rPr>
            </w:pPr>
            <w:r w:rsidRPr="00F850F5">
              <w:rPr>
                <w:sz w:val="20"/>
                <w:szCs w:val="20"/>
              </w:rPr>
              <w:t>BOOK_TO_</w:t>
            </w:r>
            <w:r w:rsidRPr="00F850F5">
              <w:rPr>
                <w:sz w:val="20"/>
                <w:szCs w:val="20"/>
              </w:rPr>
              <w:br/>
              <w:t>MARKET</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0.027**</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0.002</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0.013</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0.011</w:t>
            </w:r>
          </w:p>
        </w:tc>
      </w:tr>
      <w:tr w:rsidR="00F850F5" w:rsidRPr="00F850F5" w:rsidTr="00945055">
        <w:trPr>
          <w:trHeight w:val="300"/>
          <w:jc w:val="center"/>
        </w:trPr>
        <w:tc>
          <w:tcPr>
            <w:tcW w:w="2072" w:type="dxa"/>
            <w:vMerge/>
            <w:tcBorders>
              <w:top w:val="nil"/>
              <w:left w:val="nil"/>
              <w:bottom w:val="nil"/>
              <w:right w:val="nil"/>
            </w:tcBorders>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(2.303)</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(0.177)</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(1.280)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(1.131)</w:t>
            </w:r>
          </w:p>
        </w:tc>
      </w:tr>
      <w:tr w:rsidR="00F850F5" w:rsidRPr="00F850F5" w:rsidTr="00945055">
        <w:trPr>
          <w:trHeight w:val="300"/>
          <w:jc w:val="center"/>
        </w:trPr>
        <w:tc>
          <w:tcPr>
            <w:tcW w:w="2072" w:type="dxa"/>
            <w:vMerge w:val="restart"/>
            <w:tcBorders>
              <w:top w:val="nil"/>
              <w:left w:val="nil"/>
              <w:bottom w:val="nil"/>
              <w:right w:val="nil"/>
            </w:tcBorders>
            <w:shd w:val="clear" w:color="auto" w:fill="auto"/>
            <w:hideMark/>
          </w:tcPr>
          <w:p w:rsidR="00F850F5" w:rsidRPr="00F850F5" w:rsidRDefault="00F850F5" w:rsidP="00F850F5">
            <w:pPr>
              <w:rPr>
                <w:sz w:val="20"/>
                <w:szCs w:val="20"/>
              </w:rPr>
            </w:pPr>
            <w:r w:rsidRPr="00F850F5">
              <w:rPr>
                <w:sz w:val="20"/>
                <w:szCs w:val="20"/>
              </w:rPr>
              <w:t>LEVERAGE</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0.020***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0.020***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0.027**</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0.026***</w:t>
            </w:r>
          </w:p>
        </w:tc>
      </w:tr>
      <w:tr w:rsidR="00F850F5" w:rsidRPr="00F850F5" w:rsidTr="00945055">
        <w:trPr>
          <w:trHeight w:val="300"/>
          <w:jc w:val="center"/>
        </w:trPr>
        <w:tc>
          <w:tcPr>
            <w:tcW w:w="2072" w:type="dxa"/>
            <w:vMerge/>
            <w:tcBorders>
              <w:top w:val="nil"/>
              <w:left w:val="nil"/>
              <w:bottom w:val="nil"/>
              <w:right w:val="nil"/>
            </w:tcBorders>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(2.645)</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(2.631)</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(2.320)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(3.658)</w:t>
            </w:r>
          </w:p>
        </w:tc>
      </w:tr>
      <w:tr w:rsidR="00F850F5" w:rsidRPr="00F850F5" w:rsidTr="00945055">
        <w:trPr>
          <w:trHeight w:val="300"/>
          <w:jc w:val="center"/>
        </w:trPr>
        <w:tc>
          <w:tcPr>
            <w:tcW w:w="2072" w:type="dxa"/>
            <w:vMerge w:val="restart"/>
            <w:tcBorders>
              <w:top w:val="nil"/>
              <w:left w:val="nil"/>
              <w:bottom w:val="nil"/>
              <w:right w:val="nil"/>
            </w:tcBorders>
            <w:shd w:val="clear" w:color="auto" w:fill="auto"/>
            <w:hideMark/>
          </w:tcPr>
          <w:p w:rsidR="00F850F5" w:rsidRPr="00F850F5" w:rsidRDefault="00F850F5" w:rsidP="00F850F5">
            <w:pPr>
              <w:rPr>
                <w:sz w:val="20"/>
                <w:szCs w:val="20"/>
              </w:rPr>
            </w:pPr>
            <w:r w:rsidRPr="00F850F5">
              <w:rPr>
                <w:sz w:val="20"/>
                <w:szCs w:val="20"/>
              </w:rPr>
              <w:t>LOG_ASSETS</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-0.007***</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-0.002</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0.004**</w:t>
            </w:r>
          </w:p>
        </w:tc>
      </w:tr>
      <w:tr w:rsidR="00F850F5" w:rsidRPr="00F850F5" w:rsidTr="00945055">
        <w:trPr>
          <w:trHeight w:val="300"/>
          <w:jc w:val="center"/>
        </w:trPr>
        <w:tc>
          <w:tcPr>
            <w:tcW w:w="2072" w:type="dxa"/>
            <w:vMerge/>
            <w:tcBorders>
              <w:top w:val="nil"/>
              <w:left w:val="nil"/>
              <w:bottom w:val="nil"/>
              <w:right w:val="nil"/>
            </w:tcBorders>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(-4.361)</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(-1.493)</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(-0.042)</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(2.574)</w:t>
            </w:r>
          </w:p>
        </w:tc>
      </w:tr>
      <w:tr w:rsidR="00F850F5" w:rsidRPr="00F850F5" w:rsidTr="00945055">
        <w:trPr>
          <w:trHeight w:val="300"/>
          <w:jc w:val="center"/>
        </w:trPr>
        <w:tc>
          <w:tcPr>
            <w:tcW w:w="2072" w:type="dxa"/>
            <w:vMerge w:val="restart"/>
            <w:tcBorders>
              <w:top w:val="nil"/>
              <w:left w:val="nil"/>
              <w:bottom w:val="nil"/>
              <w:right w:val="nil"/>
            </w:tcBorders>
            <w:shd w:val="clear" w:color="auto" w:fill="auto"/>
            <w:hideMark/>
          </w:tcPr>
          <w:p w:rsidR="00F850F5" w:rsidRPr="00F850F5" w:rsidRDefault="00F850F5" w:rsidP="00F850F5">
            <w:pPr>
              <w:rPr>
                <w:sz w:val="20"/>
                <w:szCs w:val="20"/>
              </w:rPr>
            </w:pPr>
            <w:r w:rsidRPr="00F850F5">
              <w:rPr>
                <w:sz w:val="20"/>
                <w:szCs w:val="20"/>
              </w:rPr>
              <w:t>LT_GROWTH_</w:t>
            </w:r>
            <w:r w:rsidRPr="00F850F5">
              <w:rPr>
                <w:sz w:val="20"/>
                <w:szCs w:val="20"/>
              </w:rPr>
              <w:br/>
              <w:t>PRED</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0.100***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0.062*</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0.012</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0.013</w:t>
            </w:r>
          </w:p>
        </w:tc>
      </w:tr>
      <w:tr w:rsidR="00F850F5" w:rsidRPr="00F850F5" w:rsidTr="00945055">
        <w:trPr>
          <w:trHeight w:val="300"/>
          <w:jc w:val="center"/>
        </w:trPr>
        <w:tc>
          <w:tcPr>
            <w:tcW w:w="2072" w:type="dxa"/>
            <w:vMerge/>
            <w:tcBorders>
              <w:top w:val="nil"/>
              <w:left w:val="nil"/>
              <w:bottom w:val="nil"/>
              <w:right w:val="nil"/>
            </w:tcBorders>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(3.570)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(1.926)</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(0.866)</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(0.831)</w:t>
            </w:r>
          </w:p>
        </w:tc>
      </w:tr>
      <w:tr w:rsidR="00F850F5" w:rsidRPr="00F850F5" w:rsidTr="00945055">
        <w:trPr>
          <w:trHeight w:val="300"/>
          <w:jc w:val="center"/>
        </w:trPr>
        <w:tc>
          <w:tcPr>
            <w:tcW w:w="2072" w:type="dxa"/>
            <w:tcBorders>
              <w:top w:val="nil"/>
              <w:left w:val="nil"/>
              <w:bottom w:val="nil"/>
              <w:right w:val="nil"/>
            </w:tcBorders>
            <w:shd w:val="clear" w:color="auto" w:fill="auto"/>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r>
      <w:tr w:rsidR="00F850F5" w:rsidRPr="00F850F5" w:rsidTr="00945055">
        <w:trPr>
          <w:trHeight w:val="300"/>
          <w:jc w:val="center"/>
        </w:trPr>
        <w:tc>
          <w:tcPr>
            <w:tcW w:w="7996" w:type="dxa"/>
            <w:gridSpan w:val="8"/>
            <w:tcBorders>
              <w:top w:val="nil"/>
              <w:left w:val="nil"/>
              <w:bottom w:val="nil"/>
              <w:right w:val="nil"/>
            </w:tcBorders>
            <w:shd w:val="clear" w:color="auto" w:fill="auto"/>
            <w:noWrap/>
            <w:vAlign w:val="bottom"/>
            <w:hideMark/>
          </w:tcPr>
          <w:p w:rsidR="00F850F5" w:rsidRPr="00F850F5" w:rsidRDefault="00F850F5" w:rsidP="00F850F5">
            <w:pPr>
              <w:rPr>
                <w:color w:val="000000"/>
                <w:sz w:val="20"/>
                <w:szCs w:val="20"/>
              </w:rPr>
            </w:pPr>
            <w:r w:rsidRPr="00F850F5">
              <w:rPr>
                <w:color w:val="000000"/>
                <w:sz w:val="20"/>
                <w:szCs w:val="20"/>
              </w:rPr>
              <w:t xml:space="preserve">Sum of coefficients on TAXRISK and </w:t>
            </w:r>
            <w:proofErr w:type="spellStart"/>
            <w:r w:rsidRPr="00F850F5">
              <w:rPr>
                <w:color w:val="000000"/>
                <w:sz w:val="20"/>
                <w:szCs w:val="20"/>
              </w:rPr>
              <w:t>TAXRISK_x_GOVERNANCE</w:t>
            </w:r>
            <w:proofErr w:type="spellEnd"/>
            <w:r w:rsidRPr="00F850F5">
              <w:rPr>
                <w:color w:val="000000"/>
                <w:sz w:val="20"/>
                <w:szCs w:val="20"/>
              </w:rPr>
              <w:t>:</w:t>
            </w:r>
          </w:p>
        </w:tc>
      </w:tr>
      <w:tr w:rsidR="00F850F5" w:rsidRPr="00F850F5" w:rsidTr="00945055">
        <w:trPr>
          <w:trHeight w:val="300"/>
          <w:jc w:val="center"/>
        </w:trPr>
        <w:tc>
          <w:tcPr>
            <w:tcW w:w="2072"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Coefficient</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0.002</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0.002</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0.002</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0.008**</w:t>
            </w:r>
          </w:p>
        </w:tc>
      </w:tr>
      <w:tr w:rsidR="00F850F5" w:rsidRPr="00F850F5" w:rsidTr="00945055">
        <w:trPr>
          <w:trHeight w:val="300"/>
          <w:jc w:val="center"/>
        </w:trPr>
        <w:tc>
          <w:tcPr>
            <w:tcW w:w="2072"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t-statistic</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(1.180)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(0.660)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(1.270)</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(2.060)</w:t>
            </w:r>
          </w:p>
        </w:tc>
      </w:tr>
      <w:tr w:rsidR="00F850F5" w:rsidRPr="00F850F5" w:rsidTr="00945055">
        <w:trPr>
          <w:trHeight w:val="300"/>
          <w:jc w:val="center"/>
        </w:trPr>
        <w:tc>
          <w:tcPr>
            <w:tcW w:w="2072"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Year Fixed Effects</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Yes</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Yes</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Yes</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Yes</w:t>
            </w:r>
          </w:p>
        </w:tc>
      </w:tr>
      <w:tr w:rsidR="00F850F5" w:rsidRPr="00F850F5" w:rsidTr="00945055">
        <w:trPr>
          <w:trHeight w:val="345"/>
          <w:jc w:val="center"/>
        </w:trPr>
        <w:tc>
          <w:tcPr>
            <w:tcW w:w="2072"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Industry Fixed Effects</w:t>
            </w: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Yes</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Yes</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Yes</w:t>
            </w:r>
          </w:p>
        </w:tc>
        <w:tc>
          <w:tcPr>
            <w:tcW w:w="266"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Yes</w:t>
            </w:r>
          </w:p>
        </w:tc>
      </w:tr>
      <w:tr w:rsidR="00F850F5" w:rsidRPr="00F850F5" w:rsidTr="00945055">
        <w:trPr>
          <w:trHeight w:val="300"/>
          <w:jc w:val="center"/>
        </w:trPr>
        <w:tc>
          <w:tcPr>
            <w:tcW w:w="2072" w:type="dxa"/>
            <w:tcBorders>
              <w:top w:val="nil"/>
              <w:left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Adjusted R-Squared</w:t>
            </w:r>
          </w:p>
        </w:tc>
        <w:tc>
          <w:tcPr>
            <w:tcW w:w="1283" w:type="dxa"/>
            <w:tcBorders>
              <w:top w:val="nil"/>
              <w:left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0.161</w:t>
            </w:r>
          </w:p>
        </w:tc>
        <w:tc>
          <w:tcPr>
            <w:tcW w:w="266" w:type="dxa"/>
            <w:tcBorders>
              <w:top w:val="nil"/>
              <w:left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0.107</w:t>
            </w:r>
          </w:p>
        </w:tc>
        <w:tc>
          <w:tcPr>
            <w:tcW w:w="266" w:type="dxa"/>
            <w:tcBorders>
              <w:top w:val="nil"/>
              <w:left w:val="nil"/>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0.253</w:t>
            </w:r>
          </w:p>
        </w:tc>
        <w:tc>
          <w:tcPr>
            <w:tcW w:w="266" w:type="dxa"/>
            <w:tcBorders>
              <w:top w:val="nil"/>
              <w:left w:val="nil"/>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right w:val="nil"/>
            </w:tcBorders>
            <w:shd w:val="clear" w:color="auto" w:fill="auto"/>
            <w:noWrap/>
            <w:vAlign w:val="center"/>
            <w:hideMark/>
          </w:tcPr>
          <w:p w:rsidR="00F850F5" w:rsidRPr="00F850F5" w:rsidRDefault="00F850F5" w:rsidP="00F850F5">
            <w:pPr>
              <w:rPr>
                <w:sz w:val="20"/>
                <w:szCs w:val="20"/>
              </w:rPr>
            </w:pPr>
            <w:r w:rsidRPr="00F850F5">
              <w:rPr>
                <w:sz w:val="20"/>
                <w:szCs w:val="20"/>
              </w:rPr>
              <w:t>0.267</w:t>
            </w:r>
          </w:p>
        </w:tc>
      </w:tr>
      <w:tr w:rsidR="00F850F5" w:rsidRPr="00F850F5" w:rsidTr="00945055">
        <w:trPr>
          <w:trHeight w:val="300"/>
          <w:jc w:val="center"/>
        </w:trPr>
        <w:tc>
          <w:tcPr>
            <w:tcW w:w="2072" w:type="dxa"/>
            <w:tcBorders>
              <w:top w:val="nil"/>
              <w:left w:val="nil"/>
              <w:bottom w:val="single" w:sz="4" w:space="0" w:color="auto"/>
              <w:right w:val="nil"/>
            </w:tcBorders>
            <w:shd w:val="clear" w:color="auto" w:fill="auto"/>
            <w:noWrap/>
            <w:vAlign w:val="center"/>
            <w:hideMark/>
          </w:tcPr>
          <w:p w:rsidR="00F850F5" w:rsidRPr="00F850F5" w:rsidRDefault="00F850F5" w:rsidP="00F850F5">
            <w:pPr>
              <w:rPr>
                <w:sz w:val="20"/>
                <w:szCs w:val="20"/>
              </w:rPr>
            </w:pPr>
            <w:r w:rsidRPr="00F850F5">
              <w:rPr>
                <w:sz w:val="20"/>
                <w:szCs w:val="20"/>
              </w:rPr>
              <w:t>N</w:t>
            </w:r>
          </w:p>
        </w:tc>
        <w:tc>
          <w:tcPr>
            <w:tcW w:w="1283" w:type="dxa"/>
            <w:tcBorders>
              <w:top w:val="nil"/>
              <w:left w:val="nil"/>
              <w:bottom w:val="single" w:sz="4" w:space="0" w:color="auto"/>
              <w:right w:val="nil"/>
            </w:tcBorders>
            <w:shd w:val="clear" w:color="auto" w:fill="auto"/>
            <w:noWrap/>
            <w:vAlign w:val="center"/>
            <w:hideMark/>
          </w:tcPr>
          <w:p w:rsidR="00F850F5" w:rsidRPr="00F850F5" w:rsidRDefault="00F850F5" w:rsidP="00F850F5">
            <w:pPr>
              <w:rPr>
                <w:sz w:val="20"/>
                <w:szCs w:val="20"/>
              </w:rPr>
            </w:pPr>
            <w:r w:rsidRPr="00F850F5">
              <w:rPr>
                <w:sz w:val="20"/>
                <w:szCs w:val="20"/>
              </w:rPr>
              <w:t>2,273</w:t>
            </w:r>
          </w:p>
        </w:tc>
        <w:tc>
          <w:tcPr>
            <w:tcW w:w="266" w:type="dxa"/>
            <w:tcBorders>
              <w:top w:val="nil"/>
              <w:left w:val="nil"/>
              <w:bottom w:val="single" w:sz="4" w:space="0" w:color="auto"/>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single" w:sz="4" w:space="0" w:color="auto"/>
              <w:right w:val="nil"/>
            </w:tcBorders>
            <w:shd w:val="clear" w:color="auto" w:fill="auto"/>
            <w:noWrap/>
            <w:vAlign w:val="center"/>
            <w:hideMark/>
          </w:tcPr>
          <w:p w:rsidR="00F850F5" w:rsidRPr="00F850F5" w:rsidRDefault="00F850F5" w:rsidP="00F850F5">
            <w:pPr>
              <w:rPr>
                <w:sz w:val="20"/>
                <w:szCs w:val="20"/>
              </w:rPr>
            </w:pPr>
            <w:r w:rsidRPr="00F850F5">
              <w:rPr>
                <w:sz w:val="20"/>
                <w:szCs w:val="20"/>
              </w:rPr>
              <w:t>1,439</w:t>
            </w:r>
          </w:p>
        </w:tc>
        <w:tc>
          <w:tcPr>
            <w:tcW w:w="266" w:type="dxa"/>
            <w:tcBorders>
              <w:top w:val="nil"/>
              <w:left w:val="nil"/>
              <w:bottom w:val="single" w:sz="4" w:space="0" w:color="auto"/>
              <w:right w:val="nil"/>
            </w:tcBorders>
            <w:shd w:val="clear" w:color="auto" w:fill="auto"/>
            <w:noWrap/>
            <w:vAlign w:val="center"/>
            <w:hideMark/>
          </w:tcPr>
          <w:p w:rsidR="00F850F5" w:rsidRPr="00F850F5" w:rsidRDefault="00F850F5" w:rsidP="00F850F5">
            <w:pPr>
              <w:rPr>
                <w:sz w:val="20"/>
                <w:szCs w:val="20"/>
              </w:rPr>
            </w:pPr>
          </w:p>
        </w:tc>
        <w:tc>
          <w:tcPr>
            <w:tcW w:w="1283" w:type="dxa"/>
            <w:tcBorders>
              <w:top w:val="nil"/>
              <w:left w:val="nil"/>
              <w:bottom w:val="single" w:sz="4" w:space="0" w:color="auto"/>
              <w:right w:val="nil"/>
            </w:tcBorders>
            <w:shd w:val="clear" w:color="auto" w:fill="auto"/>
            <w:noWrap/>
            <w:vAlign w:val="center"/>
            <w:hideMark/>
          </w:tcPr>
          <w:p w:rsidR="00F850F5" w:rsidRPr="00F850F5" w:rsidRDefault="00F850F5" w:rsidP="00F850F5">
            <w:pPr>
              <w:rPr>
                <w:sz w:val="20"/>
                <w:szCs w:val="20"/>
              </w:rPr>
            </w:pPr>
            <w:r w:rsidRPr="00F850F5">
              <w:rPr>
                <w:sz w:val="20"/>
                <w:szCs w:val="20"/>
              </w:rPr>
              <w:t>617</w:t>
            </w:r>
          </w:p>
        </w:tc>
        <w:tc>
          <w:tcPr>
            <w:tcW w:w="266" w:type="dxa"/>
            <w:tcBorders>
              <w:top w:val="nil"/>
              <w:left w:val="nil"/>
              <w:bottom w:val="single" w:sz="4" w:space="0" w:color="auto"/>
              <w:right w:val="nil"/>
            </w:tcBorders>
            <w:shd w:val="clear" w:color="auto" w:fill="auto"/>
            <w:noWrap/>
            <w:vAlign w:val="center"/>
            <w:hideMark/>
          </w:tcPr>
          <w:p w:rsidR="00F850F5" w:rsidRPr="00F850F5" w:rsidRDefault="00F850F5" w:rsidP="00F850F5">
            <w:pPr>
              <w:rPr>
                <w:sz w:val="20"/>
                <w:szCs w:val="20"/>
              </w:rPr>
            </w:pPr>
          </w:p>
        </w:tc>
        <w:tc>
          <w:tcPr>
            <w:tcW w:w="1280" w:type="dxa"/>
            <w:tcBorders>
              <w:top w:val="nil"/>
              <w:left w:val="nil"/>
              <w:bottom w:val="single" w:sz="4" w:space="0" w:color="auto"/>
              <w:right w:val="nil"/>
            </w:tcBorders>
            <w:shd w:val="clear" w:color="auto" w:fill="auto"/>
            <w:noWrap/>
            <w:vAlign w:val="center"/>
            <w:hideMark/>
          </w:tcPr>
          <w:p w:rsidR="00F850F5" w:rsidRPr="00F850F5" w:rsidRDefault="00F850F5" w:rsidP="00F850F5">
            <w:pPr>
              <w:rPr>
                <w:sz w:val="20"/>
                <w:szCs w:val="20"/>
              </w:rPr>
            </w:pPr>
            <w:r w:rsidRPr="00F850F5">
              <w:rPr>
                <w:sz w:val="20"/>
                <w:szCs w:val="20"/>
              </w:rPr>
              <w:t>474</w:t>
            </w:r>
          </w:p>
        </w:tc>
      </w:tr>
    </w:tbl>
    <w:p w:rsidR="00F850F5" w:rsidRDefault="00F850F5">
      <w:pPr>
        <w:rPr>
          <w:noProof/>
        </w:rPr>
      </w:pPr>
    </w:p>
    <w:p w:rsidR="00B156A4" w:rsidRPr="00945055" w:rsidRDefault="00F850F5" w:rsidP="00C50F3A">
      <w:pPr>
        <w:ind w:left="540" w:right="900"/>
        <w:jc w:val="both"/>
        <w:rPr>
          <w:rFonts w:eastAsiaTheme="majorEastAsia" w:cstheme="majorBidi"/>
          <w:b/>
          <w:bCs/>
          <w:iCs/>
          <w:noProof/>
          <w:sz w:val="20"/>
          <w:szCs w:val="20"/>
        </w:rPr>
      </w:pPr>
      <w:r w:rsidRPr="00945055">
        <w:rPr>
          <w:noProof/>
          <w:sz w:val="20"/>
          <w:szCs w:val="20"/>
        </w:rPr>
        <w:t>This table</w:t>
      </w:r>
      <w:r w:rsidR="00BB39A6">
        <w:rPr>
          <w:noProof/>
          <w:sz w:val="20"/>
          <w:szCs w:val="20"/>
        </w:rPr>
        <w:t xml:space="preserve"> presents results for tests of m</w:t>
      </w:r>
      <w:r w:rsidRPr="00945055">
        <w:rPr>
          <w:noProof/>
          <w:sz w:val="20"/>
          <w:szCs w:val="20"/>
        </w:rPr>
        <w:t>odel (11) based on the interaction of either institutional ownership or CEO/ chairman duality with TAXRISK. All variables are defined in Appendix A. T-statistics are reported in parentheses below each coefficient. ***,**,* indicate the coefficient is significantly different from zero at the 1, 5, and 10 percent level, respectively, using a two tailed test of significance. All standard errors are clustered by firm.</w:t>
      </w:r>
      <w:r w:rsidR="00B156A4" w:rsidRPr="00945055">
        <w:rPr>
          <w:noProof/>
          <w:sz w:val="20"/>
          <w:szCs w:val="20"/>
        </w:rPr>
        <w:br w:type="page"/>
      </w:r>
    </w:p>
    <w:p w:rsidR="00C92582" w:rsidRDefault="001D7807" w:rsidP="001D7807">
      <w:pPr>
        <w:pStyle w:val="Heading4"/>
        <w:rPr>
          <w:noProof/>
        </w:rPr>
      </w:pPr>
      <w:bookmarkStart w:id="54" w:name="_Toc321418235"/>
      <w:r>
        <w:rPr>
          <w:noProof/>
        </w:rPr>
        <w:lastRenderedPageBreak/>
        <w:t xml:space="preserve">Table 7: Univariate Differences Between </w:t>
      </w:r>
      <w:r w:rsidR="00812AD1">
        <w:rPr>
          <w:noProof/>
        </w:rPr>
        <w:t>High and Low Tax Risk Firms</w:t>
      </w:r>
      <w:bookmarkEnd w:id="54"/>
    </w:p>
    <w:p w:rsidR="00C92582" w:rsidRDefault="00C92582" w:rsidP="001D7807">
      <w:pPr>
        <w:pStyle w:val="Heading4"/>
        <w:rPr>
          <w:noProof/>
        </w:rPr>
      </w:pPr>
    </w:p>
    <w:tbl>
      <w:tblPr>
        <w:tblW w:w="8240" w:type="dxa"/>
        <w:jc w:val="center"/>
        <w:tblInd w:w="93" w:type="dxa"/>
        <w:tblLook w:val="04A0"/>
      </w:tblPr>
      <w:tblGrid>
        <w:gridCol w:w="2117"/>
        <w:gridCol w:w="1272"/>
        <w:gridCol w:w="1260"/>
        <w:gridCol w:w="1260"/>
        <w:gridCol w:w="1260"/>
        <w:gridCol w:w="1260"/>
      </w:tblGrid>
      <w:tr w:rsidR="00CC5012" w:rsidRPr="00CC5012" w:rsidTr="00CC5012">
        <w:trPr>
          <w:trHeight w:val="510"/>
          <w:jc w:val="center"/>
        </w:trPr>
        <w:tc>
          <w:tcPr>
            <w:tcW w:w="1940" w:type="dxa"/>
            <w:tcBorders>
              <w:top w:val="single" w:sz="4" w:space="0" w:color="auto"/>
              <w:left w:val="nil"/>
              <w:bottom w:val="single" w:sz="4" w:space="0" w:color="auto"/>
              <w:right w:val="nil"/>
            </w:tcBorders>
            <w:shd w:val="clear" w:color="auto" w:fill="auto"/>
            <w:vAlign w:val="center"/>
            <w:hideMark/>
          </w:tcPr>
          <w:p w:rsidR="00CC5012" w:rsidRPr="00CC5012" w:rsidRDefault="00CC5012" w:rsidP="00CC5012">
            <w:pPr>
              <w:rPr>
                <w:sz w:val="20"/>
                <w:szCs w:val="20"/>
              </w:rPr>
            </w:pPr>
            <w:r w:rsidRPr="00CC5012">
              <w:rPr>
                <w:sz w:val="20"/>
                <w:szCs w:val="20"/>
              </w:rPr>
              <w:t> </w:t>
            </w:r>
          </w:p>
        </w:tc>
        <w:tc>
          <w:tcPr>
            <w:tcW w:w="1260" w:type="dxa"/>
            <w:tcBorders>
              <w:top w:val="single" w:sz="4" w:space="0" w:color="auto"/>
              <w:left w:val="nil"/>
              <w:bottom w:val="single" w:sz="4" w:space="0" w:color="auto"/>
              <w:right w:val="nil"/>
            </w:tcBorders>
            <w:shd w:val="clear" w:color="auto" w:fill="auto"/>
            <w:vAlign w:val="center"/>
            <w:hideMark/>
          </w:tcPr>
          <w:p w:rsidR="00CC5012" w:rsidRPr="00CC5012" w:rsidRDefault="00CC5012" w:rsidP="00CC5012">
            <w:pPr>
              <w:jc w:val="center"/>
              <w:rPr>
                <w:sz w:val="20"/>
                <w:szCs w:val="20"/>
              </w:rPr>
            </w:pPr>
            <w:r w:rsidRPr="00CC5012">
              <w:rPr>
                <w:sz w:val="20"/>
                <w:szCs w:val="20"/>
              </w:rPr>
              <w:t>All Other Observations</w:t>
            </w:r>
          </w:p>
        </w:tc>
        <w:tc>
          <w:tcPr>
            <w:tcW w:w="1260" w:type="dxa"/>
            <w:tcBorders>
              <w:top w:val="single" w:sz="4" w:space="0" w:color="auto"/>
              <w:left w:val="nil"/>
              <w:bottom w:val="single" w:sz="4" w:space="0" w:color="auto"/>
              <w:right w:val="nil"/>
            </w:tcBorders>
            <w:shd w:val="clear" w:color="auto" w:fill="auto"/>
            <w:vAlign w:val="center"/>
            <w:hideMark/>
          </w:tcPr>
          <w:p w:rsidR="00CC5012" w:rsidRPr="00CC5012" w:rsidRDefault="00CC5012" w:rsidP="00CC5012">
            <w:pPr>
              <w:jc w:val="center"/>
              <w:rPr>
                <w:sz w:val="20"/>
                <w:szCs w:val="20"/>
              </w:rPr>
            </w:pPr>
            <w:r w:rsidRPr="00CC5012">
              <w:rPr>
                <w:sz w:val="20"/>
                <w:szCs w:val="20"/>
              </w:rPr>
              <w:t xml:space="preserve">Top </w:t>
            </w:r>
            <w:proofErr w:type="spellStart"/>
            <w:r w:rsidRPr="00CC5012">
              <w:rPr>
                <w:sz w:val="20"/>
                <w:szCs w:val="20"/>
              </w:rPr>
              <w:t>Decile</w:t>
            </w:r>
            <w:proofErr w:type="spellEnd"/>
            <w:r w:rsidRPr="00CC5012">
              <w:rPr>
                <w:sz w:val="20"/>
                <w:szCs w:val="20"/>
              </w:rPr>
              <w:t xml:space="preserve"> of TAXRISK</w:t>
            </w:r>
          </w:p>
        </w:tc>
        <w:tc>
          <w:tcPr>
            <w:tcW w:w="1260" w:type="dxa"/>
            <w:tcBorders>
              <w:top w:val="single" w:sz="4" w:space="0" w:color="auto"/>
              <w:left w:val="nil"/>
              <w:bottom w:val="single" w:sz="4" w:space="0" w:color="auto"/>
              <w:right w:val="nil"/>
            </w:tcBorders>
            <w:shd w:val="clear" w:color="auto" w:fill="auto"/>
            <w:noWrap/>
            <w:vAlign w:val="bottom"/>
            <w:hideMark/>
          </w:tcPr>
          <w:p w:rsidR="00CC5012" w:rsidRPr="00CC5012" w:rsidRDefault="00CC5012" w:rsidP="00CC5012">
            <w:pPr>
              <w:rPr>
                <w:color w:val="000000"/>
                <w:sz w:val="20"/>
                <w:szCs w:val="20"/>
              </w:rPr>
            </w:pPr>
            <w:r w:rsidRPr="00CC5012">
              <w:rPr>
                <w:color w:val="000000"/>
                <w:sz w:val="20"/>
                <w:szCs w:val="20"/>
              </w:rPr>
              <w:t> </w:t>
            </w:r>
          </w:p>
        </w:tc>
        <w:tc>
          <w:tcPr>
            <w:tcW w:w="1260" w:type="dxa"/>
            <w:tcBorders>
              <w:top w:val="single" w:sz="4" w:space="0" w:color="auto"/>
              <w:left w:val="nil"/>
              <w:bottom w:val="single" w:sz="4" w:space="0" w:color="auto"/>
              <w:right w:val="nil"/>
            </w:tcBorders>
            <w:shd w:val="clear" w:color="auto" w:fill="auto"/>
            <w:noWrap/>
            <w:vAlign w:val="bottom"/>
            <w:hideMark/>
          </w:tcPr>
          <w:p w:rsidR="00CC5012" w:rsidRPr="00CC5012" w:rsidRDefault="00CC5012" w:rsidP="00CC5012">
            <w:pPr>
              <w:rPr>
                <w:color w:val="000000"/>
                <w:sz w:val="20"/>
                <w:szCs w:val="20"/>
              </w:rPr>
            </w:pPr>
            <w:r w:rsidRPr="00CC5012">
              <w:rPr>
                <w:color w:val="000000"/>
                <w:sz w:val="20"/>
                <w:szCs w:val="20"/>
              </w:rPr>
              <w:t> </w:t>
            </w:r>
          </w:p>
        </w:tc>
        <w:tc>
          <w:tcPr>
            <w:tcW w:w="1260" w:type="dxa"/>
            <w:tcBorders>
              <w:top w:val="single" w:sz="4" w:space="0" w:color="auto"/>
              <w:left w:val="nil"/>
              <w:bottom w:val="single" w:sz="4" w:space="0" w:color="auto"/>
              <w:right w:val="nil"/>
            </w:tcBorders>
            <w:shd w:val="clear" w:color="auto" w:fill="auto"/>
            <w:noWrap/>
            <w:vAlign w:val="bottom"/>
            <w:hideMark/>
          </w:tcPr>
          <w:p w:rsidR="00CC5012" w:rsidRPr="00CC5012" w:rsidRDefault="00CC5012" w:rsidP="00CC5012">
            <w:pPr>
              <w:rPr>
                <w:color w:val="000000"/>
                <w:sz w:val="20"/>
                <w:szCs w:val="20"/>
              </w:rPr>
            </w:pPr>
            <w:r w:rsidRPr="00CC5012">
              <w:rPr>
                <w:color w:val="000000"/>
                <w:sz w:val="20"/>
                <w:szCs w:val="20"/>
              </w:rPr>
              <w:t> </w:t>
            </w:r>
          </w:p>
        </w:tc>
      </w:tr>
      <w:tr w:rsidR="00CC5012" w:rsidRPr="00CC5012" w:rsidTr="00CC5012">
        <w:trPr>
          <w:trHeight w:val="630"/>
          <w:jc w:val="center"/>
        </w:trPr>
        <w:tc>
          <w:tcPr>
            <w:tcW w:w="1940" w:type="dxa"/>
            <w:tcBorders>
              <w:top w:val="nil"/>
              <w:left w:val="nil"/>
              <w:bottom w:val="single" w:sz="4" w:space="0" w:color="auto"/>
              <w:right w:val="nil"/>
            </w:tcBorders>
            <w:shd w:val="clear" w:color="auto" w:fill="auto"/>
            <w:vAlign w:val="center"/>
            <w:hideMark/>
          </w:tcPr>
          <w:p w:rsidR="00CC5012" w:rsidRPr="00CC5012" w:rsidRDefault="00CC5012" w:rsidP="00CC5012">
            <w:pPr>
              <w:rPr>
                <w:sz w:val="20"/>
                <w:szCs w:val="20"/>
              </w:rPr>
            </w:pPr>
            <w:r w:rsidRPr="00CC5012">
              <w:rPr>
                <w:sz w:val="20"/>
                <w:szCs w:val="20"/>
              </w:rPr>
              <w:t> </w:t>
            </w:r>
          </w:p>
        </w:tc>
        <w:tc>
          <w:tcPr>
            <w:tcW w:w="1260" w:type="dxa"/>
            <w:tcBorders>
              <w:top w:val="nil"/>
              <w:left w:val="nil"/>
              <w:bottom w:val="single" w:sz="4" w:space="0" w:color="auto"/>
              <w:right w:val="nil"/>
            </w:tcBorders>
            <w:shd w:val="clear" w:color="auto" w:fill="auto"/>
            <w:vAlign w:val="center"/>
            <w:hideMark/>
          </w:tcPr>
          <w:p w:rsidR="00CC5012" w:rsidRPr="00CC5012" w:rsidRDefault="00CC5012" w:rsidP="00CC5012">
            <w:pPr>
              <w:jc w:val="center"/>
              <w:rPr>
                <w:sz w:val="20"/>
                <w:szCs w:val="20"/>
              </w:rPr>
            </w:pPr>
            <w:r w:rsidRPr="00CC5012">
              <w:rPr>
                <w:sz w:val="20"/>
                <w:szCs w:val="20"/>
              </w:rPr>
              <w:t>Mean</w:t>
            </w:r>
          </w:p>
        </w:tc>
        <w:tc>
          <w:tcPr>
            <w:tcW w:w="1260" w:type="dxa"/>
            <w:tcBorders>
              <w:top w:val="nil"/>
              <w:left w:val="nil"/>
              <w:bottom w:val="single" w:sz="4" w:space="0" w:color="auto"/>
              <w:right w:val="nil"/>
            </w:tcBorders>
            <w:shd w:val="clear" w:color="auto" w:fill="auto"/>
            <w:vAlign w:val="center"/>
            <w:hideMark/>
          </w:tcPr>
          <w:p w:rsidR="00CC5012" w:rsidRPr="00CC5012" w:rsidRDefault="00CC5012" w:rsidP="00CC5012">
            <w:pPr>
              <w:jc w:val="center"/>
              <w:rPr>
                <w:sz w:val="20"/>
                <w:szCs w:val="20"/>
              </w:rPr>
            </w:pPr>
            <w:r w:rsidRPr="00CC5012">
              <w:rPr>
                <w:sz w:val="20"/>
                <w:szCs w:val="20"/>
              </w:rPr>
              <w:t>Mean</w:t>
            </w:r>
          </w:p>
        </w:tc>
        <w:tc>
          <w:tcPr>
            <w:tcW w:w="1260" w:type="dxa"/>
            <w:tcBorders>
              <w:top w:val="nil"/>
              <w:left w:val="nil"/>
              <w:bottom w:val="single" w:sz="4" w:space="0" w:color="auto"/>
              <w:right w:val="nil"/>
            </w:tcBorders>
            <w:shd w:val="clear" w:color="auto" w:fill="auto"/>
            <w:vAlign w:val="center"/>
            <w:hideMark/>
          </w:tcPr>
          <w:p w:rsidR="00CC5012" w:rsidRPr="00CC5012" w:rsidRDefault="00CC5012" w:rsidP="00CC5012">
            <w:pPr>
              <w:jc w:val="center"/>
              <w:rPr>
                <w:sz w:val="20"/>
                <w:szCs w:val="20"/>
              </w:rPr>
            </w:pPr>
            <w:r w:rsidRPr="00CC5012">
              <w:rPr>
                <w:sz w:val="20"/>
                <w:szCs w:val="20"/>
              </w:rPr>
              <w:t>Difference in groups</w:t>
            </w:r>
          </w:p>
        </w:tc>
        <w:tc>
          <w:tcPr>
            <w:tcW w:w="1260" w:type="dxa"/>
            <w:tcBorders>
              <w:top w:val="nil"/>
              <w:left w:val="nil"/>
              <w:bottom w:val="single" w:sz="4" w:space="0" w:color="auto"/>
              <w:right w:val="nil"/>
            </w:tcBorders>
            <w:shd w:val="clear" w:color="auto" w:fill="auto"/>
            <w:vAlign w:val="center"/>
            <w:hideMark/>
          </w:tcPr>
          <w:p w:rsidR="00CC5012" w:rsidRPr="00CC5012" w:rsidRDefault="00CC5012" w:rsidP="00CC5012">
            <w:pPr>
              <w:jc w:val="center"/>
              <w:rPr>
                <w:color w:val="000000"/>
                <w:sz w:val="20"/>
                <w:szCs w:val="20"/>
              </w:rPr>
            </w:pPr>
            <w:r w:rsidRPr="00CC5012">
              <w:rPr>
                <w:color w:val="000000"/>
                <w:sz w:val="20"/>
                <w:szCs w:val="20"/>
              </w:rPr>
              <w:t>t-test of difference</w:t>
            </w:r>
          </w:p>
        </w:tc>
        <w:tc>
          <w:tcPr>
            <w:tcW w:w="1260" w:type="dxa"/>
            <w:tcBorders>
              <w:top w:val="nil"/>
              <w:left w:val="nil"/>
              <w:bottom w:val="single" w:sz="4" w:space="0" w:color="auto"/>
              <w:right w:val="nil"/>
            </w:tcBorders>
            <w:shd w:val="clear" w:color="auto" w:fill="auto"/>
            <w:vAlign w:val="bottom"/>
            <w:hideMark/>
          </w:tcPr>
          <w:p w:rsidR="00CC5012" w:rsidRPr="00CC5012" w:rsidRDefault="00CC5012" w:rsidP="00CC5012">
            <w:pPr>
              <w:jc w:val="center"/>
              <w:rPr>
                <w:color w:val="000000"/>
                <w:sz w:val="20"/>
                <w:szCs w:val="20"/>
              </w:rPr>
            </w:pPr>
            <w:r w:rsidRPr="00CC5012">
              <w:rPr>
                <w:color w:val="000000"/>
                <w:sz w:val="20"/>
                <w:szCs w:val="20"/>
              </w:rPr>
              <w:t>p-value</w:t>
            </w: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ASSETS</w:t>
            </w:r>
          </w:p>
        </w:tc>
        <w:tc>
          <w:tcPr>
            <w:tcW w:w="1260" w:type="dxa"/>
            <w:tcBorders>
              <w:top w:val="nil"/>
              <w:left w:val="nil"/>
              <w:bottom w:val="nil"/>
              <w:right w:val="nil"/>
            </w:tcBorders>
            <w:shd w:val="clear" w:color="auto" w:fill="auto"/>
            <w:hideMark/>
          </w:tcPr>
          <w:p w:rsidR="00CC5012" w:rsidRPr="00CC5012" w:rsidRDefault="00CC5012" w:rsidP="00503711">
            <w:pPr>
              <w:rPr>
                <w:sz w:val="20"/>
                <w:szCs w:val="20"/>
              </w:rPr>
            </w:pPr>
            <w:r w:rsidRPr="00CC5012">
              <w:rPr>
                <w:sz w:val="20"/>
                <w:szCs w:val="20"/>
              </w:rPr>
              <w:t>3</w:t>
            </w:r>
            <w:r w:rsidR="00503711">
              <w:rPr>
                <w:sz w:val="20"/>
                <w:szCs w:val="20"/>
              </w:rPr>
              <w:t>,</w:t>
            </w:r>
            <w:r w:rsidRPr="00CC5012">
              <w:rPr>
                <w:sz w:val="20"/>
                <w:szCs w:val="20"/>
              </w:rPr>
              <w:t>927.922</w:t>
            </w:r>
          </w:p>
        </w:tc>
        <w:tc>
          <w:tcPr>
            <w:tcW w:w="1260" w:type="dxa"/>
            <w:tcBorders>
              <w:top w:val="nil"/>
              <w:left w:val="nil"/>
              <w:bottom w:val="nil"/>
              <w:right w:val="nil"/>
            </w:tcBorders>
            <w:shd w:val="clear" w:color="auto" w:fill="auto"/>
            <w:hideMark/>
          </w:tcPr>
          <w:p w:rsidR="00CC5012" w:rsidRPr="00CC5012" w:rsidRDefault="00CC5012" w:rsidP="00503711">
            <w:pPr>
              <w:rPr>
                <w:sz w:val="20"/>
                <w:szCs w:val="20"/>
              </w:rPr>
            </w:pPr>
            <w:r w:rsidRPr="00CC5012">
              <w:rPr>
                <w:sz w:val="20"/>
                <w:szCs w:val="20"/>
              </w:rPr>
              <w:t>4</w:t>
            </w:r>
            <w:r w:rsidR="00503711">
              <w:rPr>
                <w:sz w:val="20"/>
                <w:szCs w:val="20"/>
              </w:rPr>
              <w:t>,</w:t>
            </w:r>
            <w:r w:rsidRPr="00CC5012">
              <w:rPr>
                <w:sz w:val="20"/>
                <w:szCs w:val="20"/>
              </w:rPr>
              <w:t>618.815</w:t>
            </w:r>
          </w:p>
        </w:tc>
        <w:tc>
          <w:tcPr>
            <w:tcW w:w="1260" w:type="dxa"/>
            <w:tcBorders>
              <w:top w:val="nil"/>
              <w:left w:val="nil"/>
              <w:bottom w:val="nil"/>
              <w:right w:val="nil"/>
            </w:tcBorders>
            <w:shd w:val="clear" w:color="auto" w:fill="auto"/>
            <w:hideMark/>
          </w:tcPr>
          <w:p w:rsidR="00CC5012" w:rsidRPr="00CC5012" w:rsidRDefault="00CC5012" w:rsidP="00503711">
            <w:pPr>
              <w:rPr>
                <w:sz w:val="20"/>
                <w:szCs w:val="20"/>
              </w:rPr>
            </w:pPr>
            <w:r w:rsidRPr="00CC5012">
              <w:rPr>
                <w:sz w:val="20"/>
                <w:szCs w:val="20"/>
              </w:rPr>
              <w:t>-690.893</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-1.069</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0.286</w:t>
            </w: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1260" w:type="dxa"/>
            <w:tcBorders>
              <w:top w:val="nil"/>
              <w:left w:val="nil"/>
              <w:bottom w:val="nil"/>
              <w:right w:val="nil"/>
            </w:tcBorders>
            <w:shd w:val="clear" w:color="auto" w:fill="auto"/>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LOG_MKT_VALUE</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6.416</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6.441</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-0.025</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-0.224</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0.823</w:t>
            </w: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DISCR_ACCRUALS</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-0.003</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-0.009</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0.006</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1.110</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0.268</w:t>
            </w: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FOREIGN_INCOME</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0.023</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0.045</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-0.022</w:t>
            </w: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r w:rsidRPr="00CC5012">
              <w:rPr>
                <w:color w:val="000000"/>
                <w:sz w:val="20"/>
                <w:szCs w:val="20"/>
              </w:rPr>
              <w:t>-8.207***</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0.000</w:t>
            </w: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NOL</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0.161</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0.647</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-0.486</w:t>
            </w: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r w:rsidRPr="00CC5012">
              <w:rPr>
                <w:color w:val="000000"/>
                <w:sz w:val="20"/>
                <w:szCs w:val="20"/>
              </w:rPr>
              <w:t>-8.034***</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0.000</w:t>
            </w: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LT_DEBT</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0.193</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0.099</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0.093</w:t>
            </w: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r w:rsidRPr="00CC5012">
              <w:rPr>
                <w:color w:val="000000"/>
                <w:sz w:val="20"/>
                <w:szCs w:val="20"/>
              </w:rPr>
              <w:t>12.818***</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0.000</w:t>
            </w: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SALES_GROWTH</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0.098</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0.071</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0.026</w:t>
            </w: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r w:rsidRPr="00CC5012">
              <w:rPr>
                <w:color w:val="000000"/>
                <w:sz w:val="20"/>
                <w:szCs w:val="20"/>
              </w:rPr>
              <w:t>1.972**</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0.049</w:t>
            </w: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LOSS</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0.290</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0.471</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-0.181</w:t>
            </w: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r w:rsidRPr="00CC5012">
              <w:rPr>
                <w:color w:val="000000"/>
                <w:sz w:val="20"/>
                <w:szCs w:val="20"/>
              </w:rPr>
              <w:t>-7.028***</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0.000</w:t>
            </w: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STD_DEV_RETURNS</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0.136</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0.143</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-0.008</w:t>
            </w: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r w:rsidRPr="00CC5012">
              <w:rPr>
                <w:color w:val="000000"/>
                <w:sz w:val="20"/>
                <w:szCs w:val="20"/>
              </w:rPr>
              <w:t>-3.223***</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0.001</w:t>
            </w: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r w:rsidRPr="00CC5012">
              <w:rPr>
                <w:sz w:val="20"/>
                <w:szCs w:val="20"/>
              </w:rPr>
              <w:t>LOG_AGE</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2.738</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2.622</w:t>
            </w: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r w:rsidRPr="00CC5012">
              <w:rPr>
                <w:sz w:val="20"/>
                <w:szCs w:val="20"/>
              </w:rPr>
              <w:t>0.116</w:t>
            </w: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r w:rsidRPr="00CC5012">
              <w:rPr>
                <w:color w:val="000000"/>
                <w:sz w:val="20"/>
                <w:szCs w:val="20"/>
              </w:rPr>
              <w:t>2.911***</w:t>
            </w:r>
          </w:p>
        </w:tc>
        <w:tc>
          <w:tcPr>
            <w:tcW w:w="1260" w:type="dxa"/>
            <w:tcBorders>
              <w:top w:val="nil"/>
              <w:left w:val="nil"/>
              <w:bottom w:val="nil"/>
              <w:right w:val="nil"/>
            </w:tcBorders>
            <w:shd w:val="clear" w:color="auto" w:fill="auto"/>
            <w:noWrap/>
            <w:hideMark/>
          </w:tcPr>
          <w:p w:rsidR="00CC5012" w:rsidRPr="00CC5012" w:rsidRDefault="00503711" w:rsidP="00503711">
            <w:pPr>
              <w:rPr>
                <w:color w:val="000000"/>
                <w:sz w:val="20"/>
                <w:szCs w:val="20"/>
              </w:rPr>
            </w:pPr>
            <w:r>
              <w:rPr>
                <w:color w:val="000000"/>
                <w:sz w:val="20"/>
                <w:szCs w:val="20"/>
              </w:rPr>
              <w:t>0.004</w:t>
            </w:r>
          </w:p>
        </w:tc>
      </w:tr>
      <w:tr w:rsidR="00CC5012" w:rsidRPr="00CC5012" w:rsidTr="00503711">
        <w:trPr>
          <w:trHeight w:val="300"/>
          <w:jc w:val="center"/>
        </w:trPr>
        <w:tc>
          <w:tcPr>
            <w:tcW w:w="1940" w:type="dxa"/>
            <w:tcBorders>
              <w:top w:val="nil"/>
              <w:left w:val="nil"/>
              <w:bottom w:val="nil"/>
              <w:right w:val="nil"/>
            </w:tcBorders>
            <w:shd w:val="clear" w:color="auto" w:fill="auto"/>
            <w:vAlign w:val="center"/>
            <w:hideMark/>
          </w:tcPr>
          <w:p w:rsidR="00CC5012" w:rsidRPr="00CC5012" w:rsidRDefault="00CC5012" w:rsidP="00CC5012">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c>
          <w:tcPr>
            <w:tcW w:w="1260" w:type="dxa"/>
            <w:tcBorders>
              <w:top w:val="nil"/>
              <w:left w:val="nil"/>
              <w:bottom w:val="nil"/>
              <w:right w:val="nil"/>
            </w:tcBorders>
            <w:shd w:val="clear" w:color="auto" w:fill="auto"/>
            <w:noWrap/>
            <w:hideMark/>
          </w:tcPr>
          <w:p w:rsidR="00CC5012" w:rsidRPr="00CC5012" w:rsidRDefault="00CC5012" w:rsidP="00503711">
            <w:pPr>
              <w:rPr>
                <w:color w:val="000000"/>
                <w:sz w:val="20"/>
                <w:szCs w:val="20"/>
              </w:rPr>
            </w:pPr>
          </w:p>
        </w:tc>
      </w:tr>
      <w:tr w:rsidR="00CC5012" w:rsidRPr="00CC5012" w:rsidTr="00CC5012">
        <w:trPr>
          <w:trHeight w:val="300"/>
          <w:jc w:val="center"/>
        </w:trPr>
        <w:tc>
          <w:tcPr>
            <w:tcW w:w="1940" w:type="dxa"/>
            <w:tcBorders>
              <w:top w:val="nil"/>
              <w:left w:val="nil"/>
              <w:bottom w:val="single" w:sz="4" w:space="0" w:color="auto"/>
              <w:right w:val="nil"/>
            </w:tcBorders>
            <w:shd w:val="clear" w:color="auto" w:fill="auto"/>
            <w:vAlign w:val="center"/>
            <w:hideMark/>
          </w:tcPr>
          <w:p w:rsidR="00CC5012" w:rsidRPr="00CC5012" w:rsidRDefault="00CC5012" w:rsidP="00CC5012">
            <w:pPr>
              <w:rPr>
                <w:sz w:val="20"/>
                <w:szCs w:val="20"/>
              </w:rPr>
            </w:pPr>
            <w:r w:rsidRPr="00CC5012">
              <w:rPr>
                <w:sz w:val="20"/>
                <w:szCs w:val="20"/>
              </w:rPr>
              <w:t>N</w:t>
            </w:r>
          </w:p>
        </w:tc>
        <w:tc>
          <w:tcPr>
            <w:tcW w:w="1260" w:type="dxa"/>
            <w:tcBorders>
              <w:top w:val="nil"/>
              <w:left w:val="nil"/>
              <w:bottom w:val="single" w:sz="4" w:space="0" w:color="auto"/>
              <w:right w:val="nil"/>
            </w:tcBorders>
            <w:shd w:val="clear" w:color="auto" w:fill="auto"/>
            <w:noWrap/>
            <w:vAlign w:val="center"/>
            <w:hideMark/>
          </w:tcPr>
          <w:p w:rsidR="00CC5012" w:rsidRPr="00CC5012" w:rsidRDefault="00CC5012" w:rsidP="00CC5012">
            <w:pPr>
              <w:rPr>
                <w:sz w:val="20"/>
                <w:szCs w:val="20"/>
              </w:rPr>
            </w:pPr>
            <w:r w:rsidRPr="00CC5012">
              <w:rPr>
                <w:sz w:val="20"/>
                <w:szCs w:val="20"/>
              </w:rPr>
              <w:t>3,716</w:t>
            </w:r>
          </w:p>
        </w:tc>
        <w:tc>
          <w:tcPr>
            <w:tcW w:w="1260" w:type="dxa"/>
            <w:tcBorders>
              <w:top w:val="nil"/>
              <w:left w:val="nil"/>
              <w:bottom w:val="single" w:sz="4" w:space="0" w:color="auto"/>
              <w:right w:val="nil"/>
            </w:tcBorders>
            <w:shd w:val="clear" w:color="auto" w:fill="auto"/>
            <w:noWrap/>
            <w:vAlign w:val="center"/>
            <w:hideMark/>
          </w:tcPr>
          <w:p w:rsidR="00CC5012" w:rsidRPr="00CC5012" w:rsidRDefault="00CC5012" w:rsidP="00CC5012">
            <w:pPr>
              <w:rPr>
                <w:sz w:val="20"/>
                <w:szCs w:val="20"/>
              </w:rPr>
            </w:pPr>
            <w:r w:rsidRPr="00CC5012">
              <w:rPr>
                <w:sz w:val="20"/>
                <w:szCs w:val="20"/>
              </w:rPr>
              <w:t>412</w:t>
            </w:r>
          </w:p>
        </w:tc>
        <w:tc>
          <w:tcPr>
            <w:tcW w:w="1260" w:type="dxa"/>
            <w:tcBorders>
              <w:top w:val="nil"/>
              <w:left w:val="nil"/>
              <w:bottom w:val="single" w:sz="4" w:space="0" w:color="auto"/>
              <w:right w:val="nil"/>
            </w:tcBorders>
            <w:shd w:val="clear" w:color="auto" w:fill="auto"/>
            <w:noWrap/>
            <w:vAlign w:val="center"/>
            <w:hideMark/>
          </w:tcPr>
          <w:p w:rsidR="00CC5012" w:rsidRPr="00CC5012" w:rsidRDefault="00CC5012" w:rsidP="00CC5012">
            <w:pPr>
              <w:rPr>
                <w:sz w:val="20"/>
                <w:szCs w:val="20"/>
              </w:rPr>
            </w:pPr>
            <w:r w:rsidRPr="00CC5012">
              <w:rPr>
                <w:sz w:val="20"/>
                <w:szCs w:val="20"/>
              </w:rPr>
              <w:t> </w:t>
            </w:r>
          </w:p>
        </w:tc>
        <w:tc>
          <w:tcPr>
            <w:tcW w:w="1260" w:type="dxa"/>
            <w:tcBorders>
              <w:top w:val="nil"/>
              <w:left w:val="nil"/>
              <w:bottom w:val="single" w:sz="4" w:space="0" w:color="auto"/>
              <w:right w:val="nil"/>
            </w:tcBorders>
            <w:shd w:val="clear" w:color="auto" w:fill="auto"/>
            <w:noWrap/>
            <w:vAlign w:val="bottom"/>
            <w:hideMark/>
          </w:tcPr>
          <w:p w:rsidR="00CC5012" w:rsidRPr="00CC5012" w:rsidRDefault="00CC5012" w:rsidP="00CC5012">
            <w:pPr>
              <w:rPr>
                <w:color w:val="000000"/>
                <w:sz w:val="20"/>
                <w:szCs w:val="20"/>
              </w:rPr>
            </w:pPr>
            <w:r w:rsidRPr="00CC5012">
              <w:rPr>
                <w:color w:val="000000"/>
                <w:sz w:val="20"/>
                <w:szCs w:val="20"/>
              </w:rPr>
              <w:t> </w:t>
            </w:r>
          </w:p>
        </w:tc>
        <w:tc>
          <w:tcPr>
            <w:tcW w:w="1260" w:type="dxa"/>
            <w:tcBorders>
              <w:top w:val="nil"/>
              <w:left w:val="nil"/>
              <w:bottom w:val="single" w:sz="4" w:space="0" w:color="auto"/>
              <w:right w:val="nil"/>
            </w:tcBorders>
            <w:shd w:val="clear" w:color="auto" w:fill="auto"/>
            <w:noWrap/>
            <w:vAlign w:val="bottom"/>
            <w:hideMark/>
          </w:tcPr>
          <w:p w:rsidR="00CC5012" w:rsidRPr="00CC5012" w:rsidRDefault="00CC5012" w:rsidP="00CC5012">
            <w:pPr>
              <w:rPr>
                <w:color w:val="000000"/>
                <w:sz w:val="20"/>
                <w:szCs w:val="20"/>
              </w:rPr>
            </w:pPr>
            <w:r w:rsidRPr="00CC5012">
              <w:rPr>
                <w:color w:val="000000"/>
                <w:sz w:val="20"/>
                <w:szCs w:val="20"/>
              </w:rPr>
              <w:t> </w:t>
            </w:r>
          </w:p>
        </w:tc>
      </w:tr>
    </w:tbl>
    <w:p w:rsidR="00086BC3" w:rsidRPr="00086BC3" w:rsidRDefault="00086BC3" w:rsidP="00086BC3"/>
    <w:p w:rsidR="00CC5012" w:rsidRPr="00CC5012" w:rsidRDefault="00CC5012" w:rsidP="00CC5012">
      <w:pPr>
        <w:ind w:left="270"/>
        <w:rPr>
          <w:rFonts w:eastAsiaTheme="majorEastAsia" w:cstheme="majorBidi"/>
          <w:bCs/>
          <w:iCs/>
          <w:noProof/>
          <w:sz w:val="20"/>
          <w:szCs w:val="20"/>
        </w:rPr>
        <w:sectPr w:rsidR="00CC5012" w:rsidRPr="00CC5012" w:rsidSect="00CC5AB2">
          <w:pgSz w:w="12240" w:h="15840" w:code="1"/>
          <w:pgMar w:top="1440" w:right="1440" w:bottom="1872" w:left="1800" w:header="720" w:footer="1440" w:gutter="0"/>
          <w:cols w:space="720"/>
          <w:noEndnote/>
          <w:docGrid w:linePitch="360"/>
        </w:sectPr>
      </w:pPr>
      <w:r w:rsidRPr="00CC5012">
        <w:rPr>
          <w:rFonts w:eastAsiaTheme="majorEastAsia" w:cstheme="majorBidi"/>
          <w:bCs/>
          <w:iCs/>
          <w:noProof/>
          <w:sz w:val="20"/>
          <w:szCs w:val="20"/>
        </w:rPr>
        <w:t>This table presents t-tests of m</w:t>
      </w:r>
      <w:r w:rsidR="00BB39A6">
        <w:rPr>
          <w:rFonts w:eastAsiaTheme="majorEastAsia" w:cstheme="majorBidi"/>
          <w:bCs/>
          <w:iCs/>
          <w:noProof/>
          <w:sz w:val="20"/>
          <w:szCs w:val="20"/>
        </w:rPr>
        <w:t>eans across variables used for m</w:t>
      </w:r>
      <w:r w:rsidRPr="00CC5012">
        <w:rPr>
          <w:rFonts w:eastAsiaTheme="majorEastAsia" w:cstheme="majorBidi"/>
          <w:bCs/>
          <w:iCs/>
          <w:noProof/>
          <w:sz w:val="20"/>
          <w:szCs w:val="20"/>
        </w:rPr>
        <w:t xml:space="preserve">odel </w:t>
      </w:r>
      <w:r w:rsidR="00503711">
        <w:rPr>
          <w:rFonts w:eastAsiaTheme="majorEastAsia" w:cstheme="majorBidi"/>
          <w:bCs/>
          <w:iCs/>
          <w:noProof/>
          <w:sz w:val="20"/>
          <w:szCs w:val="20"/>
        </w:rPr>
        <w:t>(</w:t>
      </w:r>
      <w:r w:rsidRPr="00CC5012">
        <w:rPr>
          <w:rFonts w:eastAsiaTheme="majorEastAsia" w:cstheme="majorBidi"/>
          <w:bCs/>
          <w:iCs/>
          <w:noProof/>
          <w:sz w:val="20"/>
          <w:szCs w:val="20"/>
        </w:rPr>
        <w:t>10</w:t>
      </w:r>
      <w:r w:rsidR="00503711">
        <w:rPr>
          <w:rFonts w:eastAsiaTheme="majorEastAsia" w:cstheme="majorBidi"/>
          <w:bCs/>
          <w:iCs/>
          <w:noProof/>
          <w:sz w:val="20"/>
          <w:szCs w:val="20"/>
        </w:rPr>
        <w:t>)</w:t>
      </w:r>
      <w:r w:rsidRPr="00CC5012">
        <w:rPr>
          <w:rFonts w:eastAsiaTheme="majorEastAsia" w:cstheme="majorBidi"/>
          <w:bCs/>
          <w:iCs/>
          <w:noProof/>
          <w:sz w:val="20"/>
          <w:szCs w:val="20"/>
        </w:rPr>
        <w:t xml:space="preserve">. All variables are defined in Appendix A. ***,**,* indicate the coefficient is significantly different from zero at the 1, 5, and 10 percent level, respectively, using a two tailed test of significance.  </w:t>
      </w:r>
    </w:p>
    <w:p w:rsidR="00B156A4" w:rsidRDefault="00B156A4">
      <w:pPr>
        <w:rPr>
          <w:rFonts w:eastAsiaTheme="majorEastAsia" w:cstheme="majorBidi"/>
          <w:b/>
          <w:bCs/>
          <w:iCs/>
          <w:noProof/>
        </w:rPr>
      </w:pPr>
    </w:p>
    <w:p w:rsidR="00086BC3" w:rsidRDefault="00086BC3" w:rsidP="001D7807">
      <w:pPr>
        <w:pStyle w:val="Heading4"/>
        <w:rPr>
          <w:noProof/>
        </w:rPr>
      </w:pPr>
      <w:r w:rsidRPr="00086BC3">
        <w:rPr>
          <w:noProof/>
        </w:rPr>
        <w:drawing>
          <wp:inline distT="0" distB="0" distL="0" distR="0">
            <wp:extent cx="5667375" cy="3390900"/>
            <wp:effectExtent l="38100" t="1905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86BC3" w:rsidRDefault="00086BC3" w:rsidP="001D7807">
      <w:pPr>
        <w:pStyle w:val="Heading4"/>
        <w:rPr>
          <w:noProof/>
        </w:rPr>
      </w:pPr>
    </w:p>
    <w:p w:rsidR="00812AD1" w:rsidRDefault="00C92582" w:rsidP="001D7807">
      <w:pPr>
        <w:pStyle w:val="Heading4"/>
        <w:rPr>
          <w:noProof/>
        </w:rPr>
      </w:pPr>
      <w:bookmarkStart w:id="55" w:name="_Toc321418236"/>
      <w:r>
        <w:rPr>
          <w:noProof/>
        </w:rPr>
        <w:t>Figure 1: Firm Value and Tax Risk Sixth-Order Fitted Polynomial</w:t>
      </w:r>
      <w:bookmarkStart w:id="56" w:name="_Toc286145921"/>
      <w:bookmarkStart w:id="57" w:name="_Toc320370997"/>
      <w:bookmarkEnd w:id="55"/>
    </w:p>
    <w:p w:rsidR="00086BC3" w:rsidRDefault="00086BC3" w:rsidP="00086BC3"/>
    <w:p w:rsidR="00086BC3" w:rsidRDefault="00086BC3" w:rsidP="00086BC3">
      <w:pPr>
        <w:ind w:left="1800" w:right="1890" w:firstLine="180"/>
        <w:contextualSpacing/>
        <w:rPr>
          <w:sz w:val="20"/>
          <w:szCs w:val="20"/>
        </w:rPr>
      </w:pPr>
      <w:r w:rsidRPr="00086BC3">
        <w:rPr>
          <w:sz w:val="20"/>
          <w:szCs w:val="20"/>
        </w:rPr>
        <w:t>Figure 1 is the graphical representation of</w:t>
      </w:r>
      <w:r w:rsidR="00BB39A6">
        <w:rPr>
          <w:sz w:val="20"/>
          <w:szCs w:val="20"/>
        </w:rPr>
        <w:t xml:space="preserve"> the estimated coefficients of m</w:t>
      </w:r>
      <w:r w:rsidRPr="00086BC3">
        <w:rPr>
          <w:sz w:val="20"/>
          <w:szCs w:val="20"/>
        </w:rPr>
        <w:t>odel (10) and including TAXRISK</w:t>
      </w:r>
    </w:p>
    <w:p w:rsidR="00086BC3" w:rsidRDefault="00086BC3" w:rsidP="00086BC3">
      <w:pPr>
        <w:ind w:left="1800" w:right="1890" w:firstLine="180"/>
        <w:contextualSpacing/>
        <w:rPr>
          <w:sz w:val="20"/>
          <w:szCs w:val="20"/>
        </w:rPr>
      </w:pPr>
      <w:proofErr w:type="gramStart"/>
      <w:r>
        <w:rPr>
          <w:sz w:val="20"/>
          <w:szCs w:val="20"/>
        </w:rPr>
        <w:t>s</w:t>
      </w:r>
      <w:r w:rsidRPr="00086BC3">
        <w:rPr>
          <w:sz w:val="20"/>
          <w:szCs w:val="20"/>
        </w:rPr>
        <w:t>quared</w:t>
      </w:r>
      <w:proofErr w:type="gramEnd"/>
      <w:r>
        <w:rPr>
          <w:sz w:val="20"/>
          <w:szCs w:val="20"/>
        </w:rPr>
        <w:t xml:space="preserve"> </w:t>
      </w:r>
      <w:r w:rsidRPr="00086BC3">
        <w:rPr>
          <w:sz w:val="20"/>
          <w:szCs w:val="20"/>
        </w:rPr>
        <w:t>and TAXRISK to the third, fourth, fifth, and sixth powers</w:t>
      </w:r>
      <w:r>
        <w:rPr>
          <w:sz w:val="20"/>
          <w:szCs w:val="20"/>
        </w:rPr>
        <w:t>.</w:t>
      </w:r>
    </w:p>
    <w:p w:rsidR="00086BC3" w:rsidRPr="00086BC3" w:rsidRDefault="00086BC3" w:rsidP="00086BC3">
      <w:pPr>
        <w:rPr>
          <w:sz w:val="20"/>
          <w:szCs w:val="20"/>
        </w:rPr>
      </w:pPr>
    </w:p>
    <w:p w:rsidR="00086BC3" w:rsidRDefault="00086BC3" w:rsidP="00812AD1">
      <w:pPr>
        <w:pStyle w:val="Heading3"/>
        <w:jc w:val="left"/>
        <w:rPr>
          <w:noProof/>
        </w:rPr>
        <w:sectPr w:rsidR="00086BC3" w:rsidSect="00CC5AB2">
          <w:pgSz w:w="15840" w:h="12240" w:orient="landscape" w:code="1"/>
          <w:pgMar w:top="1440" w:right="1440" w:bottom="1872" w:left="1440" w:header="720" w:footer="1440" w:gutter="0"/>
          <w:cols w:space="720"/>
          <w:noEndnote/>
          <w:docGrid w:linePitch="360"/>
        </w:sectPr>
      </w:pPr>
    </w:p>
    <w:p w:rsidR="00812AD1" w:rsidRDefault="00812AD1" w:rsidP="00812AD1">
      <w:pPr>
        <w:pStyle w:val="Heading3"/>
      </w:pPr>
      <w:bookmarkStart w:id="58" w:name="_Toc321493741"/>
      <w:r>
        <w:lastRenderedPageBreak/>
        <w:t>Vita</w:t>
      </w:r>
      <w:bookmarkEnd w:id="56"/>
      <w:bookmarkEnd w:id="57"/>
      <w:bookmarkEnd w:id="58"/>
    </w:p>
    <w:p w:rsidR="00817338" w:rsidRPr="00817338" w:rsidRDefault="00817338" w:rsidP="00817338">
      <w:r>
        <w:tab/>
        <w:t xml:space="preserve">Rebekah D. McCarty grew up in Rogersville, Tennessee and Kingsport, Tennessee. She graduated from </w:t>
      </w:r>
      <w:proofErr w:type="spellStart"/>
      <w:r>
        <w:t>Dobyns</w:t>
      </w:r>
      <w:proofErr w:type="spellEnd"/>
      <w:r>
        <w:t xml:space="preserve">-Bennett High School in 2000 and moved to Knoxville to attend the University of Tennessee. In 2004, she graduated </w:t>
      </w:r>
      <w:r w:rsidRPr="00817338">
        <w:rPr>
          <w:i/>
        </w:rPr>
        <w:t>summa cum laude</w:t>
      </w:r>
      <w:r>
        <w:t xml:space="preserve"> with a Bachelor in Business Administration in Accounting and a second major in Spanish. In 2005, she earned her Master of Accounting degree in taxation, also from the University of Tennessee. She worked as a Tax Associate for </w:t>
      </w:r>
      <w:proofErr w:type="spellStart"/>
      <w:r>
        <w:t>PricewaterhouseCoppers</w:t>
      </w:r>
      <w:proofErr w:type="spellEnd"/>
      <w:r>
        <w:t xml:space="preserve"> in Atlanta, Georgia from 2005 to 2007 at which time she returned to the University of Tennessee to pursue her doctorate in Accounting. She graduated in May 2012 with a Doctor of Philosophy in Business Administration. She is a Certified Public Accountant in the state of Georgia and a member of the American Accounting Association and the American Taxation Association.</w:t>
      </w:r>
    </w:p>
    <w:sectPr w:rsidR="00817338" w:rsidRPr="00817338" w:rsidSect="00CC5AB2">
      <w:pgSz w:w="12240" w:h="15840" w:code="1"/>
      <w:pgMar w:top="1440" w:right="1440" w:bottom="1872" w:left="1800" w:header="720" w:footer="14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DB6" w:rsidRDefault="003D3DB6">
      <w:r>
        <w:separator/>
      </w:r>
    </w:p>
    <w:p w:rsidR="003D3DB6" w:rsidRDefault="003D3DB6"/>
  </w:endnote>
  <w:endnote w:type="continuationSeparator" w:id="0">
    <w:p w:rsidR="003D3DB6" w:rsidRDefault="003D3DB6">
      <w:r>
        <w:continuationSeparator/>
      </w:r>
    </w:p>
    <w:p w:rsidR="003D3DB6" w:rsidRDefault="003D3DB6"/>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859677"/>
      <w:docPartObj>
        <w:docPartGallery w:val="Page Numbers (Bottom of Page)"/>
        <w:docPartUnique/>
      </w:docPartObj>
    </w:sdtPr>
    <w:sdtContent>
      <w:p w:rsidR="002A6277" w:rsidRDefault="00F45E01">
        <w:pPr>
          <w:pStyle w:val="Footer"/>
          <w:jc w:val="right"/>
        </w:pPr>
        <w:fldSimple w:instr=" PAGE   \* MERGEFORMAT ">
          <w:r w:rsidR="008D02FC">
            <w:rPr>
              <w:noProof/>
            </w:rPr>
            <w:t>ii</w:t>
          </w:r>
        </w:fldSimple>
      </w:p>
    </w:sdtContent>
  </w:sdt>
  <w:p w:rsidR="002A6277" w:rsidRDefault="002A627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DB6" w:rsidRDefault="003D3DB6">
      <w:r>
        <w:separator/>
      </w:r>
    </w:p>
    <w:p w:rsidR="003D3DB6" w:rsidRDefault="003D3DB6"/>
  </w:footnote>
  <w:footnote w:type="continuationSeparator" w:id="0">
    <w:p w:rsidR="003D3DB6" w:rsidRDefault="003D3DB6">
      <w:r>
        <w:continuationSeparator/>
      </w:r>
    </w:p>
    <w:p w:rsidR="003D3DB6" w:rsidRDefault="003D3DB6"/>
  </w:footnote>
  <w:footnote w:id="1">
    <w:p w:rsidR="002A6277" w:rsidRDefault="002A6277" w:rsidP="00080E60">
      <w:pPr>
        <w:pStyle w:val="FootnoteText"/>
      </w:pPr>
      <w:r>
        <w:rPr>
          <w:rStyle w:val="FootnoteReference"/>
        </w:rPr>
        <w:footnoteRef/>
      </w:r>
      <w:r>
        <w:t xml:space="preserve"> </w:t>
      </w:r>
      <w:r w:rsidRPr="00ED71C2">
        <w:rPr>
          <w:rFonts w:ascii="Times New Roman" w:hAnsi="Times New Roman" w:cs="Times New Roman"/>
        </w:rPr>
        <w:t xml:space="preserve">Tax avoidance refers to “the reduction of explicit taxes” (Hanlon and </w:t>
      </w:r>
      <w:proofErr w:type="spellStart"/>
      <w:r w:rsidRPr="00ED71C2">
        <w:rPr>
          <w:rFonts w:ascii="Times New Roman" w:hAnsi="Times New Roman" w:cs="Times New Roman"/>
        </w:rPr>
        <w:t>Heitzman</w:t>
      </w:r>
      <w:proofErr w:type="spellEnd"/>
      <w:r w:rsidRPr="00ED71C2">
        <w:rPr>
          <w:rFonts w:ascii="Times New Roman" w:hAnsi="Times New Roman" w:cs="Times New Roman"/>
        </w:rPr>
        <w:t xml:space="preserve"> 2010, p.137) and encompasses all forms of tax planning regardless of uncertainty or risk.</w:t>
      </w:r>
      <w:r>
        <w:rPr>
          <w:rFonts w:ascii="Times New Roman" w:hAnsi="Times New Roman" w:cs="Times New Roman"/>
        </w:rPr>
        <w:t xml:space="preserve"> Tax avoidance includes but is not limited to tax risky positions. Most of the literature to-date has focused on tax avoidance in general or on “tax aggressiveness” which is similar in concept to tax risk.</w:t>
      </w:r>
    </w:p>
  </w:footnote>
  <w:footnote w:id="2">
    <w:p w:rsidR="002A6277" w:rsidRPr="00931A95" w:rsidRDefault="002A6277" w:rsidP="00080E60">
      <w:pPr>
        <w:pStyle w:val="FootnoteText"/>
        <w:rPr>
          <w:rFonts w:ascii="Times New Roman" w:hAnsi="Times New Roman" w:cs="Times New Roman"/>
        </w:rPr>
      </w:pPr>
      <w:r w:rsidRPr="00931A95">
        <w:rPr>
          <w:rStyle w:val="FootnoteReference"/>
          <w:rFonts w:ascii="Times New Roman" w:hAnsi="Times New Roman" w:cs="Times New Roman"/>
        </w:rPr>
        <w:footnoteRef/>
      </w:r>
      <w:r w:rsidRPr="00931A95">
        <w:rPr>
          <w:rFonts w:ascii="Times New Roman" w:hAnsi="Times New Roman" w:cs="Times New Roman"/>
        </w:rPr>
        <w:t xml:space="preserve"> In the context of earnings quality, </w:t>
      </w:r>
      <w:proofErr w:type="spellStart"/>
      <w:r w:rsidRPr="00931A95">
        <w:rPr>
          <w:rFonts w:ascii="Times New Roman" w:hAnsi="Times New Roman" w:cs="Times New Roman"/>
        </w:rPr>
        <w:t>Dhaliwal</w:t>
      </w:r>
      <w:proofErr w:type="spellEnd"/>
      <w:r w:rsidRPr="00931A95">
        <w:rPr>
          <w:rFonts w:ascii="Times New Roman" w:hAnsi="Times New Roman" w:cs="Times New Roman"/>
        </w:rPr>
        <w:t xml:space="preserve"> et al. (2008) examine the association between book-tax differences and the cost of equity capital. Although not the focus of the study, book tax differences have been used extensively to proxy for tax avoidance. My s</w:t>
      </w:r>
      <w:r>
        <w:rPr>
          <w:rFonts w:ascii="Times New Roman" w:hAnsi="Times New Roman" w:cs="Times New Roman"/>
        </w:rPr>
        <w:t>tudy is the first to examine the association between tax risk, a specific type of tax avoidance, and the cost of equity capital</w:t>
      </w:r>
      <w:r w:rsidRPr="00931A95">
        <w:rPr>
          <w:rFonts w:ascii="Times New Roman" w:hAnsi="Times New Roman" w:cs="Times New Roman"/>
        </w:rPr>
        <w:t>.</w:t>
      </w:r>
    </w:p>
  </w:footnote>
  <w:footnote w:id="3">
    <w:p w:rsidR="002A6277" w:rsidRDefault="002A6277" w:rsidP="00080E60">
      <w:pPr>
        <w:pStyle w:val="FootnoteText"/>
      </w:pPr>
      <w:r w:rsidRPr="00931A95">
        <w:rPr>
          <w:rStyle w:val="FootnoteReference"/>
          <w:rFonts w:ascii="Times New Roman" w:hAnsi="Times New Roman" w:cs="Times New Roman"/>
        </w:rPr>
        <w:footnoteRef/>
      </w:r>
      <w:r w:rsidRPr="00931A95">
        <w:rPr>
          <w:rFonts w:ascii="Times New Roman" w:hAnsi="Times New Roman" w:cs="Times New Roman"/>
        </w:rPr>
        <w:t xml:space="preserve"> I report </w:t>
      </w:r>
      <w:r>
        <w:rPr>
          <w:rFonts w:ascii="Times New Roman" w:hAnsi="Times New Roman" w:cs="Times New Roman"/>
        </w:rPr>
        <w:t>only t</w:t>
      </w:r>
      <w:r w:rsidRPr="00931A95">
        <w:rPr>
          <w:rFonts w:ascii="Times New Roman" w:hAnsi="Times New Roman" w:cs="Times New Roman"/>
        </w:rPr>
        <w:t xml:space="preserve">he implied </w:t>
      </w:r>
      <w:r>
        <w:rPr>
          <w:rFonts w:ascii="Times New Roman" w:hAnsi="Times New Roman" w:cs="Times New Roman"/>
        </w:rPr>
        <w:t xml:space="preserve">average optimal </w:t>
      </w:r>
      <w:r w:rsidRPr="00931A95">
        <w:rPr>
          <w:rFonts w:ascii="Times New Roman" w:hAnsi="Times New Roman" w:cs="Times New Roman"/>
        </w:rPr>
        <w:t>level of tax risk from an equity stakeholder’s perspective and concede that there are other important determinants of tax behavior.</w:t>
      </w:r>
    </w:p>
  </w:footnote>
  <w:footnote w:id="4">
    <w:p w:rsidR="002A6277" w:rsidRPr="00C96590" w:rsidRDefault="002A6277" w:rsidP="00080E60">
      <w:pPr>
        <w:pStyle w:val="FootnoteText"/>
        <w:rPr>
          <w:rFonts w:ascii="Times New Roman" w:hAnsi="Times New Roman" w:cs="Times New Roman"/>
        </w:rPr>
      </w:pPr>
      <w:r w:rsidRPr="00C96590">
        <w:rPr>
          <w:rStyle w:val="FootnoteReference"/>
          <w:rFonts w:ascii="Times New Roman" w:hAnsi="Times New Roman" w:cs="Times New Roman"/>
        </w:rPr>
        <w:footnoteRef/>
      </w:r>
      <w:r w:rsidRPr="00C96590">
        <w:rPr>
          <w:rFonts w:ascii="Times New Roman" w:hAnsi="Times New Roman" w:cs="Times New Roman"/>
        </w:rPr>
        <w:t xml:space="preserve"> “Tax aggressiveness” has also been used in this literature to describe tax avoidance that is less than certain. Conceptually, it is similar to tax risk. However, given the varied definitions of tax aggressiveness, I </w:t>
      </w:r>
      <w:r>
        <w:rPr>
          <w:rFonts w:ascii="Times New Roman" w:hAnsi="Times New Roman" w:cs="Times New Roman"/>
        </w:rPr>
        <w:t>limit my use of the term to descriptions of prior research and citations of previous findings.</w:t>
      </w:r>
    </w:p>
  </w:footnote>
  <w:footnote w:id="5">
    <w:p w:rsidR="002A6277" w:rsidRPr="00931A95" w:rsidRDefault="002A6277" w:rsidP="00080E60">
      <w:pPr>
        <w:pStyle w:val="FootnoteText"/>
        <w:rPr>
          <w:rFonts w:ascii="Times New Roman" w:hAnsi="Times New Roman" w:cs="Times New Roman"/>
        </w:rPr>
      </w:pPr>
      <w:r w:rsidRPr="00931A95">
        <w:rPr>
          <w:rStyle w:val="FootnoteReference"/>
          <w:rFonts w:ascii="Times New Roman" w:hAnsi="Times New Roman" w:cs="Times New Roman"/>
        </w:rPr>
        <w:footnoteRef/>
      </w:r>
      <w:r w:rsidRPr="00931A95">
        <w:rPr>
          <w:rFonts w:ascii="Times New Roman" w:hAnsi="Times New Roman" w:cs="Times New Roman"/>
        </w:rPr>
        <w:t xml:space="preserve"> In this study, I use the term “tax risk” to describe both the degree of risk and also a subset of tax avoidance. I use “certain tax avoidance” to describe tax avoidance where the tax risk is very low or zero.</w:t>
      </w:r>
    </w:p>
  </w:footnote>
  <w:footnote w:id="6">
    <w:p w:rsidR="002A6277" w:rsidRPr="00776B9F" w:rsidRDefault="002A6277" w:rsidP="00080E60">
      <w:pPr>
        <w:pStyle w:val="FootnoteText"/>
        <w:rPr>
          <w:rFonts w:ascii="Times New Roman" w:hAnsi="Times New Roman" w:cs="Times New Roman"/>
        </w:rPr>
      </w:pPr>
      <w:r w:rsidRPr="00931A95">
        <w:rPr>
          <w:rStyle w:val="FootnoteReference"/>
          <w:rFonts w:ascii="Times New Roman" w:hAnsi="Times New Roman" w:cs="Times New Roman"/>
        </w:rPr>
        <w:footnoteRef/>
      </w:r>
      <w:r w:rsidRPr="00931A95">
        <w:rPr>
          <w:rFonts w:ascii="Times New Roman" w:hAnsi="Times New Roman" w:cs="Times New Roman"/>
        </w:rPr>
        <w:t xml:space="preserve"> After the FASB codification in June 2009, the provisions of FIN 48 are now included in ASC 740-10.</w:t>
      </w:r>
    </w:p>
  </w:footnote>
  <w:footnote w:id="7">
    <w:p w:rsidR="002A6277" w:rsidRDefault="002A6277" w:rsidP="00080E60">
      <w:pPr>
        <w:pStyle w:val="FootnoteText"/>
      </w:pPr>
      <w:r w:rsidRPr="00FF483A">
        <w:rPr>
          <w:rFonts w:ascii="Times New Roman" w:hAnsi="Times New Roman" w:cs="Times New Roman"/>
        </w:rPr>
        <w:footnoteRef/>
      </w:r>
      <w:r w:rsidRPr="00730370">
        <w:rPr>
          <w:rFonts w:ascii="Times New Roman" w:hAnsi="Times New Roman" w:cs="Times New Roman"/>
        </w:rPr>
        <w:t xml:space="preserve"> An alternative to book tax difference and effective tax rate measures is tax shelter probability scores. Although these scores reflect one of the most risky forms of tax avoidance they fail to account for any non-shelter risky tax transactions.</w:t>
      </w:r>
    </w:p>
  </w:footnote>
  <w:footnote w:id="8">
    <w:p w:rsidR="002A6277" w:rsidRPr="00931A95" w:rsidRDefault="002A6277" w:rsidP="00080E60">
      <w:pPr>
        <w:pStyle w:val="FootnoteText"/>
        <w:rPr>
          <w:rFonts w:ascii="Times New Roman" w:hAnsi="Times New Roman" w:cs="Times New Roman"/>
        </w:rPr>
      </w:pPr>
      <w:r w:rsidRPr="00931A95">
        <w:rPr>
          <w:rStyle w:val="FootnoteReference"/>
          <w:rFonts w:ascii="Times New Roman" w:hAnsi="Times New Roman" w:cs="Times New Roman"/>
        </w:rPr>
        <w:footnoteRef/>
      </w:r>
      <w:r w:rsidRPr="00931A95">
        <w:rPr>
          <w:rFonts w:ascii="Times New Roman" w:hAnsi="Times New Roman" w:cs="Times New Roman"/>
        </w:rPr>
        <w:t xml:space="preserve"> To address these concerns I control for financial reporting aggressiveness in the empirical design using discretionary accruals. I also employ an instrumental variables specification that controls for measurement error of the endogenous variable.</w:t>
      </w:r>
    </w:p>
  </w:footnote>
  <w:footnote w:id="9">
    <w:p w:rsidR="002A6277" w:rsidRPr="00931A95" w:rsidRDefault="002A6277" w:rsidP="00080E60">
      <w:pPr>
        <w:pStyle w:val="FootnoteText"/>
        <w:rPr>
          <w:rFonts w:ascii="Times New Roman" w:hAnsi="Times New Roman" w:cs="Times New Roman"/>
        </w:rPr>
      </w:pPr>
      <w:r w:rsidRPr="00931A95">
        <w:rPr>
          <w:rStyle w:val="FootnoteReference"/>
          <w:rFonts w:ascii="Times New Roman" w:hAnsi="Times New Roman" w:cs="Times New Roman"/>
        </w:rPr>
        <w:footnoteRef/>
      </w:r>
      <w:r w:rsidRPr="00931A95">
        <w:rPr>
          <w:rFonts w:ascii="Times New Roman" w:hAnsi="Times New Roman" w:cs="Times New Roman"/>
        </w:rPr>
        <w:t xml:space="preserve"> I refer to any activities “benefiting managers that are not in the interest of shareholders” (p.</w:t>
      </w:r>
      <w:r>
        <w:rPr>
          <w:rFonts w:ascii="Times New Roman" w:hAnsi="Times New Roman" w:cs="Times New Roman"/>
        </w:rPr>
        <w:t xml:space="preserve"> </w:t>
      </w:r>
      <w:r w:rsidRPr="00931A95">
        <w:rPr>
          <w:rFonts w:ascii="Times New Roman" w:hAnsi="Times New Roman" w:cs="Times New Roman"/>
        </w:rPr>
        <w:t xml:space="preserve">172) as managerial diversion following Desai and </w:t>
      </w:r>
      <w:proofErr w:type="spellStart"/>
      <w:r w:rsidRPr="00931A95">
        <w:rPr>
          <w:rFonts w:ascii="Times New Roman" w:hAnsi="Times New Roman" w:cs="Times New Roman"/>
        </w:rPr>
        <w:t>Dharmapala</w:t>
      </w:r>
      <w:proofErr w:type="spellEnd"/>
      <w:r w:rsidRPr="00931A95">
        <w:rPr>
          <w:rFonts w:ascii="Times New Roman" w:hAnsi="Times New Roman" w:cs="Times New Roman"/>
        </w:rPr>
        <w:t xml:space="preserve"> (2009b). According to Wilson (2009), this may include “the excess consumption of perquisites or the pursuit of activities designed to mislead investors” (p.</w:t>
      </w:r>
      <w:r>
        <w:rPr>
          <w:rFonts w:ascii="Times New Roman" w:hAnsi="Times New Roman" w:cs="Times New Roman"/>
        </w:rPr>
        <w:t xml:space="preserve"> 970</w:t>
      </w:r>
      <w:r w:rsidRPr="00931A95">
        <w:rPr>
          <w:rFonts w:ascii="Times New Roman" w:hAnsi="Times New Roman" w:cs="Times New Roman"/>
        </w:rPr>
        <w:t>).</w:t>
      </w:r>
    </w:p>
  </w:footnote>
  <w:footnote w:id="10">
    <w:p w:rsidR="002A6277" w:rsidRPr="00DF23DE" w:rsidRDefault="002A6277" w:rsidP="00080E60">
      <w:pPr>
        <w:pStyle w:val="FootnoteText"/>
        <w:rPr>
          <w:rFonts w:ascii="Times New Roman" w:hAnsi="Times New Roman" w:cs="Times New Roman"/>
        </w:rPr>
      </w:pPr>
      <w:r w:rsidRPr="00931A95">
        <w:rPr>
          <w:rStyle w:val="FootnoteReference"/>
          <w:rFonts w:ascii="Times New Roman" w:hAnsi="Times New Roman" w:cs="Times New Roman"/>
        </w:rPr>
        <w:footnoteRef/>
      </w:r>
      <w:r w:rsidRPr="00931A95">
        <w:rPr>
          <w:rFonts w:ascii="Times New Roman" w:hAnsi="Times New Roman" w:cs="Times New Roman"/>
        </w:rPr>
        <w:t xml:space="preserve"> Although several studies point to whether managers of high tax risk firms </w:t>
      </w:r>
      <w:r w:rsidRPr="00931A95">
        <w:rPr>
          <w:rFonts w:ascii="Times New Roman" w:hAnsi="Times New Roman" w:cs="Times New Roman"/>
          <w:i/>
        </w:rPr>
        <w:t>actually</w:t>
      </w:r>
      <w:r w:rsidRPr="00931A95">
        <w:rPr>
          <w:rFonts w:ascii="Times New Roman" w:hAnsi="Times New Roman" w:cs="Times New Roman"/>
        </w:rPr>
        <w:t xml:space="preserve"> engage in increased managerial diversion (Blaylock 2011; Wang 2010; </w:t>
      </w:r>
      <w:proofErr w:type="spellStart"/>
      <w:r w:rsidRPr="00931A95">
        <w:rPr>
          <w:rFonts w:ascii="Times New Roman" w:hAnsi="Times New Roman" w:cs="Times New Roman"/>
        </w:rPr>
        <w:t>Dhaliwal</w:t>
      </w:r>
      <w:proofErr w:type="spellEnd"/>
      <w:r w:rsidRPr="00931A95">
        <w:rPr>
          <w:rFonts w:ascii="Times New Roman" w:hAnsi="Times New Roman" w:cs="Times New Roman"/>
        </w:rPr>
        <w:t xml:space="preserve"> et al. 2011), I limit my discussion to those studies that provide evidence about whether investors believe managers of high tax risk firms engage in increased managerial diversion since the latter are directly relevant to an equity valuation of tax risk. Other studies rely on firm behavior as a response to market demands to make inferences about investor perceptions regarding tax risk and agency costs (Chen et al. 2010; Desai and </w:t>
      </w:r>
      <w:proofErr w:type="spellStart"/>
      <w:r w:rsidRPr="00931A95">
        <w:rPr>
          <w:rFonts w:ascii="Times New Roman" w:hAnsi="Times New Roman" w:cs="Times New Roman"/>
        </w:rPr>
        <w:t>Dharmapala</w:t>
      </w:r>
      <w:proofErr w:type="spellEnd"/>
      <w:r w:rsidRPr="00931A95">
        <w:rPr>
          <w:rFonts w:ascii="Times New Roman" w:hAnsi="Times New Roman" w:cs="Times New Roman"/>
        </w:rPr>
        <w:t xml:space="preserve"> 2006; </w:t>
      </w:r>
      <w:proofErr w:type="spellStart"/>
      <w:r w:rsidRPr="00931A95">
        <w:rPr>
          <w:rFonts w:ascii="Times New Roman" w:hAnsi="Times New Roman" w:cs="Times New Roman"/>
        </w:rPr>
        <w:t>Seidman</w:t>
      </w:r>
      <w:proofErr w:type="spellEnd"/>
      <w:r w:rsidRPr="00931A95">
        <w:rPr>
          <w:rFonts w:ascii="Times New Roman" w:hAnsi="Times New Roman" w:cs="Times New Roman"/>
        </w:rPr>
        <w:t xml:space="preserve"> and </w:t>
      </w:r>
      <w:proofErr w:type="spellStart"/>
      <w:r w:rsidRPr="00931A95">
        <w:rPr>
          <w:rFonts w:ascii="Times New Roman" w:hAnsi="Times New Roman" w:cs="Times New Roman"/>
        </w:rPr>
        <w:t>Stomberg</w:t>
      </w:r>
      <w:proofErr w:type="spellEnd"/>
      <w:r w:rsidRPr="00931A95">
        <w:rPr>
          <w:rFonts w:ascii="Times New Roman" w:hAnsi="Times New Roman" w:cs="Times New Roman"/>
        </w:rPr>
        <w:t xml:space="preserve"> 2011).</w:t>
      </w:r>
    </w:p>
  </w:footnote>
  <w:footnote w:id="11">
    <w:p w:rsidR="002A6277" w:rsidRDefault="002A6277" w:rsidP="00080E60">
      <w:pPr>
        <w:pStyle w:val="FootnoteText"/>
      </w:pPr>
      <w:r>
        <w:rPr>
          <w:rStyle w:val="FootnoteReference"/>
        </w:rPr>
        <w:footnoteRef/>
      </w:r>
      <w:r>
        <w:t xml:space="preserve"> </w:t>
      </w:r>
      <w:r w:rsidRPr="005F04A3">
        <w:rPr>
          <w:rFonts w:ascii="Times New Roman" w:hAnsi="Times New Roman" w:cs="Times New Roman"/>
        </w:rPr>
        <w:t>Results are also mixed regarding market reactions to participation in tax shelters</w:t>
      </w:r>
      <w:r>
        <w:rPr>
          <w:rFonts w:ascii="Times New Roman" w:hAnsi="Times New Roman" w:cs="Times New Roman"/>
        </w:rPr>
        <w:t xml:space="preserve"> specifically</w:t>
      </w:r>
      <w:r w:rsidRPr="005F04A3">
        <w:rPr>
          <w:rFonts w:ascii="Times New Roman" w:hAnsi="Times New Roman" w:cs="Times New Roman"/>
        </w:rPr>
        <w:t xml:space="preserve"> (Hanlon and </w:t>
      </w:r>
      <w:proofErr w:type="spellStart"/>
      <w:r w:rsidRPr="005F04A3">
        <w:rPr>
          <w:rFonts w:ascii="Times New Roman" w:hAnsi="Times New Roman" w:cs="Times New Roman"/>
        </w:rPr>
        <w:t>Slemrod</w:t>
      </w:r>
      <w:proofErr w:type="spellEnd"/>
      <w:r w:rsidRPr="005F04A3">
        <w:rPr>
          <w:rFonts w:ascii="Times New Roman" w:hAnsi="Times New Roman" w:cs="Times New Roman"/>
        </w:rPr>
        <w:t xml:space="preserve"> 2009; Wilson 2009)</w:t>
      </w:r>
      <w:r>
        <w:rPr>
          <w:rFonts w:ascii="Times New Roman" w:hAnsi="Times New Roman" w:cs="Times New Roman"/>
        </w:rPr>
        <w:t>.</w:t>
      </w:r>
    </w:p>
  </w:footnote>
  <w:footnote w:id="12">
    <w:p w:rsidR="002A6277" w:rsidRPr="00931A95" w:rsidRDefault="002A6277" w:rsidP="00080E60">
      <w:pPr>
        <w:pStyle w:val="FootnoteText"/>
        <w:rPr>
          <w:rFonts w:ascii="Times New Roman" w:hAnsi="Times New Roman" w:cs="Times New Roman"/>
        </w:rPr>
      </w:pPr>
      <w:r w:rsidRPr="00931A95">
        <w:rPr>
          <w:rStyle w:val="FootnoteReference"/>
          <w:rFonts w:ascii="Times New Roman" w:hAnsi="Times New Roman" w:cs="Times New Roman"/>
        </w:rPr>
        <w:footnoteRef/>
      </w:r>
      <w:r w:rsidRPr="00931A95">
        <w:rPr>
          <w:rFonts w:ascii="Times New Roman" w:hAnsi="Times New Roman" w:cs="Times New Roman"/>
        </w:rPr>
        <w:t xml:space="preserve"> This result suggests that financial reporting quality is an important variable when modeling the </w:t>
      </w:r>
      <w:r>
        <w:rPr>
          <w:rFonts w:ascii="Times New Roman" w:hAnsi="Times New Roman" w:cs="Times New Roman"/>
        </w:rPr>
        <w:t xml:space="preserve">relationship </w:t>
      </w:r>
      <w:r w:rsidRPr="00931A95">
        <w:rPr>
          <w:rFonts w:ascii="Times New Roman" w:hAnsi="Times New Roman" w:cs="Times New Roman"/>
        </w:rPr>
        <w:t xml:space="preserve">between tax risk and firm value. I include firm size and the standard deviation of returns, both of which have been shown to be associated with disclosure quality in the annual report (Lang and </w:t>
      </w:r>
      <w:proofErr w:type="spellStart"/>
      <w:r w:rsidRPr="00931A95">
        <w:rPr>
          <w:rFonts w:ascii="Times New Roman" w:hAnsi="Times New Roman" w:cs="Times New Roman"/>
        </w:rPr>
        <w:t>Lundholm</w:t>
      </w:r>
      <w:proofErr w:type="spellEnd"/>
      <w:r w:rsidRPr="00931A95">
        <w:rPr>
          <w:rFonts w:ascii="Times New Roman" w:hAnsi="Times New Roman" w:cs="Times New Roman"/>
        </w:rPr>
        <w:t xml:space="preserve"> 1993). Following Robinson and Schmidt (2011) I also include a measure of debt which should be correlated with disclosure quality. </w:t>
      </w:r>
    </w:p>
  </w:footnote>
  <w:footnote w:id="13">
    <w:p w:rsidR="002A6277" w:rsidRPr="00776B9F" w:rsidRDefault="002A6277" w:rsidP="00080E60">
      <w:pPr>
        <w:pStyle w:val="FootnoteText"/>
        <w:rPr>
          <w:rFonts w:ascii="Times New Roman" w:hAnsi="Times New Roman" w:cs="Times New Roman"/>
        </w:rPr>
      </w:pPr>
      <w:r w:rsidRPr="00776B9F">
        <w:rPr>
          <w:rStyle w:val="FootnoteReference"/>
          <w:rFonts w:ascii="Times New Roman" w:hAnsi="Times New Roman" w:cs="Times New Roman"/>
        </w:rPr>
        <w:footnoteRef/>
      </w:r>
      <w:r w:rsidRPr="00776B9F">
        <w:rPr>
          <w:rFonts w:ascii="Times New Roman" w:hAnsi="Times New Roman" w:cs="Times New Roman"/>
        </w:rPr>
        <w:t xml:space="preserve"> In this context, the period might be more than one year since tax returns are not filed until months after the financial year end and assessments of tax penalties often occur in later periods. The future cash flow implications, especially reputational penalties, of any one particular tax position might not fully manifest within one year.</w:t>
      </w:r>
    </w:p>
  </w:footnote>
  <w:footnote w:id="14">
    <w:p w:rsidR="002A6277" w:rsidRPr="00776B9F" w:rsidRDefault="002A6277" w:rsidP="00080E60">
      <w:pPr>
        <w:pStyle w:val="FootnoteText"/>
        <w:rPr>
          <w:rFonts w:ascii="Times New Roman" w:hAnsi="Times New Roman" w:cs="Times New Roman"/>
        </w:rPr>
      </w:pPr>
      <w:r w:rsidRPr="00776B9F">
        <w:rPr>
          <w:rStyle w:val="FootnoteReference"/>
          <w:rFonts w:ascii="Times New Roman" w:hAnsi="Times New Roman" w:cs="Times New Roman"/>
        </w:rPr>
        <w:footnoteRef/>
      </w:r>
      <w:r w:rsidRPr="00776B9F">
        <w:rPr>
          <w:rFonts w:ascii="Times New Roman" w:hAnsi="Times New Roman" w:cs="Times New Roman"/>
        </w:rPr>
        <w:t xml:space="preserve"> Koester’s </w:t>
      </w:r>
      <w:r>
        <w:rPr>
          <w:rFonts w:ascii="Times New Roman" w:hAnsi="Times New Roman" w:cs="Times New Roman"/>
        </w:rPr>
        <w:t xml:space="preserve">(2011) </w:t>
      </w:r>
      <w:r w:rsidRPr="00776B9F">
        <w:rPr>
          <w:rFonts w:ascii="Times New Roman" w:hAnsi="Times New Roman" w:cs="Times New Roman"/>
        </w:rPr>
        <w:t>second valuation effect is the probability of future scrutiny and its impact on manager behavior</w:t>
      </w:r>
      <w:r>
        <w:rPr>
          <w:rFonts w:ascii="Times New Roman" w:hAnsi="Times New Roman" w:cs="Times New Roman"/>
        </w:rPr>
        <w:t xml:space="preserve"> in future periods</w:t>
      </w:r>
      <w:r w:rsidRPr="00776B9F">
        <w:rPr>
          <w:rFonts w:ascii="Times New Roman" w:hAnsi="Times New Roman" w:cs="Times New Roman"/>
        </w:rPr>
        <w:t xml:space="preserve">. I do not specifically incorporate this effect into the model because it is not relevant in this simplified two-period scenario. </w:t>
      </w:r>
    </w:p>
  </w:footnote>
  <w:footnote w:id="15">
    <w:p w:rsidR="002A6277" w:rsidRPr="00931A95" w:rsidRDefault="002A6277" w:rsidP="00080E60">
      <w:pPr>
        <w:pStyle w:val="FootnoteText"/>
        <w:rPr>
          <w:rFonts w:ascii="Times New Roman" w:hAnsi="Times New Roman" w:cs="Times New Roman"/>
        </w:rPr>
      </w:pPr>
      <w:r w:rsidRPr="00931A95">
        <w:rPr>
          <w:rStyle w:val="FootnoteReference"/>
          <w:rFonts w:ascii="Times New Roman" w:hAnsi="Times New Roman" w:cs="Times New Roman"/>
        </w:rPr>
        <w:footnoteRef/>
      </w:r>
      <w:r w:rsidRPr="00931A95">
        <w:rPr>
          <w:rFonts w:ascii="Times New Roman" w:hAnsi="Times New Roman" w:cs="Times New Roman"/>
        </w:rPr>
        <w:t xml:space="preserve"> It could be argued that this particular source of information uncertainty is captured by the probability of disallowance (p) in the numerator of equation (</w:t>
      </w:r>
      <w:r>
        <w:rPr>
          <w:rFonts w:ascii="Times New Roman" w:hAnsi="Times New Roman" w:cs="Times New Roman"/>
        </w:rPr>
        <w:t>2</w:t>
      </w:r>
      <w:r w:rsidRPr="00931A95">
        <w:rPr>
          <w:rFonts w:ascii="Times New Roman" w:hAnsi="Times New Roman" w:cs="Times New Roman"/>
        </w:rPr>
        <w:t>). I argue that tax risk affects investor perceptions of both the probability of disallowance (p) and also the dispersion of possible outcomes around (p), which reflects a denominator effect.</w:t>
      </w:r>
    </w:p>
  </w:footnote>
  <w:footnote w:id="16">
    <w:p w:rsidR="002A6277" w:rsidRPr="00931A95" w:rsidRDefault="002A6277" w:rsidP="00080E60">
      <w:pPr>
        <w:pStyle w:val="FootnoteText"/>
        <w:rPr>
          <w:rFonts w:ascii="Times New Roman" w:hAnsi="Times New Roman" w:cs="Times New Roman"/>
        </w:rPr>
      </w:pPr>
      <w:r w:rsidRPr="00931A95">
        <w:rPr>
          <w:rStyle w:val="FootnoteReference"/>
          <w:rFonts w:ascii="Times New Roman" w:hAnsi="Times New Roman" w:cs="Times New Roman"/>
        </w:rPr>
        <w:footnoteRef/>
      </w:r>
      <w:r w:rsidRPr="00931A95">
        <w:rPr>
          <w:rFonts w:ascii="Times New Roman" w:hAnsi="Times New Roman" w:cs="Times New Roman"/>
        </w:rPr>
        <w:t xml:space="preserve"> Although Hanlon and </w:t>
      </w:r>
      <w:proofErr w:type="spellStart"/>
      <w:r w:rsidRPr="00931A95">
        <w:rPr>
          <w:rFonts w:ascii="Times New Roman" w:hAnsi="Times New Roman" w:cs="Times New Roman"/>
        </w:rPr>
        <w:t>Slemrod</w:t>
      </w:r>
      <w:proofErr w:type="spellEnd"/>
      <w:r w:rsidRPr="00931A95">
        <w:rPr>
          <w:rFonts w:ascii="Times New Roman" w:hAnsi="Times New Roman" w:cs="Times New Roman"/>
        </w:rPr>
        <w:t xml:space="preserve"> (2009) and Koester (2011) both allude to a numerator effect of increased agency costs, I predict a denominator effect consistent with other studies that refer to a price discount or a cost of capital effect (</w:t>
      </w:r>
      <w:proofErr w:type="spellStart"/>
      <w:r w:rsidRPr="00931A95">
        <w:rPr>
          <w:rFonts w:ascii="Times New Roman" w:hAnsi="Times New Roman" w:cs="Times New Roman"/>
        </w:rPr>
        <w:t>Balakrishnan</w:t>
      </w:r>
      <w:proofErr w:type="spellEnd"/>
      <w:r w:rsidRPr="00931A95">
        <w:rPr>
          <w:rFonts w:ascii="Times New Roman" w:hAnsi="Times New Roman" w:cs="Times New Roman"/>
        </w:rPr>
        <w:t xml:space="preserve"> et al. 2011; Chen et al. 2010; </w:t>
      </w:r>
      <w:proofErr w:type="spellStart"/>
      <w:r w:rsidRPr="00931A95">
        <w:rPr>
          <w:rFonts w:ascii="Times New Roman" w:hAnsi="Times New Roman" w:cs="Times New Roman"/>
        </w:rPr>
        <w:t>Dhaliwal</w:t>
      </w:r>
      <w:proofErr w:type="spellEnd"/>
      <w:r w:rsidRPr="00931A95">
        <w:rPr>
          <w:rFonts w:ascii="Times New Roman" w:hAnsi="Times New Roman" w:cs="Times New Roman"/>
        </w:rPr>
        <w:t xml:space="preserve"> et al. 2011;Wang 2010). </w:t>
      </w:r>
    </w:p>
  </w:footnote>
  <w:footnote w:id="17">
    <w:p w:rsidR="002A6277" w:rsidRPr="00A94445" w:rsidRDefault="002A6277" w:rsidP="00080E60">
      <w:pPr>
        <w:pStyle w:val="FootnoteText"/>
        <w:rPr>
          <w:rFonts w:ascii="Times New Roman" w:hAnsi="Times New Roman" w:cs="Times New Roman"/>
        </w:rPr>
      </w:pPr>
      <w:r w:rsidRPr="00A94445">
        <w:rPr>
          <w:rStyle w:val="FootnoteReference"/>
          <w:rFonts w:ascii="Times New Roman" w:hAnsi="Times New Roman" w:cs="Times New Roman"/>
        </w:rPr>
        <w:footnoteRef/>
      </w:r>
      <w:r w:rsidRPr="00A94445">
        <w:rPr>
          <w:rFonts w:ascii="Times New Roman" w:hAnsi="Times New Roman" w:cs="Times New Roman"/>
        </w:rPr>
        <w:t xml:space="preserve"> The concave association between TAXRISK and firm value is robust to the following alternative specifications of firm value:  </w:t>
      </w:r>
      <w:r>
        <w:rPr>
          <w:rFonts w:ascii="Times New Roman" w:hAnsi="Times New Roman" w:cs="Times New Roman"/>
        </w:rPr>
        <w:t>raw</w:t>
      </w:r>
      <w:r w:rsidRPr="00A94445">
        <w:rPr>
          <w:rFonts w:ascii="Times New Roman" w:hAnsi="Times New Roman" w:cs="Times New Roman"/>
        </w:rPr>
        <w:t xml:space="preserve"> market value of equity, market value of equity scaled by assets, log of the market value of</w:t>
      </w:r>
      <w:r>
        <w:rPr>
          <w:rFonts w:ascii="Times New Roman" w:hAnsi="Times New Roman" w:cs="Times New Roman"/>
        </w:rPr>
        <w:t xml:space="preserve"> equity scaled by assets, log of the</w:t>
      </w:r>
      <w:r w:rsidRPr="00A94445">
        <w:rPr>
          <w:rFonts w:ascii="Times New Roman" w:hAnsi="Times New Roman" w:cs="Times New Roman"/>
        </w:rPr>
        <w:t xml:space="preserve"> market value of equity using CRSP prices (the main specification uses </w:t>
      </w:r>
      <w:proofErr w:type="spellStart"/>
      <w:r w:rsidRPr="00A94445">
        <w:rPr>
          <w:rFonts w:ascii="Times New Roman" w:hAnsi="Times New Roman" w:cs="Times New Roman"/>
        </w:rPr>
        <w:t>Compustat</w:t>
      </w:r>
      <w:proofErr w:type="spellEnd"/>
      <w:r w:rsidRPr="00A94445">
        <w:rPr>
          <w:rFonts w:ascii="Times New Roman" w:hAnsi="Times New Roman" w:cs="Times New Roman"/>
        </w:rPr>
        <w:t xml:space="preserve"> prices), Tobin’s Q following the specification in Desai and </w:t>
      </w:r>
      <w:proofErr w:type="spellStart"/>
      <w:r w:rsidRPr="00A94445">
        <w:rPr>
          <w:rFonts w:ascii="Times New Roman" w:hAnsi="Times New Roman" w:cs="Times New Roman"/>
        </w:rPr>
        <w:t>Dharmapala</w:t>
      </w:r>
      <w:proofErr w:type="spellEnd"/>
      <w:r w:rsidRPr="00A94445">
        <w:rPr>
          <w:rFonts w:ascii="Times New Roman" w:hAnsi="Times New Roman" w:cs="Times New Roman"/>
        </w:rPr>
        <w:t xml:space="preserve"> (2009a) that excludes deferred taxes to avoid a mechanical association, and Tobin’s Q using the standard Kaplan and </w:t>
      </w:r>
      <w:proofErr w:type="spellStart"/>
      <w:r w:rsidRPr="00A94445">
        <w:rPr>
          <w:rFonts w:ascii="Times New Roman" w:hAnsi="Times New Roman" w:cs="Times New Roman"/>
        </w:rPr>
        <w:t>Zingales</w:t>
      </w:r>
      <w:proofErr w:type="spellEnd"/>
      <w:r w:rsidRPr="00A94445">
        <w:rPr>
          <w:rFonts w:ascii="Times New Roman" w:hAnsi="Times New Roman" w:cs="Times New Roman"/>
        </w:rPr>
        <w:t xml:space="preserve"> (1997) specification.</w:t>
      </w:r>
    </w:p>
  </w:footnote>
  <w:footnote w:id="18">
    <w:p w:rsidR="002A6277" w:rsidRPr="00931A95" w:rsidRDefault="002A6277" w:rsidP="00080E60">
      <w:pPr>
        <w:pStyle w:val="FootnoteText"/>
        <w:rPr>
          <w:rFonts w:ascii="Times New Roman" w:hAnsi="Times New Roman" w:cs="Times New Roman"/>
        </w:rPr>
      </w:pPr>
      <w:r w:rsidRPr="00931A95">
        <w:rPr>
          <w:rStyle w:val="FootnoteReference"/>
          <w:rFonts w:ascii="Times New Roman" w:hAnsi="Times New Roman" w:cs="Times New Roman"/>
        </w:rPr>
        <w:footnoteRef/>
      </w:r>
      <w:r w:rsidRPr="00931A95">
        <w:rPr>
          <w:rFonts w:ascii="Times New Roman" w:hAnsi="Times New Roman" w:cs="Times New Roman"/>
        </w:rPr>
        <w:t xml:space="preserve"> </w:t>
      </w:r>
      <w:proofErr w:type="spellStart"/>
      <w:r w:rsidRPr="00931A95">
        <w:rPr>
          <w:rFonts w:ascii="Times New Roman" w:hAnsi="Times New Roman" w:cs="Times New Roman"/>
        </w:rPr>
        <w:t>Staiger</w:t>
      </w:r>
      <w:proofErr w:type="spellEnd"/>
      <w:r w:rsidRPr="00931A95">
        <w:rPr>
          <w:rFonts w:ascii="Times New Roman" w:hAnsi="Times New Roman" w:cs="Times New Roman"/>
        </w:rPr>
        <w:t xml:space="preserve"> and Stock (1997) explain that a first stage F statistic less than 10 is indicative of a weak instrument.</w:t>
      </w:r>
    </w:p>
  </w:footnote>
  <w:footnote w:id="19">
    <w:p w:rsidR="002A6277" w:rsidRPr="00931A95" w:rsidRDefault="002A6277" w:rsidP="00080E60">
      <w:pPr>
        <w:pStyle w:val="FootnoteText"/>
        <w:rPr>
          <w:rFonts w:ascii="Times New Roman" w:hAnsi="Times New Roman" w:cs="Times New Roman"/>
        </w:rPr>
      </w:pPr>
      <w:r w:rsidRPr="00931A95">
        <w:rPr>
          <w:rStyle w:val="FootnoteReference"/>
          <w:rFonts w:ascii="Times New Roman" w:hAnsi="Times New Roman" w:cs="Times New Roman"/>
        </w:rPr>
        <w:footnoteRef/>
      </w:r>
      <w:r w:rsidRPr="00931A95">
        <w:rPr>
          <w:rFonts w:ascii="Times New Roman" w:hAnsi="Times New Roman" w:cs="Times New Roman"/>
        </w:rPr>
        <w:t xml:space="preserve"> It is not surprising that prior research has </w:t>
      </w:r>
      <w:r>
        <w:rPr>
          <w:rFonts w:ascii="Times New Roman" w:hAnsi="Times New Roman" w:cs="Times New Roman"/>
        </w:rPr>
        <w:t>often</w:t>
      </w:r>
      <w:r w:rsidRPr="00931A95">
        <w:rPr>
          <w:rFonts w:ascii="Times New Roman" w:hAnsi="Times New Roman" w:cs="Times New Roman"/>
        </w:rPr>
        <w:t xml:space="preserve"> found a positive linear association between tax risk and firm value given that the association is positive for most firms since they are below the optimal level. However, linear models fail to account for the diminishing rate of the positive impact of tax risk on firm value until the optimal level is reached.</w:t>
      </w:r>
    </w:p>
  </w:footnote>
  <w:footnote w:id="20">
    <w:p w:rsidR="002A6277" w:rsidRDefault="002A6277" w:rsidP="00080E60">
      <w:pPr>
        <w:contextualSpacing/>
      </w:pPr>
      <w:r w:rsidRPr="00931A95">
        <w:rPr>
          <w:rStyle w:val="FootnoteReference"/>
          <w:sz w:val="20"/>
          <w:szCs w:val="20"/>
        </w:rPr>
        <w:footnoteRef/>
      </w:r>
      <w:r w:rsidRPr="00931A95">
        <w:rPr>
          <w:sz w:val="20"/>
          <w:szCs w:val="20"/>
        </w:rPr>
        <w:t xml:space="preserve"> This analysis assumes managers comply with FIN 48 by appropriately recording and disclosing their contingent tax liabilities. An alternative explanation is that managers do not comply sufficiently with FIN 48 in disclosing their true potential tax liabilities, in which case investors are not able to accurately assess the level of tax risk.</w:t>
      </w:r>
    </w:p>
  </w:footnote>
  <w:footnote w:id="21">
    <w:p w:rsidR="002A6277" w:rsidRPr="00E077D6" w:rsidRDefault="002A6277" w:rsidP="00080E60">
      <w:pPr>
        <w:pStyle w:val="FootnoteText"/>
        <w:rPr>
          <w:rFonts w:ascii="Times New Roman" w:hAnsi="Times New Roman" w:cs="Times New Roman"/>
        </w:rPr>
      </w:pPr>
      <w:r w:rsidRPr="00E077D6">
        <w:rPr>
          <w:rStyle w:val="FootnoteReference"/>
          <w:rFonts w:ascii="Times New Roman" w:hAnsi="Times New Roman" w:cs="Times New Roman"/>
        </w:rPr>
        <w:footnoteRef/>
      </w:r>
      <w:r w:rsidRPr="00E077D6">
        <w:rPr>
          <w:rFonts w:ascii="Times New Roman" w:hAnsi="Times New Roman" w:cs="Times New Roman"/>
        </w:rPr>
        <w:t xml:space="preserve"> The coefficient on NOL is not significantly different from zero in the CEO/Chair duality specification.</w:t>
      </w:r>
    </w:p>
  </w:footnote>
  <w:footnote w:id="22">
    <w:p w:rsidR="002A6277" w:rsidRDefault="002A6277" w:rsidP="00080E60">
      <w:pPr>
        <w:pStyle w:val="FootnoteText"/>
      </w:pPr>
      <w:r w:rsidRPr="00DF707B">
        <w:rPr>
          <w:rStyle w:val="FootnoteReference"/>
          <w:rFonts w:ascii="Times New Roman" w:hAnsi="Times New Roman" w:cs="Times New Roman"/>
        </w:rPr>
        <w:footnoteRef/>
      </w:r>
      <w:r w:rsidRPr="00DF707B">
        <w:rPr>
          <w:rFonts w:ascii="Times New Roman" w:hAnsi="Times New Roman" w:cs="Times New Roman"/>
        </w:rPr>
        <w:t xml:space="preserve"> The coefficient for well governed firms is 0.002</w:t>
      </w:r>
      <w:r>
        <w:rPr>
          <w:rFonts w:ascii="Times New Roman" w:hAnsi="Times New Roman" w:cs="Times New Roman"/>
        </w:rPr>
        <w:t xml:space="preserve"> (but not statistically different from zero)</w:t>
      </w:r>
      <w:r w:rsidRPr="00DF707B">
        <w:rPr>
          <w:rFonts w:ascii="Times New Roman" w:hAnsi="Times New Roman" w:cs="Times New Roman"/>
        </w:rPr>
        <w:t xml:space="preserve"> and for poorly governed firms is 0.007.  The interaction term (coefficient=-0.005) suggests the difference between the two groups is </w:t>
      </w:r>
      <w:r>
        <w:rPr>
          <w:rFonts w:ascii="Times New Roman" w:hAnsi="Times New Roman" w:cs="Times New Roman"/>
        </w:rPr>
        <w:t xml:space="preserve">statistically </w:t>
      </w:r>
      <w:r w:rsidRPr="00DF707B">
        <w:rPr>
          <w:rFonts w:ascii="Times New Roman" w:hAnsi="Times New Roman" w:cs="Times New Roman"/>
        </w:rPr>
        <w:t>significant. In the CEO/chair duality specification (col. 4), the effect for well governed firms is 0.008 and for poorly governed firms is 0.004.  However this difference is not statistically significant as indicated by the coefficient on the interaction term.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277" w:rsidRDefault="002A6277">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277" w:rsidRDefault="002A6277">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nsid w:val="1274314D"/>
    <w:multiLevelType w:val="hybridMultilevel"/>
    <w:tmpl w:val="80CA3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8">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A21F5A"/>
    <w:multiLevelType w:val="hybridMultilevel"/>
    <w:tmpl w:val="19D0BED4"/>
    <w:lvl w:ilvl="0" w:tplc="818C73F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DE774E"/>
    <w:multiLevelType w:val="hybridMultilevel"/>
    <w:tmpl w:val="80581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8">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AEB238D"/>
    <w:multiLevelType w:val="hybridMultilevel"/>
    <w:tmpl w:val="8A4AB7AA"/>
    <w:lvl w:ilvl="0" w:tplc="567ADBEC">
      <w:start w:val="1"/>
      <w:numFmt w:val="decimal"/>
      <w:pStyle w:val="Heading1"/>
      <w:lvlText w:val="%1."/>
      <w:lvlJc w:val="left"/>
      <w:pPr>
        <w:ind w:left="32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4">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5">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9">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E41691F"/>
    <w:multiLevelType w:val="hybridMultilevel"/>
    <w:tmpl w:val="4A4E27BC"/>
    <w:lvl w:ilvl="0" w:tplc="3C36573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EE43A86"/>
    <w:multiLevelType w:val="hybridMultilevel"/>
    <w:tmpl w:val="A81238C6"/>
    <w:lvl w:ilvl="0" w:tplc="6D583C16">
      <w:start w:val="1"/>
      <w:numFmt w:val="decimal"/>
      <w:lvlText w:val="%1."/>
      <w:lvlJc w:val="left"/>
      <w:pPr>
        <w:ind w:left="720" w:hanging="360"/>
      </w:pPr>
      <w:rPr>
        <w:rFonts w:hint="default"/>
        <w:color w:val="0000FF"/>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7"/>
  </w:num>
  <w:num w:numId="3">
    <w:abstractNumId w:val="17"/>
  </w:num>
  <w:num w:numId="4">
    <w:abstractNumId w:val="38"/>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3"/>
  </w:num>
  <w:num w:numId="8">
    <w:abstractNumId w:val="24"/>
  </w:num>
  <w:num w:numId="9">
    <w:abstractNumId w:val="6"/>
  </w:num>
  <w:num w:numId="10">
    <w:abstractNumId w:val="21"/>
  </w:num>
  <w:num w:numId="11">
    <w:abstractNumId w:val="33"/>
  </w:num>
  <w:num w:numId="12">
    <w:abstractNumId w:val="34"/>
  </w:num>
  <w:num w:numId="13">
    <w:abstractNumId w:val="14"/>
  </w:num>
  <w:num w:numId="14">
    <w:abstractNumId w:val="8"/>
  </w:num>
  <w:num w:numId="15">
    <w:abstractNumId w:val="1"/>
  </w:num>
  <w:num w:numId="16">
    <w:abstractNumId w:val="4"/>
  </w:num>
  <w:num w:numId="17">
    <w:abstractNumId w:val="43"/>
  </w:num>
  <w:num w:numId="18">
    <w:abstractNumId w:val="35"/>
  </w:num>
  <w:num w:numId="19">
    <w:abstractNumId w:val="16"/>
  </w:num>
  <w:num w:numId="20">
    <w:abstractNumId w:val="37"/>
  </w:num>
  <w:num w:numId="21">
    <w:abstractNumId w:val="9"/>
  </w:num>
  <w:num w:numId="22">
    <w:abstractNumId w:val="20"/>
  </w:num>
  <w:num w:numId="23">
    <w:abstractNumId w:val="41"/>
  </w:num>
  <w:num w:numId="24">
    <w:abstractNumId w:val="18"/>
  </w:num>
  <w:num w:numId="25">
    <w:abstractNumId w:val="11"/>
  </w:num>
  <w:num w:numId="26">
    <w:abstractNumId w:val="3"/>
  </w:num>
  <w:num w:numId="27">
    <w:abstractNumId w:val="22"/>
  </w:num>
  <w:num w:numId="28">
    <w:abstractNumId w:val="39"/>
  </w:num>
  <w:num w:numId="29">
    <w:abstractNumId w:val="25"/>
  </w:num>
  <w:num w:numId="30">
    <w:abstractNumId w:val="2"/>
  </w:num>
  <w:num w:numId="31">
    <w:abstractNumId w:val="26"/>
  </w:num>
  <w:num w:numId="32">
    <w:abstractNumId w:val="30"/>
  </w:num>
  <w:num w:numId="33">
    <w:abstractNumId w:val="10"/>
  </w:num>
  <w:num w:numId="34">
    <w:abstractNumId w:val="29"/>
  </w:num>
  <w:num w:numId="35">
    <w:abstractNumId w:val="36"/>
  </w:num>
  <w:num w:numId="36">
    <w:abstractNumId w:val="5"/>
  </w:num>
  <w:num w:numId="37">
    <w:abstractNumId w:val="12"/>
  </w:num>
  <w:num w:numId="38">
    <w:abstractNumId w:val="15"/>
  </w:num>
  <w:num w:numId="39">
    <w:abstractNumId w:val="28"/>
  </w:num>
  <w:num w:numId="40">
    <w:abstractNumId w:val="40"/>
  </w:num>
  <w:num w:numId="41">
    <w:abstractNumId w:val="31"/>
  </w:num>
  <w:num w:numId="42">
    <w:abstractNumId w:val="19"/>
  </w:num>
  <w:num w:numId="43">
    <w:abstractNumId w:val="42"/>
  </w:num>
  <w:num w:numId="44">
    <w:abstractNumId w:val="44"/>
  </w:num>
  <w:num w:numId="45">
    <w:abstractNumId w:val="23"/>
  </w:num>
  <w:num w:numId="46">
    <w:abstractNumId w:val="7"/>
  </w:num>
  <w:num w:numId="47">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18434"/>
  </w:hdrShapeDefaults>
  <w:footnotePr>
    <w:footnote w:id="-1"/>
    <w:footnote w:id="0"/>
  </w:footnotePr>
  <w:endnotePr>
    <w:endnote w:id="-1"/>
    <w:endnote w:id="0"/>
  </w:endnotePr>
  <w:compat/>
  <w:rsids>
    <w:rsidRoot w:val="00ED7A05"/>
    <w:rsid w:val="00014A3E"/>
    <w:rsid w:val="000166A9"/>
    <w:rsid w:val="0003149A"/>
    <w:rsid w:val="00035646"/>
    <w:rsid w:val="00036C6A"/>
    <w:rsid w:val="000532E0"/>
    <w:rsid w:val="00057004"/>
    <w:rsid w:val="00071FB8"/>
    <w:rsid w:val="00073489"/>
    <w:rsid w:val="00076A95"/>
    <w:rsid w:val="00080E60"/>
    <w:rsid w:val="00086BC3"/>
    <w:rsid w:val="000B58C1"/>
    <w:rsid w:val="000B5C42"/>
    <w:rsid w:val="000C04E4"/>
    <w:rsid w:val="0010217F"/>
    <w:rsid w:val="0015097E"/>
    <w:rsid w:val="00160114"/>
    <w:rsid w:val="001854FB"/>
    <w:rsid w:val="00193642"/>
    <w:rsid w:val="00196F94"/>
    <w:rsid w:val="001B1034"/>
    <w:rsid w:val="001B1CFF"/>
    <w:rsid w:val="001C39F6"/>
    <w:rsid w:val="001C66FE"/>
    <w:rsid w:val="001D3739"/>
    <w:rsid w:val="001D4908"/>
    <w:rsid w:val="001D6904"/>
    <w:rsid w:val="001D7807"/>
    <w:rsid w:val="001E6122"/>
    <w:rsid w:val="001E6D46"/>
    <w:rsid w:val="001F522F"/>
    <w:rsid w:val="00236E6D"/>
    <w:rsid w:val="002429E5"/>
    <w:rsid w:val="00280CEF"/>
    <w:rsid w:val="0028757A"/>
    <w:rsid w:val="002A6277"/>
    <w:rsid w:val="002B0659"/>
    <w:rsid w:val="002E009E"/>
    <w:rsid w:val="002E2492"/>
    <w:rsid w:val="00304BD0"/>
    <w:rsid w:val="00307D77"/>
    <w:rsid w:val="00313E9E"/>
    <w:rsid w:val="003150D5"/>
    <w:rsid w:val="003206F1"/>
    <w:rsid w:val="00320F78"/>
    <w:rsid w:val="0035768F"/>
    <w:rsid w:val="0036251E"/>
    <w:rsid w:val="003712BE"/>
    <w:rsid w:val="0038177C"/>
    <w:rsid w:val="00381FDE"/>
    <w:rsid w:val="003836EB"/>
    <w:rsid w:val="00387024"/>
    <w:rsid w:val="00390828"/>
    <w:rsid w:val="003B1E06"/>
    <w:rsid w:val="003C1575"/>
    <w:rsid w:val="003C66F2"/>
    <w:rsid w:val="003D07F7"/>
    <w:rsid w:val="003D256D"/>
    <w:rsid w:val="003D3DB6"/>
    <w:rsid w:val="003D5275"/>
    <w:rsid w:val="003D63DF"/>
    <w:rsid w:val="003D737F"/>
    <w:rsid w:val="003F7474"/>
    <w:rsid w:val="00404616"/>
    <w:rsid w:val="00407B6A"/>
    <w:rsid w:val="00414400"/>
    <w:rsid w:val="00421CD4"/>
    <w:rsid w:val="00422932"/>
    <w:rsid w:val="00427833"/>
    <w:rsid w:val="00433126"/>
    <w:rsid w:val="0044196E"/>
    <w:rsid w:val="00443E31"/>
    <w:rsid w:val="00446C3B"/>
    <w:rsid w:val="00450C17"/>
    <w:rsid w:val="00461784"/>
    <w:rsid w:val="00474210"/>
    <w:rsid w:val="004743A3"/>
    <w:rsid w:val="00480B96"/>
    <w:rsid w:val="0048303E"/>
    <w:rsid w:val="004920F6"/>
    <w:rsid w:val="004A67E8"/>
    <w:rsid w:val="004C3D65"/>
    <w:rsid w:val="004D6472"/>
    <w:rsid w:val="004E33DD"/>
    <w:rsid w:val="00503711"/>
    <w:rsid w:val="00521A82"/>
    <w:rsid w:val="00556D71"/>
    <w:rsid w:val="00597D3F"/>
    <w:rsid w:val="005B79E9"/>
    <w:rsid w:val="005E3440"/>
    <w:rsid w:val="005E4912"/>
    <w:rsid w:val="005E6F1F"/>
    <w:rsid w:val="005F110A"/>
    <w:rsid w:val="005F44D1"/>
    <w:rsid w:val="00621129"/>
    <w:rsid w:val="00633916"/>
    <w:rsid w:val="00640169"/>
    <w:rsid w:val="00641D2B"/>
    <w:rsid w:val="00652687"/>
    <w:rsid w:val="00662D3E"/>
    <w:rsid w:val="00665C7E"/>
    <w:rsid w:val="00672DDD"/>
    <w:rsid w:val="00676C91"/>
    <w:rsid w:val="00681D52"/>
    <w:rsid w:val="00690B77"/>
    <w:rsid w:val="0069521D"/>
    <w:rsid w:val="006B40F5"/>
    <w:rsid w:val="006C4000"/>
    <w:rsid w:val="006E56E8"/>
    <w:rsid w:val="006E5B01"/>
    <w:rsid w:val="006E6370"/>
    <w:rsid w:val="006F5AA4"/>
    <w:rsid w:val="006F680A"/>
    <w:rsid w:val="00711200"/>
    <w:rsid w:val="00712883"/>
    <w:rsid w:val="0072397F"/>
    <w:rsid w:val="00731922"/>
    <w:rsid w:val="00731ACB"/>
    <w:rsid w:val="007368AD"/>
    <w:rsid w:val="0074133D"/>
    <w:rsid w:val="0075196D"/>
    <w:rsid w:val="0075558C"/>
    <w:rsid w:val="00761EFA"/>
    <w:rsid w:val="00764873"/>
    <w:rsid w:val="007778DD"/>
    <w:rsid w:val="00785F4B"/>
    <w:rsid w:val="00787617"/>
    <w:rsid w:val="00796693"/>
    <w:rsid w:val="007C7591"/>
    <w:rsid w:val="007D5CD5"/>
    <w:rsid w:val="007F6AE9"/>
    <w:rsid w:val="00812AD1"/>
    <w:rsid w:val="00817338"/>
    <w:rsid w:val="00826D54"/>
    <w:rsid w:val="00834CBF"/>
    <w:rsid w:val="00836F89"/>
    <w:rsid w:val="00846459"/>
    <w:rsid w:val="0085757D"/>
    <w:rsid w:val="00863435"/>
    <w:rsid w:val="00872827"/>
    <w:rsid w:val="0087349A"/>
    <w:rsid w:val="00875227"/>
    <w:rsid w:val="008865B6"/>
    <w:rsid w:val="00895DF4"/>
    <w:rsid w:val="008B1A4D"/>
    <w:rsid w:val="008D02FC"/>
    <w:rsid w:val="008D589C"/>
    <w:rsid w:val="008E7085"/>
    <w:rsid w:val="008F5C9C"/>
    <w:rsid w:val="008F60C3"/>
    <w:rsid w:val="008F636F"/>
    <w:rsid w:val="0090075B"/>
    <w:rsid w:val="009254D6"/>
    <w:rsid w:val="0092669B"/>
    <w:rsid w:val="0093163E"/>
    <w:rsid w:val="00936436"/>
    <w:rsid w:val="00945055"/>
    <w:rsid w:val="00966BAC"/>
    <w:rsid w:val="00983E20"/>
    <w:rsid w:val="009A2ABE"/>
    <w:rsid w:val="009A6A2F"/>
    <w:rsid w:val="009B0DA3"/>
    <w:rsid w:val="009B12D9"/>
    <w:rsid w:val="009C755C"/>
    <w:rsid w:val="009C780F"/>
    <w:rsid w:val="009D794C"/>
    <w:rsid w:val="00A25353"/>
    <w:rsid w:val="00A32D0A"/>
    <w:rsid w:val="00A34F5F"/>
    <w:rsid w:val="00A46A68"/>
    <w:rsid w:val="00A50EE9"/>
    <w:rsid w:val="00A60FB6"/>
    <w:rsid w:val="00A73420"/>
    <w:rsid w:val="00A847CB"/>
    <w:rsid w:val="00A86F48"/>
    <w:rsid w:val="00A95D4A"/>
    <w:rsid w:val="00AD0A33"/>
    <w:rsid w:val="00AE0982"/>
    <w:rsid w:val="00B0095E"/>
    <w:rsid w:val="00B07524"/>
    <w:rsid w:val="00B113E7"/>
    <w:rsid w:val="00B156A4"/>
    <w:rsid w:val="00B35B7C"/>
    <w:rsid w:val="00B53C15"/>
    <w:rsid w:val="00B90095"/>
    <w:rsid w:val="00BB39A6"/>
    <w:rsid w:val="00BD3522"/>
    <w:rsid w:val="00BD43E6"/>
    <w:rsid w:val="00BE2C0B"/>
    <w:rsid w:val="00C0799A"/>
    <w:rsid w:val="00C11936"/>
    <w:rsid w:val="00C11D0D"/>
    <w:rsid w:val="00C17EF8"/>
    <w:rsid w:val="00C509C3"/>
    <w:rsid w:val="00C50A17"/>
    <w:rsid w:val="00C50F3A"/>
    <w:rsid w:val="00C65847"/>
    <w:rsid w:val="00C70EAE"/>
    <w:rsid w:val="00C762F1"/>
    <w:rsid w:val="00C82A5C"/>
    <w:rsid w:val="00C83B65"/>
    <w:rsid w:val="00C92482"/>
    <w:rsid w:val="00C92582"/>
    <w:rsid w:val="00C92D1D"/>
    <w:rsid w:val="00CC0626"/>
    <w:rsid w:val="00CC5012"/>
    <w:rsid w:val="00CC5AB2"/>
    <w:rsid w:val="00CD50B5"/>
    <w:rsid w:val="00CD73A9"/>
    <w:rsid w:val="00D06F12"/>
    <w:rsid w:val="00D14ED9"/>
    <w:rsid w:val="00D21EF3"/>
    <w:rsid w:val="00D24CA8"/>
    <w:rsid w:val="00D310B5"/>
    <w:rsid w:val="00D41205"/>
    <w:rsid w:val="00D46790"/>
    <w:rsid w:val="00D61659"/>
    <w:rsid w:val="00D73F4D"/>
    <w:rsid w:val="00D82E57"/>
    <w:rsid w:val="00D91C27"/>
    <w:rsid w:val="00DC5925"/>
    <w:rsid w:val="00DC60FA"/>
    <w:rsid w:val="00DD00DE"/>
    <w:rsid w:val="00DE23AF"/>
    <w:rsid w:val="00DF1433"/>
    <w:rsid w:val="00DF3B9A"/>
    <w:rsid w:val="00E17598"/>
    <w:rsid w:val="00E34FEF"/>
    <w:rsid w:val="00E459DC"/>
    <w:rsid w:val="00E579B9"/>
    <w:rsid w:val="00E812C7"/>
    <w:rsid w:val="00E85E72"/>
    <w:rsid w:val="00EA464C"/>
    <w:rsid w:val="00EA5199"/>
    <w:rsid w:val="00ED451C"/>
    <w:rsid w:val="00ED7A05"/>
    <w:rsid w:val="00EE334C"/>
    <w:rsid w:val="00EF1A9A"/>
    <w:rsid w:val="00F013AB"/>
    <w:rsid w:val="00F02153"/>
    <w:rsid w:val="00F058DF"/>
    <w:rsid w:val="00F063AE"/>
    <w:rsid w:val="00F15675"/>
    <w:rsid w:val="00F21250"/>
    <w:rsid w:val="00F2398D"/>
    <w:rsid w:val="00F32C3B"/>
    <w:rsid w:val="00F45E01"/>
    <w:rsid w:val="00F54348"/>
    <w:rsid w:val="00F634A3"/>
    <w:rsid w:val="00F710F9"/>
    <w:rsid w:val="00F7620F"/>
    <w:rsid w:val="00F84E26"/>
    <w:rsid w:val="00F850F5"/>
    <w:rsid w:val="00F87F40"/>
    <w:rsid w:val="00FA0AE4"/>
    <w:rsid w:val="00FB4DBA"/>
    <w:rsid w:val="00FB667E"/>
    <w:rsid w:val="00FD5702"/>
    <w:rsid w:val="00FE4002"/>
    <w:rsid w:val="00FE552D"/>
    <w:rsid w:val="00FE7986"/>
    <w:rsid w:val="00FF19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FD5702"/>
    <w:pPr>
      <w:numPr>
        <w:numId w:val="47"/>
      </w:numPr>
      <w:autoSpaceDE w:val="0"/>
      <w:autoSpaceDN w:val="0"/>
      <w:adjustRightInd w:val="0"/>
      <w:jc w:val="center"/>
      <w:outlineLvl w:val="0"/>
    </w:pPr>
    <w:rPr>
      <w:b/>
      <w:bCs/>
      <w:caps/>
      <w:sz w:val="28"/>
    </w:rPr>
  </w:style>
  <w:style w:type="paragraph" w:styleId="Heading2">
    <w:name w:val="heading 2"/>
    <w:basedOn w:val="Normal"/>
    <w:next w:val="Normal"/>
    <w:qFormat/>
    <w:rsid w:val="00681D52"/>
    <w:pPr>
      <w:keepNext/>
      <w:spacing w:before="240" w:after="60" w:line="480" w:lineRule="auto"/>
      <w:contextualSpacing/>
      <w:outlineLvl w:val="1"/>
    </w:pPr>
    <w:rPr>
      <w:rFonts w:cs="Arial"/>
      <w:b/>
      <w:bCs/>
      <w:i/>
      <w:iCs/>
      <w:szCs w:val="28"/>
    </w:rPr>
  </w:style>
  <w:style w:type="paragraph" w:styleId="Heading3">
    <w:name w:val="heading 3"/>
    <w:basedOn w:val="Normal"/>
    <w:next w:val="Normal"/>
    <w:qFormat/>
    <w:rsid w:val="00FD5702"/>
    <w:pPr>
      <w:keepNext/>
      <w:spacing w:before="240" w:after="60"/>
      <w:jc w:val="center"/>
      <w:outlineLvl w:val="2"/>
    </w:pPr>
    <w:rPr>
      <w:rFonts w:cs="Arial"/>
      <w:b/>
      <w:bCs/>
      <w:caps/>
      <w:sz w:val="28"/>
      <w:szCs w:val="26"/>
    </w:rPr>
  </w:style>
  <w:style w:type="paragraph" w:styleId="Heading4">
    <w:name w:val="heading 4"/>
    <w:basedOn w:val="Normal"/>
    <w:next w:val="Normal"/>
    <w:link w:val="Heading4Char"/>
    <w:unhideWhenUsed/>
    <w:qFormat/>
    <w:rsid w:val="001D7807"/>
    <w:pPr>
      <w:keepNext/>
      <w:keepLines/>
      <w:spacing w:before="200"/>
      <w:contextualSpacing/>
      <w:jc w:val="center"/>
      <w:outlineLvl w:val="3"/>
    </w:pPr>
    <w:rPr>
      <w:rFonts w:eastAsiaTheme="majorEastAsia" w:cstheme="majorBidi"/>
      <w:b/>
      <w:bCs/>
      <w:iCs/>
    </w:rPr>
  </w:style>
  <w:style w:type="paragraph" w:styleId="Heading5">
    <w:name w:val="heading 5"/>
    <w:basedOn w:val="Normal"/>
    <w:next w:val="Normal"/>
    <w:link w:val="Heading5Char"/>
    <w:semiHidden/>
    <w:unhideWhenUsed/>
    <w:qFormat/>
    <w:rsid w:val="00A60FB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A60FB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381FDE"/>
    <w:pPr>
      <w:tabs>
        <w:tab w:val="right" w:leader="dot" w:pos="9000"/>
      </w:tabs>
      <w:ind w:left="36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FD5702"/>
    <w:rPr>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BalloonText">
    <w:name w:val="Balloon Text"/>
    <w:basedOn w:val="Normal"/>
    <w:link w:val="BalloonTextChar1"/>
    <w:uiPriority w:val="99"/>
    <w:unhideWhenUsed/>
    <w:rsid w:val="00080E60"/>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080E60"/>
    <w:rPr>
      <w:rFonts w:ascii="Tahoma" w:hAnsi="Tahoma" w:cs="Tahoma"/>
      <w:sz w:val="16"/>
      <w:szCs w:val="16"/>
    </w:rPr>
  </w:style>
  <w:style w:type="paragraph" w:styleId="ListParagraph">
    <w:name w:val="List Paragraph"/>
    <w:basedOn w:val="Normal"/>
    <w:uiPriority w:val="34"/>
    <w:qFormat/>
    <w:rsid w:val="00080E60"/>
    <w:pPr>
      <w:spacing w:after="200" w:line="276"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080E6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80E60"/>
    <w:rPr>
      <w:rFonts w:asciiTheme="minorHAnsi" w:eastAsiaTheme="minorHAnsi" w:hAnsiTheme="minorHAnsi" w:cstheme="minorBidi"/>
    </w:rPr>
  </w:style>
  <w:style w:type="character" w:styleId="FootnoteReference">
    <w:name w:val="footnote reference"/>
    <w:basedOn w:val="DefaultParagraphFont"/>
    <w:uiPriority w:val="99"/>
    <w:unhideWhenUsed/>
    <w:rsid w:val="00080E60"/>
    <w:rPr>
      <w:vertAlign w:val="superscript"/>
    </w:rPr>
  </w:style>
  <w:style w:type="character" w:customStyle="1" w:styleId="HeaderChar">
    <w:name w:val="Header Char"/>
    <w:basedOn w:val="DefaultParagraphFont"/>
    <w:link w:val="Header"/>
    <w:uiPriority w:val="99"/>
    <w:rsid w:val="00080E60"/>
    <w:rPr>
      <w:sz w:val="24"/>
      <w:szCs w:val="24"/>
    </w:rPr>
  </w:style>
  <w:style w:type="character" w:customStyle="1" w:styleId="FooterChar">
    <w:name w:val="Footer Char"/>
    <w:basedOn w:val="DefaultParagraphFont"/>
    <w:link w:val="Footer"/>
    <w:uiPriority w:val="99"/>
    <w:rsid w:val="00080E60"/>
    <w:rPr>
      <w:sz w:val="24"/>
      <w:szCs w:val="24"/>
    </w:rPr>
  </w:style>
  <w:style w:type="character" w:styleId="CommentReference">
    <w:name w:val="annotation reference"/>
    <w:basedOn w:val="DefaultParagraphFont"/>
    <w:uiPriority w:val="99"/>
    <w:unhideWhenUsed/>
    <w:rsid w:val="00080E60"/>
    <w:rPr>
      <w:sz w:val="16"/>
      <w:szCs w:val="16"/>
    </w:rPr>
  </w:style>
  <w:style w:type="paragraph" w:styleId="CommentText">
    <w:name w:val="annotation text"/>
    <w:basedOn w:val="Normal"/>
    <w:link w:val="CommentTextChar"/>
    <w:uiPriority w:val="99"/>
    <w:unhideWhenUsed/>
    <w:rsid w:val="00080E60"/>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080E60"/>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080E60"/>
    <w:rPr>
      <w:b/>
      <w:bCs/>
    </w:rPr>
  </w:style>
  <w:style w:type="character" w:customStyle="1" w:styleId="CommentSubjectChar">
    <w:name w:val="Comment Subject Char"/>
    <w:basedOn w:val="CommentTextChar"/>
    <w:link w:val="CommentSubject"/>
    <w:uiPriority w:val="99"/>
    <w:rsid w:val="00080E60"/>
    <w:rPr>
      <w:b/>
      <w:bCs/>
    </w:rPr>
  </w:style>
  <w:style w:type="character" w:customStyle="1" w:styleId="BalloonTextChar1">
    <w:name w:val="Balloon Text Char1"/>
    <w:basedOn w:val="DefaultParagraphFont"/>
    <w:link w:val="BalloonText"/>
    <w:uiPriority w:val="99"/>
    <w:rsid w:val="00080E60"/>
    <w:rPr>
      <w:rFonts w:ascii="Tahoma" w:eastAsiaTheme="minorHAnsi" w:hAnsi="Tahoma" w:cs="Tahoma"/>
      <w:sz w:val="16"/>
      <w:szCs w:val="16"/>
    </w:rPr>
  </w:style>
  <w:style w:type="character" w:customStyle="1" w:styleId="italic">
    <w:name w:val="italic"/>
    <w:basedOn w:val="DefaultParagraphFont"/>
    <w:rsid w:val="00080E60"/>
  </w:style>
  <w:style w:type="character" w:styleId="Strong">
    <w:name w:val="Strong"/>
    <w:basedOn w:val="DefaultParagraphFont"/>
    <w:uiPriority w:val="22"/>
    <w:qFormat/>
    <w:rsid w:val="00080E60"/>
    <w:rPr>
      <w:b/>
      <w:bCs/>
    </w:rPr>
  </w:style>
  <w:style w:type="character" w:customStyle="1" w:styleId="searchtermshighlighted">
    <w:name w:val="searchtermshighlighted"/>
    <w:basedOn w:val="DefaultParagraphFont"/>
    <w:rsid w:val="00080E60"/>
  </w:style>
  <w:style w:type="paragraph" w:customStyle="1" w:styleId="tabledata">
    <w:name w:val="tabledata"/>
    <w:basedOn w:val="Normal"/>
    <w:rsid w:val="00080E60"/>
    <w:pPr>
      <w:spacing w:before="20"/>
    </w:pPr>
  </w:style>
  <w:style w:type="table" w:styleId="TableGrid">
    <w:name w:val="Table Grid"/>
    <w:basedOn w:val="TableNormal"/>
    <w:uiPriority w:val="59"/>
    <w:rsid w:val="00080E6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080E6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80E60"/>
    <w:rPr>
      <w:rFonts w:asciiTheme="minorHAnsi" w:eastAsiaTheme="minorEastAsia" w:hAnsiTheme="minorHAnsi" w:cstheme="minorBidi"/>
      <w:sz w:val="22"/>
      <w:szCs w:val="22"/>
    </w:rPr>
  </w:style>
  <w:style w:type="character" w:styleId="PlaceholderText">
    <w:name w:val="Placeholder Text"/>
    <w:basedOn w:val="DefaultParagraphFont"/>
    <w:uiPriority w:val="99"/>
    <w:semiHidden/>
    <w:rsid w:val="00080E60"/>
    <w:rPr>
      <w:color w:val="808080"/>
    </w:rPr>
  </w:style>
  <w:style w:type="paragraph" w:styleId="TOCHeading">
    <w:name w:val="TOC Heading"/>
    <w:basedOn w:val="Heading1"/>
    <w:next w:val="Normal"/>
    <w:uiPriority w:val="39"/>
    <w:semiHidden/>
    <w:unhideWhenUsed/>
    <w:qFormat/>
    <w:rsid w:val="0090075B"/>
    <w:pPr>
      <w:keepNext/>
      <w:keepLines/>
      <w:autoSpaceDE/>
      <w:autoSpaceDN/>
      <w:adjustRightInd/>
      <w:spacing w:before="480" w:line="276" w:lineRule="auto"/>
      <w:jc w:val="left"/>
      <w:outlineLvl w:val="9"/>
    </w:pPr>
    <w:rPr>
      <w:rFonts w:asciiTheme="majorHAnsi" w:eastAsiaTheme="majorEastAsia" w:hAnsiTheme="majorHAnsi" w:cstheme="majorBidi"/>
      <w:caps w:val="0"/>
      <w:color w:val="365F91" w:themeColor="accent1" w:themeShade="BF"/>
      <w:szCs w:val="28"/>
    </w:rPr>
  </w:style>
  <w:style w:type="character" w:customStyle="1" w:styleId="Heading4Char">
    <w:name w:val="Heading 4 Char"/>
    <w:basedOn w:val="DefaultParagraphFont"/>
    <w:link w:val="Heading4"/>
    <w:rsid w:val="001D7807"/>
    <w:rPr>
      <w:rFonts w:eastAsiaTheme="majorEastAsia" w:cstheme="majorBidi"/>
      <w:b/>
      <w:bCs/>
      <w:iCs/>
      <w:sz w:val="24"/>
      <w:szCs w:val="24"/>
    </w:rPr>
  </w:style>
  <w:style w:type="character" w:customStyle="1" w:styleId="Heading5Char">
    <w:name w:val="Heading 5 Char"/>
    <w:basedOn w:val="DefaultParagraphFont"/>
    <w:link w:val="Heading5"/>
    <w:semiHidden/>
    <w:rsid w:val="00A60FB6"/>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A60FB6"/>
    <w:rPr>
      <w:rFonts w:asciiTheme="majorHAnsi" w:eastAsiaTheme="majorEastAsia" w:hAnsiTheme="majorHAnsi" w:cstheme="majorBidi"/>
      <w:i/>
      <w:iCs/>
      <w:color w:val="243F60" w:themeColor="accent1" w:themeShade="7F"/>
      <w:sz w:val="24"/>
      <w:szCs w:val="24"/>
    </w:rPr>
  </w:style>
  <w:style w:type="paragraph" w:customStyle="1" w:styleId="Header4">
    <w:name w:val="Header 4"/>
    <w:basedOn w:val="Normal"/>
    <w:qFormat/>
    <w:rsid w:val="001D7807"/>
    <w:pPr>
      <w:contextualSpacing/>
      <w:jc w:val="center"/>
    </w:pPr>
    <w:rPr>
      <w:b/>
    </w:rPr>
  </w:style>
</w:styles>
</file>

<file path=word/webSettings.xml><?xml version="1.0" encoding="utf-8"?>
<w:webSettings xmlns:r="http://schemas.openxmlformats.org/officeDocument/2006/relationships" xmlns:w="http://schemas.openxmlformats.org/wordprocessingml/2006/main">
  <w:divs>
    <w:div w:id="58285217">
      <w:bodyDiv w:val="1"/>
      <w:marLeft w:val="0"/>
      <w:marRight w:val="0"/>
      <w:marTop w:val="0"/>
      <w:marBottom w:val="0"/>
      <w:divBdr>
        <w:top w:val="none" w:sz="0" w:space="0" w:color="auto"/>
        <w:left w:val="none" w:sz="0" w:space="0" w:color="auto"/>
        <w:bottom w:val="none" w:sz="0" w:space="0" w:color="auto"/>
        <w:right w:val="none" w:sz="0" w:space="0" w:color="auto"/>
      </w:divBdr>
    </w:div>
    <w:div w:id="69544031">
      <w:bodyDiv w:val="1"/>
      <w:marLeft w:val="0"/>
      <w:marRight w:val="0"/>
      <w:marTop w:val="0"/>
      <w:marBottom w:val="0"/>
      <w:divBdr>
        <w:top w:val="none" w:sz="0" w:space="0" w:color="auto"/>
        <w:left w:val="none" w:sz="0" w:space="0" w:color="auto"/>
        <w:bottom w:val="none" w:sz="0" w:space="0" w:color="auto"/>
        <w:right w:val="none" w:sz="0" w:space="0" w:color="auto"/>
      </w:divBdr>
    </w:div>
    <w:div w:id="98336306">
      <w:bodyDiv w:val="1"/>
      <w:marLeft w:val="0"/>
      <w:marRight w:val="0"/>
      <w:marTop w:val="0"/>
      <w:marBottom w:val="0"/>
      <w:divBdr>
        <w:top w:val="none" w:sz="0" w:space="0" w:color="auto"/>
        <w:left w:val="none" w:sz="0" w:space="0" w:color="auto"/>
        <w:bottom w:val="none" w:sz="0" w:space="0" w:color="auto"/>
        <w:right w:val="none" w:sz="0" w:space="0" w:color="auto"/>
      </w:divBdr>
    </w:div>
    <w:div w:id="99880939">
      <w:bodyDiv w:val="1"/>
      <w:marLeft w:val="0"/>
      <w:marRight w:val="0"/>
      <w:marTop w:val="0"/>
      <w:marBottom w:val="0"/>
      <w:divBdr>
        <w:top w:val="none" w:sz="0" w:space="0" w:color="auto"/>
        <w:left w:val="none" w:sz="0" w:space="0" w:color="auto"/>
        <w:bottom w:val="none" w:sz="0" w:space="0" w:color="auto"/>
        <w:right w:val="none" w:sz="0" w:space="0" w:color="auto"/>
      </w:divBdr>
    </w:div>
    <w:div w:id="154999902">
      <w:bodyDiv w:val="1"/>
      <w:marLeft w:val="0"/>
      <w:marRight w:val="0"/>
      <w:marTop w:val="0"/>
      <w:marBottom w:val="0"/>
      <w:divBdr>
        <w:top w:val="none" w:sz="0" w:space="0" w:color="auto"/>
        <w:left w:val="none" w:sz="0" w:space="0" w:color="auto"/>
        <w:bottom w:val="none" w:sz="0" w:space="0" w:color="auto"/>
        <w:right w:val="none" w:sz="0" w:space="0" w:color="auto"/>
      </w:divBdr>
    </w:div>
    <w:div w:id="184364249">
      <w:bodyDiv w:val="1"/>
      <w:marLeft w:val="0"/>
      <w:marRight w:val="0"/>
      <w:marTop w:val="0"/>
      <w:marBottom w:val="0"/>
      <w:divBdr>
        <w:top w:val="none" w:sz="0" w:space="0" w:color="auto"/>
        <w:left w:val="none" w:sz="0" w:space="0" w:color="auto"/>
        <w:bottom w:val="none" w:sz="0" w:space="0" w:color="auto"/>
        <w:right w:val="none" w:sz="0" w:space="0" w:color="auto"/>
      </w:divBdr>
    </w:div>
    <w:div w:id="204803962">
      <w:bodyDiv w:val="1"/>
      <w:marLeft w:val="0"/>
      <w:marRight w:val="0"/>
      <w:marTop w:val="0"/>
      <w:marBottom w:val="0"/>
      <w:divBdr>
        <w:top w:val="none" w:sz="0" w:space="0" w:color="auto"/>
        <w:left w:val="none" w:sz="0" w:space="0" w:color="auto"/>
        <w:bottom w:val="none" w:sz="0" w:space="0" w:color="auto"/>
        <w:right w:val="none" w:sz="0" w:space="0" w:color="auto"/>
      </w:divBdr>
    </w:div>
    <w:div w:id="402795698">
      <w:bodyDiv w:val="1"/>
      <w:marLeft w:val="0"/>
      <w:marRight w:val="0"/>
      <w:marTop w:val="0"/>
      <w:marBottom w:val="0"/>
      <w:divBdr>
        <w:top w:val="none" w:sz="0" w:space="0" w:color="auto"/>
        <w:left w:val="none" w:sz="0" w:space="0" w:color="auto"/>
        <w:bottom w:val="none" w:sz="0" w:space="0" w:color="auto"/>
        <w:right w:val="none" w:sz="0" w:space="0" w:color="auto"/>
      </w:divBdr>
    </w:div>
    <w:div w:id="411241453">
      <w:bodyDiv w:val="1"/>
      <w:marLeft w:val="0"/>
      <w:marRight w:val="0"/>
      <w:marTop w:val="0"/>
      <w:marBottom w:val="0"/>
      <w:divBdr>
        <w:top w:val="none" w:sz="0" w:space="0" w:color="auto"/>
        <w:left w:val="none" w:sz="0" w:space="0" w:color="auto"/>
        <w:bottom w:val="none" w:sz="0" w:space="0" w:color="auto"/>
        <w:right w:val="none" w:sz="0" w:space="0" w:color="auto"/>
      </w:divBdr>
    </w:div>
    <w:div w:id="450243792">
      <w:bodyDiv w:val="1"/>
      <w:marLeft w:val="0"/>
      <w:marRight w:val="0"/>
      <w:marTop w:val="0"/>
      <w:marBottom w:val="0"/>
      <w:divBdr>
        <w:top w:val="none" w:sz="0" w:space="0" w:color="auto"/>
        <w:left w:val="none" w:sz="0" w:space="0" w:color="auto"/>
        <w:bottom w:val="none" w:sz="0" w:space="0" w:color="auto"/>
        <w:right w:val="none" w:sz="0" w:space="0" w:color="auto"/>
      </w:divBdr>
    </w:div>
    <w:div w:id="470293461">
      <w:bodyDiv w:val="1"/>
      <w:marLeft w:val="0"/>
      <w:marRight w:val="0"/>
      <w:marTop w:val="0"/>
      <w:marBottom w:val="0"/>
      <w:divBdr>
        <w:top w:val="none" w:sz="0" w:space="0" w:color="auto"/>
        <w:left w:val="none" w:sz="0" w:space="0" w:color="auto"/>
        <w:bottom w:val="none" w:sz="0" w:space="0" w:color="auto"/>
        <w:right w:val="none" w:sz="0" w:space="0" w:color="auto"/>
      </w:divBdr>
    </w:div>
    <w:div w:id="565922281">
      <w:bodyDiv w:val="1"/>
      <w:marLeft w:val="0"/>
      <w:marRight w:val="0"/>
      <w:marTop w:val="0"/>
      <w:marBottom w:val="0"/>
      <w:divBdr>
        <w:top w:val="none" w:sz="0" w:space="0" w:color="auto"/>
        <w:left w:val="none" w:sz="0" w:space="0" w:color="auto"/>
        <w:bottom w:val="none" w:sz="0" w:space="0" w:color="auto"/>
        <w:right w:val="none" w:sz="0" w:space="0" w:color="auto"/>
      </w:divBdr>
    </w:div>
    <w:div w:id="573396091">
      <w:bodyDiv w:val="1"/>
      <w:marLeft w:val="0"/>
      <w:marRight w:val="0"/>
      <w:marTop w:val="0"/>
      <w:marBottom w:val="0"/>
      <w:divBdr>
        <w:top w:val="none" w:sz="0" w:space="0" w:color="auto"/>
        <w:left w:val="none" w:sz="0" w:space="0" w:color="auto"/>
        <w:bottom w:val="none" w:sz="0" w:space="0" w:color="auto"/>
        <w:right w:val="none" w:sz="0" w:space="0" w:color="auto"/>
      </w:divBdr>
    </w:div>
    <w:div w:id="632564866">
      <w:bodyDiv w:val="1"/>
      <w:marLeft w:val="0"/>
      <w:marRight w:val="0"/>
      <w:marTop w:val="0"/>
      <w:marBottom w:val="0"/>
      <w:divBdr>
        <w:top w:val="none" w:sz="0" w:space="0" w:color="auto"/>
        <w:left w:val="none" w:sz="0" w:space="0" w:color="auto"/>
        <w:bottom w:val="none" w:sz="0" w:space="0" w:color="auto"/>
        <w:right w:val="none" w:sz="0" w:space="0" w:color="auto"/>
      </w:divBdr>
    </w:div>
    <w:div w:id="63799603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86760317">
      <w:bodyDiv w:val="1"/>
      <w:marLeft w:val="0"/>
      <w:marRight w:val="0"/>
      <w:marTop w:val="0"/>
      <w:marBottom w:val="0"/>
      <w:divBdr>
        <w:top w:val="none" w:sz="0" w:space="0" w:color="auto"/>
        <w:left w:val="none" w:sz="0" w:space="0" w:color="auto"/>
        <w:bottom w:val="none" w:sz="0" w:space="0" w:color="auto"/>
        <w:right w:val="none" w:sz="0" w:space="0" w:color="auto"/>
      </w:divBdr>
    </w:div>
    <w:div w:id="700590039">
      <w:bodyDiv w:val="1"/>
      <w:marLeft w:val="0"/>
      <w:marRight w:val="0"/>
      <w:marTop w:val="0"/>
      <w:marBottom w:val="0"/>
      <w:divBdr>
        <w:top w:val="none" w:sz="0" w:space="0" w:color="auto"/>
        <w:left w:val="none" w:sz="0" w:space="0" w:color="auto"/>
        <w:bottom w:val="none" w:sz="0" w:space="0" w:color="auto"/>
        <w:right w:val="none" w:sz="0" w:space="0" w:color="auto"/>
      </w:divBdr>
    </w:div>
    <w:div w:id="774326716">
      <w:bodyDiv w:val="1"/>
      <w:marLeft w:val="0"/>
      <w:marRight w:val="0"/>
      <w:marTop w:val="0"/>
      <w:marBottom w:val="0"/>
      <w:divBdr>
        <w:top w:val="none" w:sz="0" w:space="0" w:color="auto"/>
        <w:left w:val="none" w:sz="0" w:space="0" w:color="auto"/>
        <w:bottom w:val="none" w:sz="0" w:space="0" w:color="auto"/>
        <w:right w:val="none" w:sz="0" w:space="0" w:color="auto"/>
      </w:divBdr>
    </w:div>
    <w:div w:id="775713634">
      <w:bodyDiv w:val="1"/>
      <w:marLeft w:val="0"/>
      <w:marRight w:val="0"/>
      <w:marTop w:val="0"/>
      <w:marBottom w:val="0"/>
      <w:divBdr>
        <w:top w:val="none" w:sz="0" w:space="0" w:color="auto"/>
        <w:left w:val="none" w:sz="0" w:space="0" w:color="auto"/>
        <w:bottom w:val="none" w:sz="0" w:space="0" w:color="auto"/>
        <w:right w:val="none" w:sz="0" w:space="0" w:color="auto"/>
      </w:divBdr>
    </w:div>
    <w:div w:id="852453533">
      <w:bodyDiv w:val="1"/>
      <w:marLeft w:val="0"/>
      <w:marRight w:val="0"/>
      <w:marTop w:val="0"/>
      <w:marBottom w:val="0"/>
      <w:divBdr>
        <w:top w:val="none" w:sz="0" w:space="0" w:color="auto"/>
        <w:left w:val="none" w:sz="0" w:space="0" w:color="auto"/>
        <w:bottom w:val="none" w:sz="0" w:space="0" w:color="auto"/>
        <w:right w:val="none" w:sz="0" w:space="0" w:color="auto"/>
      </w:divBdr>
    </w:div>
    <w:div w:id="882601117">
      <w:bodyDiv w:val="1"/>
      <w:marLeft w:val="0"/>
      <w:marRight w:val="0"/>
      <w:marTop w:val="0"/>
      <w:marBottom w:val="0"/>
      <w:divBdr>
        <w:top w:val="none" w:sz="0" w:space="0" w:color="auto"/>
        <w:left w:val="none" w:sz="0" w:space="0" w:color="auto"/>
        <w:bottom w:val="none" w:sz="0" w:space="0" w:color="auto"/>
        <w:right w:val="none" w:sz="0" w:space="0" w:color="auto"/>
      </w:divBdr>
    </w:div>
    <w:div w:id="910114178">
      <w:bodyDiv w:val="1"/>
      <w:marLeft w:val="0"/>
      <w:marRight w:val="0"/>
      <w:marTop w:val="0"/>
      <w:marBottom w:val="0"/>
      <w:divBdr>
        <w:top w:val="none" w:sz="0" w:space="0" w:color="auto"/>
        <w:left w:val="none" w:sz="0" w:space="0" w:color="auto"/>
        <w:bottom w:val="none" w:sz="0" w:space="0" w:color="auto"/>
        <w:right w:val="none" w:sz="0" w:space="0" w:color="auto"/>
      </w:divBdr>
    </w:div>
    <w:div w:id="989558896">
      <w:bodyDiv w:val="1"/>
      <w:marLeft w:val="0"/>
      <w:marRight w:val="0"/>
      <w:marTop w:val="0"/>
      <w:marBottom w:val="0"/>
      <w:divBdr>
        <w:top w:val="none" w:sz="0" w:space="0" w:color="auto"/>
        <w:left w:val="none" w:sz="0" w:space="0" w:color="auto"/>
        <w:bottom w:val="none" w:sz="0" w:space="0" w:color="auto"/>
        <w:right w:val="none" w:sz="0" w:space="0" w:color="auto"/>
      </w:divBdr>
    </w:div>
    <w:div w:id="1045835696">
      <w:bodyDiv w:val="1"/>
      <w:marLeft w:val="0"/>
      <w:marRight w:val="0"/>
      <w:marTop w:val="0"/>
      <w:marBottom w:val="0"/>
      <w:divBdr>
        <w:top w:val="none" w:sz="0" w:space="0" w:color="auto"/>
        <w:left w:val="none" w:sz="0" w:space="0" w:color="auto"/>
        <w:bottom w:val="none" w:sz="0" w:space="0" w:color="auto"/>
        <w:right w:val="none" w:sz="0" w:space="0" w:color="auto"/>
      </w:divBdr>
    </w:div>
    <w:div w:id="1067728907">
      <w:bodyDiv w:val="1"/>
      <w:marLeft w:val="0"/>
      <w:marRight w:val="0"/>
      <w:marTop w:val="0"/>
      <w:marBottom w:val="0"/>
      <w:divBdr>
        <w:top w:val="none" w:sz="0" w:space="0" w:color="auto"/>
        <w:left w:val="none" w:sz="0" w:space="0" w:color="auto"/>
        <w:bottom w:val="none" w:sz="0" w:space="0" w:color="auto"/>
        <w:right w:val="none" w:sz="0" w:space="0" w:color="auto"/>
      </w:divBdr>
    </w:div>
    <w:div w:id="1097562752">
      <w:bodyDiv w:val="1"/>
      <w:marLeft w:val="0"/>
      <w:marRight w:val="0"/>
      <w:marTop w:val="0"/>
      <w:marBottom w:val="0"/>
      <w:divBdr>
        <w:top w:val="none" w:sz="0" w:space="0" w:color="auto"/>
        <w:left w:val="none" w:sz="0" w:space="0" w:color="auto"/>
        <w:bottom w:val="none" w:sz="0" w:space="0" w:color="auto"/>
        <w:right w:val="none" w:sz="0" w:space="0" w:color="auto"/>
      </w:divBdr>
    </w:div>
    <w:div w:id="1127701178">
      <w:bodyDiv w:val="1"/>
      <w:marLeft w:val="0"/>
      <w:marRight w:val="0"/>
      <w:marTop w:val="0"/>
      <w:marBottom w:val="0"/>
      <w:divBdr>
        <w:top w:val="none" w:sz="0" w:space="0" w:color="auto"/>
        <w:left w:val="none" w:sz="0" w:space="0" w:color="auto"/>
        <w:bottom w:val="none" w:sz="0" w:space="0" w:color="auto"/>
        <w:right w:val="none" w:sz="0" w:space="0" w:color="auto"/>
      </w:divBdr>
    </w:div>
    <w:div w:id="1135374992">
      <w:bodyDiv w:val="1"/>
      <w:marLeft w:val="0"/>
      <w:marRight w:val="0"/>
      <w:marTop w:val="0"/>
      <w:marBottom w:val="0"/>
      <w:divBdr>
        <w:top w:val="none" w:sz="0" w:space="0" w:color="auto"/>
        <w:left w:val="none" w:sz="0" w:space="0" w:color="auto"/>
        <w:bottom w:val="none" w:sz="0" w:space="0" w:color="auto"/>
        <w:right w:val="none" w:sz="0" w:space="0" w:color="auto"/>
      </w:divBdr>
    </w:div>
    <w:div w:id="1161967747">
      <w:bodyDiv w:val="1"/>
      <w:marLeft w:val="0"/>
      <w:marRight w:val="0"/>
      <w:marTop w:val="0"/>
      <w:marBottom w:val="0"/>
      <w:divBdr>
        <w:top w:val="none" w:sz="0" w:space="0" w:color="auto"/>
        <w:left w:val="none" w:sz="0" w:space="0" w:color="auto"/>
        <w:bottom w:val="none" w:sz="0" w:space="0" w:color="auto"/>
        <w:right w:val="none" w:sz="0" w:space="0" w:color="auto"/>
      </w:divBdr>
    </w:div>
    <w:div w:id="1199928934">
      <w:bodyDiv w:val="1"/>
      <w:marLeft w:val="0"/>
      <w:marRight w:val="0"/>
      <w:marTop w:val="0"/>
      <w:marBottom w:val="0"/>
      <w:divBdr>
        <w:top w:val="none" w:sz="0" w:space="0" w:color="auto"/>
        <w:left w:val="none" w:sz="0" w:space="0" w:color="auto"/>
        <w:bottom w:val="none" w:sz="0" w:space="0" w:color="auto"/>
        <w:right w:val="none" w:sz="0" w:space="0" w:color="auto"/>
      </w:divBdr>
    </w:div>
    <w:div w:id="1217013853">
      <w:bodyDiv w:val="1"/>
      <w:marLeft w:val="0"/>
      <w:marRight w:val="0"/>
      <w:marTop w:val="0"/>
      <w:marBottom w:val="0"/>
      <w:divBdr>
        <w:top w:val="none" w:sz="0" w:space="0" w:color="auto"/>
        <w:left w:val="none" w:sz="0" w:space="0" w:color="auto"/>
        <w:bottom w:val="none" w:sz="0" w:space="0" w:color="auto"/>
        <w:right w:val="none" w:sz="0" w:space="0" w:color="auto"/>
      </w:divBdr>
    </w:div>
    <w:div w:id="1286546891">
      <w:bodyDiv w:val="1"/>
      <w:marLeft w:val="0"/>
      <w:marRight w:val="0"/>
      <w:marTop w:val="0"/>
      <w:marBottom w:val="0"/>
      <w:divBdr>
        <w:top w:val="none" w:sz="0" w:space="0" w:color="auto"/>
        <w:left w:val="none" w:sz="0" w:space="0" w:color="auto"/>
        <w:bottom w:val="none" w:sz="0" w:space="0" w:color="auto"/>
        <w:right w:val="none" w:sz="0" w:space="0" w:color="auto"/>
      </w:divBdr>
    </w:div>
    <w:div w:id="1287658763">
      <w:bodyDiv w:val="1"/>
      <w:marLeft w:val="0"/>
      <w:marRight w:val="0"/>
      <w:marTop w:val="0"/>
      <w:marBottom w:val="0"/>
      <w:divBdr>
        <w:top w:val="none" w:sz="0" w:space="0" w:color="auto"/>
        <w:left w:val="none" w:sz="0" w:space="0" w:color="auto"/>
        <w:bottom w:val="none" w:sz="0" w:space="0" w:color="auto"/>
        <w:right w:val="none" w:sz="0" w:space="0" w:color="auto"/>
      </w:divBdr>
    </w:div>
    <w:div w:id="1319965885">
      <w:bodyDiv w:val="1"/>
      <w:marLeft w:val="0"/>
      <w:marRight w:val="0"/>
      <w:marTop w:val="0"/>
      <w:marBottom w:val="0"/>
      <w:divBdr>
        <w:top w:val="none" w:sz="0" w:space="0" w:color="auto"/>
        <w:left w:val="none" w:sz="0" w:space="0" w:color="auto"/>
        <w:bottom w:val="none" w:sz="0" w:space="0" w:color="auto"/>
        <w:right w:val="none" w:sz="0" w:space="0" w:color="auto"/>
      </w:divBdr>
    </w:div>
    <w:div w:id="1328552547">
      <w:bodyDiv w:val="1"/>
      <w:marLeft w:val="0"/>
      <w:marRight w:val="0"/>
      <w:marTop w:val="0"/>
      <w:marBottom w:val="0"/>
      <w:divBdr>
        <w:top w:val="none" w:sz="0" w:space="0" w:color="auto"/>
        <w:left w:val="none" w:sz="0" w:space="0" w:color="auto"/>
        <w:bottom w:val="none" w:sz="0" w:space="0" w:color="auto"/>
        <w:right w:val="none" w:sz="0" w:space="0" w:color="auto"/>
      </w:divBdr>
    </w:div>
    <w:div w:id="1414933886">
      <w:bodyDiv w:val="1"/>
      <w:marLeft w:val="0"/>
      <w:marRight w:val="0"/>
      <w:marTop w:val="0"/>
      <w:marBottom w:val="0"/>
      <w:divBdr>
        <w:top w:val="none" w:sz="0" w:space="0" w:color="auto"/>
        <w:left w:val="none" w:sz="0" w:space="0" w:color="auto"/>
        <w:bottom w:val="none" w:sz="0" w:space="0" w:color="auto"/>
        <w:right w:val="none" w:sz="0" w:space="0" w:color="auto"/>
      </w:divBdr>
    </w:div>
    <w:div w:id="1470322404">
      <w:bodyDiv w:val="1"/>
      <w:marLeft w:val="0"/>
      <w:marRight w:val="0"/>
      <w:marTop w:val="0"/>
      <w:marBottom w:val="0"/>
      <w:divBdr>
        <w:top w:val="none" w:sz="0" w:space="0" w:color="auto"/>
        <w:left w:val="none" w:sz="0" w:space="0" w:color="auto"/>
        <w:bottom w:val="none" w:sz="0" w:space="0" w:color="auto"/>
        <w:right w:val="none" w:sz="0" w:space="0" w:color="auto"/>
      </w:divBdr>
    </w:div>
    <w:div w:id="1486165969">
      <w:bodyDiv w:val="1"/>
      <w:marLeft w:val="0"/>
      <w:marRight w:val="0"/>
      <w:marTop w:val="0"/>
      <w:marBottom w:val="0"/>
      <w:divBdr>
        <w:top w:val="none" w:sz="0" w:space="0" w:color="auto"/>
        <w:left w:val="none" w:sz="0" w:space="0" w:color="auto"/>
        <w:bottom w:val="none" w:sz="0" w:space="0" w:color="auto"/>
        <w:right w:val="none" w:sz="0" w:space="0" w:color="auto"/>
      </w:divBdr>
    </w:div>
    <w:div w:id="1506093020">
      <w:bodyDiv w:val="1"/>
      <w:marLeft w:val="0"/>
      <w:marRight w:val="0"/>
      <w:marTop w:val="0"/>
      <w:marBottom w:val="0"/>
      <w:divBdr>
        <w:top w:val="none" w:sz="0" w:space="0" w:color="auto"/>
        <w:left w:val="none" w:sz="0" w:space="0" w:color="auto"/>
        <w:bottom w:val="none" w:sz="0" w:space="0" w:color="auto"/>
        <w:right w:val="none" w:sz="0" w:space="0" w:color="auto"/>
      </w:divBdr>
    </w:div>
    <w:div w:id="1520267660">
      <w:bodyDiv w:val="1"/>
      <w:marLeft w:val="0"/>
      <w:marRight w:val="0"/>
      <w:marTop w:val="0"/>
      <w:marBottom w:val="0"/>
      <w:divBdr>
        <w:top w:val="none" w:sz="0" w:space="0" w:color="auto"/>
        <w:left w:val="none" w:sz="0" w:space="0" w:color="auto"/>
        <w:bottom w:val="none" w:sz="0" w:space="0" w:color="auto"/>
        <w:right w:val="none" w:sz="0" w:space="0" w:color="auto"/>
      </w:divBdr>
    </w:div>
    <w:div w:id="1559974749">
      <w:bodyDiv w:val="1"/>
      <w:marLeft w:val="0"/>
      <w:marRight w:val="0"/>
      <w:marTop w:val="0"/>
      <w:marBottom w:val="0"/>
      <w:divBdr>
        <w:top w:val="none" w:sz="0" w:space="0" w:color="auto"/>
        <w:left w:val="none" w:sz="0" w:space="0" w:color="auto"/>
        <w:bottom w:val="none" w:sz="0" w:space="0" w:color="auto"/>
        <w:right w:val="none" w:sz="0" w:space="0" w:color="auto"/>
      </w:divBdr>
    </w:div>
    <w:div w:id="1604456013">
      <w:bodyDiv w:val="1"/>
      <w:marLeft w:val="0"/>
      <w:marRight w:val="0"/>
      <w:marTop w:val="0"/>
      <w:marBottom w:val="0"/>
      <w:divBdr>
        <w:top w:val="none" w:sz="0" w:space="0" w:color="auto"/>
        <w:left w:val="none" w:sz="0" w:space="0" w:color="auto"/>
        <w:bottom w:val="none" w:sz="0" w:space="0" w:color="auto"/>
        <w:right w:val="none" w:sz="0" w:space="0" w:color="auto"/>
      </w:divBdr>
    </w:div>
    <w:div w:id="1656032453">
      <w:bodyDiv w:val="1"/>
      <w:marLeft w:val="0"/>
      <w:marRight w:val="0"/>
      <w:marTop w:val="0"/>
      <w:marBottom w:val="0"/>
      <w:divBdr>
        <w:top w:val="none" w:sz="0" w:space="0" w:color="auto"/>
        <w:left w:val="none" w:sz="0" w:space="0" w:color="auto"/>
        <w:bottom w:val="none" w:sz="0" w:space="0" w:color="auto"/>
        <w:right w:val="none" w:sz="0" w:space="0" w:color="auto"/>
      </w:divBdr>
    </w:div>
    <w:div w:id="1730305014">
      <w:bodyDiv w:val="1"/>
      <w:marLeft w:val="0"/>
      <w:marRight w:val="0"/>
      <w:marTop w:val="0"/>
      <w:marBottom w:val="0"/>
      <w:divBdr>
        <w:top w:val="none" w:sz="0" w:space="0" w:color="auto"/>
        <w:left w:val="none" w:sz="0" w:space="0" w:color="auto"/>
        <w:bottom w:val="none" w:sz="0" w:space="0" w:color="auto"/>
        <w:right w:val="none" w:sz="0" w:space="0" w:color="auto"/>
      </w:divBdr>
    </w:div>
    <w:div w:id="1736122492">
      <w:bodyDiv w:val="1"/>
      <w:marLeft w:val="0"/>
      <w:marRight w:val="0"/>
      <w:marTop w:val="0"/>
      <w:marBottom w:val="0"/>
      <w:divBdr>
        <w:top w:val="none" w:sz="0" w:space="0" w:color="auto"/>
        <w:left w:val="none" w:sz="0" w:space="0" w:color="auto"/>
        <w:bottom w:val="none" w:sz="0" w:space="0" w:color="auto"/>
        <w:right w:val="none" w:sz="0" w:space="0" w:color="auto"/>
      </w:divBdr>
    </w:div>
    <w:div w:id="1777217238">
      <w:bodyDiv w:val="1"/>
      <w:marLeft w:val="0"/>
      <w:marRight w:val="0"/>
      <w:marTop w:val="0"/>
      <w:marBottom w:val="0"/>
      <w:divBdr>
        <w:top w:val="none" w:sz="0" w:space="0" w:color="auto"/>
        <w:left w:val="none" w:sz="0" w:space="0" w:color="auto"/>
        <w:bottom w:val="none" w:sz="0" w:space="0" w:color="auto"/>
        <w:right w:val="none" w:sz="0" w:space="0" w:color="auto"/>
      </w:divBdr>
    </w:div>
    <w:div w:id="1824200508">
      <w:bodyDiv w:val="1"/>
      <w:marLeft w:val="0"/>
      <w:marRight w:val="0"/>
      <w:marTop w:val="0"/>
      <w:marBottom w:val="0"/>
      <w:divBdr>
        <w:top w:val="none" w:sz="0" w:space="0" w:color="auto"/>
        <w:left w:val="none" w:sz="0" w:space="0" w:color="auto"/>
        <w:bottom w:val="none" w:sz="0" w:space="0" w:color="auto"/>
        <w:right w:val="none" w:sz="0" w:space="0" w:color="auto"/>
      </w:divBdr>
    </w:div>
    <w:div w:id="1876043582">
      <w:bodyDiv w:val="1"/>
      <w:marLeft w:val="0"/>
      <w:marRight w:val="0"/>
      <w:marTop w:val="0"/>
      <w:marBottom w:val="0"/>
      <w:divBdr>
        <w:top w:val="none" w:sz="0" w:space="0" w:color="auto"/>
        <w:left w:val="none" w:sz="0" w:space="0" w:color="auto"/>
        <w:bottom w:val="none" w:sz="0" w:space="0" w:color="auto"/>
        <w:right w:val="none" w:sz="0" w:space="0" w:color="auto"/>
      </w:divBdr>
    </w:div>
    <w:div w:id="1898736524">
      <w:bodyDiv w:val="1"/>
      <w:marLeft w:val="0"/>
      <w:marRight w:val="0"/>
      <w:marTop w:val="0"/>
      <w:marBottom w:val="0"/>
      <w:divBdr>
        <w:top w:val="none" w:sz="0" w:space="0" w:color="auto"/>
        <w:left w:val="none" w:sz="0" w:space="0" w:color="auto"/>
        <w:bottom w:val="none" w:sz="0" w:space="0" w:color="auto"/>
        <w:right w:val="none" w:sz="0" w:space="0" w:color="auto"/>
      </w:divBdr>
    </w:div>
    <w:div w:id="1916012135">
      <w:bodyDiv w:val="1"/>
      <w:marLeft w:val="0"/>
      <w:marRight w:val="0"/>
      <w:marTop w:val="0"/>
      <w:marBottom w:val="0"/>
      <w:divBdr>
        <w:top w:val="none" w:sz="0" w:space="0" w:color="auto"/>
        <w:left w:val="none" w:sz="0" w:space="0" w:color="auto"/>
        <w:bottom w:val="none" w:sz="0" w:space="0" w:color="auto"/>
        <w:right w:val="none" w:sz="0" w:space="0" w:color="auto"/>
      </w:divBdr>
    </w:div>
    <w:div w:id="1957560524">
      <w:bodyDiv w:val="1"/>
      <w:marLeft w:val="0"/>
      <w:marRight w:val="0"/>
      <w:marTop w:val="0"/>
      <w:marBottom w:val="0"/>
      <w:divBdr>
        <w:top w:val="none" w:sz="0" w:space="0" w:color="auto"/>
        <w:left w:val="none" w:sz="0" w:space="0" w:color="auto"/>
        <w:bottom w:val="none" w:sz="0" w:space="0" w:color="auto"/>
        <w:right w:val="none" w:sz="0" w:space="0" w:color="auto"/>
      </w:divBdr>
    </w:div>
    <w:div w:id="1976178354">
      <w:bodyDiv w:val="1"/>
      <w:marLeft w:val="0"/>
      <w:marRight w:val="0"/>
      <w:marTop w:val="0"/>
      <w:marBottom w:val="0"/>
      <w:divBdr>
        <w:top w:val="none" w:sz="0" w:space="0" w:color="auto"/>
        <w:left w:val="none" w:sz="0" w:space="0" w:color="auto"/>
        <w:bottom w:val="none" w:sz="0" w:space="0" w:color="auto"/>
        <w:right w:val="none" w:sz="0" w:space="0" w:color="auto"/>
      </w:divBdr>
    </w:div>
    <w:div w:id="1985232597">
      <w:bodyDiv w:val="1"/>
      <w:marLeft w:val="0"/>
      <w:marRight w:val="0"/>
      <w:marTop w:val="0"/>
      <w:marBottom w:val="0"/>
      <w:divBdr>
        <w:top w:val="none" w:sz="0" w:space="0" w:color="auto"/>
        <w:left w:val="none" w:sz="0" w:space="0" w:color="auto"/>
        <w:bottom w:val="none" w:sz="0" w:space="0" w:color="auto"/>
        <w:right w:val="none" w:sz="0" w:space="0" w:color="auto"/>
      </w:divBdr>
    </w:div>
    <w:div w:id="2022731473">
      <w:bodyDiv w:val="1"/>
      <w:marLeft w:val="0"/>
      <w:marRight w:val="0"/>
      <w:marTop w:val="0"/>
      <w:marBottom w:val="0"/>
      <w:divBdr>
        <w:top w:val="none" w:sz="0" w:space="0" w:color="auto"/>
        <w:left w:val="none" w:sz="0" w:space="0" w:color="auto"/>
        <w:bottom w:val="none" w:sz="0" w:space="0" w:color="auto"/>
        <w:right w:val="none" w:sz="0" w:space="0" w:color="auto"/>
      </w:divBdr>
    </w:div>
    <w:div w:id="2028435518">
      <w:bodyDiv w:val="1"/>
      <w:marLeft w:val="0"/>
      <w:marRight w:val="0"/>
      <w:marTop w:val="0"/>
      <w:marBottom w:val="0"/>
      <w:divBdr>
        <w:top w:val="none" w:sz="0" w:space="0" w:color="auto"/>
        <w:left w:val="none" w:sz="0" w:space="0" w:color="auto"/>
        <w:bottom w:val="none" w:sz="0" w:space="0" w:color="auto"/>
        <w:right w:val="none" w:sz="0" w:space="0" w:color="auto"/>
      </w:divBdr>
    </w:div>
    <w:div w:id="210857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Rebekah\Documents\Research\Dissertation\Data%20Collection\Tables\Higher%20Order%20Polynomial%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Firm</a:t>
            </a:r>
            <a:r>
              <a:rPr lang="en-US" baseline="0"/>
              <a:t> Value and Tax Risk</a:t>
            </a:r>
          </a:p>
          <a:p>
            <a:pPr>
              <a:defRPr/>
            </a:pPr>
            <a:r>
              <a:rPr lang="en-US" baseline="0"/>
              <a:t> Sixth-Order Polynomial Fitted Model</a:t>
            </a:r>
            <a:endParaRPr lang="en-US"/>
          </a:p>
        </c:rich>
      </c:tx>
    </c:title>
    <c:plotArea>
      <c:layout/>
      <c:scatterChart>
        <c:scatterStyle val="smoothMarker"/>
        <c:ser>
          <c:idx val="0"/>
          <c:order val="0"/>
          <c:spPr>
            <a:ln w="38100"/>
          </c:spPr>
          <c:marker>
            <c:symbol val="none"/>
          </c:marker>
          <c:xVal>
            <c:numRef>
              <c:f>Sheet1!$A$2:$A$120</c:f>
              <c:numCache>
                <c:formatCode>General</c:formatCode>
                <c:ptCount val="119"/>
                <c:pt idx="0">
                  <c:v>0</c:v>
                </c:pt>
                <c:pt idx="1">
                  <c:v>0.1</c:v>
                </c:pt>
                <c:pt idx="2">
                  <c:v>0.2</c:v>
                </c:pt>
                <c:pt idx="3">
                  <c:v>0.30000000000000032</c:v>
                </c:pt>
                <c:pt idx="4">
                  <c:v>0.4</c:v>
                </c:pt>
                <c:pt idx="5">
                  <c:v>0.5</c:v>
                </c:pt>
                <c:pt idx="6">
                  <c:v>0.60000000000000064</c:v>
                </c:pt>
                <c:pt idx="7">
                  <c:v>0.70000000000000062</c:v>
                </c:pt>
                <c:pt idx="8">
                  <c:v>0.8</c:v>
                </c:pt>
                <c:pt idx="9">
                  <c:v>0.9</c:v>
                </c:pt>
                <c:pt idx="10">
                  <c:v>1</c:v>
                </c:pt>
                <c:pt idx="11">
                  <c:v>1.1000000000000001</c:v>
                </c:pt>
                <c:pt idx="12">
                  <c:v>1.2</c:v>
                </c:pt>
                <c:pt idx="13">
                  <c:v>1.3</c:v>
                </c:pt>
                <c:pt idx="14">
                  <c:v>1.4</c:v>
                </c:pt>
                <c:pt idx="15">
                  <c:v>1.5</c:v>
                </c:pt>
                <c:pt idx="16">
                  <c:v>1.6</c:v>
                </c:pt>
                <c:pt idx="17">
                  <c:v>1.7000000000000006</c:v>
                </c:pt>
                <c:pt idx="18">
                  <c:v>1.8</c:v>
                </c:pt>
                <c:pt idx="19">
                  <c:v>1.9000000000000001</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c:v>
                </c:pt>
                <c:pt idx="59">
                  <c:v>5.9</c:v>
                </c:pt>
                <c:pt idx="60">
                  <c:v>6</c:v>
                </c:pt>
                <c:pt idx="61">
                  <c:v>6.1</c:v>
                </c:pt>
                <c:pt idx="62">
                  <c:v>6.2</c:v>
                </c:pt>
                <c:pt idx="63">
                  <c:v>6.3</c:v>
                </c:pt>
                <c:pt idx="64">
                  <c:v>6.4</c:v>
                </c:pt>
                <c:pt idx="65">
                  <c:v>6.5</c:v>
                </c:pt>
                <c:pt idx="66">
                  <c:v>6.6</c:v>
                </c:pt>
                <c:pt idx="67">
                  <c:v>6.7</c:v>
                </c:pt>
                <c:pt idx="68">
                  <c:v>6.8</c:v>
                </c:pt>
                <c:pt idx="69">
                  <c:v>6.9</c:v>
                </c:pt>
                <c:pt idx="70">
                  <c:v>7</c:v>
                </c:pt>
                <c:pt idx="71">
                  <c:v>7.1</c:v>
                </c:pt>
                <c:pt idx="72">
                  <c:v>7.2</c:v>
                </c:pt>
                <c:pt idx="73">
                  <c:v>7.3</c:v>
                </c:pt>
                <c:pt idx="74">
                  <c:v>7.4</c:v>
                </c:pt>
                <c:pt idx="75">
                  <c:v>7.5</c:v>
                </c:pt>
                <c:pt idx="76">
                  <c:v>7.6</c:v>
                </c:pt>
                <c:pt idx="77">
                  <c:v>7.7</c:v>
                </c:pt>
                <c:pt idx="78">
                  <c:v>7.8</c:v>
                </c:pt>
                <c:pt idx="79">
                  <c:v>7.9</c:v>
                </c:pt>
                <c:pt idx="80">
                  <c:v>8</c:v>
                </c:pt>
                <c:pt idx="81">
                  <c:v>8.1</c:v>
                </c:pt>
                <c:pt idx="82">
                  <c:v>8.2000000000000011</c:v>
                </c:pt>
                <c:pt idx="83">
                  <c:v>8.3000000000000007</c:v>
                </c:pt>
                <c:pt idx="84">
                  <c:v>8.4</c:v>
                </c:pt>
                <c:pt idx="85">
                  <c:v>8.5</c:v>
                </c:pt>
                <c:pt idx="86">
                  <c:v>8.6</c:v>
                </c:pt>
                <c:pt idx="87">
                  <c:v>8.7000000000000011</c:v>
                </c:pt>
                <c:pt idx="88">
                  <c:v>8.8000000000000007</c:v>
                </c:pt>
                <c:pt idx="89">
                  <c:v>8.9</c:v>
                </c:pt>
                <c:pt idx="90">
                  <c:v>9</c:v>
                </c:pt>
                <c:pt idx="91">
                  <c:v>9.1</c:v>
                </c:pt>
                <c:pt idx="92">
                  <c:v>9.2000000000000011</c:v>
                </c:pt>
                <c:pt idx="93">
                  <c:v>9.3000000000000007</c:v>
                </c:pt>
                <c:pt idx="94">
                  <c:v>9.4</c:v>
                </c:pt>
                <c:pt idx="95">
                  <c:v>9.5</c:v>
                </c:pt>
                <c:pt idx="96">
                  <c:v>9.6</c:v>
                </c:pt>
                <c:pt idx="97">
                  <c:v>9.7000000000000011</c:v>
                </c:pt>
                <c:pt idx="98">
                  <c:v>9.8000000000000007</c:v>
                </c:pt>
                <c:pt idx="99">
                  <c:v>9.9</c:v>
                </c:pt>
                <c:pt idx="100">
                  <c:v>10</c:v>
                </c:pt>
                <c:pt idx="101">
                  <c:v>10.1</c:v>
                </c:pt>
                <c:pt idx="102">
                  <c:v>10.200000000000001</c:v>
                </c:pt>
                <c:pt idx="103">
                  <c:v>10.3</c:v>
                </c:pt>
                <c:pt idx="104">
                  <c:v>10.4</c:v>
                </c:pt>
                <c:pt idx="105">
                  <c:v>10.5</c:v>
                </c:pt>
                <c:pt idx="106">
                  <c:v>10.6</c:v>
                </c:pt>
                <c:pt idx="107">
                  <c:v>10.7</c:v>
                </c:pt>
                <c:pt idx="108">
                  <c:v>10.8</c:v>
                </c:pt>
                <c:pt idx="109">
                  <c:v>10.9</c:v>
                </c:pt>
                <c:pt idx="110">
                  <c:v>11</c:v>
                </c:pt>
                <c:pt idx="111">
                  <c:v>11.1</c:v>
                </c:pt>
                <c:pt idx="112">
                  <c:v>11.2</c:v>
                </c:pt>
                <c:pt idx="113">
                  <c:v>11.3</c:v>
                </c:pt>
                <c:pt idx="114">
                  <c:v>11.4</c:v>
                </c:pt>
                <c:pt idx="115">
                  <c:v>11.5</c:v>
                </c:pt>
                <c:pt idx="116">
                  <c:v>11.6</c:v>
                </c:pt>
                <c:pt idx="117">
                  <c:v>11.7</c:v>
                </c:pt>
                <c:pt idx="118">
                  <c:v>11.8</c:v>
                </c:pt>
              </c:numCache>
            </c:numRef>
          </c:xVal>
          <c:yVal>
            <c:numRef>
              <c:f>Sheet1!$B$2:$B$120</c:f>
              <c:numCache>
                <c:formatCode>General</c:formatCode>
                <c:ptCount val="119"/>
                <c:pt idx="0">
                  <c:v>0</c:v>
                </c:pt>
                <c:pt idx="1">
                  <c:v>0.17559773556360025</c:v>
                </c:pt>
                <c:pt idx="2">
                  <c:v>0.32995604071040052</c:v>
                </c:pt>
                <c:pt idx="3">
                  <c:v>0.4650147607044009</c:v>
                </c:pt>
                <c:pt idx="4">
                  <c:v>0.58259363650560048</c:v>
                </c:pt>
                <c:pt idx="5">
                  <c:v>0.68439678124999959</c:v>
                </c:pt>
                <c:pt idx="6">
                  <c:v>0.77201708012160009</c:v>
                </c:pt>
                <c:pt idx="7">
                  <c:v>0.84694051361640132</c:v>
                </c:pt>
                <c:pt idx="8">
                  <c:v>0.91055040419839994</c:v>
                </c:pt>
                <c:pt idx="9">
                  <c:v>0.9641315863476001</c:v>
                </c:pt>
                <c:pt idx="10">
                  <c:v>1.0088744999999983</c:v>
                </c:pt>
                <c:pt idx="11">
                  <c:v>1.0458792073795971</c:v>
                </c:pt>
                <c:pt idx="12">
                  <c:v>1.0761593332224002</c:v>
                </c:pt>
                <c:pt idx="13">
                  <c:v>1.1006459283924015</c:v>
                </c:pt>
                <c:pt idx="14">
                  <c:v>1.1201912568895998</c:v>
                </c:pt>
                <c:pt idx="15">
                  <c:v>1.1355725062500017</c:v>
                </c:pt>
                <c:pt idx="16">
                  <c:v>1.1474954213376001</c:v>
                </c:pt>
                <c:pt idx="17">
                  <c:v>1.156597861528402</c:v>
                </c:pt>
                <c:pt idx="18">
                  <c:v>1.1634532812864</c:v>
                </c:pt>
                <c:pt idx="19">
                  <c:v>1.1685741341316016</c:v>
                </c:pt>
                <c:pt idx="20">
                  <c:v>1.1724152000000001</c:v>
                </c:pt>
                <c:pt idx="21">
                  <c:v>1.1753768359956003</c:v>
                </c:pt>
                <c:pt idx="22">
                  <c:v>1.1778081505343998</c:v>
                </c:pt>
                <c:pt idx="23">
                  <c:v>1.1800101008804018</c:v>
                </c:pt>
                <c:pt idx="24">
                  <c:v>1.1822385140736029</c:v>
                </c:pt>
                <c:pt idx="25">
                  <c:v>1.1847070312500025</c:v>
                </c:pt>
                <c:pt idx="26">
                  <c:v>1.1875899753536021</c:v>
                </c:pt>
                <c:pt idx="27">
                  <c:v>1.1910251422403999</c:v>
                </c:pt>
                <c:pt idx="28">
                  <c:v>1.1951165151743999</c:v>
                </c:pt>
                <c:pt idx="29">
                  <c:v>1.1999369027156011</c:v>
                </c:pt>
                <c:pt idx="30">
                  <c:v>1.2055305000000016</c:v>
                </c:pt>
                <c:pt idx="31">
                  <c:v>1.2119153734115991</c:v>
                </c:pt>
                <c:pt idx="32">
                  <c:v>1.2190858686464001</c:v>
                </c:pt>
                <c:pt idx="33">
                  <c:v>1.2270149421683998</c:v>
                </c:pt>
                <c:pt idx="34">
                  <c:v>1.2356564160575998</c:v>
                </c:pt>
                <c:pt idx="35">
                  <c:v>1.2449471562499994</c:v>
                </c:pt>
                <c:pt idx="36">
                  <c:v>1.2548091741696026</c:v>
                </c:pt>
                <c:pt idx="37">
                  <c:v>1.2651516517523984</c:v>
                </c:pt>
                <c:pt idx="38">
                  <c:v>1.2758728898623986</c:v>
                </c:pt>
                <c:pt idx="39">
                  <c:v>1.2868621800996014</c:v>
                </c:pt>
                <c:pt idx="40">
                  <c:v>1.2980016000000014</c:v>
                </c:pt>
                <c:pt idx="41">
                  <c:v>1.309167731627602</c:v>
                </c:pt>
                <c:pt idx="42">
                  <c:v>1.3202333035584017</c:v>
                </c:pt>
                <c:pt idx="43">
                  <c:v>1.3310687562563994</c:v>
                </c:pt>
                <c:pt idx="44">
                  <c:v>1.3415437308416041</c:v>
                </c:pt>
                <c:pt idx="45">
                  <c:v>1.351528481249995</c:v>
                </c:pt>
                <c:pt idx="46">
                  <c:v>1.3608952097855993</c:v>
                </c:pt>
                <c:pt idx="47">
                  <c:v>1.3695193260643999</c:v>
                </c:pt>
                <c:pt idx="48">
                  <c:v>1.3772806293504041</c:v>
                </c:pt>
                <c:pt idx="49">
                  <c:v>1.384064414283604</c:v>
                </c:pt>
                <c:pt idx="50">
                  <c:v>1.3897625000000049</c:v>
                </c:pt>
                <c:pt idx="51">
                  <c:v>1.3942741826436029</c:v>
                </c:pt>
                <c:pt idx="52">
                  <c:v>1.3975071112704061</c:v>
                </c:pt>
                <c:pt idx="53">
                  <c:v>1.3993780871443964</c:v>
                </c:pt>
                <c:pt idx="54">
                  <c:v>1.3998137864256019</c:v>
                </c:pt>
                <c:pt idx="55">
                  <c:v>1.3987514062499997</c:v>
                </c:pt>
                <c:pt idx="56">
                  <c:v>1.3961392342016041</c:v>
                </c:pt>
                <c:pt idx="57">
                  <c:v>1.3919371411764001</c:v>
                </c:pt>
                <c:pt idx="58">
                  <c:v>1.3861169976384122</c:v>
                </c:pt>
                <c:pt idx="59">
                  <c:v>1.378663013267607</c:v>
                </c:pt>
                <c:pt idx="60">
                  <c:v>1.36957200000001</c:v>
                </c:pt>
                <c:pt idx="61">
                  <c:v>1.3588535584596082</c:v>
                </c:pt>
                <c:pt idx="62">
                  <c:v>1.3465301877823936</c:v>
                </c:pt>
                <c:pt idx="63">
                  <c:v>1.3326373188324019</c:v>
                </c:pt>
                <c:pt idx="64">
                  <c:v>1.3172232708096043</c:v>
                </c:pt>
                <c:pt idx="65">
                  <c:v>1.3003491312499982</c:v>
                </c:pt>
                <c:pt idx="66">
                  <c:v>1.2820885594176081</c:v>
                </c:pt>
                <c:pt idx="67">
                  <c:v>1.2625275130884219</c:v>
                </c:pt>
                <c:pt idx="68">
                  <c:v>1.2417638987264095</c:v>
                </c:pt>
                <c:pt idx="69">
                  <c:v>1.2199071450516126</c:v>
                </c:pt>
                <c:pt idx="70">
                  <c:v>1.1970776999999888</c:v>
                </c:pt>
                <c:pt idx="71">
                  <c:v>1.1734064510756177</c:v>
                </c:pt>
                <c:pt idx="72">
                  <c:v>1.1490340690944372</c:v>
                </c:pt>
                <c:pt idx="73">
                  <c:v>1.1241102753204082</c:v>
                </c:pt>
                <c:pt idx="74">
                  <c:v>1.0987930319936021</c:v>
                </c:pt>
                <c:pt idx="75">
                  <c:v>1.0732476562500004</c:v>
                </c:pt>
                <c:pt idx="76">
                  <c:v>1.0476458574335759</c:v>
                </c:pt>
                <c:pt idx="77">
                  <c:v>1.0221646978003891</c:v>
                </c:pt>
                <c:pt idx="78">
                  <c:v>0.99698547661440995</c:v>
                </c:pt>
                <c:pt idx="79">
                  <c:v>0.97229253763561363</c:v>
                </c:pt>
                <c:pt idx="80">
                  <c:v>0.94827200000001355</c:v>
                </c:pt>
                <c:pt idx="81">
                  <c:v>0.92511041249159265</c:v>
                </c:pt>
                <c:pt idx="82">
                  <c:v>0.90299333120641023</c:v>
                </c:pt>
                <c:pt idx="83">
                  <c:v>0.88210382060840775</c:v>
                </c:pt>
                <c:pt idx="84">
                  <c:v>0.86262087797761999</c:v>
                </c:pt>
                <c:pt idx="85">
                  <c:v>0.8447177812499973</c:v>
                </c:pt>
                <c:pt idx="86">
                  <c:v>0.82856036024961732</c:v>
                </c:pt>
                <c:pt idx="87">
                  <c:v>0.81430519131242818</c:v>
                </c:pt>
                <c:pt idx="88">
                  <c:v>0.80209771530243767</c:v>
                </c:pt>
                <c:pt idx="89">
                  <c:v>0.79207027901960469</c:v>
                </c:pt>
                <c:pt idx="90">
                  <c:v>0.78434009999998722</c:v>
                </c:pt>
                <c:pt idx="91">
                  <c:v>0.77900715470766291</c:v>
                </c:pt>
                <c:pt idx="92">
                  <c:v>0.77615199011839386</c:v>
                </c:pt>
                <c:pt idx="93">
                  <c:v>0.77583345869646836</c:v>
                </c:pt>
                <c:pt idx="94">
                  <c:v>0.7780863767616063</c:v>
                </c:pt>
                <c:pt idx="95">
                  <c:v>0.78291910625002004</c:v>
                </c:pt>
                <c:pt idx="96">
                  <c:v>0.79031105986560057</c:v>
                </c:pt>
                <c:pt idx="97">
                  <c:v>0.8002101296244315</c:v>
                </c:pt>
                <c:pt idx="98">
                  <c:v>0.81253003879038488</c:v>
                </c:pt>
                <c:pt idx="99">
                  <c:v>0.82714761720370844</c:v>
                </c:pt>
                <c:pt idx="100">
                  <c:v>0.84390000000011944</c:v>
                </c:pt>
                <c:pt idx="101">
                  <c:v>0.86258174972367352</c:v>
                </c:pt>
                <c:pt idx="102">
                  <c:v>0.88294190183036358</c:v>
                </c:pt>
                <c:pt idx="103">
                  <c:v>0.90468093358440271</c:v>
                </c:pt>
                <c:pt idx="104">
                  <c:v>0.92744765634566362</c:v>
                </c:pt>
                <c:pt idx="105">
                  <c:v>0.95083603124993488</c:v>
                </c:pt>
                <c:pt idx="106">
                  <c:v>0.9743819082816001</c:v>
                </c:pt>
                <c:pt idx="107">
                  <c:v>0.99755968873648726</c:v>
                </c:pt>
                <c:pt idx="108">
                  <c:v>1.019778911078447</c:v>
                </c:pt>
                <c:pt idx="109">
                  <c:v>1.0403807601876451</c:v>
                </c:pt>
                <c:pt idx="110">
                  <c:v>1.0586345000000392</c:v>
                </c:pt>
                <c:pt idx="111">
                  <c:v>1.0737338295396057</c:v>
                </c:pt>
                <c:pt idx="112">
                  <c:v>1.0847931623424918</c:v>
                </c:pt>
                <c:pt idx="113">
                  <c:v>1.0908438292725311</c:v>
                </c:pt>
                <c:pt idx="114">
                  <c:v>1.090830204729599</c:v>
                </c:pt>
                <c:pt idx="115">
                  <c:v>1.0836057562501638</c:v>
                </c:pt>
                <c:pt idx="116">
                  <c:v>1.0679290174975873</c:v>
                </c:pt>
                <c:pt idx="117">
                  <c:v>1.0424594846484183</c:v>
                </c:pt>
                <c:pt idx="118">
                  <c:v>1.0057534361665161</c:v>
                </c:pt>
              </c:numCache>
            </c:numRef>
          </c:yVal>
          <c:smooth val="1"/>
        </c:ser>
        <c:axId val="94370432"/>
        <c:axId val="94475008"/>
      </c:scatterChart>
      <c:valAx>
        <c:axId val="94370432"/>
        <c:scaling>
          <c:orientation val="minMax"/>
          <c:max val="12.5"/>
          <c:min val="0"/>
        </c:scaling>
        <c:axPos val="b"/>
        <c:title>
          <c:tx>
            <c:rich>
              <a:bodyPr/>
              <a:lstStyle/>
              <a:p>
                <a:pPr>
                  <a:defRPr/>
                </a:pPr>
                <a:r>
                  <a:rPr lang="en-US"/>
                  <a:t>TAXRISK (tax reserve ending balance as a percentage of assets)</a:t>
                </a:r>
              </a:p>
            </c:rich>
          </c:tx>
        </c:title>
        <c:numFmt formatCode="General" sourceLinked="1"/>
        <c:tickLblPos val="nextTo"/>
        <c:crossAx val="94475008"/>
        <c:crosses val="autoZero"/>
        <c:crossBetween val="midCat"/>
      </c:valAx>
      <c:valAx>
        <c:axId val="94475008"/>
        <c:scaling>
          <c:orientation val="minMax"/>
        </c:scaling>
        <c:delete val="1"/>
        <c:axPos val="l"/>
        <c:majorGridlines/>
        <c:title>
          <c:tx>
            <c:rich>
              <a:bodyPr rot="-5400000" vert="horz"/>
              <a:lstStyle/>
              <a:p>
                <a:pPr>
                  <a:defRPr/>
                </a:pPr>
                <a:r>
                  <a:rPr lang="en-US"/>
                  <a:t>Firm Value (Market Value of Equity)</a:t>
                </a:r>
              </a:p>
            </c:rich>
          </c:tx>
        </c:title>
        <c:numFmt formatCode="General" sourceLinked="1"/>
        <c:tickLblPos val="none"/>
        <c:crossAx val="94370432"/>
        <c:crosses val="autoZero"/>
        <c:crossBetween val="midCat"/>
      </c:valAx>
    </c:plotArea>
    <c:plotVisOnly val="1"/>
  </c:chart>
  <c:spPr>
    <a:ln w="38100"/>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0.16153</cdr:x>
      <cdr:y>0.41011</cdr:y>
    </cdr:from>
    <cdr:to>
      <cdr:x>0.16304</cdr:x>
      <cdr:y>0.81461</cdr:y>
    </cdr:to>
    <cdr:sp macro="" textlink="">
      <cdr:nvSpPr>
        <cdr:cNvPr id="3" name="Straight Connector 2"/>
        <cdr:cNvSpPr/>
      </cdr:nvSpPr>
      <cdr:spPr>
        <a:xfrm xmlns:a="http://schemas.openxmlformats.org/drawingml/2006/main" flipH="1">
          <a:off x="927735" y="1390650"/>
          <a:ext cx="8702" cy="1371600"/>
        </a:xfrm>
        <a:prstGeom xmlns:a="http://schemas.openxmlformats.org/drawingml/2006/main" prst="line">
          <a:avLst/>
        </a:prstGeom>
        <a:ln xmlns:a="http://schemas.openxmlformats.org/drawingml/2006/main" w="25400">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0.43937</cdr:x>
      <cdr:y>0.31742</cdr:y>
    </cdr:from>
    <cdr:to>
      <cdr:x>0.44089</cdr:x>
      <cdr:y>0.82865</cdr:y>
    </cdr:to>
    <cdr:sp macro="" textlink="">
      <cdr:nvSpPr>
        <cdr:cNvPr id="5" name="Straight Connector 4"/>
        <cdr:cNvSpPr/>
      </cdr:nvSpPr>
      <cdr:spPr>
        <a:xfrm xmlns:a="http://schemas.openxmlformats.org/drawingml/2006/main">
          <a:off x="2523562" y="1076324"/>
          <a:ext cx="8703" cy="1733550"/>
        </a:xfrm>
        <a:prstGeom xmlns:a="http://schemas.openxmlformats.org/drawingml/2006/main" prst="line">
          <a:avLst/>
        </a:prstGeom>
        <a:ln xmlns:a="http://schemas.openxmlformats.org/drawingml/2006/main" w="25400">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0.90198</cdr:x>
      <cdr:y>0.46605</cdr:y>
    </cdr:from>
    <cdr:to>
      <cdr:x>0.90399</cdr:x>
      <cdr:y>0.83708</cdr:y>
    </cdr:to>
    <cdr:sp macro="" textlink="">
      <cdr:nvSpPr>
        <cdr:cNvPr id="12" name="Straight Connector 11"/>
        <cdr:cNvSpPr/>
      </cdr:nvSpPr>
      <cdr:spPr>
        <a:xfrm xmlns:a="http://schemas.openxmlformats.org/drawingml/2006/main">
          <a:off x="5180592" y="1580318"/>
          <a:ext cx="11529" cy="1258131"/>
        </a:xfrm>
        <a:prstGeom xmlns:a="http://schemas.openxmlformats.org/drawingml/2006/main" prst="line">
          <a:avLst/>
        </a:prstGeom>
        <a:ln xmlns:a="http://schemas.openxmlformats.org/drawingml/2006/main" w="25400">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99396-7852-4A58-86C0-3BB12C7AD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14801</Words>
  <Characters>84372</Characters>
  <Application>Microsoft Office Word</Application>
  <DocSecurity>0</DocSecurity>
  <Lines>703</Lines>
  <Paragraphs>197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98976</CharactersWithSpaces>
  <SharedDoc>false</SharedDoc>
  <HLinks>
    <vt:vector size="162" baseType="variant">
      <vt:variant>
        <vt:i4>1769524</vt:i4>
      </vt:variant>
      <vt:variant>
        <vt:i4>164</vt:i4>
      </vt:variant>
      <vt:variant>
        <vt:i4>0</vt:i4>
      </vt:variant>
      <vt:variant>
        <vt:i4>5</vt:i4>
      </vt:variant>
      <vt:variant>
        <vt:lpwstr/>
      </vt:variant>
      <vt:variant>
        <vt:lpwstr>_Toc140575285</vt:lpwstr>
      </vt:variant>
      <vt:variant>
        <vt:i4>1900595</vt:i4>
      </vt:variant>
      <vt:variant>
        <vt:i4>155</vt:i4>
      </vt:variant>
      <vt:variant>
        <vt:i4>0</vt:i4>
      </vt:variant>
      <vt:variant>
        <vt:i4>5</vt:i4>
      </vt:variant>
      <vt:variant>
        <vt:lpwstr/>
      </vt:variant>
      <vt:variant>
        <vt:lpwstr>_Toc140573588</vt:lpwstr>
      </vt:variant>
      <vt:variant>
        <vt:i4>1638457</vt:i4>
      </vt:variant>
      <vt:variant>
        <vt:i4>146</vt:i4>
      </vt:variant>
      <vt:variant>
        <vt:i4>0</vt:i4>
      </vt:variant>
      <vt:variant>
        <vt:i4>5</vt:i4>
      </vt:variant>
      <vt:variant>
        <vt:lpwstr/>
      </vt:variant>
      <vt:variant>
        <vt:lpwstr>_Toc286145921</vt:lpwstr>
      </vt:variant>
      <vt:variant>
        <vt:i4>1638457</vt:i4>
      </vt:variant>
      <vt:variant>
        <vt:i4>140</vt:i4>
      </vt:variant>
      <vt:variant>
        <vt:i4>0</vt:i4>
      </vt:variant>
      <vt:variant>
        <vt:i4>5</vt:i4>
      </vt:variant>
      <vt:variant>
        <vt:lpwstr/>
      </vt:variant>
      <vt:variant>
        <vt:lpwstr>_Toc286145920</vt:lpwstr>
      </vt:variant>
      <vt:variant>
        <vt:i4>1703993</vt:i4>
      </vt:variant>
      <vt:variant>
        <vt:i4>134</vt:i4>
      </vt:variant>
      <vt:variant>
        <vt:i4>0</vt:i4>
      </vt:variant>
      <vt:variant>
        <vt:i4>5</vt:i4>
      </vt:variant>
      <vt:variant>
        <vt:lpwstr/>
      </vt:variant>
      <vt:variant>
        <vt:lpwstr>_Toc286145919</vt:lpwstr>
      </vt:variant>
      <vt:variant>
        <vt:i4>1703993</vt:i4>
      </vt:variant>
      <vt:variant>
        <vt:i4>128</vt:i4>
      </vt:variant>
      <vt:variant>
        <vt:i4>0</vt:i4>
      </vt:variant>
      <vt:variant>
        <vt:i4>5</vt:i4>
      </vt:variant>
      <vt:variant>
        <vt:lpwstr/>
      </vt:variant>
      <vt:variant>
        <vt:lpwstr>_Toc286145918</vt:lpwstr>
      </vt:variant>
      <vt:variant>
        <vt:i4>1703993</vt:i4>
      </vt:variant>
      <vt:variant>
        <vt:i4>122</vt:i4>
      </vt:variant>
      <vt:variant>
        <vt:i4>0</vt:i4>
      </vt:variant>
      <vt:variant>
        <vt:i4>5</vt:i4>
      </vt:variant>
      <vt:variant>
        <vt:lpwstr/>
      </vt:variant>
      <vt:variant>
        <vt:lpwstr>_Toc286145917</vt:lpwstr>
      </vt:variant>
      <vt:variant>
        <vt:i4>1703993</vt:i4>
      </vt:variant>
      <vt:variant>
        <vt:i4>116</vt:i4>
      </vt:variant>
      <vt:variant>
        <vt:i4>0</vt:i4>
      </vt:variant>
      <vt:variant>
        <vt:i4>5</vt:i4>
      </vt:variant>
      <vt:variant>
        <vt:lpwstr/>
      </vt:variant>
      <vt:variant>
        <vt:lpwstr>_Toc286145916</vt:lpwstr>
      </vt:variant>
      <vt:variant>
        <vt:i4>1703993</vt:i4>
      </vt:variant>
      <vt:variant>
        <vt:i4>110</vt:i4>
      </vt:variant>
      <vt:variant>
        <vt:i4>0</vt:i4>
      </vt:variant>
      <vt:variant>
        <vt:i4>5</vt:i4>
      </vt:variant>
      <vt:variant>
        <vt:lpwstr/>
      </vt:variant>
      <vt:variant>
        <vt:lpwstr>_Toc286145915</vt:lpwstr>
      </vt:variant>
      <vt:variant>
        <vt:i4>1703993</vt:i4>
      </vt:variant>
      <vt:variant>
        <vt:i4>104</vt:i4>
      </vt:variant>
      <vt:variant>
        <vt:i4>0</vt:i4>
      </vt:variant>
      <vt:variant>
        <vt:i4>5</vt:i4>
      </vt:variant>
      <vt:variant>
        <vt:lpwstr/>
      </vt:variant>
      <vt:variant>
        <vt:lpwstr>_Toc286145914</vt:lpwstr>
      </vt:variant>
      <vt:variant>
        <vt:i4>1703993</vt:i4>
      </vt:variant>
      <vt:variant>
        <vt:i4>98</vt:i4>
      </vt:variant>
      <vt:variant>
        <vt:i4>0</vt:i4>
      </vt:variant>
      <vt:variant>
        <vt:i4>5</vt:i4>
      </vt:variant>
      <vt:variant>
        <vt:lpwstr/>
      </vt:variant>
      <vt:variant>
        <vt:lpwstr>_Toc286145913</vt:lpwstr>
      </vt:variant>
      <vt:variant>
        <vt:i4>1703993</vt:i4>
      </vt:variant>
      <vt:variant>
        <vt:i4>92</vt:i4>
      </vt:variant>
      <vt:variant>
        <vt:i4>0</vt:i4>
      </vt:variant>
      <vt:variant>
        <vt:i4>5</vt:i4>
      </vt:variant>
      <vt:variant>
        <vt:lpwstr/>
      </vt:variant>
      <vt:variant>
        <vt:lpwstr>_Toc286145912</vt:lpwstr>
      </vt:variant>
      <vt:variant>
        <vt:i4>1703993</vt:i4>
      </vt:variant>
      <vt:variant>
        <vt:i4>86</vt:i4>
      </vt:variant>
      <vt:variant>
        <vt:i4>0</vt:i4>
      </vt:variant>
      <vt:variant>
        <vt:i4>5</vt:i4>
      </vt:variant>
      <vt:variant>
        <vt:lpwstr/>
      </vt:variant>
      <vt:variant>
        <vt:lpwstr>_Toc286145911</vt:lpwstr>
      </vt:variant>
      <vt:variant>
        <vt:i4>1703993</vt:i4>
      </vt:variant>
      <vt:variant>
        <vt:i4>80</vt:i4>
      </vt:variant>
      <vt:variant>
        <vt:i4>0</vt:i4>
      </vt:variant>
      <vt:variant>
        <vt:i4>5</vt:i4>
      </vt:variant>
      <vt:variant>
        <vt:lpwstr/>
      </vt:variant>
      <vt:variant>
        <vt:lpwstr>_Toc286145910</vt:lpwstr>
      </vt:variant>
      <vt:variant>
        <vt:i4>1769529</vt:i4>
      </vt:variant>
      <vt:variant>
        <vt:i4>74</vt:i4>
      </vt:variant>
      <vt:variant>
        <vt:i4>0</vt:i4>
      </vt:variant>
      <vt:variant>
        <vt:i4>5</vt:i4>
      </vt:variant>
      <vt:variant>
        <vt:lpwstr/>
      </vt:variant>
      <vt:variant>
        <vt:lpwstr>_Toc286145909</vt:lpwstr>
      </vt:variant>
      <vt:variant>
        <vt:i4>1769529</vt:i4>
      </vt:variant>
      <vt:variant>
        <vt:i4>68</vt:i4>
      </vt:variant>
      <vt:variant>
        <vt:i4>0</vt:i4>
      </vt:variant>
      <vt:variant>
        <vt:i4>5</vt:i4>
      </vt:variant>
      <vt:variant>
        <vt:lpwstr/>
      </vt:variant>
      <vt:variant>
        <vt:lpwstr>_Toc286145908</vt:lpwstr>
      </vt:variant>
      <vt:variant>
        <vt:i4>1769529</vt:i4>
      </vt:variant>
      <vt:variant>
        <vt:i4>62</vt:i4>
      </vt:variant>
      <vt:variant>
        <vt:i4>0</vt:i4>
      </vt:variant>
      <vt:variant>
        <vt:i4>5</vt:i4>
      </vt:variant>
      <vt:variant>
        <vt:lpwstr/>
      </vt:variant>
      <vt:variant>
        <vt:lpwstr>_Toc286145907</vt:lpwstr>
      </vt:variant>
      <vt:variant>
        <vt:i4>1769529</vt:i4>
      </vt:variant>
      <vt:variant>
        <vt:i4>56</vt:i4>
      </vt:variant>
      <vt:variant>
        <vt:i4>0</vt:i4>
      </vt:variant>
      <vt:variant>
        <vt:i4>5</vt:i4>
      </vt:variant>
      <vt:variant>
        <vt:lpwstr/>
      </vt:variant>
      <vt:variant>
        <vt:lpwstr>_Toc286145906</vt:lpwstr>
      </vt:variant>
      <vt:variant>
        <vt:i4>1769529</vt:i4>
      </vt:variant>
      <vt:variant>
        <vt:i4>50</vt:i4>
      </vt:variant>
      <vt:variant>
        <vt:i4>0</vt:i4>
      </vt:variant>
      <vt:variant>
        <vt:i4>5</vt:i4>
      </vt:variant>
      <vt:variant>
        <vt:lpwstr/>
      </vt:variant>
      <vt:variant>
        <vt:lpwstr>_Toc286145905</vt:lpwstr>
      </vt:variant>
      <vt:variant>
        <vt:i4>1769529</vt:i4>
      </vt:variant>
      <vt:variant>
        <vt:i4>44</vt:i4>
      </vt:variant>
      <vt:variant>
        <vt:i4>0</vt:i4>
      </vt:variant>
      <vt:variant>
        <vt:i4>5</vt:i4>
      </vt:variant>
      <vt:variant>
        <vt:lpwstr/>
      </vt:variant>
      <vt:variant>
        <vt:lpwstr>_Toc286145904</vt:lpwstr>
      </vt:variant>
      <vt:variant>
        <vt:i4>1769529</vt:i4>
      </vt:variant>
      <vt:variant>
        <vt:i4>38</vt:i4>
      </vt:variant>
      <vt:variant>
        <vt:i4>0</vt:i4>
      </vt:variant>
      <vt:variant>
        <vt:i4>5</vt:i4>
      </vt:variant>
      <vt:variant>
        <vt:lpwstr/>
      </vt:variant>
      <vt:variant>
        <vt:lpwstr>_Toc286145903</vt:lpwstr>
      </vt:variant>
      <vt:variant>
        <vt:i4>1769529</vt:i4>
      </vt:variant>
      <vt:variant>
        <vt:i4>32</vt:i4>
      </vt:variant>
      <vt:variant>
        <vt:i4>0</vt:i4>
      </vt:variant>
      <vt:variant>
        <vt:i4>5</vt:i4>
      </vt:variant>
      <vt:variant>
        <vt:lpwstr/>
      </vt:variant>
      <vt:variant>
        <vt:lpwstr>_Toc286145902</vt:lpwstr>
      </vt:variant>
      <vt:variant>
        <vt:i4>1769529</vt:i4>
      </vt:variant>
      <vt:variant>
        <vt:i4>26</vt:i4>
      </vt:variant>
      <vt:variant>
        <vt:i4>0</vt:i4>
      </vt:variant>
      <vt:variant>
        <vt:i4>5</vt:i4>
      </vt:variant>
      <vt:variant>
        <vt:lpwstr/>
      </vt:variant>
      <vt:variant>
        <vt:lpwstr>_Toc286145901</vt:lpwstr>
      </vt:variant>
      <vt:variant>
        <vt:i4>1769529</vt:i4>
      </vt:variant>
      <vt:variant>
        <vt:i4>20</vt:i4>
      </vt:variant>
      <vt:variant>
        <vt:i4>0</vt:i4>
      </vt:variant>
      <vt:variant>
        <vt:i4>5</vt:i4>
      </vt:variant>
      <vt:variant>
        <vt:lpwstr/>
      </vt:variant>
      <vt:variant>
        <vt:lpwstr>_Toc286145900</vt:lpwstr>
      </vt:variant>
      <vt:variant>
        <vt:i4>1179704</vt:i4>
      </vt:variant>
      <vt:variant>
        <vt:i4>14</vt:i4>
      </vt:variant>
      <vt:variant>
        <vt:i4>0</vt:i4>
      </vt:variant>
      <vt:variant>
        <vt:i4>5</vt:i4>
      </vt:variant>
      <vt:variant>
        <vt:lpwstr/>
      </vt:variant>
      <vt:variant>
        <vt:lpwstr>_Toc286145899</vt:lpwstr>
      </vt:variant>
      <vt:variant>
        <vt:i4>1179704</vt:i4>
      </vt:variant>
      <vt:variant>
        <vt:i4>8</vt:i4>
      </vt:variant>
      <vt:variant>
        <vt:i4>0</vt:i4>
      </vt:variant>
      <vt:variant>
        <vt:i4>5</vt:i4>
      </vt:variant>
      <vt:variant>
        <vt:lpwstr/>
      </vt:variant>
      <vt:variant>
        <vt:lpwstr>_Toc286145898</vt:lpwstr>
      </vt:variant>
      <vt:variant>
        <vt:i4>1179704</vt:i4>
      </vt:variant>
      <vt:variant>
        <vt:i4>2</vt:i4>
      </vt:variant>
      <vt:variant>
        <vt:i4>0</vt:i4>
      </vt:variant>
      <vt:variant>
        <vt:i4>5</vt:i4>
      </vt:variant>
      <vt:variant>
        <vt:lpwstr/>
      </vt:variant>
      <vt:variant>
        <vt:lpwstr>_Toc286145897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2012-04-06T18:41:00Z</dcterms:created>
  <dcterms:modified xsi:type="dcterms:W3CDTF">2012-04-06T20:41:00Z</dcterms:modified>
</cp:coreProperties>
</file>