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A0AE2" w14:textId="54A3A850" w:rsidR="00526151" w:rsidRPr="00A42976" w:rsidRDefault="00E65B3B" w:rsidP="008949E3">
      <w:pPr>
        <w:pStyle w:val="Title"/>
        <w:rPr>
          <w:rFonts w:ascii="Times New Roman" w:hAnsi="Times New Roman" w:cs="Times New Roman"/>
          <w:szCs w:val="28"/>
        </w:rPr>
      </w:pPr>
      <w:r w:rsidRPr="00A42976">
        <w:rPr>
          <w:rFonts w:ascii="Times New Roman" w:hAnsi="Times New Roman" w:cs="Times New Roman"/>
          <w:szCs w:val="28"/>
        </w:rPr>
        <w:t xml:space="preserve">Effects of </w:t>
      </w:r>
      <w:r w:rsidR="00081349" w:rsidRPr="00A42976">
        <w:rPr>
          <w:rFonts w:ascii="Times New Roman" w:hAnsi="Times New Roman" w:cs="Times New Roman"/>
          <w:szCs w:val="28"/>
        </w:rPr>
        <w:t xml:space="preserve">Pre-ovulatory </w:t>
      </w:r>
      <w:r w:rsidRPr="00A42976">
        <w:rPr>
          <w:rFonts w:ascii="Times New Roman" w:hAnsi="Times New Roman" w:cs="Times New Roman"/>
          <w:szCs w:val="28"/>
        </w:rPr>
        <w:t>Follicle Physiological Status on Oocyte Metabolic Capacity</w:t>
      </w:r>
    </w:p>
    <w:p w14:paraId="41B04DCD" w14:textId="77777777" w:rsidR="003D07F7" w:rsidRPr="00A42976" w:rsidRDefault="00DD00DE" w:rsidP="00387656">
      <w:pPr>
        <w:pStyle w:val="Title"/>
        <w:rPr>
          <w:rFonts w:ascii="Times New Roman" w:hAnsi="Times New Roman" w:cs="Times New Roman"/>
          <w:szCs w:val="28"/>
        </w:rPr>
      </w:pPr>
      <w:r w:rsidRPr="00A42976">
        <w:rPr>
          <w:rFonts w:ascii="Times New Roman" w:hAnsi="Times New Roman" w:cs="Times New Roman"/>
          <w:szCs w:val="28"/>
        </w:rPr>
        <w:tab/>
      </w:r>
    </w:p>
    <w:p w14:paraId="23A5992D" w14:textId="77777777" w:rsidR="00236E6D" w:rsidRPr="00A42976" w:rsidRDefault="00236E6D" w:rsidP="00387656">
      <w:pPr>
        <w:pStyle w:val="Title"/>
        <w:rPr>
          <w:rFonts w:ascii="Times New Roman" w:hAnsi="Times New Roman" w:cs="Times New Roman"/>
          <w:sz w:val="24"/>
        </w:rPr>
      </w:pPr>
    </w:p>
    <w:p w14:paraId="22F215D0" w14:textId="77777777" w:rsidR="00236E6D" w:rsidRPr="00A42976" w:rsidRDefault="00236E6D" w:rsidP="00387656">
      <w:pPr>
        <w:pStyle w:val="Title"/>
        <w:rPr>
          <w:rFonts w:ascii="Times New Roman" w:hAnsi="Times New Roman" w:cs="Times New Roman"/>
          <w:sz w:val="24"/>
        </w:rPr>
      </w:pPr>
    </w:p>
    <w:p w14:paraId="3C3B8476" w14:textId="77777777" w:rsidR="00236E6D" w:rsidRPr="00A42976" w:rsidRDefault="00236E6D" w:rsidP="00387656">
      <w:pPr>
        <w:pStyle w:val="Title"/>
        <w:rPr>
          <w:rFonts w:ascii="Times New Roman" w:hAnsi="Times New Roman" w:cs="Times New Roman"/>
          <w:sz w:val="24"/>
        </w:rPr>
      </w:pPr>
    </w:p>
    <w:p w14:paraId="525569AC" w14:textId="77777777" w:rsidR="00236E6D" w:rsidRPr="00A42976" w:rsidRDefault="00236E6D" w:rsidP="00387656">
      <w:pPr>
        <w:pStyle w:val="Title"/>
        <w:rPr>
          <w:rFonts w:ascii="Times New Roman" w:hAnsi="Times New Roman" w:cs="Times New Roman"/>
          <w:sz w:val="24"/>
        </w:rPr>
      </w:pPr>
    </w:p>
    <w:p w14:paraId="31C3DE47" w14:textId="77777777" w:rsidR="00387656" w:rsidRPr="00A42976" w:rsidRDefault="00387656" w:rsidP="00387656">
      <w:pPr>
        <w:pStyle w:val="Title"/>
        <w:rPr>
          <w:rFonts w:ascii="Times New Roman" w:hAnsi="Times New Roman" w:cs="Times New Roman"/>
          <w:sz w:val="24"/>
        </w:rPr>
      </w:pPr>
    </w:p>
    <w:p w14:paraId="423307C2" w14:textId="77777777" w:rsidR="00387656" w:rsidRPr="00A42976" w:rsidRDefault="00387656" w:rsidP="00387656">
      <w:pPr>
        <w:pStyle w:val="Title"/>
        <w:rPr>
          <w:rFonts w:ascii="Times New Roman" w:hAnsi="Times New Roman" w:cs="Times New Roman"/>
          <w:sz w:val="24"/>
        </w:rPr>
      </w:pPr>
    </w:p>
    <w:p w14:paraId="3ABD7FA2" w14:textId="77777777" w:rsidR="00387656" w:rsidRPr="00A42976" w:rsidRDefault="00387656" w:rsidP="00387656">
      <w:pPr>
        <w:pStyle w:val="Title"/>
        <w:rPr>
          <w:rFonts w:ascii="Times New Roman" w:hAnsi="Times New Roman" w:cs="Times New Roman"/>
          <w:sz w:val="24"/>
        </w:rPr>
      </w:pPr>
    </w:p>
    <w:p w14:paraId="12D641BF" w14:textId="77777777" w:rsidR="00387656" w:rsidRPr="00A42976" w:rsidRDefault="00387656" w:rsidP="00387656">
      <w:pPr>
        <w:pStyle w:val="Title"/>
        <w:rPr>
          <w:rFonts w:ascii="Times New Roman" w:hAnsi="Times New Roman" w:cs="Times New Roman"/>
          <w:sz w:val="24"/>
        </w:rPr>
      </w:pPr>
    </w:p>
    <w:p w14:paraId="40A4F256" w14:textId="77777777" w:rsidR="00387656" w:rsidRPr="00A42976" w:rsidRDefault="00387656" w:rsidP="00387656">
      <w:pPr>
        <w:pStyle w:val="Title"/>
        <w:rPr>
          <w:rFonts w:ascii="Times New Roman" w:hAnsi="Times New Roman" w:cs="Times New Roman"/>
          <w:sz w:val="24"/>
        </w:rPr>
      </w:pPr>
    </w:p>
    <w:p w14:paraId="12F19EB1" w14:textId="77777777" w:rsidR="00387656" w:rsidRPr="00A42976" w:rsidRDefault="00387656" w:rsidP="00387656">
      <w:pPr>
        <w:pStyle w:val="Title"/>
        <w:rPr>
          <w:rFonts w:ascii="Times New Roman" w:hAnsi="Times New Roman" w:cs="Times New Roman"/>
          <w:sz w:val="24"/>
        </w:rPr>
      </w:pPr>
    </w:p>
    <w:p w14:paraId="5A61B0C9" w14:textId="77777777" w:rsidR="00236E6D" w:rsidRPr="00A42976" w:rsidRDefault="00236E6D" w:rsidP="00387656">
      <w:pPr>
        <w:pStyle w:val="Title"/>
        <w:rPr>
          <w:rFonts w:ascii="Times New Roman" w:hAnsi="Times New Roman" w:cs="Times New Roman"/>
          <w:sz w:val="24"/>
        </w:rPr>
      </w:pPr>
    </w:p>
    <w:p w14:paraId="70C7E99B" w14:textId="77777777" w:rsidR="00236E6D" w:rsidRPr="00A42976" w:rsidRDefault="00236E6D" w:rsidP="00387656">
      <w:pPr>
        <w:pStyle w:val="Title"/>
        <w:rPr>
          <w:rFonts w:ascii="Times New Roman" w:hAnsi="Times New Roman" w:cs="Times New Roman"/>
          <w:sz w:val="24"/>
        </w:rPr>
      </w:pPr>
    </w:p>
    <w:p w14:paraId="4059D04D" w14:textId="77777777" w:rsidR="00236E6D" w:rsidRPr="00A42976" w:rsidRDefault="00236E6D" w:rsidP="00387656">
      <w:pPr>
        <w:pStyle w:val="Title"/>
        <w:jc w:val="left"/>
        <w:rPr>
          <w:rFonts w:ascii="Times New Roman" w:hAnsi="Times New Roman" w:cs="Times New Roman"/>
          <w:sz w:val="24"/>
        </w:rPr>
      </w:pPr>
    </w:p>
    <w:p w14:paraId="5098F084" w14:textId="77777777" w:rsidR="00236E6D" w:rsidRPr="00A42976" w:rsidRDefault="009C755C" w:rsidP="00387656">
      <w:pPr>
        <w:pStyle w:val="Title"/>
        <w:rPr>
          <w:rFonts w:ascii="Times New Roman" w:hAnsi="Times New Roman" w:cs="Times New Roman"/>
          <w:szCs w:val="28"/>
        </w:rPr>
      </w:pPr>
      <w:r w:rsidRPr="00A42976">
        <w:rPr>
          <w:rFonts w:ascii="Times New Roman" w:hAnsi="Times New Roman" w:cs="Times New Roman"/>
          <w:szCs w:val="28"/>
        </w:rPr>
        <w:t xml:space="preserve">A </w:t>
      </w:r>
      <w:r w:rsidR="00E65B3B" w:rsidRPr="00A42976">
        <w:rPr>
          <w:rFonts w:ascii="Times New Roman" w:hAnsi="Times New Roman" w:cs="Times New Roman"/>
          <w:szCs w:val="28"/>
        </w:rPr>
        <w:t>Dissertation</w:t>
      </w:r>
      <w:r w:rsidRPr="00A42976">
        <w:rPr>
          <w:rFonts w:ascii="Times New Roman" w:hAnsi="Times New Roman" w:cs="Times New Roman"/>
          <w:szCs w:val="28"/>
        </w:rPr>
        <w:t xml:space="preserve"> Presented for</w:t>
      </w:r>
      <w:r w:rsidR="008865B6" w:rsidRPr="00A42976">
        <w:rPr>
          <w:rFonts w:ascii="Times New Roman" w:hAnsi="Times New Roman" w:cs="Times New Roman"/>
          <w:szCs w:val="28"/>
        </w:rPr>
        <w:t xml:space="preserve"> the</w:t>
      </w:r>
    </w:p>
    <w:p w14:paraId="164FC9ED" w14:textId="03CD9EB2" w:rsidR="009C755C" w:rsidRPr="00A42976" w:rsidRDefault="00E65B3B" w:rsidP="00387656">
      <w:pPr>
        <w:pStyle w:val="Title"/>
        <w:rPr>
          <w:rFonts w:ascii="Times New Roman" w:hAnsi="Times New Roman" w:cs="Times New Roman"/>
          <w:szCs w:val="28"/>
        </w:rPr>
      </w:pPr>
      <w:r w:rsidRPr="00A42976">
        <w:rPr>
          <w:rFonts w:ascii="Times New Roman" w:hAnsi="Times New Roman" w:cs="Times New Roman"/>
          <w:szCs w:val="28"/>
        </w:rPr>
        <w:t>Doctor of Philosophy</w:t>
      </w:r>
    </w:p>
    <w:p w14:paraId="0E025800" w14:textId="77777777" w:rsidR="009C755C" w:rsidRPr="00A42976" w:rsidRDefault="009C755C" w:rsidP="00387656">
      <w:pPr>
        <w:pStyle w:val="Title"/>
        <w:rPr>
          <w:rFonts w:ascii="Times New Roman" w:hAnsi="Times New Roman" w:cs="Times New Roman"/>
          <w:szCs w:val="28"/>
        </w:rPr>
      </w:pPr>
      <w:r w:rsidRPr="00A42976">
        <w:rPr>
          <w:rFonts w:ascii="Times New Roman" w:hAnsi="Times New Roman" w:cs="Times New Roman"/>
          <w:szCs w:val="28"/>
        </w:rPr>
        <w:t>Degree</w:t>
      </w:r>
    </w:p>
    <w:p w14:paraId="0AF6B5BF" w14:textId="77777777" w:rsidR="009C755C" w:rsidRPr="00A42976" w:rsidRDefault="009C755C" w:rsidP="00387656">
      <w:pPr>
        <w:pStyle w:val="Title"/>
        <w:rPr>
          <w:rFonts w:ascii="Times New Roman" w:hAnsi="Times New Roman" w:cs="Times New Roman"/>
          <w:szCs w:val="28"/>
        </w:rPr>
      </w:pPr>
      <w:r w:rsidRPr="00A42976">
        <w:rPr>
          <w:rFonts w:ascii="Times New Roman" w:hAnsi="Times New Roman" w:cs="Times New Roman"/>
          <w:szCs w:val="28"/>
        </w:rPr>
        <w:t>The University of Tennessee, Knoxville</w:t>
      </w:r>
    </w:p>
    <w:p w14:paraId="35A70747" w14:textId="77777777" w:rsidR="00387656" w:rsidRPr="00A42976" w:rsidRDefault="00387656" w:rsidP="00387656">
      <w:pPr>
        <w:pStyle w:val="Title"/>
        <w:rPr>
          <w:rFonts w:ascii="Times New Roman" w:hAnsi="Times New Roman" w:cs="Times New Roman"/>
          <w:szCs w:val="28"/>
        </w:rPr>
      </w:pPr>
    </w:p>
    <w:p w14:paraId="63CEECAF" w14:textId="77777777" w:rsidR="00387656" w:rsidRPr="00A42976" w:rsidRDefault="00387656" w:rsidP="00387656">
      <w:pPr>
        <w:pStyle w:val="Title"/>
        <w:rPr>
          <w:rFonts w:ascii="Times New Roman" w:hAnsi="Times New Roman" w:cs="Times New Roman"/>
          <w:szCs w:val="28"/>
        </w:rPr>
      </w:pPr>
    </w:p>
    <w:p w14:paraId="145AD0C4" w14:textId="77777777" w:rsidR="00387656" w:rsidRPr="00A42976" w:rsidRDefault="00387656" w:rsidP="00387656">
      <w:pPr>
        <w:pStyle w:val="Title"/>
        <w:rPr>
          <w:rFonts w:ascii="Times New Roman" w:hAnsi="Times New Roman" w:cs="Times New Roman"/>
          <w:szCs w:val="28"/>
        </w:rPr>
      </w:pPr>
    </w:p>
    <w:p w14:paraId="7B07A4D9" w14:textId="77777777" w:rsidR="00236E6D" w:rsidRPr="00A42976" w:rsidRDefault="00236E6D" w:rsidP="00387656">
      <w:pPr>
        <w:pStyle w:val="Title"/>
        <w:rPr>
          <w:rFonts w:ascii="Times New Roman" w:hAnsi="Times New Roman" w:cs="Times New Roman"/>
          <w:szCs w:val="28"/>
        </w:rPr>
      </w:pPr>
    </w:p>
    <w:p w14:paraId="6F4C1B21" w14:textId="77777777" w:rsidR="00236E6D" w:rsidRPr="00A42976" w:rsidRDefault="00236E6D" w:rsidP="00387656">
      <w:pPr>
        <w:pStyle w:val="Title"/>
        <w:rPr>
          <w:rFonts w:ascii="Times New Roman" w:hAnsi="Times New Roman" w:cs="Times New Roman"/>
          <w:szCs w:val="28"/>
        </w:rPr>
      </w:pPr>
    </w:p>
    <w:p w14:paraId="55B9BC65" w14:textId="77777777" w:rsidR="00236E6D" w:rsidRPr="00A42976" w:rsidRDefault="00236E6D" w:rsidP="00387656">
      <w:pPr>
        <w:pStyle w:val="Title"/>
        <w:rPr>
          <w:rFonts w:ascii="Times New Roman" w:hAnsi="Times New Roman" w:cs="Times New Roman"/>
          <w:szCs w:val="28"/>
        </w:rPr>
      </w:pPr>
    </w:p>
    <w:p w14:paraId="517D4ED3" w14:textId="77777777" w:rsidR="00236E6D" w:rsidRPr="00A42976" w:rsidRDefault="00236E6D" w:rsidP="00387656">
      <w:pPr>
        <w:pStyle w:val="Title"/>
        <w:rPr>
          <w:rFonts w:ascii="Times New Roman" w:hAnsi="Times New Roman" w:cs="Times New Roman"/>
          <w:szCs w:val="28"/>
        </w:rPr>
      </w:pPr>
    </w:p>
    <w:p w14:paraId="4F45D037" w14:textId="77777777" w:rsidR="00236E6D" w:rsidRPr="00A42976" w:rsidRDefault="00236E6D" w:rsidP="00387656">
      <w:pPr>
        <w:pStyle w:val="Title"/>
        <w:rPr>
          <w:rFonts w:ascii="Times New Roman" w:hAnsi="Times New Roman" w:cs="Times New Roman"/>
          <w:szCs w:val="28"/>
        </w:rPr>
      </w:pPr>
    </w:p>
    <w:p w14:paraId="4451A679" w14:textId="77777777" w:rsidR="00236E6D" w:rsidRPr="00A42976" w:rsidRDefault="00236E6D" w:rsidP="00387656">
      <w:pPr>
        <w:pStyle w:val="Title"/>
        <w:rPr>
          <w:rFonts w:ascii="Times New Roman" w:hAnsi="Times New Roman" w:cs="Times New Roman"/>
          <w:szCs w:val="28"/>
        </w:rPr>
      </w:pPr>
    </w:p>
    <w:p w14:paraId="0B6C374B" w14:textId="77777777" w:rsidR="00236E6D" w:rsidRPr="00A42976" w:rsidRDefault="00236E6D" w:rsidP="00387656">
      <w:pPr>
        <w:pStyle w:val="Title"/>
        <w:rPr>
          <w:rFonts w:ascii="Times New Roman" w:hAnsi="Times New Roman" w:cs="Times New Roman"/>
          <w:szCs w:val="28"/>
        </w:rPr>
      </w:pPr>
    </w:p>
    <w:p w14:paraId="5191E8B9" w14:textId="77777777" w:rsidR="00236E6D" w:rsidRPr="00A42976" w:rsidRDefault="00236E6D" w:rsidP="00387656">
      <w:pPr>
        <w:pStyle w:val="Title"/>
        <w:rPr>
          <w:rFonts w:ascii="Times New Roman" w:hAnsi="Times New Roman" w:cs="Times New Roman"/>
          <w:szCs w:val="28"/>
        </w:rPr>
      </w:pPr>
    </w:p>
    <w:p w14:paraId="6599EF0D" w14:textId="77777777" w:rsidR="00236E6D" w:rsidRPr="00A42976" w:rsidRDefault="00236E6D" w:rsidP="00387656">
      <w:pPr>
        <w:pStyle w:val="Title"/>
        <w:rPr>
          <w:rFonts w:ascii="Times New Roman" w:hAnsi="Times New Roman" w:cs="Times New Roman"/>
          <w:szCs w:val="28"/>
        </w:rPr>
      </w:pPr>
    </w:p>
    <w:p w14:paraId="5D74AA80" w14:textId="77777777" w:rsidR="00236E6D" w:rsidRPr="00A42976" w:rsidRDefault="00236E6D" w:rsidP="00387656">
      <w:pPr>
        <w:pStyle w:val="Title"/>
        <w:rPr>
          <w:rFonts w:ascii="Times New Roman" w:hAnsi="Times New Roman" w:cs="Times New Roman"/>
          <w:szCs w:val="28"/>
        </w:rPr>
      </w:pPr>
    </w:p>
    <w:p w14:paraId="5FBDD61A" w14:textId="77777777" w:rsidR="00236E6D" w:rsidRPr="00A42976" w:rsidRDefault="00E65B3B" w:rsidP="00387656">
      <w:pPr>
        <w:pStyle w:val="Title"/>
        <w:rPr>
          <w:rFonts w:ascii="Times New Roman" w:hAnsi="Times New Roman" w:cs="Times New Roman"/>
          <w:szCs w:val="28"/>
        </w:rPr>
      </w:pPr>
      <w:r w:rsidRPr="00A42976">
        <w:rPr>
          <w:rFonts w:ascii="Times New Roman" w:hAnsi="Times New Roman" w:cs="Times New Roman"/>
          <w:szCs w:val="28"/>
        </w:rPr>
        <w:t>Casey C. Read</w:t>
      </w:r>
    </w:p>
    <w:p w14:paraId="10CB88FA" w14:textId="52512C7A" w:rsidR="009C755C" w:rsidRPr="00A42976" w:rsidRDefault="00861119" w:rsidP="00387656">
      <w:pPr>
        <w:pStyle w:val="Title"/>
        <w:rPr>
          <w:rFonts w:ascii="Times New Roman" w:hAnsi="Times New Roman" w:cs="Times New Roman"/>
          <w:szCs w:val="28"/>
        </w:rPr>
      </w:pPr>
      <w:r w:rsidRPr="00A42976">
        <w:rPr>
          <w:rFonts w:ascii="Times New Roman" w:hAnsi="Times New Roman" w:cs="Times New Roman"/>
          <w:szCs w:val="28"/>
        </w:rPr>
        <w:t>May</w:t>
      </w:r>
      <w:r w:rsidR="00E65B3B" w:rsidRPr="00A42976">
        <w:rPr>
          <w:rFonts w:ascii="Times New Roman" w:hAnsi="Times New Roman" w:cs="Times New Roman"/>
          <w:szCs w:val="28"/>
        </w:rPr>
        <w:t xml:space="preserve"> 2022</w:t>
      </w:r>
    </w:p>
    <w:p w14:paraId="0F24140C" w14:textId="7621CE06" w:rsidR="00BB5F83" w:rsidRPr="00A42976" w:rsidRDefault="00BB5F83" w:rsidP="00387656">
      <w:pPr>
        <w:pStyle w:val="Title"/>
        <w:rPr>
          <w:rFonts w:ascii="Times New Roman" w:hAnsi="Times New Roman" w:cs="Times New Roman"/>
          <w:szCs w:val="28"/>
        </w:rPr>
      </w:pPr>
    </w:p>
    <w:p w14:paraId="09E9A8D4" w14:textId="63FE8F2D" w:rsidR="00BB5F83" w:rsidRPr="00A42976" w:rsidRDefault="00BB5F83" w:rsidP="00387656">
      <w:pPr>
        <w:pStyle w:val="Title"/>
        <w:rPr>
          <w:rFonts w:ascii="Times New Roman" w:hAnsi="Times New Roman" w:cs="Times New Roman"/>
          <w:szCs w:val="28"/>
        </w:rPr>
      </w:pPr>
    </w:p>
    <w:p w14:paraId="37C79A19" w14:textId="7F6F885F" w:rsidR="00BB5F83" w:rsidRPr="00A42976" w:rsidRDefault="00BB5F83" w:rsidP="00387656">
      <w:pPr>
        <w:pStyle w:val="Title"/>
        <w:rPr>
          <w:rFonts w:ascii="Times New Roman" w:hAnsi="Times New Roman" w:cs="Times New Roman"/>
          <w:szCs w:val="28"/>
        </w:rPr>
      </w:pPr>
    </w:p>
    <w:p w14:paraId="74CF95CD" w14:textId="5AB2CBE3" w:rsidR="00BB5F83" w:rsidRPr="00A42976" w:rsidRDefault="00BB5F83" w:rsidP="00387656">
      <w:pPr>
        <w:pStyle w:val="Title"/>
        <w:rPr>
          <w:rFonts w:ascii="Times New Roman" w:hAnsi="Times New Roman" w:cs="Times New Roman"/>
          <w:szCs w:val="28"/>
        </w:rPr>
      </w:pPr>
    </w:p>
    <w:p w14:paraId="0F18E1E7" w14:textId="54466D70" w:rsidR="00BB5F83" w:rsidRPr="00A42976" w:rsidRDefault="00BB5F83" w:rsidP="00387656">
      <w:pPr>
        <w:pStyle w:val="Title"/>
        <w:rPr>
          <w:rFonts w:ascii="Times New Roman" w:hAnsi="Times New Roman" w:cs="Times New Roman"/>
          <w:szCs w:val="28"/>
        </w:rPr>
      </w:pPr>
    </w:p>
    <w:p w14:paraId="2CE15108" w14:textId="08BFBEA0" w:rsidR="00BB5F83" w:rsidRPr="00A42976" w:rsidRDefault="00BB5F83" w:rsidP="00387656">
      <w:pPr>
        <w:pStyle w:val="Title"/>
        <w:rPr>
          <w:rFonts w:ascii="Times New Roman" w:hAnsi="Times New Roman" w:cs="Times New Roman"/>
          <w:szCs w:val="28"/>
        </w:rPr>
      </w:pPr>
      <w:r w:rsidRPr="00A42976">
        <w:rPr>
          <w:rFonts w:ascii="Times New Roman" w:hAnsi="Times New Roman" w:cs="Times New Roman"/>
          <w:szCs w:val="28"/>
        </w:rPr>
        <w:lastRenderedPageBreak/>
        <w:t>DEDICATION</w:t>
      </w:r>
    </w:p>
    <w:p w14:paraId="3F00BBC5" w14:textId="77777777" w:rsidR="00044F9B" w:rsidRPr="00A42976" w:rsidRDefault="00044F9B" w:rsidP="00387656">
      <w:pPr>
        <w:pStyle w:val="Title"/>
        <w:rPr>
          <w:rFonts w:ascii="Times New Roman" w:hAnsi="Times New Roman" w:cs="Times New Roman"/>
          <w:szCs w:val="28"/>
        </w:rPr>
      </w:pPr>
    </w:p>
    <w:p w14:paraId="0D1B8271" w14:textId="77777777" w:rsidR="00F40A7C" w:rsidRPr="00A42976" w:rsidRDefault="00044F9B" w:rsidP="00044F9B">
      <w:pPr>
        <w:jc w:val="center"/>
        <w:rPr>
          <w:rFonts w:ascii="Times New Roman" w:hAnsi="Times New Roman" w:cs="Times New Roman"/>
          <w:i/>
          <w:sz w:val="28"/>
          <w:szCs w:val="28"/>
        </w:rPr>
      </w:pPr>
      <w:r w:rsidRPr="00A42976">
        <w:rPr>
          <w:rFonts w:ascii="Times New Roman" w:hAnsi="Times New Roman" w:cs="Times New Roman"/>
          <w:i/>
          <w:sz w:val="28"/>
          <w:szCs w:val="28"/>
        </w:rPr>
        <w:t>I dedicate this dissertation to everyone who helped me along the way.</w:t>
      </w:r>
    </w:p>
    <w:p w14:paraId="6B529704" w14:textId="7367D555" w:rsidR="00526151" w:rsidRPr="00A42976" w:rsidRDefault="00044F9B" w:rsidP="00044F9B">
      <w:pPr>
        <w:jc w:val="center"/>
        <w:rPr>
          <w:rFonts w:ascii="Times New Roman" w:hAnsi="Times New Roman" w:cs="Times New Roman"/>
          <w:i/>
          <w:sz w:val="28"/>
          <w:szCs w:val="28"/>
        </w:rPr>
      </w:pPr>
      <w:r w:rsidRPr="00A42976">
        <w:rPr>
          <w:rFonts w:ascii="Times New Roman" w:hAnsi="Times New Roman" w:cs="Times New Roman"/>
          <w:i/>
          <w:sz w:val="28"/>
          <w:szCs w:val="28"/>
        </w:rPr>
        <w:t>It wouldn’t have happened without you.</w:t>
      </w:r>
    </w:p>
    <w:p w14:paraId="5A785722" w14:textId="77777777" w:rsidR="00526151" w:rsidRPr="00A42976" w:rsidRDefault="00526151" w:rsidP="005E54E2">
      <w:pPr>
        <w:rPr>
          <w:rFonts w:ascii="Times New Roman" w:hAnsi="Times New Roman" w:cs="Times New Roman"/>
        </w:rPr>
      </w:pPr>
    </w:p>
    <w:p w14:paraId="0DE3BA3C" w14:textId="293A352F" w:rsidR="00F40A7C" w:rsidRPr="00A42976" w:rsidRDefault="00387656" w:rsidP="005E54E2">
      <w:pPr>
        <w:rPr>
          <w:rFonts w:ascii="Times New Roman" w:hAnsi="Times New Roman" w:cs="Times New Roman"/>
        </w:rPr>
      </w:pPr>
      <w:r w:rsidRPr="00A42976">
        <w:rPr>
          <w:rFonts w:ascii="Times New Roman" w:hAnsi="Times New Roman" w:cs="Times New Roman"/>
        </w:rPr>
        <w:br w:type="page"/>
      </w:r>
    </w:p>
    <w:p w14:paraId="39171521" w14:textId="41C37ED8" w:rsidR="00F40A7C" w:rsidRPr="00A42976" w:rsidRDefault="00F40A7C" w:rsidP="00F40A7C">
      <w:pPr>
        <w:jc w:val="center"/>
        <w:rPr>
          <w:rFonts w:ascii="Times New Roman" w:hAnsi="Times New Roman" w:cs="Times New Roman"/>
          <w:b/>
        </w:rPr>
      </w:pPr>
      <w:r w:rsidRPr="00A42976">
        <w:rPr>
          <w:rFonts w:ascii="Times New Roman" w:hAnsi="Times New Roman" w:cs="Times New Roman"/>
          <w:b/>
          <w:sz w:val="28"/>
        </w:rPr>
        <w:lastRenderedPageBreak/>
        <w:t>ACKNOWLEDGEMENTS</w:t>
      </w:r>
    </w:p>
    <w:p w14:paraId="03E5EB21" w14:textId="0F8A9F94" w:rsidR="00F40A7C" w:rsidRPr="00A42976" w:rsidRDefault="00F40A7C" w:rsidP="00F40A7C">
      <w:pPr>
        <w:jc w:val="center"/>
        <w:rPr>
          <w:rFonts w:ascii="Times New Roman" w:hAnsi="Times New Roman" w:cs="Times New Roman"/>
          <w:b/>
        </w:rPr>
      </w:pPr>
    </w:p>
    <w:p w14:paraId="4F6AA5C2" w14:textId="5F004D91" w:rsidR="00D46315" w:rsidRPr="00A42976" w:rsidRDefault="00F40A7C" w:rsidP="00D46315">
      <w:pPr>
        <w:spacing w:line="480" w:lineRule="auto"/>
        <w:ind w:firstLine="720"/>
        <w:rPr>
          <w:rFonts w:ascii="Times New Roman" w:hAnsi="Times New Roman" w:cs="Times New Roman"/>
        </w:rPr>
      </w:pPr>
      <w:r w:rsidRPr="00A42976">
        <w:rPr>
          <w:rFonts w:ascii="Times New Roman" w:hAnsi="Times New Roman" w:cs="Times New Roman"/>
        </w:rPr>
        <w:t xml:space="preserve">First, and most importantly, I would like to take this opportunity to thank my supervisor, Dr. Sarah </w:t>
      </w:r>
      <w:proofErr w:type="spellStart"/>
      <w:r w:rsidRPr="00A42976">
        <w:rPr>
          <w:rFonts w:ascii="Times New Roman" w:hAnsi="Times New Roman" w:cs="Times New Roman"/>
        </w:rPr>
        <w:t>Moorey</w:t>
      </w:r>
      <w:proofErr w:type="spellEnd"/>
      <w:r w:rsidRPr="00A42976">
        <w:rPr>
          <w:rFonts w:ascii="Times New Roman" w:hAnsi="Times New Roman" w:cs="Times New Roman"/>
        </w:rPr>
        <w:t>. This project has come a long way from our rough sketches on scrap paper. I thoroughly enjoyed gaining the more hands</w:t>
      </w:r>
      <w:r w:rsidR="008A0E49">
        <w:rPr>
          <w:rFonts w:ascii="Times New Roman" w:hAnsi="Times New Roman" w:cs="Times New Roman"/>
        </w:rPr>
        <w:t>-</w:t>
      </w:r>
      <w:r w:rsidRPr="00A42976">
        <w:rPr>
          <w:rFonts w:ascii="Times New Roman" w:hAnsi="Times New Roman" w:cs="Times New Roman"/>
        </w:rPr>
        <w:t xml:space="preserve">on cow skillsets, learning OPU, and discovering my ambidextrous palpation talents. I would next like to thank my committee members Drs. Jon </w:t>
      </w:r>
      <w:proofErr w:type="spellStart"/>
      <w:r w:rsidRPr="00A42976">
        <w:rPr>
          <w:rFonts w:ascii="Times New Roman" w:hAnsi="Times New Roman" w:cs="Times New Roman"/>
        </w:rPr>
        <w:t>Beever</w:t>
      </w:r>
      <w:proofErr w:type="spellEnd"/>
      <w:r w:rsidRPr="00A42976">
        <w:rPr>
          <w:rFonts w:ascii="Times New Roman" w:hAnsi="Times New Roman" w:cs="Times New Roman"/>
        </w:rPr>
        <w:t xml:space="preserve">, </w:t>
      </w:r>
      <w:proofErr w:type="spellStart"/>
      <w:r w:rsidRPr="00A42976">
        <w:rPr>
          <w:rFonts w:ascii="Times New Roman" w:hAnsi="Times New Roman" w:cs="Times New Roman"/>
        </w:rPr>
        <w:t>Lannett</w:t>
      </w:r>
      <w:proofErr w:type="spellEnd"/>
      <w:r w:rsidRPr="00A42976">
        <w:rPr>
          <w:rFonts w:ascii="Times New Roman" w:hAnsi="Times New Roman" w:cs="Times New Roman"/>
        </w:rPr>
        <w:t xml:space="preserve"> Edwards, Tom Geary, and Dan Mathew for your input, support, advice, and consult throughout this project. Your efforts helped refine this project and make it what it is today. I would also like to thank my family and friends for their love and support.</w:t>
      </w:r>
      <w:r w:rsidR="00EF55E5" w:rsidRPr="00A42976">
        <w:rPr>
          <w:rFonts w:ascii="Times New Roman" w:hAnsi="Times New Roman" w:cs="Times New Roman"/>
        </w:rPr>
        <w:t xml:space="preserve"> Notably my wonderful husband Dylan Seago who provided endless support and made sure I ate during the writing process and my parents, siblings, Mary Ali Oliver, Jessica </w:t>
      </w:r>
      <w:proofErr w:type="spellStart"/>
      <w:r w:rsidR="00EF55E5" w:rsidRPr="00A42976">
        <w:rPr>
          <w:rFonts w:ascii="Times New Roman" w:hAnsi="Times New Roman" w:cs="Times New Roman"/>
        </w:rPr>
        <w:t>Klabnik</w:t>
      </w:r>
      <w:proofErr w:type="spellEnd"/>
      <w:r w:rsidR="00EF55E5" w:rsidRPr="00A42976">
        <w:rPr>
          <w:rFonts w:ascii="Times New Roman" w:hAnsi="Times New Roman" w:cs="Times New Roman"/>
        </w:rPr>
        <w:t xml:space="preserve">, </w:t>
      </w:r>
      <w:proofErr w:type="spellStart"/>
      <w:r w:rsidR="00EF55E5" w:rsidRPr="00A42976">
        <w:rPr>
          <w:rFonts w:ascii="Times New Roman" w:hAnsi="Times New Roman" w:cs="Times New Roman"/>
        </w:rPr>
        <w:t>Velislov</w:t>
      </w:r>
      <w:proofErr w:type="spellEnd"/>
      <w:r w:rsidR="00EF55E5" w:rsidRPr="00A42976">
        <w:rPr>
          <w:rFonts w:ascii="Times New Roman" w:hAnsi="Times New Roman" w:cs="Times New Roman"/>
        </w:rPr>
        <w:t xml:space="preserve"> Stamenov, Allyson Stokes, Emma Horn, Emma </w:t>
      </w:r>
      <w:proofErr w:type="spellStart"/>
      <w:r w:rsidR="00EF55E5" w:rsidRPr="00A42976">
        <w:rPr>
          <w:rFonts w:ascii="Times New Roman" w:hAnsi="Times New Roman" w:cs="Times New Roman"/>
        </w:rPr>
        <w:t>Hessock</w:t>
      </w:r>
      <w:proofErr w:type="spellEnd"/>
      <w:r w:rsidR="00EF55E5" w:rsidRPr="00A42976">
        <w:rPr>
          <w:rFonts w:ascii="Times New Roman" w:hAnsi="Times New Roman" w:cs="Times New Roman"/>
        </w:rPr>
        <w:t>, and Kathleen Wallace for providing encouragement when I needed it.</w:t>
      </w:r>
      <w:r w:rsidR="00D46315" w:rsidRPr="00A42976">
        <w:rPr>
          <w:rFonts w:ascii="Times New Roman" w:hAnsi="Times New Roman" w:cs="Times New Roman"/>
        </w:rPr>
        <w:t xml:space="preserve"> I would also like to thank Capybara Coffee for being the perfect place to work and the source of most of my productivity.</w:t>
      </w:r>
    </w:p>
    <w:p w14:paraId="541898B4" w14:textId="3C82C90B" w:rsidR="00F40A7C" w:rsidRPr="00A42976" w:rsidRDefault="00EF55E5" w:rsidP="00F40A7C">
      <w:pPr>
        <w:spacing w:line="480" w:lineRule="auto"/>
        <w:ind w:firstLine="720"/>
        <w:rPr>
          <w:rFonts w:ascii="Times New Roman" w:hAnsi="Times New Roman" w:cs="Times New Roman"/>
        </w:rPr>
      </w:pPr>
      <w:proofErr w:type="gramStart"/>
      <w:r w:rsidRPr="00A42976">
        <w:rPr>
          <w:rFonts w:ascii="Times New Roman" w:hAnsi="Times New Roman" w:cs="Times New Roman"/>
        </w:rPr>
        <w:t>Thanks</w:t>
      </w:r>
      <w:proofErr w:type="gramEnd"/>
      <w:r w:rsidRPr="00A42976">
        <w:rPr>
          <w:rFonts w:ascii="Times New Roman" w:hAnsi="Times New Roman" w:cs="Times New Roman"/>
        </w:rPr>
        <w:t xml:space="preserve"> are also due to the many people who helped with sample collections and processing a</w:t>
      </w:r>
      <w:r w:rsidR="00D46315" w:rsidRPr="00A42976">
        <w:rPr>
          <w:rFonts w:ascii="Times New Roman" w:hAnsi="Times New Roman" w:cs="Times New Roman"/>
        </w:rPr>
        <w:t>s well as</w:t>
      </w:r>
      <w:r w:rsidRPr="00A42976">
        <w:rPr>
          <w:rFonts w:ascii="Times New Roman" w:hAnsi="Times New Roman" w:cs="Times New Roman"/>
        </w:rPr>
        <w:t xml:space="preserve"> data analysis – Dr. Justin Rhinehart, Courtney Carter, Dr. Jessica </w:t>
      </w:r>
      <w:proofErr w:type="spellStart"/>
      <w:r w:rsidRPr="00A42976">
        <w:rPr>
          <w:rFonts w:ascii="Times New Roman" w:hAnsi="Times New Roman" w:cs="Times New Roman"/>
        </w:rPr>
        <w:t>Klabnik</w:t>
      </w:r>
      <w:proofErr w:type="spellEnd"/>
      <w:r w:rsidRPr="00A42976">
        <w:rPr>
          <w:rFonts w:ascii="Times New Roman" w:hAnsi="Times New Roman" w:cs="Times New Roman"/>
        </w:rPr>
        <w:t xml:space="preserve">, Dr. Rebecca Payton, Dr. Liesel Schneider, Emma Horn, Emma </w:t>
      </w:r>
      <w:proofErr w:type="spellStart"/>
      <w:r w:rsidRPr="00A42976">
        <w:rPr>
          <w:rFonts w:ascii="Times New Roman" w:hAnsi="Times New Roman" w:cs="Times New Roman"/>
        </w:rPr>
        <w:t>Hessock</w:t>
      </w:r>
      <w:proofErr w:type="spellEnd"/>
      <w:r w:rsidRPr="00A42976">
        <w:rPr>
          <w:rFonts w:ascii="Times New Roman" w:hAnsi="Times New Roman" w:cs="Times New Roman"/>
        </w:rPr>
        <w:t xml:space="preserve">, Abigayle Pollock, Hunter Liles, Julia </w:t>
      </w:r>
      <w:proofErr w:type="spellStart"/>
      <w:r w:rsidRPr="00A42976">
        <w:rPr>
          <w:rFonts w:ascii="Times New Roman" w:hAnsi="Times New Roman" w:cs="Times New Roman"/>
        </w:rPr>
        <w:t>Rowinski</w:t>
      </w:r>
      <w:proofErr w:type="spellEnd"/>
      <w:r w:rsidRPr="00A42976">
        <w:rPr>
          <w:rFonts w:ascii="Times New Roman" w:hAnsi="Times New Roman" w:cs="Times New Roman"/>
        </w:rPr>
        <w:t xml:space="preserve">, </w:t>
      </w:r>
      <w:proofErr w:type="spellStart"/>
      <w:r w:rsidRPr="00A42976">
        <w:rPr>
          <w:rFonts w:ascii="Times New Roman" w:hAnsi="Times New Roman" w:cs="Times New Roman"/>
        </w:rPr>
        <w:t>Sadi</w:t>
      </w:r>
      <w:proofErr w:type="spellEnd"/>
      <w:r w:rsidRPr="00A42976">
        <w:rPr>
          <w:rFonts w:ascii="Times New Roman" w:hAnsi="Times New Roman" w:cs="Times New Roman"/>
        </w:rPr>
        <w:t xml:space="preserve"> Bhandari, Ashton Kelly, Samantha Roberts, Meredith Hinson, Allyson Stokes, Kennedy Hill</w:t>
      </w:r>
      <w:r w:rsidR="00D46315" w:rsidRPr="00A42976">
        <w:rPr>
          <w:rFonts w:ascii="Times New Roman" w:hAnsi="Times New Roman" w:cs="Times New Roman"/>
        </w:rPr>
        <w:t>, Hector Castro, Shawn Campagna, Courtney Christopher, and Sara Howard</w:t>
      </w:r>
      <w:r w:rsidRPr="00A42976">
        <w:rPr>
          <w:rFonts w:ascii="Times New Roman" w:hAnsi="Times New Roman" w:cs="Times New Roman"/>
        </w:rPr>
        <w:t xml:space="preserve">. I would not have been able to do everything myself. </w:t>
      </w:r>
      <w:r w:rsidR="00D46315" w:rsidRPr="00A42976">
        <w:rPr>
          <w:rFonts w:ascii="Times New Roman" w:hAnsi="Times New Roman" w:cs="Times New Roman"/>
        </w:rPr>
        <w:t xml:space="preserve">Thank you also to Plateau </w:t>
      </w:r>
      <w:proofErr w:type="spellStart"/>
      <w:r w:rsidR="00D46315" w:rsidRPr="00A42976">
        <w:rPr>
          <w:rFonts w:ascii="Times New Roman" w:hAnsi="Times New Roman" w:cs="Times New Roman"/>
        </w:rPr>
        <w:t>AgResearch</w:t>
      </w:r>
      <w:proofErr w:type="spellEnd"/>
      <w:r w:rsidR="00D46315" w:rsidRPr="00A42976">
        <w:rPr>
          <w:rFonts w:ascii="Times New Roman" w:hAnsi="Times New Roman" w:cs="Times New Roman"/>
        </w:rPr>
        <w:t xml:space="preserve"> and Education Center for providing the cattle, facilities and staff needed to work the animals and collect our </w:t>
      </w:r>
      <w:r w:rsidR="00D46315" w:rsidRPr="00A42976">
        <w:rPr>
          <w:rFonts w:ascii="Times New Roman" w:hAnsi="Times New Roman" w:cs="Times New Roman"/>
        </w:rPr>
        <w:lastRenderedPageBreak/>
        <w:t xml:space="preserve">samples. Walt Hitch, Jeff </w:t>
      </w:r>
      <w:proofErr w:type="spellStart"/>
      <w:r w:rsidR="00D46315" w:rsidRPr="00A42976">
        <w:rPr>
          <w:rFonts w:ascii="Times New Roman" w:hAnsi="Times New Roman" w:cs="Times New Roman"/>
        </w:rPr>
        <w:t>Dowlen</w:t>
      </w:r>
      <w:proofErr w:type="spellEnd"/>
      <w:r w:rsidR="00D46315" w:rsidRPr="00A42976">
        <w:rPr>
          <w:rFonts w:ascii="Times New Roman" w:hAnsi="Times New Roman" w:cs="Times New Roman"/>
        </w:rPr>
        <w:t>, Steve Smith, Brent England, Tyler Green, Payton Miller, and Andy Carey – I greatly appreciate you staying late, working weekends, and disrupting your normal schedules so that this project could happen. Additionally, I would like to thank Southeastern Provision, LLC for allowing me to collect samples at their facility</w:t>
      </w:r>
      <w:r w:rsidR="00565029" w:rsidRPr="00A42976">
        <w:rPr>
          <w:rFonts w:ascii="Times New Roman" w:hAnsi="Times New Roman" w:cs="Times New Roman"/>
        </w:rPr>
        <w:t xml:space="preserve"> and Boyd Dingus for his generous donation of the </w:t>
      </w:r>
      <w:proofErr w:type="spellStart"/>
      <w:r w:rsidR="00565029" w:rsidRPr="00A42976">
        <w:rPr>
          <w:rFonts w:ascii="Times New Roman" w:hAnsi="Times New Roman" w:cs="Times New Roman"/>
        </w:rPr>
        <w:t>Estrotect</w:t>
      </w:r>
      <w:proofErr w:type="spellEnd"/>
      <w:r w:rsidR="00565029" w:rsidRPr="00A42976">
        <w:rPr>
          <w:rFonts w:ascii="Times New Roman" w:hAnsi="Times New Roman" w:cs="Times New Roman"/>
        </w:rPr>
        <w:t xml:space="preserve"> patches® used in the study</w:t>
      </w:r>
      <w:r w:rsidR="00D46315" w:rsidRPr="00A42976">
        <w:rPr>
          <w:rFonts w:ascii="Times New Roman" w:hAnsi="Times New Roman" w:cs="Times New Roman"/>
        </w:rPr>
        <w:t>.</w:t>
      </w:r>
    </w:p>
    <w:p w14:paraId="7687C0D7" w14:textId="070C0E4E" w:rsidR="00565029" w:rsidRPr="00A42976" w:rsidRDefault="00D46315" w:rsidP="00565029">
      <w:pPr>
        <w:spacing w:line="480" w:lineRule="auto"/>
        <w:ind w:firstLine="720"/>
        <w:rPr>
          <w:rFonts w:ascii="Times New Roman" w:hAnsi="Times New Roman" w:cs="Times New Roman"/>
        </w:rPr>
      </w:pPr>
      <w:r w:rsidRPr="00A42976">
        <w:rPr>
          <w:rFonts w:ascii="Times New Roman" w:hAnsi="Times New Roman" w:cs="Times New Roman"/>
        </w:rPr>
        <w:t xml:space="preserve">Last, but not least, I would like to </w:t>
      </w:r>
      <w:r w:rsidR="00565029" w:rsidRPr="00A42976">
        <w:rPr>
          <w:rFonts w:ascii="Times New Roman" w:hAnsi="Times New Roman" w:cs="Times New Roman"/>
        </w:rPr>
        <w:t xml:space="preserve">thank the USDA NIFA Hatch project 1022068, University of Tennessee </w:t>
      </w:r>
      <w:proofErr w:type="spellStart"/>
      <w:r w:rsidR="00565029" w:rsidRPr="00A42976">
        <w:rPr>
          <w:rFonts w:ascii="Times New Roman" w:hAnsi="Times New Roman" w:cs="Times New Roman"/>
        </w:rPr>
        <w:t>AgResearch</w:t>
      </w:r>
      <w:proofErr w:type="spellEnd"/>
      <w:r w:rsidR="00565029" w:rsidRPr="00A42976">
        <w:rPr>
          <w:rFonts w:ascii="Times New Roman" w:hAnsi="Times New Roman" w:cs="Times New Roman"/>
        </w:rPr>
        <w:t xml:space="preserve">, and the University of Tennessee Department of Animal Science for their support of this research. </w:t>
      </w:r>
    </w:p>
    <w:p w14:paraId="78559463" w14:textId="062AA197" w:rsidR="00F40A7C" w:rsidRPr="00A42976" w:rsidRDefault="00F40A7C" w:rsidP="00F40A7C">
      <w:pPr>
        <w:jc w:val="center"/>
        <w:rPr>
          <w:rFonts w:ascii="Times New Roman" w:hAnsi="Times New Roman" w:cs="Times New Roman"/>
          <w:b/>
        </w:rPr>
      </w:pPr>
    </w:p>
    <w:p w14:paraId="75F4AE4B" w14:textId="46CF62BD" w:rsidR="00F40A7C" w:rsidRPr="00A42976" w:rsidRDefault="00F40A7C" w:rsidP="00F40A7C">
      <w:pPr>
        <w:jc w:val="center"/>
        <w:rPr>
          <w:rFonts w:ascii="Times New Roman" w:hAnsi="Times New Roman" w:cs="Times New Roman"/>
          <w:b/>
        </w:rPr>
      </w:pPr>
    </w:p>
    <w:p w14:paraId="1D0BD14B" w14:textId="6968DB8C" w:rsidR="00F40A7C" w:rsidRPr="00A42976" w:rsidRDefault="00F40A7C" w:rsidP="00F40A7C">
      <w:pPr>
        <w:jc w:val="center"/>
        <w:rPr>
          <w:rFonts w:ascii="Times New Roman" w:hAnsi="Times New Roman" w:cs="Times New Roman"/>
          <w:b/>
        </w:rPr>
      </w:pPr>
    </w:p>
    <w:p w14:paraId="76BB77A0" w14:textId="10E9394D" w:rsidR="00F40A7C" w:rsidRPr="00A42976" w:rsidRDefault="00F40A7C" w:rsidP="00F40A7C">
      <w:pPr>
        <w:jc w:val="center"/>
        <w:rPr>
          <w:rFonts w:ascii="Times New Roman" w:hAnsi="Times New Roman" w:cs="Times New Roman"/>
          <w:b/>
        </w:rPr>
      </w:pPr>
    </w:p>
    <w:p w14:paraId="5E480255" w14:textId="0B8E5C09" w:rsidR="00F40A7C" w:rsidRPr="00A42976" w:rsidRDefault="00F40A7C" w:rsidP="00F40A7C">
      <w:pPr>
        <w:jc w:val="center"/>
        <w:rPr>
          <w:rFonts w:ascii="Times New Roman" w:hAnsi="Times New Roman" w:cs="Times New Roman"/>
          <w:b/>
        </w:rPr>
      </w:pPr>
    </w:p>
    <w:p w14:paraId="6F6D80FC" w14:textId="56FA3AD5" w:rsidR="00F40A7C" w:rsidRPr="00A42976" w:rsidRDefault="00F40A7C" w:rsidP="00F40A7C">
      <w:pPr>
        <w:jc w:val="center"/>
        <w:rPr>
          <w:rFonts w:ascii="Times New Roman" w:hAnsi="Times New Roman" w:cs="Times New Roman"/>
          <w:b/>
        </w:rPr>
      </w:pPr>
    </w:p>
    <w:p w14:paraId="58AFDDCF" w14:textId="6DDD45A2" w:rsidR="00F40A7C" w:rsidRPr="00A42976" w:rsidRDefault="00F40A7C" w:rsidP="00F40A7C">
      <w:pPr>
        <w:jc w:val="center"/>
        <w:rPr>
          <w:rFonts w:ascii="Times New Roman" w:hAnsi="Times New Roman" w:cs="Times New Roman"/>
          <w:b/>
        </w:rPr>
      </w:pPr>
    </w:p>
    <w:p w14:paraId="5CC54638" w14:textId="1723C19D" w:rsidR="00F40A7C" w:rsidRPr="00A42976" w:rsidRDefault="00F40A7C" w:rsidP="00F40A7C">
      <w:pPr>
        <w:jc w:val="center"/>
        <w:rPr>
          <w:rFonts w:ascii="Times New Roman" w:hAnsi="Times New Roman" w:cs="Times New Roman"/>
          <w:b/>
        </w:rPr>
      </w:pPr>
    </w:p>
    <w:p w14:paraId="51C773C2" w14:textId="6BB0BD81" w:rsidR="00F40A7C" w:rsidRPr="00A42976" w:rsidRDefault="00F40A7C" w:rsidP="00F40A7C">
      <w:pPr>
        <w:jc w:val="center"/>
        <w:rPr>
          <w:rFonts w:ascii="Times New Roman" w:hAnsi="Times New Roman" w:cs="Times New Roman"/>
          <w:b/>
        </w:rPr>
      </w:pPr>
    </w:p>
    <w:p w14:paraId="7662EA82" w14:textId="4BCB65C0" w:rsidR="00F40A7C" w:rsidRPr="00A42976" w:rsidRDefault="00F40A7C" w:rsidP="00F40A7C">
      <w:pPr>
        <w:jc w:val="center"/>
        <w:rPr>
          <w:rFonts w:ascii="Times New Roman" w:hAnsi="Times New Roman" w:cs="Times New Roman"/>
          <w:b/>
        </w:rPr>
      </w:pPr>
    </w:p>
    <w:p w14:paraId="550B5F93" w14:textId="305E68AA" w:rsidR="00F40A7C" w:rsidRPr="00A42976" w:rsidRDefault="00F40A7C" w:rsidP="00F40A7C">
      <w:pPr>
        <w:jc w:val="center"/>
        <w:rPr>
          <w:rFonts w:ascii="Times New Roman" w:hAnsi="Times New Roman" w:cs="Times New Roman"/>
          <w:b/>
        </w:rPr>
      </w:pPr>
    </w:p>
    <w:p w14:paraId="30E20891" w14:textId="6A6F6F1A" w:rsidR="00F40A7C" w:rsidRPr="00A42976" w:rsidRDefault="00F40A7C" w:rsidP="00F40A7C">
      <w:pPr>
        <w:jc w:val="center"/>
        <w:rPr>
          <w:rFonts w:ascii="Times New Roman" w:hAnsi="Times New Roman" w:cs="Times New Roman"/>
          <w:b/>
        </w:rPr>
      </w:pPr>
    </w:p>
    <w:p w14:paraId="50061CC6" w14:textId="158ABA17" w:rsidR="00F40A7C" w:rsidRPr="00A42976" w:rsidRDefault="00F40A7C" w:rsidP="00F40A7C">
      <w:pPr>
        <w:jc w:val="center"/>
        <w:rPr>
          <w:rFonts w:ascii="Times New Roman" w:hAnsi="Times New Roman" w:cs="Times New Roman"/>
          <w:b/>
        </w:rPr>
      </w:pPr>
    </w:p>
    <w:p w14:paraId="0611B5E3" w14:textId="707B7B69" w:rsidR="00F40A7C" w:rsidRPr="00A42976" w:rsidRDefault="00F40A7C" w:rsidP="00F40A7C">
      <w:pPr>
        <w:jc w:val="center"/>
        <w:rPr>
          <w:rFonts w:ascii="Times New Roman" w:hAnsi="Times New Roman" w:cs="Times New Roman"/>
          <w:b/>
        </w:rPr>
      </w:pPr>
    </w:p>
    <w:p w14:paraId="4C3A62F4" w14:textId="76F3158F" w:rsidR="00F40A7C" w:rsidRPr="00A42976" w:rsidRDefault="00F40A7C" w:rsidP="00F40A7C">
      <w:pPr>
        <w:jc w:val="center"/>
        <w:rPr>
          <w:rFonts w:ascii="Times New Roman" w:hAnsi="Times New Roman" w:cs="Times New Roman"/>
          <w:b/>
        </w:rPr>
      </w:pPr>
    </w:p>
    <w:p w14:paraId="668F16DE" w14:textId="1A6D2FAC" w:rsidR="00F40A7C" w:rsidRPr="00A42976" w:rsidRDefault="00F40A7C" w:rsidP="00F40A7C">
      <w:pPr>
        <w:jc w:val="center"/>
        <w:rPr>
          <w:rFonts w:ascii="Times New Roman" w:hAnsi="Times New Roman" w:cs="Times New Roman"/>
          <w:b/>
        </w:rPr>
      </w:pPr>
    </w:p>
    <w:p w14:paraId="69CA97F9" w14:textId="1C351808" w:rsidR="00F40A7C" w:rsidRPr="00A42976" w:rsidRDefault="00F40A7C" w:rsidP="00F40A7C">
      <w:pPr>
        <w:jc w:val="center"/>
        <w:rPr>
          <w:rFonts w:ascii="Times New Roman" w:hAnsi="Times New Roman" w:cs="Times New Roman"/>
          <w:b/>
        </w:rPr>
      </w:pPr>
    </w:p>
    <w:p w14:paraId="3BE7A5F3" w14:textId="40D63A36" w:rsidR="00F40A7C" w:rsidRPr="00A42976" w:rsidRDefault="00F40A7C" w:rsidP="00F40A7C">
      <w:pPr>
        <w:jc w:val="center"/>
        <w:rPr>
          <w:rFonts w:ascii="Times New Roman" w:hAnsi="Times New Roman" w:cs="Times New Roman"/>
          <w:b/>
        </w:rPr>
      </w:pPr>
    </w:p>
    <w:p w14:paraId="758408C6" w14:textId="655187FE" w:rsidR="00F40A7C" w:rsidRPr="00A42976" w:rsidRDefault="00F40A7C" w:rsidP="00F40A7C">
      <w:pPr>
        <w:jc w:val="center"/>
        <w:rPr>
          <w:rFonts w:ascii="Times New Roman" w:hAnsi="Times New Roman" w:cs="Times New Roman"/>
          <w:b/>
        </w:rPr>
      </w:pPr>
    </w:p>
    <w:p w14:paraId="03DB030E" w14:textId="0410D328" w:rsidR="00F40A7C" w:rsidRPr="00A42976" w:rsidRDefault="00F40A7C" w:rsidP="00F40A7C">
      <w:pPr>
        <w:jc w:val="center"/>
        <w:rPr>
          <w:rFonts w:ascii="Times New Roman" w:hAnsi="Times New Roman" w:cs="Times New Roman"/>
          <w:b/>
        </w:rPr>
      </w:pPr>
    </w:p>
    <w:p w14:paraId="1481594F" w14:textId="414BF2E2" w:rsidR="00F40A7C" w:rsidRPr="00A42976" w:rsidRDefault="00F40A7C" w:rsidP="00F40A7C">
      <w:pPr>
        <w:jc w:val="center"/>
        <w:rPr>
          <w:rFonts w:ascii="Times New Roman" w:hAnsi="Times New Roman" w:cs="Times New Roman"/>
          <w:b/>
        </w:rPr>
      </w:pPr>
    </w:p>
    <w:p w14:paraId="19B19102" w14:textId="4C14C973" w:rsidR="00F40A7C" w:rsidRPr="00A42976" w:rsidRDefault="00F40A7C" w:rsidP="00F40A7C">
      <w:pPr>
        <w:jc w:val="center"/>
        <w:rPr>
          <w:rFonts w:ascii="Times New Roman" w:hAnsi="Times New Roman" w:cs="Times New Roman"/>
          <w:b/>
        </w:rPr>
      </w:pPr>
    </w:p>
    <w:p w14:paraId="548124CE" w14:textId="796DDF7B" w:rsidR="00F40A7C" w:rsidRPr="00A42976" w:rsidRDefault="00F40A7C" w:rsidP="00F40A7C">
      <w:pPr>
        <w:jc w:val="center"/>
        <w:rPr>
          <w:rFonts w:ascii="Times New Roman" w:hAnsi="Times New Roman" w:cs="Times New Roman"/>
          <w:b/>
        </w:rPr>
      </w:pPr>
    </w:p>
    <w:p w14:paraId="07235A10" w14:textId="7242CC56" w:rsidR="00F40A7C" w:rsidRPr="00A42976" w:rsidRDefault="00F40A7C" w:rsidP="00F40A7C">
      <w:pPr>
        <w:jc w:val="center"/>
        <w:rPr>
          <w:rFonts w:ascii="Times New Roman" w:hAnsi="Times New Roman" w:cs="Times New Roman"/>
          <w:b/>
        </w:rPr>
      </w:pPr>
    </w:p>
    <w:p w14:paraId="07A5E5BF" w14:textId="026B9673" w:rsidR="00F40A7C" w:rsidRPr="00A42976" w:rsidRDefault="00F40A7C" w:rsidP="00F40A7C">
      <w:pPr>
        <w:jc w:val="center"/>
        <w:rPr>
          <w:rFonts w:ascii="Times New Roman" w:hAnsi="Times New Roman" w:cs="Times New Roman"/>
          <w:b/>
        </w:rPr>
      </w:pPr>
    </w:p>
    <w:p w14:paraId="658413BA" w14:textId="77777777" w:rsidR="00526151" w:rsidRPr="00A42976" w:rsidRDefault="00526151" w:rsidP="005E54E2">
      <w:pPr>
        <w:rPr>
          <w:rFonts w:ascii="Times New Roman" w:hAnsi="Times New Roman" w:cs="Times New Roman"/>
        </w:rPr>
      </w:pPr>
    </w:p>
    <w:p w14:paraId="6399930A" w14:textId="75F79479" w:rsidR="00060A6A" w:rsidRPr="00A42976" w:rsidRDefault="00236E6D" w:rsidP="00154DC0">
      <w:pPr>
        <w:pStyle w:val="Title"/>
        <w:spacing w:line="480" w:lineRule="auto"/>
        <w:rPr>
          <w:rFonts w:ascii="Times New Roman" w:hAnsi="Times New Roman" w:cs="Times New Roman"/>
          <w:sz w:val="24"/>
        </w:rPr>
      </w:pPr>
      <w:r w:rsidRPr="00A42976">
        <w:rPr>
          <w:rFonts w:ascii="Times New Roman" w:hAnsi="Times New Roman" w:cs="Times New Roman"/>
        </w:rPr>
        <w:lastRenderedPageBreak/>
        <w:t>ABSTRACT</w:t>
      </w:r>
    </w:p>
    <w:p w14:paraId="3A04BF4F" w14:textId="2E095ED3" w:rsidR="00154DC0" w:rsidRPr="00A42976" w:rsidRDefault="005946B9" w:rsidP="00154DC0">
      <w:pPr>
        <w:spacing w:line="480" w:lineRule="auto"/>
        <w:ind w:firstLine="720"/>
        <w:jc w:val="both"/>
        <w:rPr>
          <w:rFonts w:ascii="Times New Roman" w:hAnsi="Times New Roman" w:cs="Times New Roman"/>
        </w:rPr>
      </w:pPr>
      <w:r w:rsidRPr="00A42976">
        <w:rPr>
          <w:rFonts w:ascii="Times New Roman" w:hAnsi="Times New Roman" w:cs="Times New Roman"/>
          <w:bCs/>
          <w:iCs/>
        </w:rPr>
        <w:t>Fixed-Time</w:t>
      </w:r>
      <w:r w:rsidR="00154DC0" w:rsidRPr="00A42976">
        <w:rPr>
          <w:rFonts w:ascii="Times New Roman" w:hAnsi="Times New Roman" w:cs="Times New Roman"/>
          <w:bCs/>
          <w:iCs/>
        </w:rPr>
        <w:t xml:space="preserve"> artificial insemination (FTAI) has many benefits, however a subset of cattle inseminated during these protocols rely on the administration of gonadotropin releasing hormone (GnRH) to induce ovulation. Inducing ovulation prior to the animal’s endogenous gonadotropin surge results in reduced pregnancy rates, embryo survival, day seven embryo quality, and successful embryo cleavage in beef cows undergoing FTAI. RNA-sequencing of oocytes and associated cumulus cells collected from follicles prematurely exposed to a gonadotropin surge suggested reduced capacity for glucose metabolism in cumulus cells of follicles ≤11.7 mm. Based on this information, we designed a series of studies to investigate the relationship between physiological status of the pre-ovulatory follicle at exposure to an exogenous gonadotropin surge and the metabolic capacity of the oocyte and follicular environment. We synchronized the development of a pre-ovulatory follicle in 319 lactating, Angus beef cattle and collected the follicular contents approximately 20 hours after administration of GnRH to induce the pre-ovulatory gonadotropin surge. Metabolomics analysis of 43 follicular fluid samples identified 18 metabolites with a significant, positive correlation to pre-ovulatory follicle diameter. Individual and pathway enrichment analysis of significantly correlated metabolites suggested that altered glucose and amino acid metabolism likely contribute to reduced developmental competence of oocytes when small pre-ovulatory follicles undergo induced ovulation. To further relate oocyte metabolic capacity to follicle status, </w:t>
      </w:r>
      <w:r w:rsidR="00154DC0" w:rsidRPr="00A42976">
        <w:rPr>
          <w:rFonts w:ascii="Times New Roman" w:hAnsi="Times New Roman" w:cs="Times New Roman"/>
          <w:lang w:bidi="en-US"/>
        </w:rPr>
        <w:t>we developed and validated procedures to measure both mitochondrial DNA (</w:t>
      </w:r>
      <w:proofErr w:type="spellStart"/>
      <w:r w:rsidR="00154DC0" w:rsidRPr="00A42976">
        <w:rPr>
          <w:rFonts w:ascii="Times New Roman" w:hAnsi="Times New Roman" w:cs="Times New Roman"/>
          <w:lang w:bidi="en-US"/>
        </w:rPr>
        <w:t>mtDNA</w:t>
      </w:r>
      <w:proofErr w:type="spellEnd"/>
      <w:r w:rsidR="00154DC0" w:rsidRPr="00A42976">
        <w:rPr>
          <w:rFonts w:ascii="Times New Roman" w:hAnsi="Times New Roman" w:cs="Times New Roman"/>
          <w:lang w:bidi="en-US"/>
        </w:rPr>
        <w:t xml:space="preserve">) copy number and intraoocyte ATP in individual oocytes. </w:t>
      </w:r>
      <w:r w:rsidR="00154DC0" w:rsidRPr="00A42976">
        <w:rPr>
          <w:rFonts w:ascii="Times New Roman" w:hAnsi="Times New Roman" w:cs="Times New Roman"/>
        </w:rPr>
        <w:t xml:space="preserve">We next determined the relationship between </w:t>
      </w:r>
      <w:r w:rsidR="00154DC0" w:rsidRPr="00A42976">
        <w:rPr>
          <w:rFonts w:ascii="Times New Roman" w:hAnsi="Times New Roman" w:cs="Times New Roman"/>
        </w:rPr>
        <w:lastRenderedPageBreak/>
        <w:t xml:space="preserve">follicle physiological status and oocyte metabolic competence and follicular fluid metabolome profiles. Intraoocyte ATP content was significantly related to serum estradiol at </w:t>
      </w:r>
      <w:r w:rsidR="00DC2D0D" w:rsidRPr="00A42976">
        <w:rPr>
          <w:rFonts w:ascii="Times New Roman" w:hAnsi="Times New Roman" w:cs="Times New Roman"/>
        </w:rPr>
        <w:t>administration of gonadotropin releasing hormone to induce ovulation (GnRH2)</w:t>
      </w:r>
      <w:r w:rsidR="00154DC0" w:rsidRPr="00A42976">
        <w:rPr>
          <w:rFonts w:ascii="Times New Roman" w:hAnsi="Times New Roman" w:cs="Times New Roman"/>
        </w:rPr>
        <w:t xml:space="preserve"> and time between GnRH2 and follicle aspiration. Serum estradiol concentration at GnRH2 and follicular fluid progesterone concentration were positively correlated with the abundance of 22 and 61 follicular fluid metabolites, respectively. Pathway enrichment analysis of the significant metabolites suggested altered proteinogenesis, citric acid cycle, and pyrimidine metabolism. Collectively, our studies show that premature exposure to an exogenous gonadotropin surge results in reduced metabolic capacity of the oocyte as well as an altered follicular microenvironment.</w:t>
      </w:r>
    </w:p>
    <w:p w14:paraId="29D86904" w14:textId="77777777" w:rsidR="00645F7E" w:rsidRPr="00A42976" w:rsidRDefault="00645F7E" w:rsidP="00154DC0">
      <w:pPr>
        <w:spacing w:line="480" w:lineRule="auto"/>
        <w:ind w:firstLine="720"/>
        <w:jc w:val="both"/>
        <w:rPr>
          <w:rFonts w:ascii="Times New Roman" w:hAnsi="Times New Roman" w:cs="Times New Roman"/>
        </w:rPr>
      </w:pPr>
    </w:p>
    <w:p w14:paraId="1F64D7D4" w14:textId="77777777" w:rsidR="00A50F5A" w:rsidRPr="00A42976" w:rsidRDefault="00A50F5A" w:rsidP="00154DC0">
      <w:pPr>
        <w:pStyle w:val="Title"/>
        <w:spacing w:line="480" w:lineRule="auto"/>
        <w:jc w:val="both"/>
        <w:rPr>
          <w:rFonts w:ascii="Times New Roman" w:hAnsi="Times New Roman" w:cs="Times New Roman"/>
          <w:sz w:val="24"/>
        </w:rPr>
      </w:pPr>
    </w:p>
    <w:p w14:paraId="762BA34C" w14:textId="77777777" w:rsidR="00001957" w:rsidRDefault="00001957" w:rsidP="00357344">
      <w:pPr>
        <w:pStyle w:val="Title"/>
        <w:spacing w:line="480" w:lineRule="auto"/>
        <w:rPr>
          <w:rFonts w:ascii="Times New Roman" w:hAnsi="Times New Roman" w:cs="Times New Roman"/>
          <w:sz w:val="24"/>
        </w:rPr>
      </w:pPr>
    </w:p>
    <w:p w14:paraId="2C8DC3BF" w14:textId="77777777" w:rsidR="00001957" w:rsidRDefault="00001957" w:rsidP="00357344">
      <w:pPr>
        <w:pStyle w:val="Title"/>
        <w:spacing w:line="480" w:lineRule="auto"/>
        <w:rPr>
          <w:rFonts w:ascii="Times New Roman" w:hAnsi="Times New Roman" w:cs="Times New Roman"/>
          <w:sz w:val="24"/>
        </w:rPr>
      </w:pPr>
    </w:p>
    <w:p w14:paraId="3D73C285" w14:textId="77777777" w:rsidR="00001957" w:rsidRDefault="00001957" w:rsidP="00357344">
      <w:pPr>
        <w:pStyle w:val="Title"/>
        <w:spacing w:line="480" w:lineRule="auto"/>
        <w:rPr>
          <w:rFonts w:ascii="Times New Roman" w:hAnsi="Times New Roman" w:cs="Times New Roman"/>
          <w:sz w:val="24"/>
        </w:rPr>
      </w:pPr>
    </w:p>
    <w:p w14:paraId="47449027" w14:textId="77777777" w:rsidR="00001957" w:rsidRDefault="00001957" w:rsidP="00357344">
      <w:pPr>
        <w:pStyle w:val="Title"/>
        <w:spacing w:line="480" w:lineRule="auto"/>
        <w:rPr>
          <w:rFonts w:ascii="Times New Roman" w:hAnsi="Times New Roman" w:cs="Times New Roman"/>
          <w:sz w:val="24"/>
        </w:rPr>
      </w:pPr>
    </w:p>
    <w:p w14:paraId="3A015D0E" w14:textId="77777777" w:rsidR="00001957" w:rsidRDefault="00001957" w:rsidP="00357344">
      <w:pPr>
        <w:pStyle w:val="Title"/>
        <w:spacing w:line="480" w:lineRule="auto"/>
        <w:rPr>
          <w:rFonts w:ascii="Times New Roman" w:hAnsi="Times New Roman" w:cs="Times New Roman"/>
          <w:sz w:val="24"/>
        </w:rPr>
      </w:pPr>
    </w:p>
    <w:p w14:paraId="16708E58" w14:textId="77777777" w:rsidR="00001957" w:rsidRDefault="00001957" w:rsidP="00357344">
      <w:pPr>
        <w:pStyle w:val="Title"/>
        <w:spacing w:line="480" w:lineRule="auto"/>
        <w:rPr>
          <w:rFonts w:ascii="Times New Roman" w:hAnsi="Times New Roman" w:cs="Times New Roman"/>
          <w:sz w:val="24"/>
        </w:rPr>
      </w:pPr>
    </w:p>
    <w:p w14:paraId="7410E039" w14:textId="77777777" w:rsidR="00001957" w:rsidRDefault="00001957" w:rsidP="00357344">
      <w:pPr>
        <w:pStyle w:val="Title"/>
        <w:spacing w:line="480" w:lineRule="auto"/>
        <w:rPr>
          <w:rFonts w:ascii="Times New Roman" w:hAnsi="Times New Roman" w:cs="Times New Roman"/>
          <w:sz w:val="24"/>
        </w:rPr>
      </w:pPr>
    </w:p>
    <w:p w14:paraId="57D76427" w14:textId="77777777" w:rsidR="00001957" w:rsidRDefault="00001957" w:rsidP="00357344">
      <w:pPr>
        <w:pStyle w:val="Title"/>
        <w:spacing w:line="480" w:lineRule="auto"/>
        <w:rPr>
          <w:rFonts w:ascii="Times New Roman" w:hAnsi="Times New Roman" w:cs="Times New Roman"/>
          <w:sz w:val="24"/>
        </w:rPr>
      </w:pPr>
    </w:p>
    <w:p w14:paraId="534BC8D5" w14:textId="77777777" w:rsidR="00001957" w:rsidRDefault="00001957" w:rsidP="00357344">
      <w:pPr>
        <w:pStyle w:val="Title"/>
        <w:spacing w:line="480" w:lineRule="auto"/>
        <w:rPr>
          <w:rFonts w:ascii="Times New Roman" w:hAnsi="Times New Roman" w:cs="Times New Roman"/>
          <w:sz w:val="24"/>
        </w:rPr>
      </w:pPr>
    </w:p>
    <w:p w14:paraId="3353F146" w14:textId="77777777" w:rsidR="00001957" w:rsidRDefault="00001957" w:rsidP="00357344">
      <w:pPr>
        <w:pStyle w:val="Title"/>
        <w:spacing w:line="480" w:lineRule="auto"/>
        <w:rPr>
          <w:rFonts w:ascii="Times New Roman" w:hAnsi="Times New Roman" w:cs="Times New Roman"/>
          <w:sz w:val="24"/>
        </w:rPr>
      </w:pPr>
    </w:p>
    <w:p w14:paraId="0F41787E" w14:textId="77777777" w:rsidR="00001957" w:rsidRPr="004D1B7C" w:rsidRDefault="00001957" w:rsidP="004D1B7C">
      <w:pPr>
        <w:pStyle w:val="Title"/>
        <w:spacing w:line="480" w:lineRule="auto"/>
        <w:rPr>
          <w:rFonts w:ascii="Times New Roman" w:hAnsi="Times New Roman" w:cs="Times New Roman"/>
          <w:sz w:val="24"/>
        </w:rPr>
      </w:pPr>
      <w:r w:rsidRPr="00001957">
        <w:rPr>
          <w:rFonts w:ascii="Times New Roman" w:hAnsi="Times New Roman" w:cs="Times New Roman"/>
          <w:b w:val="0"/>
          <w:bCs/>
          <w:szCs w:val="28"/>
        </w:rPr>
        <w:lastRenderedPageBreak/>
        <w:t>T</w:t>
      </w:r>
      <w:r w:rsidRPr="00001957">
        <w:rPr>
          <w:rFonts w:ascii="Times New Roman" w:hAnsi="Times New Roman" w:cs="Times New Roman"/>
          <w:szCs w:val="28"/>
        </w:rPr>
        <w:t>ABLE OF CONTENTS</w:t>
      </w:r>
    </w:p>
    <w:p w14:paraId="05E84989" w14:textId="1700DEB4" w:rsidR="004D1B7C" w:rsidRPr="004D1B7C" w:rsidRDefault="00001957" w:rsidP="004D1B7C">
      <w:pPr>
        <w:pStyle w:val="TOC1"/>
        <w:tabs>
          <w:tab w:val="right" w:leader="dot" w:pos="8630"/>
        </w:tabs>
        <w:spacing w:line="480" w:lineRule="auto"/>
        <w:rPr>
          <w:rFonts w:ascii="Times New Roman" w:eastAsiaTheme="minorEastAsia" w:hAnsi="Times New Roman" w:cs="Times New Roman"/>
          <w:noProof/>
        </w:rPr>
      </w:pPr>
      <w:r w:rsidRPr="004D1B7C">
        <w:rPr>
          <w:rFonts w:ascii="Times New Roman" w:hAnsi="Times New Roman" w:cs="Times New Roman"/>
        </w:rPr>
        <w:fldChar w:fldCharType="begin"/>
      </w:r>
      <w:r w:rsidRPr="004D1B7C">
        <w:rPr>
          <w:rFonts w:ascii="Times New Roman" w:hAnsi="Times New Roman" w:cs="Times New Roman"/>
        </w:rPr>
        <w:instrText xml:space="preserve"> TOC \o "1-3" \h \z \u </w:instrText>
      </w:r>
      <w:r w:rsidRPr="004D1B7C">
        <w:rPr>
          <w:rFonts w:ascii="Times New Roman" w:hAnsi="Times New Roman" w:cs="Times New Roman"/>
        </w:rPr>
        <w:fldChar w:fldCharType="separate"/>
      </w:r>
      <w:hyperlink w:anchor="_Toc100072145" w:history="1">
        <w:r w:rsidR="004D1B7C" w:rsidRPr="004D1B7C">
          <w:rPr>
            <w:rStyle w:val="Hyperlink"/>
            <w:rFonts w:ascii="Times New Roman" w:hAnsi="Times New Roman" w:cs="Times New Roman"/>
            <w:noProof/>
          </w:rPr>
          <w:t>INTRODUCTION</w:t>
        </w:r>
        <w:r w:rsidR="004D1B7C" w:rsidRPr="004D1B7C">
          <w:rPr>
            <w:rFonts w:ascii="Times New Roman" w:hAnsi="Times New Roman" w:cs="Times New Roman"/>
            <w:noProof/>
            <w:webHidden/>
          </w:rPr>
          <w:tab/>
        </w:r>
        <w:r w:rsidR="004D1B7C" w:rsidRPr="004D1B7C">
          <w:rPr>
            <w:rFonts w:ascii="Times New Roman" w:hAnsi="Times New Roman" w:cs="Times New Roman"/>
            <w:noProof/>
            <w:webHidden/>
          </w:rPr>
          <w:fldChar w:fldCharType="begin"/>
        </w:r>
        <w:r w:rsidR="004D1B7C" w:rsidRPr="004D1B7C">
          <w:rPr>
            <w:rFonts w:ascii="Times New Roman" w:hAnsi="Times New Roman" w:cs="Times New Roman"/>
            <w:noProof/>
            <w:webHidden/>
          </w:rPr>
          <w:instrText xml:space="preserve"> PAGEREF _Toc100072145 \h </w:instrText>
        </w:r>
        <w:r w:rsidR="004D1B7C" w:rsidRPr="004D1B7C">
          <w:rPr>
            <w:rFonts w:ascii="Times New Roman" w:hAnsi="Times New Roman" w:cs="Times New Roman"/>
            <w:noProof/>
            <w:webHidden/>
          </w:rPr>
        </w:r>
        <w:r w:rsidR="004D1B7C" w:rsidRPr="004D1B7C">
          <w:rPr>
            <w:rFonts w:ascii="Times New Roman" w:hAnsi="Times New Roman" w:cs="Times New Roman"/>
            <w:noProof/>
            <w:webHidden/>
          </w:rPr>
          <w:fldChar w:fldCharType="separate"/>
        </w:r>
        <w:r w:rsidR="004D1B7C" w:rsidRPr="004D1B7C">
          <w:rPr>
            <w:rFonts w:ascii="Times New Roman" w:hAnsi="Times New Roman" w:cs="Times New Roman"/>
            <w:noProof/>
            <w:webHidden/>
          </w:rPr>
          <w:t>1</w:t>
        </w:r>
        <w:r w:rsidR="004D1B7C" w:rsidRPr="004D1B7C">
          <w:rPr>
            <w:rFonts w:ascii="Times New Roman" w:hAnsi="Times New Roman" w:cs="Times New Roman"/>
            <w:noProof/>
            <w:webHidden/>
          </w:rPr>
          <w:fldChar w:fldCharType="end"/>
        </w:r>
      </w:hyperlink>
    </w:p>
    <w:p w14:paraId="3B59D2FA" w14:textId="3433B5B2" w:rsidR="004D1B7C" w:rsidRPr="004D1B7C" w:rsidRDefault="004D1B7C" w:rsidP="004D1B7C">
      <w:pPr>
        <w:pStyle w:val="TOC1"/>
        <w:tabs>
          <w:tab w:val="right" w:leader="dot" w:pos="8630"/>
        </w:tabs>
        <w:spacing w:line="480" w:lineRule="auto"/>
        <w:rPr>
          <w:rFonts w:ascii="Times New Roman" w:eastAsiaTheme="minorEastAsia" w:hAnsi="Times New Roman" w:cs="Times New Roman"/>
          <w:noProof/>
        </w:rPr>
      </w:pPr>
      <w:hyperlink w:anchor="_Toc100072146" w:history="1">
        <w:r w:rsidRPr="004D1B7C">
          <w:rPr>
            <w:rStyle w:val="Hyperlink"/>
            <w:rFonts w:ascii="Times New Roman" w:hAnsi="Times New Roman" w:cs="Times New Roman"/>
            <w:noProof/>
          </w:rPr>
          <w:t>CHAPTER I</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_Toc100072146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7</w:t>
        </w:r>
        <w:r w:rsidRPr="004D1B7C">
          <w:rPr>
            <w:rFonts w:ascii="Times New Roman" w:hAnsi="Times New Roman" w:cs="Times New Roman"/>
            <w:noProof/>
            <w:webHidden/>
          </w:rPr>
          <w:fldChar w:fldCharType="end"/>
        </w:r>
      </w:hyperlink>
    </w:p>
    <w:p w14:paraId="7FFFA239" w14:textId="0D70DBF4" w:rsidR="004D1B7C" w:rsidRPr="004D1B7C" w:rsidRDefault="004D1B7C" w:rsidP="004D1B7C">
      <w:pPr>
        <w:pStyle w:val="TOC1"/>
        <w:tabs>
          <w:tab w:val="right" w:leader="dot" w:pos="8630"/>
        </w:tabs>
        <w:spacing w:line="480" w:lineRule="auto"/>
        <w:rPr>
          <w:rFonts w:ascii="Times New Roman" w:eastAsiaTheme="minorEastAsia" w:hAnsi="Times New Roman" w:cs="Times New Roman"/>
          <w:noProof/>
        </w:rPr>
      </w:pPr>
      <w:hyperlink w:anchor="_Toc100072147" w:history="1">
        <w:r w:rsidRPr="004D1B7C">
          <w:rPr>
            <w:rStyle w:val="Hyperlink"/>
            <w:rFonts w:ascii="Times New Roman" w:hAnsi="Times New Roman" w:cs="Times New Roman"/>
            <w:noProof/>
          </w:rPr>
          <w:t>Literature Review</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_Toc100072147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7</w:t>
        </w:r>
        <w:r w:rsidRPr="004D1B7C">
          <w:rPr>
            <w:rFonts w:ascii="Times New Roman" w:hAnsi="Times New Roman" w:cs="Times New Roman"/>
            <w:noProof/>
            <w:webHidden/>
          </w:rPr>
          <w:fldChar w:fldCharType="end"/>
        </w:r>
      </w:hyperlink>
    </w:p>
    <w:p w14:paraId="0CFF6A02" w14:textId="2C060A74" w:rsidR="004D1B7C" w:rsidRPr="004D1B7C" w:rsidRDefault="004D1B7C" w:rsidP="004D1B7C">
      <w:pPr>
        <w:pStyle w:val="TOC2"/>
        <w:spacing w:line="480" w:lineRule="auto"/>
        <w:rPr>
          <w:rFonts w:ascii="Times New Roman" w:eastAsiaTheme="minorEastAsia" w:hAnsi="Times New Roman" w:cs="Times New Roman"/>
          <w:noProof/>
        </w:rPr>
      </w:pPr>
      <w:hyperlink w:anchor="_Toc100072148" w:history="1">
        <w:r w:rsidRPr="004D1B7C">
          <w:rPr>
            <w:rStyle w:val="Hyperlink"/>
            <w:rFonts w:ascii="Times New Roman" w:hAnsi="Times New Roman" w:cs="Times New Roman"/>
            <w:noProof/>
          </w:rPr>
          <w:t>US Cattle Production and Fixed-Time Artificial Insemination</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_Toc100072148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8</w:t>
        </w:r>
        <w:r w:rsidRPr="004D1B7C">
          <w:rPr>
            <w:rFonts w:ascii="Times New Roman" w:hAnsi="Times New Roman" w:cs="Times New Roman"/>
            <w:noProof/>
            <w:webHidden/>
          </w:rPr>
          <w:fldChar w:fldCharType="end"/>
        </w:r>
      </w:hyperlink>
    </w:p>
    <w:p w14:paraId="3D928799" w14:textId="1D15E9FE" w:rsidR="004D1B7C" w:rsidRPr="004D1B7C" w:rsidRDefault="004D1B7C" w:rsidP="004D1B7C">
      <w:pPr>
        <w:pStyle w:val="TOC2"/>
        <w:spacing w:line="480" w:lineRule="auto"/>
        <w:rPr>
          <w:rFonts w:ascii="Times New Roman" w:eastAsiaTheme="minorEastAsia" w:hAnsi="Times New Roman" w:cs="Times New Roman"/>
          <w:noProof/>
        </w:rPr>
      </w:pPr>
      <w:hyperlink w:anchor="_Toc100072149" w:history="1">
        <w:r w:rsidRPr="004D1B7C">
          <w:rPr>
            <w:rStyle w:val="Hyperlink"/>
            <w:rFonts w:ascii="Times New Roman" w:hAnsi="Times New Roman" w:cs="Times New Roman"/>
            <w:noProof/>
          </w:rPr>
          <w:t>Oocyte Developmental Competence and Follicle Physiological Status</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_Toc100072149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12</w:t>
        </w:r>
        <w:r w:rsidRPr="004D1B7C">
          <w:rPr>
            <w:rFonts w:ascii="Times New Roman" w:hAnsi="Times New Roman" w:cs="Times New Roman"/>
            <w:noProof/>
            <w:webHidden/>
          </w:rPr>
          <w:fldChar w:fldCharType="end"/>
        </w:r>
      </w:hyperlink>
    </w:p>
    <w:p w14:paraId="3968CD40" w14:textId="0DFC7699"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50" w:history="1">
        <w:r w:rsidRPr="004D1B7C">
          <w:rPr>
            <w:rStyle w:val="Hyperlink"/>
            <w:rFonts w:ascii="Times New Roman" w:hAnsi="Times New Roman" w:cs="Times New Roman"/>
            <w:noProof/>
          </w:rPr>
          <w:t>2.1 Acquisition of oocyte developmental competence during oocyte and follicle growth</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_Toc100072150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13</w:t>
        </w:r>
        <w:r w:rsidRPr="004D1B7C">
          <w:rPr>
            <w:rFonts w:ascii="Times New Roman" w:hAnsi="Times New Roman" w:cs="Times New Roman"/>
            <w:noProof/>
            <w:webHidden/>
          </w:rPr>
          <w:fldChar w:fldCharType="end"/>
        </w:r>
      </w:hyperlink>
    </w:p>
    <w:p w14:paraId="0496F3D5" w14:textId="62AE1B3E"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51" w:history="1">
        <w:r w:rsidRPr="004D1B7C">
          <w:rPr>
            <w:rStyle w:val="Hyperlink"/>
            <w:rFonts w:ascii="Times New Roman" w:hAnsi="Times New Roman" w:cs="Times New Roman"/>
            <w:noProof/>
          </w:rPr>
          <w:t>2.2 The effects of follicle physiological status on oocyte developmental competence</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_Toc100072151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17</w:t>
        </w:r>
        <w:r w:rsidRPr="004D1B7C">
          <w:rPr>
            <w:rFonts w:ascii="Times New Roman" w:hAnsi="Times New Roman" w:cs="Times New Roman"/>
            <w:noProof/>
            <w:webHidden/>
          </w:rPr>
          <w:fldChar w:fldCharType="end"/>
        </w:r>
      </w:hyperlink>
    </w:p>
    <w:p w14:paraId="2E14F537" w14:textId="5D7581CA" w:rsidR="004D1B7C" w:rsidRPr="004D1B7C" w:rsidRDefault="004D1B7C" w:rsidP="004D1B7C">
      <w:pPr>
        <w:pStyle w:val="TOC2"/>
        <w:spacing w:line="480" w:lineRule="auto"/>
        <w:rPr>
          <w:rFonts w:ascii="Times New Roman" w:eastAsiaTheme="minorEastAsia" w:hAnsi="Times New Roman" w:cs="Times New Roman"/>
          <w:noProof/>
        </w:rPr>
      </w:pPr>
      <w:hyperlink w:anchor="_Toc100072152" w:history="1">
        <w:r w:rsidRPr="004D1B7C">
          <w:rPr>
            <w:rStyle w:val="Hyperlink"/>
            <w:rFonts w:ascii="Times New Roman" w:hAnsi="Times New Roman" w:cs="Times New Roman"/>
            <w:noProof/>
          </w:rPr>
          <w:t>Metabolic Capacity of the COC and Embryo Development</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_Toc100072152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24</w:t>
        </w:r>
        <w:r w:rsidRPr="004D1B7C">
          <w:rPr>
            <w:rFonts w:ascii="Times New Roman" w:hAnsi="Times New Roman" w:cs="Times New Roman"/>
            <w:noProof/>
            <w:webHidden/>
          </w:rPr>
          <w:fldChar w:fldCharType="end"/>
        </w:r>
      </w:hyperlink>
    </w:p>
    <w:p w14:paraId="751019B7" w14:textId="06F5B4B9" w:rsidR="004D1B7C" w:rsidRPr="004D1B7C" w:rsidRDefault="004D1B7C" w:rsidP="004D1B7C">
      <w:pPr>
        <w:pStyle w:val="TOC1"/>
        <w:tabs>
          <w:tab w:val="right" w:leader="dot" w:pos="8630"/>
        </w:tabs>
        <w:spacing w:line="480" w:lineRule="auto"/>
        <w:rPr>
          <w:rFonts w:ascii="Times New Roman" w:eastAsiaTheme="minorEastAsia" w:hAnsi="Times New Roman" w:cs="Times New Roman"/>
          <w:noProof/>
        </w:rPr>
      </w:pPr>
      <w:hyperlink w:anchor="_Toc100072153" w:history="1">
        <w:r w:rsidRPr="004D1B7C">
          <w:rPr>
            <w:rStyle w:val="Hyperlink"/>
            <w:rFonts w:ascii="Times New Roman" w:hAnsi="Times New Roman" w:cs="Times New Roman"/>
            <w:noProof/>
          </w:rPr>
          <w:t>CHAPTER II</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_Toc100072153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36</w:t>
        </w:r>
        <w:r w:rsidRPr="004D1B7C">
          <w:rPr>
            <w:rFonts w:ascii="Times New Roman" w:hAnsi="Times New Roman" w:cs="Times New Roman"/>
            <w:noProof/>
            <w:webHidden/>
          </w:rPr>
          <w:fldChar w:fldCharType="end"/>
        </w:r>
      </w:hyperlink>
    </w:p>
    <w:p w14:paraId="05B7806A" w14:textId="27572687" w:rsidR="004D1B7C" w:rsidRPr="004D1B7C" w:rsidRDefault="004D1B7C" w:rsidP="004D1B7C">
      <w:pPr>
        <w:pStyle w:val="TOC2"/>
        <w:spacing w:line="480" w:lineRule="auto"/>
        <w:rPr>
          <w:rFonts w:ascii="Times New Roman" w:eastAsiaTheme="minorEastAsia" w:hAnsi="Times New Roman" w:cs="Times New Roman"/>
          <w:noProof/>
        </w:rPr>
      </w:pPr>
      <w:hyperlink w:anchor="_Toc100072154" w:history="1">
        <w:r w:rsidRPr="004D1B7C">
          <w:rPr>
            <w:rStyle w:val="Hyperlink"/>
            <w:rFonts w:ascii="Times New Roman" w:hAnsi="Times New Roman" w:cs="Times New Roman"/>
            <w:noProof/>
          </w:rPr>
          <w:t>Abstract</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_Toc100072154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37</w:t>
        </w:r>
        <w:r w:rsidRPr="004D1B7C">
          <w:rPr>
            <w:rFonts w:ascii="Times New Roman" w:hAnsi="Times New Roman" w:cs="Times New Roman"/>
            <w:noProof/>
            <w:webHidden/>
          </w:rPr>
          <w:fldChar w:fldCharType="end"/>
        </w:r>
      </w:hyperlink>
    </w:p>
    <w:p w14:paraId="6BC60A98" w14:textId="668A6DFE" w:rsidR="004D1B7C" w:rsidRPr="004D1B7C" w:rsidRDefault="004D1B7C" w:rsidP="004D1B7C">
      <w:pPr>
        <w:pStyle w:val="TOC2"/>
        <w:spacing w:line="480" w:lineRule="auto"/>
        <w:rPr>
          <w:rFonts w:ascii="Times New Roman" w:eastAsiaTheme="minorEastAsia" w:hAnsi="Times New Roman" w:cs="Times New Roman"/>
          <w:noProof/>
        </w:rPr>
      </w:pPr>
      <w:hyperlink w:anchor="_Toc100072155" w:history="1">
        <w:r w:rsidRPr="004D1B7C">
          <w:rPr>
            <w:rStyle w:val="Hyperlink"/>
            <w:rFonts w:ascii="Times New Roman" w:hAnsi="Times New Roman" w:cs="Times New Roman"/>
            <w:noProof/>
          </w:rPr>
          <w:t>Introduction</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_Toc100072155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38</w:t>
        </w:r>
        <w:r w:rsidRPr="004D1B7C">
          <w:rPr>
            <w:rFonts w:ascii="Times New Roman" w:hAnsi="Times New Roman" w:cs="Times New Roman"/>
            <w:noProof/>
            <w:webHidden/>
          </w:rPr>
          <w:fldChar w:fldCharType="end"/>
        </w:r>
      </w:hyperlink>
    </w:p>
    <w:p w14:paraId="279149E1" w14:textId="11DE0D58" w:rsidR="004D1B7C" w:rsidRPr="004D1B7C" w:rsidRDefault="004D1B7C" w:rsidP="004D1B7C">
      <w:pPr>
        <w:pStyle w:val="TOC2"/>
        <w:spacing w:line="480" w:lineRule="auto"/>
        <w:rPr>
          <w:rFonts w:ascii="Times New Roman" w:eastAsiaTheme="minorEastAsia" w:hAnsi="Times New Roman" w:cs="Times New Roman"/>
          <w:noProof/>
        </w:rPr>
      </w:pPr>
      <w:hyperlink w:anchor="_Toc100072156" w:history="1">
        <w:r w:rsidRPr="004D1B7C">
          <w:rPr>
            <w:rStyle w:val="Hyperlink"/>
            <w:rFonts w:ascii="Times New Roman" w:hAnsi="Times New Roman" w:cs="Times New Roman"/>
            <w:noProof/>
          </w:rPr>
          <w:t>Materials and Methods</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_Toc100072156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41</w:t>
        </w:r>
        <w:r w:rsidRPr="004D1B7C">
          <w:rPr>
            <w:rFonts w:ascii="Times New Roman" w:hAnsi="Times New Roman" w:cs="Times New Roman"/>
            <w:noProof/>
            <w:webHidden/>
          </w:rPr>
          <w:fldChar w:fldCharType="end"/>
        </w:r>
      </w:hyperlink>
    </w:p>
    <w:p w14:paraId="0BCBFC81" w14:textId="70FB3F63"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57" w:history="1">
        <w:r w:rsidRPr="004D1B7C">
          <w:rPr>
            <w:rStyle w:val="Hyperlink"/>
            <w:rFonts w:ascii="Times New Roman" w:hAnsi="Times New Roman" w:cs="Times New Roman"/>
            <w:noProof/>
          </w:rPr>
          <w:t>Animal handling and synchronization of pre-ovulatory follicle development</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_Toc100072157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41</w:t>
        </w:r>
        <w:r w:rsidRPr="004D1B7C">
          <w:rPr>
            <w:rFonts w:ascii="Times New Roman" w:hAnsi="Times New Roman" w:cs="Times New Roman"/>
            <w:noProof/>
            <w:webHidden/>
          </w:rPr>
          <w:fldChar w:fldCharType="end"/>
        </w:r>
      </w:hyperlink>
    </w:p>
    <w:p w14:paraId="2BA2AA72" w14:textId="594CEF54"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58" w:history="1">
        <w:r w:rsidRPr="004D1B7C">
          <w:rPr>
            <w:rStyle w:val="Hyperlink"/>
            <w:rFonts w:ascii="Times New Roman" w:hAnsi="Times New Roman" w:cs="Times New Roman"/>
            <w:noProof/>
          </w:rPr>
          <w:t>Transvaginal aspiration for collection of follicular fluid from the pre-ovulatory follicle</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_Toc100072158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42</w:t>
        </w:r>
        <w:r w:rsidRPr="004D1B7C">
          <w:rPr>
            <w:rFonts w:ascii="Times New Roman" w:hAnsi="Times New Roman" w:cs="Times New Roman"/>
            <w:noProof/>
            <w:webHidden/>
          </w:rPr>
          <w:fldChar w:fldCharType="end"/>
        </w:r>
      </w:hyperlink>
    </w:p>
    <w:p w14:paraId="1A719921" w14:textId="50B6A0ED"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59" w:history="1">
        <w:r w:rsidRPr="004D1B7C">
          <w:rPr>
            <w:rStyle w:val="Hyperlink"/>
            <w:rFonts w:ascii="Times New Roman" w:hAnsi="Times New Roman" w:cs="Times New Roman"/>
            <w:noProof/>
          </w:rPr>
          <w:t>Follicular fluid processing</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_Toc100072159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44</w:t>
        </w:r>
        <w:r w:rsidRPr="004D1B7C">
          <w:rPr>
            <w:rFonts w:ascii="Times New Roman" w:hAnsi="Times New Roman" w:cs="Times New Roman"/>
            <w:noProof/>
            <w:webHidden/>
          </w:rPr>
          <w:fldChar w:fldCharType="end"/>
        </w:r>
      </w:hyperlink>
    </w:p>
    <w:p w14:paraId="130C45EE" w14:textId="186D20F6"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60" w:history="1">
        <w:r w:rsidRPr="004D1B7C">
          <w:rPr>
            <w:rStyle w:val="Hyperlink"/>
            <w:rFonts w:ascii="Times New Roman" w:hAnsi="Times New Roman" w:cs="Times New Roman"/>
            <w:noProof/>
          </w:rPr>
          <w:t>UHPLC-HRMS metabolomics</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_Toc100072160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45</w:t>
        </w:r>
        <w:r w:rsidRPr="004D1B7C">
          <w:rPr>
            <w:rFonts w:ascii="Times New Roman" w:hAnsi="Times New Roman" w:cs="Times New Roman"/>
            <w:noProof/>
            <w:webHidden/>
          </w:rPr>
          <w:fldChar w:fldCharType="end"/>
        </w:r>
      </w:hyperlink>
    </w:p>
    <w:p w14:paraId="58E3851D" w14:textId="0D2DD777"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61" w:history="1">
        <w:r w:rsidRPr="004D1B7C">
          <w:rPr>
            <w:rStyle w:val="Hyperlink"/>
            <w:rFonts w:ascii="Times New Roman" w:hAnsi="Times New Roman" w:cs="Times New Roman"/>
            <w:noProof/>
          </w:rPr>
          <w:t>Primary data analysis</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_Toc100072161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45</w:t>
        </w:r>
        <w:r w:rsidRPr="004D1B7C">
          <w:rPr>
            <w:rFonts w:ascii="Times New Roman" w:hAnsi="Times New Roman" w:cs="Times New Roman"/>
            <w:noProof/>
            <w:webHidden/>
          </w:rPr>
          <w:fldChar w:fldCharType="end"/>
        </w:r>
      </w:hyperlink>
    </w:p>
    <w:p w14:paraId="2B769895" w14:textId="58D6909E"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62" w:history="1">
        <w:r w:rsidRPr="004D1B7C">
          <w:rPr>
            <w:rStyle w:val="Hyperlink"/>
            <w:rFonts w:ascii="Times New Roman" w:hAnsi="Times New Roman" w:cs="Times New Roman"/>
            <w:noProof/>
          </w:rPr>
          <w:t>Statistical analyses</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_Toc100072162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46</w:t>
        </w:r>
        <w:r w:rsidRPr="004D1B7C">
          <w:rPr>
            <w:rFonts w:ascii="Times New Roman" w:hAnsi="Times New Roman" w:cs="Times New Roman"/>
            <w:noProof/>
            <w:webHidden/>
          </w:rPr>
          <w:fldChar w:fldCharType="end"/>
        </w:r>
      </w:hyperlink>
    </w:p>
    <w:p w14:paraId="7FC846F2" w14:textId="16FE3E05" w:rsidR="004D1B7C" w:rsidRPr="004D1B7C" w:rsidRDefault="004D1B7C" w:rsidP="004D1B7C">
      <w:pPr>
        <w:pStyle w:val="TOC2"/>
        <w:spacing w:line="480" w:lineRule="auto"/>
        <w:rPr>
          <w:rFonts w:ascii="Times New Roman" w:eastAsiaTheme="minorEastAsia" w:hAnsi="Times New Roman" w:cs="Times New Roman"/>
          <w:noProof/>
        </w:rPr>
      </w:pPr>
      <w:hyperlink w:anchor="_Toc100072163" w:history="1">
        <w:r w:rsidRPr="004D1B7C">
          <w:rPr>
            <w:rStyle w:val="Hyperlink"/>
            <w:rFonts w:ascii="Times New Roman" w:hAnsi="Times New Roman" w:cs="Times New Roman"/>
            <w:noProof/>
            <w:lang w:bidi="en-US"/>
          </w:rPr>
          <w:t>Results and Discussion</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_Toc100072163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47</w:t>
        </w:r>
        <w:r w:rsidRPr="004D1B7C">
          <w:rPr>
            <w:rFonts w:ascii="Times New Roman" w:hAnsi="Times New Roman" w:cs="Times New Roman"/>
            <w:noProof/>
            <w:webHidden/>
          </w:rPr>
          <w:fldChar w:fldCharType="end"/>
        </w:r>
      </w:hyperlink>
    </w:p>
    <w:p w14:paraId="4156A24F" w14:textId="0212FA3F"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64" w:history="1">
        <w:r w:rsidRPr="004D1B7C">
          <w:rPr>
            <w:rStyle w:val="Hyperlink"/>
            <w:rFonts w:ascii="Times New Roman" w:hAnsi="Times New Roman" w:cs="Times New Roman"/>
            <w:noProof/>
            <w:lang w:bidi="en-US"/>
          </w:rPr>
          <w:t>Animal Data</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_Toc100072164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47</w:t>
        </w:r>
        <w:r w:rsidRPr="004D1B7C">
          <w:rPr>
            <w:rFonts w:ascii="Times New Roman" w:hAnsi="Times New Roman" w:cs="Times New Roman"/>
            <w:noProof/>
            <w:webHidden/>
          </w:rPr>
          <w:fldChar w:fldCharType="end"/>
        </w:r>
      </w:hyperlink>
    </w:p>
    <w:p w14:paraId="339D75DC" w14:textId="3C673D83"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65" w:history="1">
        <w:r w:rsidRPr="004D1B7C">
          <w:rPr>
            <w:rStyle w:val="Hyperlink"/>
            <w:rFonts w:ascii="Times New Roman" w:hAnsi="Times New Roman" w:cs="Times New Roman"/>
            <w:noProof/>
          </w:rPr>
          <w:t>Metabolome profiles of follicular fluid collected from pre-ovulatory follicles of lactating beef cows</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_Toc100072165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50</w:t>
        </w:r>
        <w:r w:rsidRPr="004D1B7C">
          <w:rPr>
            <w:rFonts w:ascii="Times New Roman" w:hAnsi="Times New Roman" w:cs="Times New Roman"/>
            <w:noProof/>
            <w:webHidden/>
          </w:rPr>
          <w:fldChar w:fldCharType="end"/>
        </w:r>
      </w:hyperlink>
    </w:p>
    <w:p w14:paraId="3ABF4580" w14:textId="25F8EF30"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66" w:history="1">
        <w:r w:rsidRPr="004D1B7C">
          <w:rPr>
            <w:rStyle w:val="Hyperlink"/>
            <w:rFonts w:ascii="Times New Roman" w:hAnsi="Times New Roman" w:cs="Times New Roman"/>
            <w:noProof/>
          </w:rPr>
          <w:t>The impact of increasing pre-ovulatory follicle diameter on the follicular fluid metabolome</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_Toc100072166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51</w:t>
        </w:r>
        <w:r w:rsidRPr="004D1B7C">
          <w:rPr>
            <w:rFonts w:ascii="Times New Roman" w:hAnsi="Times New Roman" w:cs="Times New Roman"/>
            <w:noProof/>
            <w:webHidden/>
          </w:rPr>
          <w:fldChar w:fldCharType="end"/>
        </w:r>
      </w:hyperlink>
    </w:p>
    <w:p w14:paraId="56DA0B67" w14:textId="442C25D2" w:rsidR="004D1B7C" w:rsidRPr="004D1B7C" w:rsidRDefault="004D1B7C" w:rsidP="004D1B7C">
      <w:pPr>
        <w:pStyle w:val="TOC2"/>
        <w:spacing w:line="480" w:lineRule="auto"/>
        <w:rPr>
          <w:rFonts w:ascii="Times New Roman" w:eastAsiaTheme="minorEastAsia" w:hAnsi="Times New Roman" w:cs="Times New Roman"/>
          <w:noProof/>
        </w:rPr>
      </w:pPr>
      <w:hyperlink w:anchor="_Toc100072167" w:history="1">
        <w:r w:rsidRPr="004D1B7C">
          <w:rPr>
            <w:rStyle w:val="Hyperlink"/>
            <w:rFonts w:ascii="Times New Roman" w:hAnsi="Times New Roman" w:cs="Times New Roman"/>
            <w:noProof/>
          </w:rPr>
          <w:t>Conclusions</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_Toc100072167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63</w:t>
        </w:r>
        <w:r w:rsidRPr="004D1B7C">
          <w:rPr>
            <w:rFonts w:ascii="Times New Roman" w:hAnsi="Times New Roman" w:cs="Times New Roman"/>
            <w:noProof/>
            <w:webHidden/>
          </w:rPr>
          <w:fldChar w:fldCharType="end"/>
        </w:r>
      </w:hyperlink>
    </w:p>
    <w:p w14:paraId="05F44856" w14:textId="192BFC06" w:rsidR="004D1B7C" w:rsidRPr="004D1B7C" w:rsidRDefault="004D1B7C" w:rsidP="004D1B7C">
      <w:pPr>
        <w:pStyle w:val="TOC1"/>
        <w:tabs>
          <w:tab w:val="right" w:leader="dot" w:pos="8630"/>
        </w:tabs>
        <w:spacing w:line="480" w:lineRule="auto"/>
        <w:rPr>
          <w:rFonts w:ascii="Times New Roman" w:eastAsiaTheme="minorEastAsia" w:hAnsi="Times New Roman" w:cs="Times New Roman"/>
          <w:noProof/>
        </w:rPr>
      </w:pPr>
      <w:hyperlink w:anchor="_Toc100072168" w:history="1">
        <w:r w:rsidRPr="004D1B7C">
          <w:rPr>
            <w:rStyle w:val="Hyperlink"/>
            <w:rFonts w:ascii="Times New Roman" w:hAnsi="Times New Roman" w:cs="Times New Roman"/>
            <w:noProof/>
          </w:rPr>
          <w:t>CHAPTER III</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_Toc100072168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65</w:t>
        </w:r>
        <w:r w:rsidRPr="004D1B7C">
          <w:rPr>
            <w:rFonts w:ascii="Times New Roman" w:hAnsi="Times New Roman" w:cs="Times New Roman"/>
            <w:noProof/>
            <w:webHidden/>
          </w:rPr>
          <w:fldChar w:fldCharType="end"/>
        </w:r>
      </w:hyperlink>
    </w:p>
    <w:p w14:paraId="0787BD86" w14:textId="583BFF14" w:rsidR="004D1B7C" w:rsidRPr="004D1B7C" w:rsidRDefault="004D1B7C" w:rsidP="004D1B7C">
      <w:pPr>
        <w:pStyle w:val="TOC1"/>
        <w:tabs>
          <w:tab w:val="right" w:leader="dot" w:pos="8630"/>
        </w:tabs>
        <w:spacing w:line="480" w:lineRule="auto"/>
        <w:rPr>
          <w:rFonts w:ascii="Times New Roman" w:eastAsiaTheme="minorEastAsia" w:hAnsi="Times New Roman" w:cs="Times New Roman"/>
          <w:noProof/>
        </w:rPr>
      </w:pPr>
      <w:hyperlink w:anchor="_Toc100072169" w:history="1">
        <w:r w:rsidRPr="004D1B7C">
          <w:rPr>
            <w:rStyle w:val="Hyperlink"/>
            <w:rFonts w:ascii="Times New Roman" w:hAnsi="Times New Roman" w:cs="Times New Roman"/>
            <w:noProof/>
          </w:rPr>
          <w:t>CONCURRENT MEASUREMENT OF MITOCHONDRIAL DNA COPY NUMBER AND ATP CONCENTRATION IN SINGLE BOVINE OOCYTES</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_Toc100072169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65</w:t>
        </w:r>
        <w:r w:rsidRPr="004D1B7C">
          <w:rPr>
            <w:rFonts w:ascii="Times New Roman" w:hAnsi="Times New Roman" w:cs="Times New Roman"/>
            <w:noProof/>
            <w:webHidden/>
          </w:rPr>
          <w:fldChar w:fldCharType="end"/>
        </w:r>
      </w:hyperlink>
    </w:p>
    <w:p w14:paraId="7D7E6C95" w14:textId="231AA3DD" w:rsidR="004D1B7C" w:rsidRPr="004D1B7C" w:rsidRDefault="004D1B7C" w:rsidP="004D1B7C">
      <w:pPr>
        <w:pStyle w:val="TOC2"/>
        <w:spacing w:line="480" w:lineRule="auto"/>
        <w:rPr>
          <w:rFonts w:ascii="Times New Roman" w:eastAsiaTheme="minorEastAsia" w:hAnsi="Times New Roman" w:cs="Times New Roman"/>
          <w:noProof/>
        </w:rPr>
      </w:pPr>
      <w:hyperlink w:anchor="_Toc100072170" w:history="1">
        <w:r w:rsidRPr="004D1B7C">
          <w:rPr>
            <w:rStyle w:val="Hyperlink"/>
            <w:rFonts w:ascii="Times New Roman" w:hAnsi="Times New Roman" w:cs="Times New Roman"/>
            <w:noProof/>
          </w:rPr>
          <w:t>Abstract</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_Toc100072170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66</w:t>
        </w:r>
        <w:r w:rsidRPr="004D1B7C">
          <w:rPr>
            <w:rFonts w:ascii="Times New Roman" w:hAnsi="Times New Roman" w:cs="Times New Roman"/>
            <w:noProof/>
            <w:webHidden/>
          </w:rPr>
          <w:fldChar w:fldCharType="end"/>
        </w:r>
      </w:hyperlink>
    </w:p>
    <w:p w14:paraId="76188517" w14:textId="7CD5421E" w:rsidR="004D1B7C" w:rsidRPr="004D1B7C" w:rsidRDefault="004D1B7C" w:rsidP="004D1B7C">
      <w:pPr>
        <w:pStyle w:val="TOC2"/>
        <w:spacing w:line="480" w:lineRule="auto"/>
        <w:rPr>
          <w:rFonts w:ascii="Times New Roman" w:eastAsiaTheme="minorEastAsia" w:hAnsi="Times New Roman" w:cs="Times New Roman"/>
          <w:noProof/>
        </w:rPr>
      </w:pPr>
      <w:hyperlink w:anchor="_Toc100072171" w:history="1">
        <w:r w:rsidRPr="004D1B7C">
          <w:rPr>
            <w:rStyle w:val="Hyperlink"/>
            <w:rFonts w:ascii="Times New Roman" w:hAnsi="Times New Roman" w:cs="Times New Roman"/>
            <w:noProof/>
          </w:rPr>
          <w:t>Introduction</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_Toc100072171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67</w:t>
        </w:r>
        <w:r w:rsidRPr="004D1B7C">
          <w:rPr>
            <w:rFonts w:ascii="Times New Roman" w:hAnsi="Times New Roman" w:cs="Times New Roman"/>
            <w:noProof/>
            <w:webHidden/>
          </w:rPr>
          <w:fldChar w:fldCharType="end"/>
        </w:r>
      </w:hyperlink>
    </w:p>
    <w:p w14:paraId="25B6B207" w14:textId="0A4F7DB8" w:rsidR="004D1B7C" w:rsidRPr="004D1B7C" w:rsidRDefault="004D1B7C" w:rsidP="004D1B7C">
      <w:pPr>
        <w:pStyle w:val="TOC2"/>
        <w:spacing w:line="480" w:lineRule="auto"/>
        <w:rPr>
          <w:rFonts w:ascii="Times New Roman" w:eastAsiaTheme="minorEastAsia" w:hAnsi="Times New Roman" w:cs="Times New Roman"/>
          <w:noProof/>
        </w:rPr>
      </w:pPr>
      <w:hyperlink w:anchor="_Toc100072172" w:history="1">
        <w:r w:rsidRPr="004D1B7C">
          <w:rPr>
            <w:rStyle w:val="Hyperlink"/>
            <w:rFonts w:ascii="Times New Roman" w:hAnsi="Times New Roman" w:cs="Times New Roman"/>
            <w:noProof/>
          </w:rPr>
          <w:t>Materials and Methods</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_Toc100072172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69</w:t>
        </w:r>
        <w:r w:rsidRPr="004D1B7C">
          <w:rPr>
            <w:rFonts w:ascii="Times New Roman" w:hAnsi="Times New Roman" w:cs="Times New Roman"/>
            <w:noProof/>
            <w:webHidden/>
          </w:rPr>
          <w:fldChar w:fldCharType="end"/>
        </w:r>
      </w:hyperlink>
    </w:p>
    <w:p w14:paraId="6CD874F5" w14:textId="2EABB3EE"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73" w:history="1">
        <w:r w:rsidRPr="004D1B7C">
          <w:rPr>
            <w:rStyle w:val="Hyperlink"/>
            <w:rFonts w:ascii="Times New Roman" w:hAnsi="Times New Roman" w:cs="Times New Roman"/>
            <w:noProof/>
          </w:rPr>
          <w:t>Collection of cumulus-oocyte-complexes</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_Toc100072173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69</w:t>
        </w:r>
        <w:r w:rsidRPr="004D1B7C">
          <w:rPr>
            <w:rFonts w:ascii="Times New Roman" w:hAnsi="Times New Roman" w:cs="Times New Roman"/>
            <w:noProof/>
            <w:webHidden/>
          </w:rPr>
          <w:fldChar w:fldCharType="end"/>
        </w:r>
      </w:hyperlink>
    </w:p>
    <w:p w14:paraId="470BC09B" w14:textId="6146B58C"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74" w:history="1">
        <w:r w:rsidRPr="004D1B7C">
          <w:rPr>
            <w:rStyle w:val="Hyperlink"/>
            <w:rFonts w:ascii="Times New Roman" w:hAnsi="Times New Roman" w:cs="Times New Roman"/>
            <w:noProof/>
            <w:lang w:bidi="en-US"/>
          </w:rPr>
          <w:t>TaqMan Primer and Probe Design</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_Toc100072174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70</w:t>
        </w:r>
        <w:r w:rsidRPr="004D1B7C">
          <w:rPr>
            <w:rFonts w:ascii="Times New Roman" w:hAnsi="Times New Roman" w:cs="Times New Roman"/>
            <w:noProof/>
            <w:webHidden/>
          </w:rPr>
          <w:fldChar w:fldCharType="end"/>
        </w:r>
      </w:hyperlink>
    </w:p>
    <w:p w14:paraId="28E8DFD7" w14:textId="4C28F13B"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75" w:history="1">
        <w:r w:rsidRPr="004D1B7C">
          <w:rPr>
            <w:rStyle w:val="Hyperlink"/>
            <w:rFonts w:ascii="Times New Roman" w:hAnsi="Times New Roman" w:cs="Times New Roman"/>
            <w:noProof/>
            <w:lang w:bidi="en-US"/>
          </w:rPr>
          <w:t>Validation</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_Toc100072175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70</w:t>
        </w:r>
        <w:r w:rsidRPr="004D1B7C">
          <w:rPr>
            <w:rFonts w:ascii="Times New Roman" w:hAnsi="Times New Roman" w:cs="Times New Roman"/>
            <w:noProof/>
            <w:webHidden/>
          </w:rPr>
          <w:fldChar w:fldCharType="end"/>
        </w:r>
      </w:hyperlink>
    </w:p>
    <w:p w14:paraId="08DFF34E" w14:textId="1F41F2AE"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76" w:history="1">
        <w:r w:rsidRPr="004D1B7C">
          <w:rPr>
            <w:rStyle w:val="Hyperlink"/>
            <w:rFonts w:ascii="Times New Roman" w:hAnsi="Times New Roman" w:cs="Times New Roman"/>
            <w:noProof/>
            <w:lang w:bidi="en-US"/>
          </w:rPr>
          <w:t>Germinal Vesicle and Metaphase II Comparison</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_Toc100072176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73</w:t>
        </w:r>
        <w:r w:rsidRPr="004D1B7C">
          <w:rPr>
            <w:rFonts w:ascii="Times New Roman" w:hAnsi="Times New Roman" w:cs="Times New Roman"/>
            <w:noProof/>
            <w:webHidden/>
          </w:rPr>
          <w:fldChar w:fldCharType="end"/>
        </w:r>
      </w:hyperlink>
    </w:p>
    <w:p w14:paraId="1285B3A8" w14:textId="7B466F53"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77" w:history="1">
        <w:r w:rsidRPr="004D1B7C">
          <w:rPr>
            <w:rStyle w:val="Hyperlink"/>
            <w:rFonts w:ascii="Times New Roman" w:hAnsi="Times New Roman" w:cs="Times New Roman"/>
            <w:noProof/>
          </w:rPr>
          <w:t>Statistics and Analyses</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_Toc100072177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75</w:t>
        </w:r>
        <w:r w:rsidRPr="004D1B7C">
          <w:rPr>
            <w:rFonts w:ascii="Times New Roman" w:hAnsi="Times New Roman" w:cs="Times New Roman"/>
            <w:noProof/>
            <w:webHidden/>
          </w:rPr>
          <w:fldChar w:fldCharType="end"/>
        </w:r>
      </w:hyperlink>
    </w:p>
    <w:p w14:paraId="2E49EFFA" w14:textId="7C0D4EB0" w:rsidR="004D1B7C" w:rsidRPr="004D1B7C" w:rsidRDefault="004D1B7C" w:rsidP="004D1B7C">
      <w:pPr>
        <w:pStyle w:val="TOC2"/>
        <w:spacing w:line="480" w:lineRule="auto"/>
        <w:rPr>
          <w:rFonts w:ascii="Times New Roman" w:eastAsiaTheme="minorEastAsia" w:hAnsi="Times New Roman" w:cs="Times New Roman"/>
          <w:noProof/>
        </w:rPr>
      </w:pPr>
      <w:hyperlink w:anchor="_Toc100072178" w:history="1">
        <w:r w:rsidRPr="004D1B7C">
          <w:rPr>
            <w:rStyle w:val="Hyperlink"/>
            <w:rFonts w:ascii="Times New Roman" w:hAnsi="Times New Roman" w:cs="Times New Roman"/>
            <w:noProof/>
            <w:lang w:bidi="en-US"/>
          </w:rPr>
          <w:t>Results and Discussion</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_Toc100072178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77</w:t>
        </w:r>
        <w:r w:rsidRPr="004D1B7C">
          <w:rPr>
            <w:rFonts w:ascii="Times New Roman" w:hAnsi="Times New Roman" w:cs="Times New Roman"/>
            <w:noProof/>
            <w:webHidden/>
          </w:rPr>
          <w:fldChar w:fldCharType="end"/>
        </w:r>
      </w:hyperlink>
    </w:p>
    <w:p w14:paraId="65880948" w14:textId="1AE8CA0F"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79" w:history="1">
        <w:r w:rsidRPr="004D1B7C">
          <w:rPr>
            <w:rStyle w:val="Hyperlink"/>
            <w:rFonts w:ascii="Times New Roman" w:hAnsi="Times New Roman" w:cs="Times New Roman"/>
            <w:noProof/>
            <w:lang w:bidi="en-US"/>
          </w:rPr>
          <w:t>Standards Quality</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_Toc100072179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77</w:t>
        </w:r>
        <w:r w:rsidRPr="004D1B7C">
          <w:rPr>
            <w:rFonts w:ascii="Times New Roman" w:hAnsi="Times New Roman" w:cs="Times New Roman"/>
            <w:noProof/>
            <w:webHidden/>
          </w:rPr>
          <w:fldChar w:fldCharType="end"/>
        </w:r>
      </w:hyperlink>
    </w:p>
    <w:p w14:paraId="2ED90997" w14:textId="2F9B38EB"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80" w:history="1">
        <w:r w:rsidRPr="004D1B7C">
          <w:rPr>
            <w:rStyle w:val="Hyperlink"/>
            <w:rFonts w:ascii="Times New Roman" w:hAnsi="Times New Roman" w:cs="Times New Roman"/>
            <w:noProof/>
            <w:lang w:bidi="en-US"/>
          </w:rPr>
          <w:t>Validation of Procedures for Quantification of ATP and mtDNA Copy Number in Quarter Oocyte Equivalents</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_Toc100072180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77</w:t>
        </w:r>
        <w:r w:rsidRPr="004D1B7C">
          <w:rPr>
            <w:rFonts w:ascii="Times New Roman" w:hAnsi="Times New Roman" w:cs="Times New Roman"/>
            <w:noProof/>
            <w:webHidden/>
          </w:rPr>
          <w:fldChar w:fldCharType="end"/>
        </w:r>
      </w:hyperlink>
    </w:p>
    <w:p w14:paraId="5751B80D" w14:textId="75DB941B"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81" w:history="1">
        <w:r w:rsidRPr="004D1B7C">
          <w:rPr>
            <w:rStyle w:val="Hyperlink"/>
            <w:rFonts w:ascii="Times New Roman" w:hAnsi="Times New Roman" w:cs="Times New Roman"/>
            <w:noProof/>
            <w:lang w:bidi="en-US"/>
          </w:rPr>
          <w:t>ATP and mtDNA Copy Number in GV versus MII Oocytes</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_Toc100072181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78</w:t>
        </w:r>
        <w:r w:rsidRPr="004D1B7C">
          <w:rPr>
            <w:rFonts w:ascii="Times New Roman" w:hAnsi="Times New Roman" w:cs="Times New Roman"/>
            <w:noProof/>
            <w:webHidden/>
          </w:rPr>
          <w:fldChar w:fldCharType="end"/>
        </w:r>
      </w:hyperlink>
    </w:p>
    <w:p w14:paraId="750EAE86" w14:textId="791A7CFA" w:rsidR="004D1B7C" w:rsidRPr="004D1B7C" w:rsidRDefault="004D1B7C" w:rsidP="004D1B7C">
      <w:pPr>
        <w:pStyle w:val="TOC2"/>
        <w:spacing w:line="480" w:lineRule="auto"/>
        <w:rPr>
          <w:rFonts w:ascii="Times New Roman" w:eastAsiaTheme="minorEastAsia" w:hAnsi="Times New Roman" w:cs="Times New Roman"/>
          <w:noProof/>
        </w:rPr>
      </w:pPr>
      <w:hyperlink w:anchor="_Toc100072182" w:history="1">
        <w:r w:rsidRPr="004D1B7C">
          <w:rPr>
            <w:rStyle w:val="Hyperlink"/>
            <w:rFonts w:ascii="Times New Roman" w:hAnsi="Times New Roman" w:cs="Times New Roman"/>
            <w:noProof/>
            <w:lang w:bidi="en-US"/>
          </w:rPr>
          <w:t>Conclusions</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_Toc100072182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80</w:t>
        </w:r>
        <w:r w:rsidRPr="004D1B7C">
          <w:rPr>
            <w:rFonts w:ascii="Times New Roman" w:hAnsi="Times New Roman" w:cs="Times New Roman"/>
            <w:noProof/>
            <w:webHidden/>
          </w:rPr>
          <w:fldChar w:fldCharType="end"/>
        </w:r>
      </w:hyperlink>
    </w:p>
    <w:p w14:paraId="4F4A48C9" w14:textId="20BEBAC4" w:rsidR="004D1B7C" w:rsidRPr="004D1B7C" w:rsidRDefault="004D1B7C" w:rsidP="004D1B7C">
      <w:pPr>
        <w:pStyle w:val="TOC1"/>
        <w:tabs>
          <w:tab w:val="right" w:leader="dot" w:pos="8630"/>
        </w:tabs>
        <w:spacing w:line="480" w:lineRule="auto"/>
        <w:rPr>
          <w:rFonts w:ascii="Times New Roman" w:eastAsiaTheme="minorEastAsia" w:hAnsi="Times New Roman" w:cs="Times New Roman"/>
          <w:noProof/>
        </w:rPr>
      </w:pPr>
      <w:hyperlink w:anchor="_Toc100072183" w:history="1">
        <w:r w:rsidRPr="004D1B7C">
          <w:rPr>
            <w:rStyle w:val="Hyperlink"/>
            <w:rFonts w:ascii="Times New Roman" w:hAnsi="Times New Roman" w:cs="Times New Roman"/>
            <w:noProof/>
          </w:rPr>
          <w:t>CHAPTER IV</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_Toc100072183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82</w:t>
        </w:r>
        <w:r w:rsidRPr="004D1B7C">
          <w:rPr>
            <w:rFonts w:ascii="Times New Roman" w:hAnsi="Times New Roman" w:cs="Times New Roman"/>
            <w:noProof/>
            <w:webHidden/>
          </w:rPr>
          <w:fldChar w:fldCharType="end"/>
        </w:r>
      </w:hyperlink>
    </w:p>
    <w:p w14:paraId="6FD71578" w14:textId="7E9EE066" w:rsidR="004D1B7C" w:rsidRPr="004D1B7C" w:rsidRDefault="004D1B7C" w:rsidP="004D1B7C">
      <w:pPr>
        <w:pStyle w:val="TOC1"/>
        <w:tabs>
          <w:tab w:val="right" w:leader="dot" w:pos="8630"/>
        </w:tabs>
        <w:spacing w:line="480" w:lineRule="auto"/>
        <w:rPr>
          <w:rFonts w:ascii="Times New Roman" w:eastAsiaTheme="minorEastAsia" w:hAnsi="Times New Roman" w:cs="Times New Roman"/>
          <w:noProof/>
        </w:rPr>
      </w:pPr>
      <w:hyperlink w:anchor="_Toc100072184" w:history="1">
        <w:r w:rsidRPr="004D1B7C">
          <w:rPr>
            <w:rStyle w:val="Hyperlink"/>
            <w:rFonts w:ascii="Times New Roman" w:hAnsi="Times New Roman" w:cs="Times New Roman"/>
            <w:noProof/>
          </w:rPr>
          <w:t>PRE-OVULATORY SERUM ESTRADIOL CONCENTRATION IS POSITIVELY CORRELATED WITH OOCYTE ATP AND FOLLICULAR FLUID METABOLITE ABUNDANCE</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_Toc100072184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82</w:t>
        </w:r>
        <w:r w:rsidRPr="004D1B7C">
          <w:rPr>
            <w:rFonts w:ascii="Times New Roman" w:hAnsi="Times New Roman" w:cs="Times New Roman"/>
            <w:noProof/>
            <w:webHidden/>
          </w:rPr>
          <w:fldChar w:fldCharType="end"/>
        </w:r>
      </w:hyperlink>
    </w:p>
    <w:p w14:paraId="295F7D41" w14:textId="11E7F761" w:rsidR="004D1B7C" w:rsidRPr="004D1B7C" w:rsidRDefault="004D1B7C" w:rsidP="004D1B7C">
      <w:pPr>
        <w:pStyle w:val="TOC2"/>
        <w:spacing w:line="480" w:lineRule="auto"/>
        <w:rPr>
          <w:rFonts w:ascii="Times New Roman" w:eastAsiaTheme="minorEastAsia" w:hAnsi="Times New Roman" w:cs="Times New Roman"/>
          <w:noProof/>
        </w:rPr>
      </w:pPr>
      <w:hyperlink w:anchor="_Toc100072185" w:history="1">
        <w:r w:rsidRPr="004D1B7C">
          <w:rPr>
            <w:rStyle w:val="Hyperlink"/>
            <w:rFonts w:ascii="Times New Roman" w:hAnsi="Times New Roman" w:cs="Times New Roman"/>
            <w:noProof/>
          </w:rPr>
          <w:t>Abstract</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_Toc100072185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83</w:t>
        </w:r>
        <w:r w:rsidRPr="004D1B7C">
          <w:rPr>
            <w:rFonts w:ascii="Times New Roman" w:hAnsi="Times New Roman" w:cs="Times New Roman"/>
            <w:noProof/>
            <w:webHidden/>
          </w:rPr>
          <w:fldChar w:fldCharType="end"/>
        </w:r>
      </w:hyperlink>
    </w:p>
    <w:p w14:paraId="4F54E660" w14:textId="6CCDD35A" w:rsidR="004D1B7C" w:rsidRPr="004D1B7C" w:rsidRDefault="004D1B7C" w:rsidP="004D1B7C">
      <w:pPr>
        <w:pStyle w:val="TOC2"/>
        <w:spacing w:line="480" w:lineRule="auto"/>
        <w:rPr>
          <w:rFonts w:ascii="Times New Roman" w:eastAsiaTheme="minorEastAsia" w:hAnsi="Times New Roman" w:cs="Times New Roman"/>
          <w:noProof/>
        </w:rPr>
      </w:pPr>
      <w:hyperlink w:anchor="_Toc100072186" w:history="1">
        <w:r w:rsidRPr="004D1B7C">
          <w:rPr>
            <w:rStyle w:val="Hyperlink"/>
            <w:rFonts w:ascii="Times New Roman" w:hAnsi="Times New Roman" w:cs="Times New Roman"/>
            <w:noProof/>
          </w:rPr>
          <w:t>Introduction</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_Toc100072186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85</w:t>
        </w:r>
        <w:r w:rsidRPr="004D1B7C">
          <w:rPr>
            <w:rFonts w:ascii="Times New Roman" w:hAnsi="Times New Roman" w:cs="Times New Roman"/>
            <w:noProof/>
            <w:webHidden/>
          </w:rPr>
          <w:fldChar w:fldCharType="end"/>
        </w:r>
      </w:hyperlink>
    </w:p>
    <w:p w14:paraId="0716E0D2" w14:textId="6AB487F2" w:rsidR="004D1B7C" w:rsidRPr="004D1B7C" w:rsidRDefault="004D1B7C" w:rsidP="004D1B7C">
      <w:pPr>
        <w:pStyle w:val="TOC2"/>
        <w:spacing w:line="480" w:lineRule="auto"/>
        <w:rPr>
          <w:rFonts w:ascii="Times New Roman" w:eastAsiaTheme="minorEastAsia" w:hAnsi="Times New Roman" w:cs="Times New Roman"/>
          <w:noProof/>
        </w:rPr>
      </w:pPr>
      <w:hyperlink w:anchor="_Toc100072187" w:history="1">
        <w:r w:rsidRPr="004D1B7C">
          <w:rPr>
            <w:rStyle w:val="Hyperlink"/>
            <w:rFonts w:ascii="Times New Roman" w:hAnsi="Times New Roman" w:cs="Times New Roman"/>
            <w:noProof/>
          </w:rPr>
          <w:t>Materials and Methods</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_Toc100072187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89</w:t>
        </w:r>
        <w:r w:rsidRPr="004D1B7C">
          <w:rPr>
            <w:rFonts w:ascii="Times New Roman" w:hAnsi="Times New Roman" w:cs="Times New Roman"/>
            <w:noProof/>
            <w:webHidden/>
          </w:rPr>
          <w:fldChar w:fldCharType="end"/>
        </w:r>
      </w:hyperlink>
    </w:p>
    <w:p w14:paraId="13BB9A01" w14:textId="460E290C"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88" w:history="1">
        <w:r w:rsidRPr="004D1B7C">
          <w:rPr>
            <w:rStyle w:val="Hyperlink"/>
            <w:rFonts w:ascii="Times New Roman" w:hAnsi="Times New Roman" w:cs="Times New Roman"/>
            <w:noProof/>
          </w:rPr>
          <w:t>Animal handling and synchronization of pre-ovulatory follicle development</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_Toc100072188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89</w:t>
        </w:r>
        <w:r w:rsidRPr="004D1B7C">
          <w:rPr>
            <w:rFonts w:ascii="Times New Roman" w:hAnsi="Times New Roman" w:cs="Times New Roman"/>
            <w:noProof/>
            <w:webHidden/>
          </w:rPr>
          <w:fldChar w:fldCharType="end"/>
        </w:r>
      </w:hyperlink>
    </w:p>
    <w:p w14:paraId="1F0FD74E" w14:textId="0C33F1BD"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89" w:history="1">
        <w:r w:rsidRPr="004D1B7C">
          <w:rPr>
            <w:rStyle w:val="Hyperlink"/>
            <w:rFonts w:ascii="Times New Roman" w:hAnsi="Times New Roman" w:cs="Times New Roman"/>
            <w:noProof/>
          </w:rPr>
          <w:t>Transvaginal aspiration of the pre-ovulatory follicle</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_Toc100072189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91</w:t>
        </w:r>
        <w:r w:rsidRPr="004D1B7C">
          <w:rPr>
            <w:rFonts w:ascii="Times New Roman" w:hAnsi="Times New Roman" w:cs="Times New Roman"/>
            <w:noProof/>
            <w:webHidden/>
          </w:rPr>
          <w:fldChar w:fldCharType="end"/>
        </w:r>
      </w:hyperlink>
    </w:p>
    <w:p w14:paraId="3DC394FE" w14:textId="2F5C8B40"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90" w:history="1">
        <w:r w:rsidRPr="004D1B7C">
          <w:rPr>
            <w:rStyle w:val="Hyperlink"/>
            <w:rFonts w:ascii="Times New Roman" w:hAnsi="Times New Roman" w:cs="Times New Roman"/>
            <w:noProof/>
          </w:rPr>
          <w:t>Detection of estrus, ovarian mapping, and determination of cow weight and body condition score</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_Toc100072190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92</w:t>
        </w:r>
        <w:r w:rsidRPr="004D1B7C">
          <w:rPr>
            <w:rFonts w:ascii="Times New Roman" w:hAnsi="Times New Roman" w:cs="Times New Roman"/>
            <w:noProof/>
            <w:webHidden/>
          </w:rPr>
          <w:fldChar w:fldCharType="end"/>
        </w:r>
      </w:hyperlink>
    </w:p>
    <w:p w14:paraId="13379CF5" w14:textId="0A025A72"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91" w:history="1">
        <w:r w:rsidRPr="004D1B7C">
          <w:rPr>
            <w:rStyle w:val="Hyperlink"/>
            <w:rFonts w:ascii="Times New Roman" w:hAnsi="Times New Roman" w:cs="Times New Roman"/>
            <w:noProof/>
          </w:rPr>
          <w:t>Blood collection and processing</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_Toc100072191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92</w:t>
        </w:r>
        <w:r w:rsidRPr="004D1B7C">
          <w:rPr>
            <w:rFonts w:ascii="Times New Roman" w:hAnsi="Times New Roman" w:cs="Times New Roman"/>
            <w:noProof/>
            <w:webHidden/>
          </w:rPr>
          <w:fldChar w:fldCharType="end"/>
        </w:r>
      </w:hyperlink>
    </w:p>
    <w:p w14:paraId="578D1DD2" w14:textId="4AFCB01A"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92" w:history="1">
        <w:r w:rsidRPr="004D1B7C">
          <w:rPr>
            <w:rStyle w:val="Hyperlink"/>
            <w:rFonts w:ascii="Times New Roman" w:hAnsi="Times New Roman" w:cs="Times New Roman"/>
            <w:noProof/>
          </w:rPr>
          <w:t>Process</w:t>
        </w:r>
        <w:r w:rsidRPr="004D1B7C">
          <w:rPr>
            <w:rStyle w:val="Hyperlink"/>
            <w:rFonts w:ascii="Times New Roman" w:hAnsi="Times New Roman" w:cs="Times New Roman"/>
            <w:noProof/>
          </w:rPr>
          <w:t>i</w:t>
        </w:r>
        <w:r w:rsidRPr="004D1B7C">
          <w:rPr>
            <w:rStyle w:val="Hyperlink"/>
            <w:rFonts w:ascii="Times New Roman" w:hAnsi="Times New Roman" w:cs="Times New Roman"/>
            <w:noProof/>
          </w:rPr>
          <w:t>ng of follicular fluid and oocyte samples</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_Toc100072192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93</w:t>
        </w:r>
        <w:r w:rsidRPr="004D1B7C">
          <w:rPr>
            <w:rFonts w:ascii="Times New Roman" w:hAnsi="Times New Roman" w:cs="Times New Roman"/>
            <w:noProof/>
            <w:webHidden/>
          </w:rPr>
          <w:fldChar w:fldCharType="end"/>
        </w:r>
      </w:hyperlink>
    </w:p>
    <w:p w14:paraId="5BBDF1AE" w14:textId="2A6A1D0E"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93" w:history="1">
        <w:r w:rsidRPr="004D1B7C">
          <w:rPr>
            <w:rStyle w:val="Hyperlink"/>
            <w:rFonts w:ascii="Times New Roman" w:hAnsi="Times New Roman" w:cs="Times New Roman"/>
            <w:noProof/>
          </w:rPr>
          <w:t>Oocyte ATP and mtDNA copy number quantification</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_Toc100072193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94</w:t>
        </w:r>
        <w:r w:rsidRPr="004D1B7C">
          <w:rPr>
            <w:rFonts w:ascii="Times New Roman" w:hAnsi="Times New Roman" w:cs="Times New Roman"/>
            <w:noProof/>
            <w:webHidden/>
          </w:rPr>
          <w:fldChar w:fldCharType="end"/>
        </w:r>
      </w:hyperlink>
    </w:p>
    <w:p w14:paraId="20ED8BBC" w14:textId="4C42B94E"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94" w:history="1">
        <w:r w:rsidRPr="004D1B7C">
          <w:rPr>
            <w:rStyle w:val="Hyperlink"/>
            <w:rFonts w:ascii="Times New Roman" w:hAnsi="Times New Roman" w:cs="Times New Roman"/>
            <w:noProof/>
          </w:rPr>
          <w:t>UHPLC-HRMS metabolomics</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_Toc100072194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95</w:t>
        </w:r>
        <w:r w:rsidRPr="004D1B7C">
          <w:rPr>
            <w:rFonts w:ascii="Times New Roman" w:hAnsi="Times New Roman" w:cs="Times New Roman"/>
            <w:noProof/>
            <w:webHidden/>
          </w:rPr>
          <w:fldChar w:fldCharType="end"/>
        </w:r>
      </w:hyperlink>
    </w:p>
    <w:p w14:paraId="541677DF" w14:textId="5B222CAB"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95" w:history="1">
        <w:r w:rsidRPr="004D1B7C">
          <w:rPr>
            <w:rStyle w:val="Hyperlink"/>
            <w:rFonts w:ascii="Times New Roman" w:hAnsi="Times New Roman" w:cs="Times New Roman"/>
            <w:noProof/>
          </w:rPr>
          <w:t>Quantification of estradiol and progesterone concentrations in serum and follicular fluid</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_Toc100072195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96</w:t>
        </w:r>
        <w:r w:rsidRPr="004D1B7C">
          <w:rPr>
            <w:rFonts w:ascii="Times New Roman" w:hAnsi="Times New Roman" w:cs="Times New Roman"/>
            <w:noProof/>
            <w:webHidden/>
          </w:rPr>
          <w:fldChar w:fldCharType="end"/>
        </w:r>
      </w:hyperlink>
    </w:p>
    <w:p w14:paraId="7D019846" w14:textId="74B2A280"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96" w:history="1">
        <w:r w:rsidRPr="004D1B7C">
          <w:rPr>
            <w:rStyle w:val="Hyperlink"/>
            <w:rFonts w:ascii="Times New Roman" w:hAnsi="Times New Roman" w:cs="Times New Roman"/>
            <w:noProof/>
          </w:rPr>
          <w:t>Statistical analyses</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_Toc100072196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97</w:t>
        </w:r>
        <w:r w:rsidRPr="004D1B7C">
          <w:rPr>
            <w:rFonts w:ascii="Times New Roman" w:hAnsi="Times New Roman" w:cs="Times New Roman"/>
            <w:noProof/>
            <w:webHidden/>
          </w:rPr>
          <w:fldChar w:fldCharType="end"/>
        </w:r>
      </w:hyperlink>
    </w:p>
    <w:p w14:paraId="413BB5B5" w14:textId="3C87C6E6" w:rsidR="004D1B7C" w:rsidRPr="004D1B7C" w:rsidRDefault="004D1B7C" w:rsidP="004D1B7C">
      <w:pPr>
        <w:pStyle w:val="TOC2"/>
        <w:spacing w:line="480" w:lineRule="auto"/>
        <w:rPr>
          <w:rFonts w:ascii="Times New Roman" w:eastAsiaTheme="minorEastAsia" w:hAnsi="Times New Roman" w:cs="Times New Roman"/>
          <w:noProof/>
        </w:rPr>
      </w:pPr>
      <w:hyperlink w:anchor="_Toc100072197" w:history="1">
        <w:r w:rsidRPr="004D1B7C">
          <w:rPr>
            <w:rStyle w:val="Hyperlink"/>
            <w:rFonts w:ascii="Times New Roman" w:hAnsi="Times New Roman" w:cs="Times New Roman"/>
            <w:noProof/>
          </w:rPr>
          <w:t>Results and Discussion</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_Toc100072197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99</w:t>
        </w:r>
        <w:r w:rsidRPr="004D1B7C">
          <w:rPr>
            <w:rFonts w:ascii="Times New Roman" w:hAnsi="Times New Roman" w:cs="Times New Roman"/>
            <w:noProof/>
            <w:webHidden/>
          </w:rPr>
          <w:fldChar w:fldCharType="end"/>
        </w:r>
      </w:hyperlink>
    </w:p>
    <w:p w14:paraId="2AB6B965" w14:textId="58BB1CA1"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98" w:history="1">
        <w:r w:rsidRPr="004D1B7C">
          <w:rPr>
            <w:rStyle w:val="Hyperlink"/>
            <w:rFonts w:ascii="Times New Roman" w:hAnsi="Times New Roman" w:cs="Times New Roman"/>
            <w:noProof/>
          </w:rPr>
          <w:t>Overview of Animal Data</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_Toc100072198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99</w:t>
        </w:r>
        <w:r w:rsidRPr="004D1B7C">
          <w:rPr>
            <w:rFonts w:ascii="Times New Roman" w:hAnsi="Times New Roman" w:cs="Times New Roman"/>
            <w:noProof/>
            <w:webHidden/>
          </w:rPr>
          <w:fldChar w:fldCharType="end"/>
        </w:r>
      </w:hyperlink>
    </w:p>
    <w:p w14:paraId="3EF32CF6" w14:textId="706F95A3"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199" w:history="1">
        <w:r w:rsidRPr="004D1B7C">
          <w:rPr>
            <w:rStyle w:val="Hyperlink"/>
            <w:rFonts w:ascii="Times New Roman" w:hAnsi="Times New Roman" w:cs="Times New Roman"/>
            <w:noProof/>
          </w:rPr>
          <w:t>The impact of follicle physiological status on oocyte metabolic capacity</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_Toc100072199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101</w:t>
        </w:r>
        <w:r w:rsidRPr="004D1B7C">
          <w:rPr>
            <w:rFonts w:ascii="Times New Roman" w:hAnsi="Times New Roman" w:cs="Times New Roman"/>
            <w:noProof/>
            <w:webHidden/>
          </w:rPr>
          <w:fldChar w:fldCharType="end"/>
        </w:r>
      </w:hyperlink>
    </w:p>
    <w:p w14:paraId="1210A7F8" w14:textId="79169AC5" w:rsidR="004D1B7C" w:rsidRPr="004D1B7C" w:rsidRDefault="004D1B7C" w:rsidP="004D1B7C">
      <w:pPr>
        <w:pStyle w:val="TOC3"/>
        <w:tabs>
          <w:tab w:val="right" w:leader="dot" w:pos="8630"/>
        </w:tabs>
        <w:spacing w:line="480" w:lineRule="auto"/>
        <w:rPr>
          <w:rFonts w:ascii="Times New Roman" w:eastAsiaTheme="minorEastAsia" w:hAnsi="Times New Roman" w:cs="Times New Roman"/>
          <w:noProof/>
        </w:rPr>
      </w:pPr>
      <w:hyperlink w:anchor="_Toc100072200" w:history="1">
        <w:r w:rsidRPr="004D1B7C">
          <w:rPr>
            <w:rStyle w:val="Hyperlink"/>
            <w:rFonts w:ascii="Times New Roman" w:hAnsi="Times New Roman" w:cs="Times New Roman"/>
            <w:noProof/>
          </w:rPr>
          <w:t>The impact of follicle physiological status on follicular fluid metabolites</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_Toc100072200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112</w:t>
        </w:r>
        <w:r w:rsidRPr="004D1B7C">
          <w:rPr>
            <w:rFonts w:ascii="Times New Roman" w:hAnsi="Times New Roman" w:cs="Times New Roman"/>
            <w:noProof/>
            <w:webHidden/>
          </w:rPr>
          <w:fldChar w:fldCharType="end"/>
        </w:r>
      </w:hyperlink>
    </w:p>
    <w:p w14:paraId="24089D54" w14:textId="1AEE12EA" w:rsidR="004D1B7C" w:rsidRPr="004D1B7C" w:rsidRDefault="004D1B7C" w:rsidP="004D1B7C">
      <w:pPr>
        <w:pStyle w:val="TOC2"/>
        <w:spacing w:line="480" w:lineRule="auto"/>
        <w:rPr>
          <w:rFonts w:ascii="Times New Roman" w:eastAsiaTheme="minorEastAsia" w:hAnsi="Times New Roman" w:cs="Times New Roman"/>
          <w:noProof/>
        </w:rPr>
      </w:pPr>
      <w:hyperlink w:anchor="_Toc100072201" w:history="1">
        <w:r w:rsidRPr="004D1B7C">
          <w:rPr>
            <w:rStyle w:val="Hyperlink"/>
            <w:rFonts w:ascii="Times New Roman" w:hAnsi="Times New Roman" w:cs="Times New Roman"/>
            <w:noProof/>
          </w:rPr>
          <w:t>Conclusions</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_Toc100072201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125</w:t>
        </w:r>
        <w:r w:rsidRPr="004D1B7C">
          <w:rPr>
            <w:rFonts w:ascii="Times New Roman" w:hAnsi="Times New Roman" w:cs="Times New Roman"/>
            <w:noProof/>
            <w:webHidden/>
          </w:rPr>
          <w:fldChar w:fldCharType="end"/>
        </w:r>
      </w:hyperlink>
    </w:p>
    <w:p w14:paraId="798856E2" w14:textId="1DCCEE74" w:rsidR="004D1B7C" w:rsidRPr="004D1B7C" w:rsidRDefault="004D1B7C" w:rsidP="004D1B7C">
      <w:pPr>
        <w:pStyle w:val="TOC1"/>
        <w:tabs>
          <w:tab w:val="right" w:leader="dot" w:pos="8630"/>
        </w:tabs>
        <w:spacing w:line="480" w:lineRule="auto"/>
        <w:rPr>
          <w:rFonts w:ascii="Times New Roman" w:eastAsiaTheme="minorEastAsia" w:hAnsi="Times New Roman" w:cs="Times New Roman"/>
          <w:noProof/>
        </w:rPr>
      </w:pPr>
      <w:hyperlink w:anchor="_Toc100072202" w:history="1">
        <w:r w:rsidRPr="004D1B7C">
          <w:rPr>
            <w:rStyle w:val="Hyperlink"/>
            <w:rFonts w:ascii="Times New Roman" w:hAnsi="Times New Roman" w:cs="Times New Roman"/>
            <w:noProof/>
          </w:rPr>
          <w:t>CONCLUSION</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_Toc100072202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127</w:t>
        </w:r>
        <w:r w:rsidRPr="004D1B7C">
          <w:rPr>
            <w:rFonts w:ascii="Times New Roman" w:hAnsi="Times New Roman" w:cs="Times New Roman"/>
            <w:noProof/>
            <w:webHidden/>
          </w:rPr>
          <w:fldChar w:fldCharType="end"/>
        </w:r>
      </w:hyperlink>
    </w:p>
    <w:p w14:paraId="7E7A2538" w14:textId="55D021BD" w:rsidR="004D1B7C" w:rsidRPr="004D1B7C" w:rsidRDefault="004D1B7C" w:rsidP="004D1B7C">
      <w:pPr>
        <w:pStyle w:val="TOC1"/>
        <w:tabs>
          <w:tab w:val="right" w:leader="dot" w:pos="8630"/>
        </w:tabs>
        <w:spacing w:line="480" w:lineRule="auto"/>
        <w:rPr>
          <w:rFonts w:ascii="Times New Roman" w:eastAsiaTheme="minorEastAsia" w:hAnsi="Times New Roman" w:cs="Times New Roman"/>
          <w:noProof/>
        </w:rPr>
      </w:pPr>
      <w:hyperlink w:anchor="_Toc100072203" w:history="1">
        <w:r w:rsidRPr="004D1B7C">
          <w:rPr>
            <w:rStyle w:val="Hyperlink"/>
            <w:rFonts w:ascii="Times New Roman" w:hAnsi="Times New Roman" w:cs="Times New Roman"/>
            <w:noProof/>
          </w:rPr>
          <w:t>REFERENCES</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_Toc100072203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130</w:t>
        </w:r>
        <w:r w:rsidRPr="004D1B7C">
          <w:rPr>
            <w:rFonts w:ascii="Times New Roman" w:hAnsi="Times New Roman" w:cs="Times New Roman"/>
            <w:noProof/>
            <w:webHidden/>
          </w:rPr>
          <w:fldChar w:fldCharType="end"/>
        </w:r>
      </w:hyperlink>
    </w:p>
    <w:p w14:paraId="2EF2BEC5" w14:textId="0B07ED06" w:rsidR="004D1B7C" w:rsidRPr="004D1B7C" w:rsidRDefault="004D1B7C" w:rsidP="004D1B7C">
      <w:pPr>
        <w:pStyle w:val="TOC1"/>
        <w:tabs>
          <w:tab w:val="right" w:leader="dot" w:pos="8630"/>
        </w:tabs>
        <w:spacing w:line="480" w:lineRule="auto"/>
        <w:rPr>
          <w:rFonts w:ascii="Times New Roman" w:eastAsiaTheme="minorEastAsia" w:hAnsi="Times New Roman" w:cs="Times New Roman"/>
          <w:noProof/>
        </w:rPr>
      </w:pPr>
      <w:hyperlink w:anchor="_Toc100072204" w:history="1">
        <w:r w:rsidRPr="004D1B7C">
          <w:rPr>
            <w:rStyle w:val="Hyperlink"/>
            <w:rFonts w:ascii="Times New Roman" w:hAnsi="Times New Roman" w:cs="Times New Roman"/>
            <w:noProof/>
          </w:rPr>
          <w:t>VITA</w:t>
        </w:r>
        <w:r w:rsidRPr="004D1B7C">
          <w:rPr>
            <w:rFonts w:ascii="Times New Roman" w:hAnsi="Times New Roman" w:cs="Times New Roman"/>
            <w:noProof/>
            <w:webHidden/>
          </w:rPr>
          <w:tab/>
        </w:r>
        <w:r w:rsidRPr="004D1B7C">
          <w:rPr>
            <w:rFonts w:ascii="Times New Roman" w:hAnsi="Times New Roman" w:cs="Times New Roman"/>
            <w:noProof/>
            <w:webHidden/>
          </w:rPr>
          <w:fldChar w:fldCharType="begin"/>
        </w:r>
        <w:r w:rsidRPr="004D1B7C">
          <w:rPr>
            <w:rFonts w:ascii="Times New Roman" w:hAnsi="Times New Roman" w:cs="Times New Roman"/>
            <w:noProof/>
            <w:webHidden/>
          </w:rPr>
          <w:instrText xml:space="preserve"> PAGEREF _Toc100072204 \h </w:instrText>
        </w:r>
        <w:r w:rsidRPr="004D1B7C">
          <w:rPr>
            <w:rFonts w:ascii="Times New Roman" w:hAnsi="Times New Roman" w:cs="Times New Roman"/>
            <w:noProof/>
            <w:webHidden/>
          </w:rPr>
        </w:r>
        <w:r w:rsidRPr="004D1B7C">
          <w:rPr>
            <w:rFonts w:ascii="Times New Roman" w:hAnsi="Times New Roman" w:cs="Times New Roman"/>
            <w:noProof/>
            <w:webHidden/>
          </w:rPr>
          <w:fldChar w:fldCharType="separate"/>
        </w:r>
        <w:r w:rsidRPr="004D1B7C">
          <w:rPr>
            <w:rFonts w:ascii="Times New Roman" w:hAnsi="Times New Roman" w:cs="Times New Roman"/>
            <w:noProof/>
            <w:webHidden/>
          </w:rPr>
          <w:t>157</w:t>
        </w:r>
        <w:r w:rsidRPr="004D1B7C">
          <w:rPr>
            <w:rFonts w:ascii="Times New Roman" w:hAnsi="Times New Roman" w:cs="Times New Roman"/>
            <w:noProof/>
            <w:webHidden/>
          </w:rPr>
          <w:fldChar w:fldCharType="end"/>
        </w:r>
      </w:hyperlink>
    </w:p>
    <w:p w14:paraId="6568C7FA" w14:textId="318D54EC" w:rsidR="00387656" w:rsidRPr="00001957" w:rsidRDefault="00001957" w:rsidP="004D1B7C">
      <w:pPr>
        <w:pStyle w:val="Title"/>
        <w:spacing w:line="480" w:lineRule="auto"/>
        <w:jc w:val="left"/>
        <w:rPr>
          <w:rFonts w:ascii="Times New Roman" w:hAnsi="Times New Roman" w:cs="Times New Roman"/>
          <w:sz w:val="24"/>
        </w:rPr>
      </w:pPr>
      <w:r w:rsidRPr="004D1B7C">
        <w:rPr>
          <w:rFonts w:ascii="Times New Roman" w:hAnsi="Times New Roman" w:cs="Times New Roman"/>
          <w:sz w:val="24"/>
        </w:rPr>
        <w:fldChar w:fldCharType="end"/>
      </w:r>
      <w:r w:rsidR="00236E6D" w:rsidRPr="00A42976">
        <w:rPr>
          <w:rFonts w:ascii="Times New Roman" w:hAnsi="Times New Roman" w:cs="Times New Roman"/>
          <w:sz w:val="24"/>
        </w:rPr>
        <w:br w:type="page"/>
      </w:r>
    </w:p>
    <w:p w14:paraId="67406842" w14:textId="0DC4B5D9" w:rsidR="00236E6D" w:rsidRPr="00A42976" w:rsidRDefault="00387656" w:rsidP="00412E33">
      <w:pPr>
        <w:pStyle w:val="Title"/>
        <w:spacing w:line="480" w:lineRule="auto"/>
        <w:rPr>
          <w:rFonts w:ascii="Times New Roman" w:hAnsi="Times New Roman" w:cs="Times New Roman"/>
        </w:rPr>
      </w:pPr>
      <w:r w:rsidRPr="00A42976">
        <w:rPr>
          <w:rFonts w:ascii="Times New Roman" w:hAnsi="Times New Roman" w:cs="Times New Roman"/>
        </w:rPr>
        <w:lastRenderedPageBreak/>
        <w:t>LIST OF TABLES</w:t>
      </w:r>
    </w:p>
    <w:p w14:paraId="5EA283E0" w14:textId="30F6943F" w:rsidR="00296BFE" w:rsidRPr="00A42976" w:rsidRDefault="00296BFE" w:rsidP="005853D1">
      <w:pPr>
        <w:spacing w:line="480" w:lineRule="auto"/>
        <w:jc w:val="both"/>
        <w:rPr>
          <w:rFonts w:ascii="Times New Roman" w:hAnsi="Times New Roman" w:cs="Times New Roman"/>
        </w:rPr>
      </w:pPr>
      <w:r w:rsidRPr="00A42976">
        <w:rPr>
          <w:rFonts w:ascii="Times New Roman" w:hAnsi="Times New Roman" w:cs="Times New Roman"/>
          <w:b/>
        </w:rPr>
        <w:t>Table 1.</w:t>
      </w:r>
      <w:r w:rsidRPr="00A42976">
        <w:rPr>
          <w:rFonts w:ascii="Times New Roman" w:hAnsi="Times New Roman" w:cs="Times New Roman"/>
        </w:rPr>
        <w:t xml:space="preserve"> KEGG pathways significantly enriched with metabolites that were significantly correlated with increasing pre-ovulatory follicle diameter</w:t>
      </w:r>
      <w:r w:rsidR="003F2760" w:rsidRPr="00A42976">
        <w:rPr>
          <w:rFonts w:ascii="Times New Roman" w:hAnsi="Times New Roman" w:cs="Times New Roman"/>
        </w:rPr>
        <w:t>……………………………….</w:t>
      </w:r>
      <w:r w:rsidRPr="00A42976">
        <w:rPr>
          <w:rFonts w:ascii="Times New Roman" w:hAnsi="Times New Roman" w:cs="Times New Roman"/>
        </w:rPr>
        <w:t>5</w:t>
      </w:r>
      <w:r w:rsidR="007054D1">
        <w:rPr>
          <w:rFonts w:ascii="Times New Roman" w:hAnsi="Times New Roman" w:cs="Times New Roman"/>
        </w:rPr>
        <w:t>5</w:t>
      </w:r>
    </w:p>
    <w:p w14:paraId="3808539C" w14:textId="327C4E1B" w:rsidR="00296BFE" w:rsidRPr="00A42976" w:rsidRDefault="00296BFE" w:rsidP="005853D1">
      <w:pPr>
        <w:spacing w:line="480" w:lineRule="auto"/>
        <w:jc w:val="both"/>
        <w:rPr>
          <w:rFonts w:ascii="Times New Roman" w:hAnsi="Times New Roman" w:cs="Times New Roman"/>
        </w:rPr>
      </w:pPr>
    </w:p>
    <w:p w14:paraId="0BFAB20D" w14:textId="270DEA6C" w:rsidR="00296BFE" w:rsidRPr="00A42976" w:rsidRDefault="00296BFE" w:rsidP="005853D1">
      <w:pPr>
        <w:spacing w:line="480" w:lineRule="auto"/>
        <w:jc w:val="both"/>
        <w:rPr>
          <w:rFonts w:ascii="Times New Roman" w:hAnsi="Times New Roman" w:cs="Times New Roman"/>
          <w:lang w:bidi="en-US"/>
        </w:rPr>
      </w:pPr>
      <w:r w:rsidRPr="00A42976">
        <w:rPr>
          <w:rFonts w:ascii="Times New Roman" w:hAnsi="Times New Roman" w:cs="Times New Roman"/>
          <w:b/>
          <w:lang w:bidi="en-US"/>
        </w:rPr>
        <w:t>Table 2.</w:t>
      </w:r>
      <w:r w:rsidRPr="00A42976">
        <w:rPr>
          <w:rFonts w:ascii="Times New Roman" w:hAnsi="Times New Roman" w:cs="Times New Roman"/>
          <w:lang w:bidi="en-US"/>
        </w:rPr>
        <w:t xml:space="preserve"> Relevant information for primers and probe designed to the bovine mitochondrial</w:t>
      </w:r>
      <w:r w:rsidR="00C14CFD" w:rsidRPr="00A42976">
        <w:rPr>
          <w:rFonts w:ascii="Times New Roman" w:hAnsi="Times New Roman" w:cs="Times New Roman"/>
          <w:lang w:bidi="en-US"/>
        </w:rPr>
        <w:t xml:space="preserve"> </w:t>
      </w:r>
      <w:r w:rsidRPr="00A42976">
        <w:rPr>
          <w:rFonts w:ascii="Times New Roman" w:hAnsi="Times New Roman" w:cs="Times New Roman"/>
          <w:lang w:bidi="en-US"/>
        </w:rPr>
        <w:t>genome</w:t>
      </w:r>
      <w:r w:rsidR="003F2760" w:rsidRPr="00A42976">
        <w:rPr>
          <w:rFonts w:ascii="Times New Roman" w:hAnsi="Times New Roman" w:cs="Times New Roman"/>
          <w:lang w:bidi="en-US"/>
        </w:rPr>
        <w:t>…………………………………………………</w:t>
      </w:r>
      <w:r w:rsidR="00437C8A" w:rsidRPr="00A42976">
        <w:rPr>
          <w:rFonts w:ascii="Times New Roman" w:hAnsi="Times New Roman" w:cs="Times New Roman"/>
          <w:lang w:bidi="en-US"/>
        </w:rPr>
        <w:t>...</w:t>
      </w:r>
      <w:r w:rsidR="003F2760" w:rsidRPr="00A42976">
        <w:rPr>
          <w:rFonts w:ascii="Times New Roman" w:hAnsi="Times New Roman" w:cs="Times New Roman"/>
          <w:lang w:bidi="en-US"/>
        </w:rPr>
        <w:t>………………</w:t>
      </w:r>
      <w:r w:rsidR="001721A0">
        <w:rPr>
          <w:rFonts w:ascii="Times New Roman" w:hAnsi="Times New Roman" w:cs="Times New Roman"/>
          <w:lang w:bidi="en-US"/>
        </w:rPr>
        <w:t>………………</w:t>
      </w:r>
      <w:r w:rsidR="00357344">
        <w:rPr>
          <w:rFonts w:ascii="Times New Roman" w:hAnsi="Times New Roman" w:cs="Times New Roman"/>
          <w:lang w:bidi="en-US"/>
        </w:rPr>
        <w:t>7</w:t>
      </w:r>
      <w:r w:rsidR="007054D1">
        <w:rPr>
          <w:rFonts w:ascii="Times New Roman" w:hAnsi="Times New Roman" w:cs="Times New Roman"/>
          <w:lang w:bidi="en-US"/>
        </w:rPr>
        <w:t>2</w:t>
      </w:r>
    </w:p>
    <w:p w14:paraId="267293B4" w14:textId="77777777" w:rsidR="00C14CFD" w:rsidRPr="00A42976" w:rsidRDefault="00C14CFD" w:rsidP="005853D1">
      <w:pPr>
        <w:spacing w:line="480" w:lineRule="auto"/>
        <w:jc w:val="both"/>
        <w:rPr>
          <w:rFonts w:ascii="Times New Roman" w:hAnsi="Times New Roman" w:cs="Times New Roman"/>
          <w:b/>
          <w:highlight w:val="yellow"/>
        </w:rPr>
      </w:pPr>
    </w:p>
    <w:p w14:paraId="1CCB6C2B" w14:textId="45175DD2" w:rsidR="00C14CFD" w:rsidRPr="00C34188" w:rsidRDefault="00C14CFD" w:rsidP="005853D1">
      <w:pPr>
        <w:spacing w:line="480" w:lineRule="auto"/>
        <w:jc w:val="both"/>
        <w:rPr>
          <w:rFonts w:ascii="Times New Roman" w:hAnsi="Times New Roman" w:cs="Times New Roman"/>
        </w:rPr>
      </w:pPr>
      <w:r w:rsidRPr="00A42976">
        <w:rPr>
          <w:rFonts w:ascii="Times New Roman" w:hAnsi="Times New Roman" w:cs="Times New Roman"/>
          <w:b/>
        </w:rPr>
        <w:t xml:space="preserve">Table 3: </w:t>
      </w:r>
      <w:r w:rsidRPr="00A42976">
        <w:rPr>
          <w:rFonts w:ascii="Times New Roman" w:hAnsi="Times New Roman" w:cs="Times New Roman"/>
        </w:rPr>
        <w:t>P values for the initial correlations performed to identify covariates to be used in oocyte ATP (</w:t>
      </w:r>
      <w:proofErr w:type="spellStart"/>
      <w:r w:rsidRPr="00A42976">
        <w:rPr>
          <w:rFonts w:ascii="Times New Roman" w:hAnsi="Times New Roman" w:cs="Times New Roman"/>
        </w:rPr>
        <w:t>pg</w:t>
      </w:r>
      <w:proofErr w:type="spellEnd"/>
      <w:r w:rsidRPr="00A42976">
        <w:rPr>
          <w:rFonts w:ascii="Times New Roman" w:hAnsi="Times New Roman" w:cs="Times New Roman"/>
        </w:rPr>
        <w:t xml:space="preserve">) and oocyte </w:t>
      </w:r>
      <w:proofErr w:type="spellStart"/>
      <w:r w:rsidRPr="00A42976">
        <w:rPr>
          <w:rFonts w:ascii="Times New Roman" w:hAnsi="Times New Roman" w:cs="Times New Roman"/>
        </w:rPr>
        <w:t>mtDNA</w:t>
      </w:r>
      <w:proofErr w:type="spellEnd"/>
      <w:r w:rsidRPr="00A42976">
        <w:rPr>
          <w:rFonts w:ascii="Times New Roman" w:hAnsi="Times New Roman" w:cs="Times New Roman"/>
        </w:rPr>
        <w:t xml:space="preserve"> copy number </w:t>
      </w:r>
      <w:r w:rsidRPr="001721A0">
        <w:rPr>
          <w:rFonts w:ascii="Times New Roman" w:hAnsi="Times New Roman" w:cs="Times New Roman"/>
        </w:rPr>
        <w:t>analyses……………………</w:t>
      </w:r>
      <w:r w:rsidR="001721A0">
        <w:rPr>
          <w:rFonts w:ascii="Times New Roman" w:hAnsi="Times New Roman" w:cs="Times New Roman"/>
        </w:rPr>
        <w:t>…...</w:t>
      </w:r>
      <w:r w:rsidRPr="001721A0">
        <w:rPr>
          <w:rFonts w:ascii="Times New Roman" w:hAnsi="Times New Roman" w:cs="Times New Roman"/>
        </w:rPr>
        <w:t>….</w:t>
      </w:r>
      <w:r w:rsidR="00357344" w:rsidRPr="001721A0">
        <w:rPr>
          <w:rFonts w:ascii="Times New Roman" w:hAnsi="Times New Roman" w:cs="Times New Roman"/>
        </w:rPr>
        <w:t>10</w:t>
      </w:r>
      <w:r w:rsidR="007054D1">
        <w:rPr>
          <w:rFonts w:ascii="Times New Roman" w:hAnsi="Times New Roman" w:cs="Times New Roman"/>
        </w:rPr>
        <w:t>3</w:t>
      </w:r>
    </w:p>
    <w:p w14:paraId="05B7CDFE" w14:textId="77664FEE" w:rsidR="003F2760" w:rsidRPr="00A42976" w:rsidRDefault="003F2760" w:rsidP="005853D1">
      <w:pPr>
        <w:spacing w:line="480" w:lineRule="auto"/>
        <w:jc w:val="both"/>
        <w:rPr>
          <w:rFonts w:ascii="Times New Roman" w:hAnsi="Times New Roman" w:cs="Times New Roman"/>
          <w:lang w:bidi="en-US"/>
        </w:rPr>
      </w:pPr>
    </w:p>
    <w:p w14:paraId="2B154251" w14:textId="7291B90D" w:rsidR="003F2760" w:rsidRPr="005C3043" w:rsidRDefault="003F2760" w:rsidP="005853D1">
      <w:pPr>
        <w:spacing w:line="480" w:lineRule="auto"/>
        <w:jc w:val="both"/>
        <w:rPr>
          <w:rFonts w:ascii="Times New Roman" w:hAnsi="Times New Roman" w:cs="Times New Roman"/>
          <w:b/>
          <w:bCs/>
          <w:color w:val="000000"/>
        </w:rPr>
      </w:pPr>
      <w:r w:rsidRPr="000B5F79">
        <w:rPr>
          <w:rFonts w:ascii="Times New Roman" w:hAnsi="Times New Roman" w:cs="Times New Roman"/>
          <w:b/>
          <w:bCs/>
          <w:color w:val="000000"/>
        </w:rPr>
        <w:t xml:space="preserve">Table </w:t>
      </w:r>
      <w:r w:rsidR="00C14CFD" w:rsidRPr="005C3043">
        <w:rPr>
          <w:rFonts w:ascii="Times New Roman" w:hAnsi="Times New Roman" w:cs="Times New Roman"/>
          <w:b/>
          <w:bCs/>
          <w:color w:val="000000"/>
        </w:rPr>
        <w:t>4</w:t>
      </w:r>
      <w:r w:rsidRPr="005C3043">
        <w:rPr>
          <w:rFonts w:ascii="Times New Roman" w:hAnsi="Times New Roman" w:cs="Times New Roman"/>
          <w:b/>
          <w:bCs/>
          <w:color w:val="000000"/>
        </w:rPr>
        <w:t xml:space="preserve">. </w:t>
      </w:r>
      <w:r w:rsidRPr="005C3043">
        <w:rPr>
          <w:rFonts w:ascii="Times New Roman" w:hAnsi="Times New Roman" w:cs="Times New Roman"/>
          <w:bCs/>
          <w:color w:val="000000"/>
        </w:rPr>
        <w:t xml:space="preserve">False discovery rate values for the correlation between follicular fluid metabolites and serum estradiol at GnRH2, </w:t>
      </w:r>
      <w:r w:rsidRPr="00C34188">
        <w:rPr>
          <w:rFonts w:ascii="Times New Roman" w:hAnsi="Times New Roman" w:cs="Times New Roman"/>
          <w:bCs/>
          <w:color w:val="000000"/>
        </w:rPr>
        <w:t>pre-ovulatory follicle diameter at GnRH2</w:t>
      </w:r>
      <w:r w:rsidRPr="00A42976">
        <w:rPr>
          <w:rFonts w:ascii="Times New Roman" w:hAnsi="Times New Roman" w:cs="Times New Roman"/>
          <w:bCs/>
          <w:color w:val="000000"/>
        </w:rPr>
        <w:t>, or final model covariates…………………………………………………………</w:t>
      </w:r>
      <w:r w:rsidR="00437C8A" w:rsidRPr="000B5F79">
        <w:rPr>
          <w:rFonts w:ascii="Times New Roman" w:hAnsi="Times New Roman" w:cs="Times New Roman"/>
          <w:bCs/>
          <w:color w:val="000000"/>
        </w:rPr>
        <w:t>.</w:t>
      </w:r>
      <w:r w:rsidRPr="005C3043">
        <w:rPr>
          <w:rFonts w:ascii="Times New Roman" w:hAnsi="Times New Roman" w:cs="Times New Roman"/>
          <w:bCs/>
          <w:color w:val="000000"/>
        </w:rPr>
        <w:t>……………………1</w:t>
      </w:r>
      <w:r w:rsidR="00357344">
        <w:rPr>
          <w:rFonts w:ascii="Times New Roman" w:hAnsi="Times New Roman" w:cs="Times New Roman"/>
          <w:bCs/>
          <w:color w:val="000000"/>
        </w:rPr>
        <w:t>1</w:t>
      </w:r>
      <w:r w:rsidR="007054D1">
        <w:rPr>
          <w:rFonts w:ascii="Times New Roman" w:hAnsi="Times New Roman" w:cs="Times New Roman"/>
          <w:bCs/>
          <w:color w:val="000000"/>
        </w:rPr>
        <w:t>5</w:t>
      </w:r>
    </w:p>
    <w:p w14:paraId="13F73426" w14:textId="0D984C5B" w:rsidR="003F2760" w:rsidRPr="00C87A3E" w:rsidRDefault="003F2760" w:rsidP="005853D1">
      <w:pPr>
        <w:spacing w:line="480" w:lineRule="auto"/>
        <w:jc w:val="both"/>
        <w:rPr>
          <w:rFonts w:ascii="Times New Roman" w:hAnsi="Times New Roman" w:cs="Times New Roman"/>
          <w:b/>
          <w:bCs/>
          <w:color w:val="000000"/>
        </w:rPr>
      </w:pPr>
    </w:p>
    <w:p w14:paraId="26B5FB87" w14:textId="36EB9378" w:rsidR="003F2760" w:rsidRPr="005C3043" w:rsidRDefault="003F2760" w:rsidP="005853D1">
      <w:pPr>
        <w:spacing w:line="480" w:lineRule="auto"/>
        <w:jc w:val="both"/>
        <w:rPr>
          <w:rFonts w:ascii="Times New Roman" w:hAnsi="Times New Roman" w:cs="Times New Roman"/>
        </w:rPr>
      </w:pPr>
      <w:r w:rsidRPr="003B6B38">
        <w:rPr>
          <w:rFonts w:ascii="Times New Roman" w:hAnsi="Times New Roman" w:cs="Times New Roman"/>
          <w:b/>
        </w:rPr>
        <w:t xml:space="preserve">Table </w:t>
      </w:r>
      <w:r w:rsidR="00C14CFD" w:rsidRPr="003B6B38">
        <w:rPr>
          <w:rFonts w:ascii="Times New Roman" w:hAnsi="Times New Roman" w:cs="Times New Roman"/>
          <w:b/>
        </w:rPr>
        <w:t>5</w:t>
      </w:r>
      <w:r w:rsidRPr="005C3043">
        <w:rPr>
          <w:rFonts w:ascii="Times New Roman" w:hAnsi="Times New Roman" w:cs="Times New Roman"/>
          <w:b/>
        </w:rPr>
        <w:t>.</w:t>
      </w:r>
      <w:r w:rsidRPr="005C3043">
        <w:rPr>
          <w:rFonts w:ascii="Times New Roman" w:hAnsi="Times New Roman" w:cs="Times New Roman"/>
        </w:rPr>
        <w:t xml:space="preserve"> KEGG pathways significantly enriched with metabolites that were significantly correlated with serum estradiol concentration at GnRH2……………</w:t>
      </w:r>
      <w:r w:rsidR="00437C8A" w:rsidRPr="005C3043">
        <w:rPr>
          <w:rFonts w:ascii="Times New Roman" w:hAnsi="Times New Roman" w:cs="Times New Roman"/>
        </w:rPr>
        <w:t>….</w:t>
      </w:r>
      <w:r w:rsidRPr="005C3043">
        <w:rPr>
          <w:rFonts w:ascii="Times New Roman" w:hAnsi="Times New Roman" w:cs="Times New Roman"/>
        </w:rPr>
        <w:t>……………</w:t>
      </w:r>
      <w:r w:rsidR="001721A0">
        <w:rPr>
          <w:rFonts w:ascii="Times New Roman" w:hAnsi="Times New Roman" w:cs="Times New Roman"/>
        </w:rPr>
        <w:t>…</w:t>
      </w:r>
      <w:r w:rsidR="00357344">
        <w:rPr>
          <w:rFonts w:ascii="Times New Roman" w:hAnsi="Times New Roman" w:cs="Times New Roman"/>
        </w:rPr>
        <w:t>12</w:t>
      </w:r>
      <w:r w:rsidR="007054D1">
        <w:rPr>
          <w:rFonts w:ascii="Times New Roman" w:hAnsi="Times New Roman" w:cs="Times New Roman"/>
        </w:rPr>
        <w:t>0</w:t>
      </w:r>
    </w:p>
    <w:p w14:paraId="548A400D" w14:textId="56C809B7" w:rsidR="003F2760" w:rsidRPr="005C3043" w:rsidRDefault="003F2760" w:rsidP="005853D1">
      <w:pPr>
        <w:spacing w:line="480" w:lineRule="auto"/>
        <w:jc w:val="both"/>
        <w:rPr>
          <w:rFonts w:ascii="Times New Roman" w:hAnsi="Times New Roman" w:cs="Times New Roman"/>
        </w:rPr>
      </w:pPr>
    </w:p>
    <w:p w14:paraId="532986E6" w14:textId="3E5877EC" w:rsidR="003F2760" w:rsidRPr="005C3043" w:rsidRDefault="003F2760" w:rsidP="005853D1">
      <w:pPr>
        <w:spacing w:line="480" w:lineRule="auto"/>
        <w:jc w:val="both"/>
        <w:rPr>
          <w:rFonts w:ascii="Times New Roman" w:hAnsi="Times New Roman" w:cs="Times New Roman"/>
        </w:rPr>
      </w:pPr>
      <w:r w:rsidRPr="005C3043">
        <w:rPr>
          <w:rFonts w:ascii="Times New Roman" w:hAnsi="Times New Roman" w:cs="Times New Roman"/>
          <w:b/>
        </w:rPr>
        <w:t xml:space="preserve">Table </w:t>
      </w:r>
      <w:r w:rsidR="00C14CFD" w:rsidRPr="005C3043">
        <w:rPr>
          <w:rFonts w:ascii="Times New Roman" w:hAnsi="Times New Roman" w:cs="Times New Roman"/>
          <w:b/>
        </w:rPr>
        <w:t>6</w:t>
      </w:r>
      <w:r w:rsidRPr="005C3043">
        <w:rPr>
          <w:rFonts w:ascii="Times New Roman" w:hAnsi="Times New Roman" w:cs="Times New Roman"/>
          <w:b/>
        </w:rPr>
        <w:t>.</w:t>
      </w:r>
      <w:r w:rsidRPr="005C3043">
        <w:rPr>
          <w:rFonts w:ascii="Times New Roman" w:hAnsi="Times New Roman" w:cs="Times New Roman"/>
        </w:rPr>
        <w:t xml:space="preserve"> KEGG pathways significantly enriched with metabolites that were significantly correlated with follicular fluid progesterone concentration at follicle aspiration……</w:t>
      </w:r>
      <w:proofErr w:type="gramStart"/>
      <w:r w:rsidR="00437C8A" w:rsidRPr="005C3043">
        <w:rPr>
          <w:rFonts w:ascii="Times New Roman" w:hAnsi="Times New Roman" w:cs="Times New Roman"/>
        </w:rPr>
        <w:t>….</w:t>
      </w:r>
      <w:r w:rsidR="001721A0">
        <w:rPr>
          <w:rFonts w:ascii="Times New Roman" w:hAnsi="Times New Roman" w:cs="Times New Roman"/>
        </w:rPr>
        <w:t>.</w:t>
      </w:r>
      <w:proofErr w:type="gramEnd"/>
      <w:r w:rsidR="00357344">
        <w:rPr>
          <w:rFonts w:ascii="Times New Roman" w:hAnsi="Times New Roman" w:cs="Times New Roman"/>
        </w:rPr>
        <w:t>12</w:t>
      </w:r>
      <w:r w:rsidR="007054D1">
        <w:rPr>
          <w:rFonts w:ascii="Times New Roman" w:hAnsi="Times New Roman" w:cs="Times New Roman"/>
        </w:rPr>
        <w:t>1</w:t>
      </w:r>
    </w:p>
    <w:p w14:paraId="5495F02C" w14:textId="172B9EAE" w:rsidR="003F2760" w:rsidRPr="005C3043" w:rsidRDefault="003F2760" w:rsidP="005853D1">
      <w:pPr>
        <w:spacing w:line="480" w:lineRule="auto"/>
        <w:jc w:val="both"/>
        <w:rPr>
          <w:rFonts w:ascii="Times New Roman" w:hAnsi="Times New Roman" w:cs="Times New Roman"/>
        </w:rPr>
      </w:pPr>
    </w:p>
    <w:p w14:paraId="2FFB685F" w14:textId="2F552C42" w:rsidR="005853D1" w:rsidRDefault="003F2760" w:rsidP="005853D1">
      <w:pPr>
        <w:spacing w:line="480" w:lineRule="auto"/>
        <w:jc w:val="both"/>
        <w:rPr>
          <w:rFonts w:ascii="Times New Roman" w:hAnsi="Times New Roman" w:cs="Times New Roman"/>
        </w:rPr>
      </w:pPr>
      <w:r w:rsidRPr="005C3043">
        <w:rPr>
          <w:rFonts w:ascii="Times New Roman" w:hAnsi="Times New Roman" w:cs="Times New Roman"/>
          <w:b/>
        </w:rPr>
        <w:t xml:space="preserve">Table </w:t>
      </w:r>
      <w:r w:rsidR="00C14CFD" w:rsidRPr="005C3043">
        <w:rPr>
          <w:rFonts w:ascii="Times New Roman" w:hAnsi="Times New Roman" w:cs="Times New Roman"/>
          <w:b/>
        </w:rPr>
        <w:t>7</w:t>
      </w:r>
      <w:r w:rsidRPr="005C3043">
        <w:rPr>
          <w:rFonts w:ascii="Times New Roman" w:hAnsi="Times New Roman" w:cs="Times New Roman"/>
          <w:b/>
        </w:rPr>
        <w:t>.</w:t>
      </w:r>
      <w:r w:rsidRPr="005C3043">
        <w:rPr>
          <w:rFonts w:ascii="Times New Roman" w:hAnsi="Times New Roman" w:cs="Times New Roman"/>
        </w:rPr>
        <w:t xml:space="preserve"> KEGG pathways significantly enriched with metabolites that were significantly correlated with animal weight………………………</w:t>
      </w:r>
      <w:r w:rsidR="00437C8A" w:rsidRPr="005C3043">
        <w:rPr>
          <w:rFonts w:ascii="Times New Roman" w:hAnsi="Times New Roman" w:cs="Times New Roman"/>
        </w:rPr>
        <w:t>…….</w:t>
      </w:r>
      <w:r w:rsidRPr="005C3043">
        <w:rPr>
          <w:rFonts w:ascii="Times New Roman" w:hAnsi="Times New Roman" w:cs="Times New Roman"/>
        </w:rPr>
        <w:t>……………………………</w:t>
      </w:r>
      <w:r w:rsidR="001721A0">
        <w:rPr>
          <w:rFonts w:ascii="Times New Roman" w:hAnsi="Times New Roman" w:cs="Times New Roman"/>
        </w:rPr>
        <w:t>.</w:t>
      </w:r>
      <w:r w:rsidR="00357344">
        <w:rPr>
          <w:rFonts w:ascii="Times New Roman" w:hAnsi="Times New Roman" w:cs="Times New Roman"/>
        </w:rPr>
        <w:t>12</w:t>
      </w:r>
      <w:r w:rsidR="007054D1">
        <w:rPr>
          <w:rFonts w:ascii="Times New Roman" w:hAnsi="Times New Roman" w:cs="Times New Roman"/>
        </w:rPr>
        <w:t>2</w:t>
      </w:r>
    </w:p>
    <w:p w14:paraId="5FEA5A29" w14:textId="14FC5952" w:rsidR="00C30D60" w:rsidRPr="00412E33" w:rsidRDefault="00904969" w:rsidP="00412E33">
      <w:pPr>
        <w:spacing w:line="480" w:lineRule="auto"/>
        <w:jc w:val="center"/>
        <w:rPr>
          <w:rFonts w:ascii="Times New Roman" w:hAnsi="Times New Roman" w:cs="Times New Roman"/>
          <w:b/>
          <w:bCs/>
        </w:rPr>
      </w:pPr>
      <w:r w:rsidRPr="00412E33">
        <w:rPr>
          <w:rFonts w:ascii="Times New Roman" w:hAnsi="Times New Roman" w:cs="Times New Roman"/>
          <w:b/>
          <w:bCs/>
        </w:rPr>
        <w:lastRenderedPageBreak/>
        <w:t>LIST OF FIGURES</w:t>
      </w:r>
    </w:p>
    <w:p w14:paraId="126BF230" w14:textId="49CBA605" w:rsidR="0085757D" w:rsidRPr="005C3043" w:rsidRDefault="009813A2" w:rsidP="005853D1">
      <w:pPr>
        <w:spacing w:line="480" w:lineRule="auto"/>
        <w:jc w:val="both"/>
        <w:rPr>
          <w:rFonts w:ascii="Times New Roman" w:hAnsi="Times New Roman" w:cs="Times New Roman"/>
        </w:rPr>
      </w:pPr>
      <w:r w:rsidRPr="005C3043">
        <w:rPr>
          <w:rFonts w:ascii="Times New Roman" w:hAnsi="Times New Roman" w:cs="Times New Roman"/>
          <w:b/>
        </w:rPr>
        <w:t>Figure 1.</w:t>
      </w:r>
      <w:r w:rsidRPr="005C3043">
        <w:rPr>
          <w:rFonts w:ascii="Times New Roman" w:hAnsi="Times New Roman" w:cs="Times New Roman"/>
        </w:rPr>
        <w:t xml:space="preserve"> Timeline for synchronization of pre-ovulatory follicle developmen</w:t>
      </w:r>
      <w:r w:rsidR="00437C8A" w:rsidRPr="005C3043">
        <w:rPr>
          <w:rFonts w:ascii="Times New Roman" w:hAnsi="Times New Roman" w:cs="Times New Roman"/>
        </w:rPr>
        <w:t>t………</w:t>
      </w:r>
      <w:r w:rsidR="001721A0">
        <w:rPr>
          <w:rFonts w:ascii="Times New Roman" w:hAnsi="Times New Roman" w:cs="Times New Roman"/>
        </w:rPr>
        <w:t>…</w:t>
      </w:r>
      <w:r w:rsidR="00437C8A" w:rsidRPr="005C3043">
        <w:rPr>
          <w:rFonts w:ascii="Times New Roman" w:hAnsi="Times New Roman" w:cs="Times New Roman"/>
        </w:rPr>
        <w:t>.</w:t>
      </w:r>
      <w:r w:rsidRPr="005C3043">
        <w:rPr>
          <w:rFonts w:ascii="Times New Roman" w:hAnsi="Times New Roman" w:cs="Times New Roman"/>
        </w:rPr>
        <w:t>4</w:t>
      </w:r>
      <w:r w:rsidR="00357344">
        <w:rPr>
          <w:rFonts w:ascii="Times New Roman" w:hAnsi="Times New Roman" w:cs="Times New Roman"/>
        </w:rPr>
        <w:t>3</w:t>
      </w:r>
    </w:p>
    <w:p w14:paraId="54C88085" w14:textId="77777777" w:rsidR="00437C8A" w:rsidRPr="005C3043" w:rsidRDefault="00437C8A" w:rsidP="005853D1">
      <w:pPr>
        <w:spacing w:line="480" w:lineRule="auto"/>
        <w:jc w:val="both"/>
        <w:rPr>
          <w:rFonts w:ascii="Times New Roman" w:hAnsi="Times New Roman" w:cs="Times New Roman"/>
        </w:rPr>
      </w:pPr>
    </w:p>
    <w:p w14:paraId="5236DBF3" w14:textId="18626827" w:rsidR="0085757D" w:rsidRPr="00DA712E" w:rsidRDefault="009813A2" w:rsidP="005853D1">
      <w:pPr>
        <w:spacing w:line="480" w:lineRule="auto"/>
        <w:jc w:val="both"/>
        <w:rPr>
          <w:rFonts w:ascii="Times New Roman" w:hAnsi="Times New Roman" w:cs="Times New Roman"/>
        </w:rPr>
      </w:pPr>
      <w:r w:rsidRPr="00DA712E">
        <w:rPr>
          <w:rFonts w:ascii="Times New Roman" w:hAnsi="Times New Roman" w:cs="Times New Roman"/>
          <w:b/>
        </w:rPr>
        <w:t>Figure 2.</w:t>
      </w:r>
      <w:r w:rsidRPr="00DA712E">
        <w:rPr>
          <w:rFonts w:ascii="Times New Roman" w:hAnsi="Times New Roman" w:cs="Times New Roman"/>
        </w:rPr>
        <w:t xml:space="preserve"> Relationship between pre-ovulatory follicle diameter and cow phenotype or timeline parameters</w:t>
      </w:r>
      <w:r w:rsidR="00437C8A" w:rsidRPr="00DA712E">
        <w:rPr>
          <w:rFonts w:ascii="Times New Roman" w:hAnsi="Times New Roman" w:cs="Times New Roman"/>
        </w:rPr>
        <w:t>………………………………………………………………………</w:t>
      </w:r>
      <w:r w:rsidRPr="00DA712E">
        <w:rPr>
          <w:rFonts w:ascii="Times New Roman" w:hAnsi="Times New Roman" w:cs="Times New Roman"/>
        </w:rPr>
        <w:t>4</w:t>
      </w:r>
      <w:r w:rsidR="00357344">
        <w:rPr>
          <w:rFonts w:ascii="Times New Roman" w:hAnsi="Times New Roman" w:cs="Times New Roman"/>
        </w:rPr>
        <w:t>8</w:t>
      </w:r>
    </w:p>
    <w:p w14:paraId="6CD9E9B7" w14:textId="77777777" w:rsidR="00437C8A" w:rsidRPr="00DF5C47" w:rsidRDefault="00437C8A" w:rsidP="005853D1">
      <w:pPr>
        <w:spacing w:line="480" w:lineRule="auto"/>
        <w:jc w:val="both"/>
        <w:rPr>
          <w:rFonts w:ascii="Times New Roman" w:hAnsi="Times New Roman" w:cs="Times New Roman"/>
        </w:rPr>
      </w:pPr>
    </w:p>
    <w:p w14:paraId="29E8A791" w14:textId="4C88EE6A" w:rsidR="009813A2" w:rsidRPr="005C3043" w:rsidRDefault="009813A2" w:rsidP="005853D1">
      <w:pPr>
        <w:spacing w:line="480" w:lineRule="auto"/>
        <w:jc w:val="both"/>
        <w:rPr>
          <w:rFonts w:ascii="Times New Roman" w:hAnsi="Times New Roman" w:cs="Times New Roman"/>
        </w:rPr>
      </w:pPr>
      <w:r w:rsidRPr="005C3043">
        <w:rPr>
          <w:rFonts w:ascii="Times New Roman" w:hAnsi="Times New Roman" w:cs="Times New Roman"/>
          <w:b/>
        </w:rPr>
        <w:t xml:space="preserve">Figure 3. </w:t>
      </w:r>
      <w:r w:rsidRPr="005C3043">
        <w:rPr>
          <w:rFonts w:ascii="Times New Roman" w:hAnsi="Times New Roman" w:cs="Times New Roman"/>
        </w:rPr>
        <w:t>Heatmap of 38 metabolites detected in pre-ovulatory follicular fluid</w:t>
      </w:r>
      <w:r w:rsidR="00437C8A" w:rsidRPr="005C3043">
        <w:rPr>
          <w:rFonts w:ascii="Times New Roman" w:hAnsi="Times New Roman" w:cs="Times New Roman"/>
        </w:rPr>
        <w:t>………</w:t>
      </w:r>
      <w:proofErr w:type="gramStart"/>
      <w:r w:rsidR="00437C8A" w:rsidRPr="005C3043">
        <w:rPr>
          <w:rFonts w:ascii="Times New Roman" w:hAnsi="Times New Roman" w:cs="Times New Roman"/>
        </w:rPr>
        <w:t>...</w:t>
      </w:r>
      <w:r w:rsidR="001721A0">
        <w:rPr>
          <w:rFonts w:ascii="Times New Roman" w:hAnsi="Times New Roman" w:cs="Times New Roman"/>
        </w:rPr>
        <w:t>..</w:t>
      </w:r>
      <w:proofErr w:type="gramEnd"/>
      <w:r w:rsidR="00357344">
        <w:rPr>
          <w:rFonts w:ascii="Times New Roman" w:hAnsi="Times New Roman" w:cs="Times New Roman"/>
        </w:rPr>
        <w:t>52</w:t>
      </w:r>
    </w:p>
    <w:p w14:paraId="06F62A32" w14:textId="77777777" w:rsidR="00437C8A" w:rsidRPr="005C3043" w:rsidRDefault="00437C8A" w:rsidP="005853D1">
      <w:pPr>
        <w:spacing w:line="480" w:lineRule="auto"/>
        <w:jc w:val="both"/>
        <w:rPr>
          <w:rFonts w:ascii="Times New Roman" w:hAnsi="Times New Roman" w:cs="Times New Roman"/>
        </w:rPr>
      </w:pPr>
    </w:p>
    <w:p w14:paraId="041A0193" w14:textId="785DE101" w:rsidR="009813A2" w:rsidRPr="005C3043" w:rsidRDefault="009813A2" w:rsidP="005853D1">
      <w:pPr>
        <w:spacing w:line="480" w:lineRule="auto"/>
        <w:jc w:val="both"/>
        <w:rPr>
          <w:rFonts w:ascii="Times New Roman" w:hAnsi="Times New Roman" w:cs="Times New Roman"/>
        </w:rPr>
      </w:pPr>
      <w:r w:rsidRPr="005C3043">
        <w:rPr>
          <w:rFonts w:ascii="Times New Roman" w:hAnsi="Times New Roman" w:cs="Times New Roman"/>
          <w:b/>
        </w:rPr>
        <w:t>Figure 4.</w:t>
      </w:r>
      <w:r w:rsidRPr="005C3043">
        <w:rPr>
          <w:rFonts w:ascii="Times New Roman" w:hAnsi="Times New Roman" w:cs="Times New Roman"/>
        </w:rPr>
        <w:t xml:space="preserve"> Scatter plots of the correlation between metabolite peak area and follicle diameter at the time of </w:t>
      </w:r>
      <w:r w:rsidR="00437C8A" w:rsidRPr="005C3043">
        <w:rPr>
          <w:rFonts w:ascii="Times New Roman" w:hAnsi="Times New Roman" w:cs="Times New Roman"/>
        </w:rPr>
        <w:t>GnRH2…………………………………………………………...</w:t>
      </w:r>
      <w:r w:rsidRPr="005C3043">
        <w:rPr>
          <w:rFonts w:ascii="Times New Roman" w:hAnsi="Times New Roman" w:cs="Times New Roman"/>
        </w:rPr>
        <w:t>5</w:t>
      </w:r>
      <w:r w:rsidR="00357344">
        <w:rPr>
          <w:rFonts w:ascii="Times New Roman" w:hAnsi="Times New Roman" w:cs="Times New Roman"/>
        </w:rPr>
        <w:t>3</w:t>
      </w:r>
    </w:p>
    <w:p w14:paraId="45022C1F" w14:textId="7F638C7B" w:rsidR="009813A2" w:rsidRPr="005C3043" w:rsidRDefault="009813A2" w:rsidP="005853D1">
      <w:pPr>
        <w:spacing w:line="480" w:lineRule="auto"/>
        <w:jc w:val="both"/>
        <w:rPr>
          <w:rFonts w:ascii="Times New Roman" w:hAnsi="Times New Roman" w:cs="Times New Roman"/>
        </w:rPr>
      </w:pPr>
    </w:p>
    <w:p w14:paraId="2911481E" w14:textId="40B34C9C" w:rsidR="009813A2" w:rsidRPr="005C3043" w:rsidRDefault="009813A2" w:rsidP="005853D1">
      <w:pPr>
        <w:spacing w:line="480" w:lineRule="auto"/>
        <w:jc w:val="both"/>
        <w:rPr>
          <w:rFonts w:ascii="Times New Roman" w:hAnsi="Times New Roman" w:cs="Times New Roman"/>
        </w:rPr>
      </w:pPr>
      <w:r w:rsidRPr="005C3043">
        <w:rPr>
          <w:rFonts w:ascii="Times New Roman" w:hAnsi="Times New Roman" w:cs="Times New Roman"/>
          <w:b/>
        </w:rPr>
        <w:t>Figure 5.</w:t>
      </w:r>
      <w:r w:rsidRPr="005C3043">
        <w:rPr>
          <w:rFonts w:ascii="Times New Roman" w:hAnsi="Times New Roman" w:cs="Times New Roman"/>
        </w:rPr>
        <w:t xml:space="preserve"> Proposed model of altered glucose metabolism in cumulus cells of small pre-ovulatory follicles</w:t>
      </w:r>
      <w:r w:rsidR="00437C8A" w:rsidRPr="005C3043">
        <w:rPr>
          <w:rFonts w:ascii="Times New Roman" w:hAnsi="Times New Roman" w:cs="Times New Roman"/>
        </w:rPr>
        <w:t>………………………………………………………………………...</w:t>
      </w:r>
      <w:r w:rsidR="007054D1">
        <w:rPr>
          <w:rFonts w:ascii="Times New Roman" w:hAnsi="Times New Roman" w:cs="Times New Roman"/>
        </w:rPr>
        <w:t>59</w:t>
      </w:r>
    </w:p>
    <w:p w14:paraId="77DCE12E" w14:textId="6FB78883" w:rsidR="009813A2" w:rsidRPr="005C3043" w:rsidRDefault="009813A2" w:rsidP="005853D1">
      <w:pPr>
        <w:spacing w:line="480" w:lineRule="auto"/>
        <w:jc w:val="both"/>
        <w:rPr>
          <w:rFonts w:ascii="Times New Roman" w:hAnsi="Times New Roman" w:cs="Times New Roman"/>
        </w:rPr>
      </w:pPr>
    </w:p>
    <w:p w14:paraId="6EFCEB85" w14:textId="35894B21" w:rsidR="009813A2" w:rsidRPr="00DA712E" w:rsidRDefault="009813A2" w:rsidP="005853D1">
      <w:pPr>
        <w:spacing w:line="480" w:lineRule="auto"/>
        <w:jc w:val="both"/>
        <w:rPr>
          <w:rFonts w:ascii="Times New Roman" w:hAnsi="Times New Roman" w:cs="Times New Roman"/>
        </w:rPr>
      </w:pPr>
      <w:r w:rsidRPr="00DA712E">
        <w:rPr>
          <w:rFonts w:ascii="Times New Roman" w:hAnsi="Times New Roman" w:cs="Times New Roman"/>
          <w:b/>
        </w:rPr>
        <w:t xml:space="preserve">Figure 6. </w:t>
      </w:r>
      <w:r w:rsidRPr="00DA712E">
        <w:rPr>
          <w:rFonts w:ascii="Times New Roman" w:hAnsi="Times New Roman" w:cs="Times New Roman"/>
        </w:rPr>
        <w:t xml:space="preserve">Workflow for oocyte lysis and quantification of ATP levels and </w:t>
      </w:r>
      <w:proofErr w:type="spellStart"/>
      <w:r w:rsidRPr="00DA712E">
        <w:rPr>
          <w:rFonts w:ascii="Times New Roman" w:hAnsi="Times New Roman" w:cs="Times New Roman"/>
        </w:rPr>
        <w:t>mtDNA</w:t>
      </w:r>
      <w:proofErr w:type="spellEnd"/>
      <w:r w:rsidRPr="00DA712E">
        <w:rPr>
          <w:rFonts w:ascii="Times New Roman" w:hAnsi="Times New Roman" w:cs="Times New Roman"/>
        </w:rPr>
        <w:t xml:space="preserve"> copy number within a single oocyte</w:t>
      </w:r>
      <w:r w:rsidR="00437C8A" w:rsidRPr="00DA712E">
        <w:rPr>
          <w:rFonts w:ascii="Times New Roman" w:hAnsi="Times New Roman" w:cs="Times New Roman"/>
        </w:rPr>
        <w:t>……………………………………………………………</w:t>
      </w:r>
      <w:r w:rsidRPr="00DA712E">
        <w:rPr>
          <w:rFonts w:ascii="Times New Roman" w:hAnsi="Times New Roman" w:cs="Times New Roman"/>
        </w:rPr>
        <w:t>7</w:t>
      </w:r>
      <w:r w:rsidR="007054D1">
        <w:rPr>
          <w:rFonts w:ascii="Times New Roman" w:hAnsi="Times New Roman" w:cs="Times New Roman"/>
        </w:rPr>
        <w:t>6</w:t>
      </w:r>
    </w:p>
    <w:p w14:paraId="6E14083F" w14:textId="3D86CC23" w:rsidR="009813A2" w:rsidRPr="00DF5C47" w:rsidRDefault="009813A2" w:rsidP="005853D1">
      <w:pPr>
        <w:spacing w:line="480" w:lineRule="auto"/>
        <w:jc w:val="both"/>
        <w:rPr>
          <w:rFonts w:ascii="Times New Roman" w:hAnsi="Times New Roman" w:cs="Times New Roman"/>
        </w:rPr>
      </w:pPr>
    </w:p>
    <w:p w14:paraId="24D43E7F" w14:textId="42CFF3ED" w:rsidR="00437C8A" w:rsidRPr="005C3043" w:rsidRDefault="00437C8A" w:rsidP="005853D1">
      <w:pPr>
        <w:spacing w:line="480" w:lineRule="auto"/>
        <w:jc w:val="both"/>
        <w:rPr>
          <w:rFonts w:ascii="Times New Roman" w:hAnsi="Times New Roman" w:cs="Times New Roman"/>
          <w:lang w:bidi="en-US"/>
        </w:rPr>
      </w:pPr>
      <w:r w:rsidRPr="005C3043">
        <w:rPr>
          <w:rFonts w:ascii="Times New Roman" w:hAnsi="Times New Roman" w:cs="Times New Roman"/>
          <w:b/>
          <w:lang w:bidi="en-US"/>
        </w:rPr>
        <w:t>Figure 7.</w:t>
      </w:r>
      <w:r w:rsidRPr="005C3043">
        <w:rPr>
          <w:rFonts w:ascii="Times New Roman" w:hAnsi="Times New Roman" w:cs="Times New Roman"/>
          <w:lang w:bidi="en-US"/>
        </w:rPr>
        <w:t xml:space="preserve"> Plots depicting the relationship of ATP and </w:t>
      </w:r>
      <w:proofErr w:type="spellStart"/>
      <w:r w:rsidRPr="005C3043">
        <w:rPr>
          <w:rFonts w:ascii="Times New Roman" w:hAnsi="Times New Roman" w:cs="Times New Roman"/>
          <w:lang w:bidi="en-US"/>
        </w:rPr>
        <w:t>mtDNA</w:t>
      </w:r>
      <w:proofErr w:type="spellEnd"/>
      <w:r w:rsidRPr="005C3043">
        <w:rPr>
          <w:rFonts w:ascii="Times New Roman" w:hAnsi="Times New Roman" w:cs="Times New Roman"/>
          <w:lang w:bidi="en-US"/>
        </w:rPr>
        <w:t xml:space="preserve"> with GV and MII stage oocytes…………………………………………………………………………………...</w:t>
      </w:r>
      <w:r w:rsidR="00357344">
        <w:rPr>
          <w:rFonts w:ascii="Times New Roman" w:hAnsi="Times New Roman" w:cs="Times New Roman"/>
          <w:lang w:bidi="en-US"/>
        </w:rPr>
        <w:t>8</w:t>
      </w:r>
      <w:r w:rsidR="00790F50">
        <w:rPr>
          <w:rFonts w:ascii="Times New Roman" w:hAnsi="Times New Roman" w:cs="Times New Roman"/>
          <w:lang w:bidi="en-US"/>
        </w:rPr>
        <w:t>1</w:t>
      </w:r>
    </w:p>
    <w:p w14:paraId="0A1F79CA" w14:textId="77777777" w:rsidR="00437C8A" w:rsidRPr="005C3043" w:rsidRDefault="00437C8A" w:rsidP="005853D1">
      <w:pPr>
        <w:spacing w:line="480" w:lineRule="auto"/>
        <w:jc w:val="both"/>
        <w:rPr>
          <w:rFonts w:ascii="Times New Roman" w:hAnsi="Times New Roman" w:cs="Times New Roman"/>
          <w:lang w:bidi="en-US"/>
        </w:rPr>
      </w:pPr>
    </w:p>
    <w:p w14:paraId="7752214B" w14:textId="70EFEBDC" w:rsidR="00437C8A" w:rsidRPr="005C3043" w:rsidRDefault="00437C8A" w:rsidP="005853D1">
      <w:pPr>
        <w:spacing w:line="480" w:lineRule="auto"/>
        <w:jc w:val="both"/>
        <w:rPr>
          <w:rFonts w:ascii="Times New Roman" w:hAnsi="Times New Roman" w:cs="Times New Roman"/>
        </w:rPr>
      </w:pPr>
      <w:r w:rsidRPr="005C3043">
        <w:rPr>
          <w:rFonts w:ascii="Times New Roman" w:hAnsi="Times New Roman" w:cs="Times New Roman"/>
          <w:b/>
        </w:rPr>
        <w:t>Figure 8.</w:t>
      </w:r>
      <w:r w:rsidRPr="005C3043">
        <w:rPr>
          <w:rFonts w:ascii="Times New Roman" w:hAnsi="Times New Roman" w:cs="Times New Roman"/>
        </w:rPr>
        <w:t xml:space="preserve"> Timeline for synchronization of pre-ovulatory follicle development……….…</w:t>
      </w:r>
      <w:r w:rsidR="00357344">
        <w:rPr>
          <w:rFonts w:ascii="Times New Roman" w:hAnsi="Times New Roman" w:cs="Times New Roman"/>
        </w:rPr>
        <w:t>9</w:t>
      </w:r>
      <w:r w:rsidR="00790F50">
        <w:rPr>
          <w:rFonts w:ascii="Times New Roman" w:hAnsi="Times New Roman" w:cs="Times New Roman"/>
        </w:rPr>
        <w:t>0</w:t>
      </w:r>
    </w:p>
    <w:p w14:paraId="1FD1B07F" w14:textId="4A6CC935" w:rsidR="00437C8A" w:rsidRPr="00DA712E" w:rsidRDefault="00437C8A" w:rsidP="005853D1">
      <w:pPr>
        <w:spacing w:line="480" w:lineRule="auto"/>
        <w:jc w:val="both"/>
        <w:rPr>
          <w:rFonts w:ascii="Times New Roman" w:hAnsi="Times New Roman" w:cs="Times New Roman"/>
        </w:rPr>
      </w:pPr>
    </w:p>
    <w:p w14:paraId="5064E3A0" w14:textId="6C489CD7" w:rsidR="00437C8A" w:rsidRPr="005C3043" w:rsidRDefault="00437C8A" w:rsidP="005853D1">
      <w:pPr>
        <w:spacing w:line="480" w:lineRule="auto"/>
        <w:jc w:val="both"/>
        <w:rPr>
          <w:rFonts w:ascii="Times New Roman" w:hAnsi="Times New Roman" w:cs="Times New Roman"/>
          <w:color w:val="000000" w:themeColor="text1"/>
        </w:rPr>
      </w:pPr>
      <w:r w:rsidRPr="005C3043">
        <w:rPr>
          <w:rFonts w:ascii="Times New Roman" w:hAnsi="Times New Roman" w:cs="Times New Roman"/>
          <w:b/>
          <w:bCs/>
          <w:color w:val="000000" w:themeColor="text1"/>
        </w:rPr>
        <w:lastRenderedPageBreak/>
        <w:t xml:space="preserve">Figure 9. </w:t>
      </w:r>
      <w:r w:rsidRPr="005C3043">
        <w:rPr>
          <w:rFonts w:ascii="Times New Roman" w:hAnsi="Times New Roman" w:cs="Times New Roman"/>
          <w:color w:val="000000" w:themeColor="text1"/>
        </w:rPr>
        <w:t>Correlation between serum estradiol concentration at GnRH2 and time from GnRH2 to follicle aspiration</w:t>
      </w:r>
      <w:r w:rsidR="004A5AAB" w:rsidRPr="005C3043">
        <w:rPr>
          <w:rFonts w:ascii="Times New Roman" w:hAnsi="Times New Roman" w:cs="Times New Roman"/>
          <w:color w:val="000000" w:themeColor="text1"/>
        </w:rPr>
        <w:t xml:space="preserve"> and intraoocyte ATP..........</w:t>
      </w:r>
      <w:proofErr w:type="gramStart"/>
      <w:r w:rsidRPr="005C3043">
        <w:rPr>
          <w:rFonts w:ascii="Times New Roman" w:hAnsi="Times New Roman" w:cs="Times New Roman"/>
          <w:color w:val="000000" w:themeColor="text1"/>
        </w:rPr>
        <w:t>…..</w:t>
      </w:r>
      <w:proofErr w:type="gramEnd"/>
      <w:r w:rsidRPr="005C3043">
        <w:rPr>
          <w:rFonts w:ascii="Times New Roman" w:hAnsi="Times New Roman" w:cs="Times New Roman"/>
          <w:color w:val="000000" w:themeColor="text1"/>
        </w:rPr>
        <w:t>…………………………</w:t>
      </w:r>
      <w:r w:rsidR="001721A0">
        <w:rPr>
          <w:rFonts w:ascii="Times New Roman" w:hAnsi="Times New Roman" w:cs="Times New Roman"/>
          <w:color w:val="000000" w:themeColor="text1"/>
        </w:rPr>
        <w:t>...</w:t>
      </w:r>
      <w:r w:rsidR="00357344">
        <w:rPr>
          <w:rFonts w:ascii="Times New Roman" w:hAnsi="Times New Roman" w:cs="Times New Roman"/>
          <w:color w:val="000000" w:themeColor="text1"/>
        </w:rPr>
        <w:t>10</w:t>
      </w:r>
      <w:r w:rsidR="00790F50">
        <w:rPr>
          <w:rFonts w:ascii="Times New Roman" w:hAnsi="Times New Roman" w:cs="Times New Roman"/>
          <w:color w:val="000000" w:themeColor="text1"/>
        </w:rPr>
        <w:t>7</w:t>
      </w:r>
    </w:p>
    <w:p w14:paraId="36E9B7C0" w14:textId="77777777" w:rsidR="00437C8A" w:rsidRPr="005C3043" w:rsidRDefault="00437C8A" w:rsidP="005853D1">
      <w:pPr>
        <w:spacing w:line="480" w:lineRule="auto"/>
        <w:jc w:val="both"/>
        <w:rPr>
          <w:rFonts w:ascii="Times New Roman" w:hAnsi="Times New Roman" w:cs="Times New Roman"/>
          <w:color w:val="000000" w:themeColor="text1"/>
        </w:rPr>
      </w:pPr>
    </w:p>
    <w:p w14:paraId="6C0C568B" w14:textId="623B4161" w:rsidR="00437C8A" w:rsidRPr="005C3043" w:rsidRDefault="00437C8A" w:rsidP="005853D1">
      <w:pPr>
        <w:spacing w:line="480" w:lineRule="auto"/>
        <w:jc w:val="both"/>
        <w:rPr>
          <w:rFonts w:ascii="Times New Roman" w:hAnsi="Times New Roman" w:cs="Times New Roman"/>
          <w:color w:val="000000" w:themeColor="text1"/>
        </w:rPr>
      </w:pPr>
      <w:r w:rsidRPr="005C3043">
        <w:rPr>
          <w:rFonts w:ascii="Times New Roman" w:hAnsi="Times New Roman" w:cs="Times New Roman"/>
          <w:b/>
          <w:bCs/>
          <w:color w:val="000000" w:themeColor="text1"/>
        </w:rPr>
        <w:t>Figure 10.</w:t>
      </w:r>
      <w:r w:rsidRPr="005C3043">
        <w:rPr>
          <w:rFonts w:ascii="Times New Roman" w:hAnsi="Times New Roman" w:cs="Times New Roman"/>
          <w:color w:val="000000" w:themeColor="text1"/>
        </w:rPr>
        <w:t xml:space="preserve"> Correlation between serum estradiol concentration at GnRH2 and time from GnRH2 to follicle aspiration with </w:t>
      </w:r>
      <w:proofErr w:type="spellStart"/>
      <w:proofErr w:type="gramStart"/>
      <w:r w:rsidRPr="005C3043">
        <w:rPr>
          <w:rFonts w:ascii="Times New Roman" w:hAnsi="Times New Roman" w:cs="Times New Roman"/>
          <w:color w:val="000000" w:themeColor="text1"/>
        </w:rPr>
        <w:t>ATP:mtDNA</w:t>
      </w:r>
      <w:proofErr w:type="spellEnd"/>
      <w:proofErr w:type="gramEnd"/>
      <w:r w:rsidRPr="005C3043">
        <w:rPr>
          <w:rFonts w:ascii="Times New Roman" w:hAnsi="Times New Roman" w:cs="Times New Roman"/>
          <w:color w:val="000000" w:themeColor="text1"/>
        </w:rPr>
        <w:t xml:space="preserve"> copy number ratio…………………….</w:t>
      </w:r>
      <w:r w:rsidR="00357344">
        <w:rPr>
          <w:rFonts w:ascii="Times New Roman" w:hAnsi="Times New Roman" w:cs="Times New Roman"/>
          <w:color w:val="000000" w:themeColor="text1"/>
        </w:rPr>
        <w:t>1</w:t>
      </w:r>
      <w:r w:rsidR="00790F50">
        <w:rPr>
          <w:rFonts w:ascii="Times New Roman" w:hAnsi="Times New Roman" w:cs="Times New Roman"/>
          <w:color w:val="000000" w:themeColor="text1"/>
        </w:rPr>
        <w:t>08</w:t>
      </w:r>
    </w:p>
    <w:p w14:paraId="73248131" w14:textId="77777777" w:rsidR="009813A2" w:rsidRPr="00DA712E" w:rsidRDefault="009813A2" w:rsidP="005853D1">
      <w:pPr>
        <w:spacing w:line="480" w:lineRule="auto"/>
        <w:jc w:val="both"/>
        <w:rPr>
          <w:rFonts w:ascii="Times New Roman" w:hAnsi="Times New Roman" w:cs="Times New Roman"/>
        </w:rPr>
      </w:pPr>
    </w:p>
    <w:p w14:paraId="59FFC701" w14:textId="684276DE" w:rsidR="00437C8A" w:rsidRPr="005C3043" w:rsidRDefault="00437C8A" w:rsidP="005853D1">
      <w:pPr>
        <w:spacing w:line="480" w:lineRule="auto"/>
        <w:jc w:val="both"/>
        <w:rPr>
          <w:rFonts w:ascii="Times New Roman" w:hAnsi="Times New Roman" w:cs="Times New Roman"/>
        </w:rPr>
      </w:pPr>
      <w:r w:rsidRPr="005C3043">
        <w:rPr>
          <w:rFonts w:ascii="Times New Roman" w:hAnsi="Times New Roman" w:cs="Times New Roman"/>
          <w:b/>
          <w:bCs/>
        </w:rPr>
        <w:t xml:space="preserve">Figure 11. </w:t>
      </w:r>
      <w:r w:rsidRPr="005C3043">
        <w:rPr>
          <w:rFonts w:ascii="Times New Roman" w:hAnsi="Times New Roman" w:cs="Times New Roman"/>
        </w:rPr>
        <w:t>Venn diagram listing the follicular fluid metabolites significantly correlated to serum estradiol concentration at GnRH2, follicular fluid progesterone concentration (ng/ml), and cow weight</w:t>
      </w:r>
      <w:r w:rsidR="004A5AAB" w:rsidRPr="005C3043">
        <w:rPr>
          <w:rFonts w:ascii="Times New Roman" w:hAnsi="Times New Roman" w:cs="Times New Roman"/>
        </w:rPr>
        <w:t>………………………...…</w:t>
      </w:r>
      <w:r w:rsidR="004A5AAB" w:rsidRPr="005C3043">
        <w:rPr>
          <w:rFonts w:ascii="Times New Roman" w:hAnsi="Times New Roman" w:cs="Times New Roman"/>
          <w:color w:val="000000" w:themeColor="text1"/>
        </w:rPr>
        <w:t>…………………………………</w:t>
      </w:r>
      <w:r w:rsidR="001721A0">
        <w:rPr>
          <w:rFonts w:ascii="Times New Roman" w:hAnsi="Times New Roman" w:cs="Times New Roman"/>
          <w:color w:val="000000" w:themeColor="text1"/>
        </w:rPr>
        <w:t>…</w:t>
      </w:r>
      <w:r w:rsidR="00357344">
        <w:rPr>
          <w:rFonts w:ascii="Times New Roman" w:hAnsi="Times New Roman" w:cs="Times New Roman"/>
          <w:color w:val="000000" w:themeColor="text1"/>
        </w:rPr>
        <w:t>11</w:t>
      </w:r>
      <w:r w:rsidR="00790F50">
        <w:rPr>
          <w:rFonts w:ascii="Times New Roman" w:hAnsi="Times New Roman" w:cs="Times New Roman"/>
          <w:color w:val="000000" w:themeColor="text1"/>
        </w:rPr>
        <w:t>4</w:t>
      </w:r>
    </w:p>
    <w:p w14:paraId="695589AE" w14:textId="77777777" w:rsidR="00437C8A" w:rsidRPr="005C3043" w:rsidRDefault="00437C8A" w:rsidP="005853D1">
      <w:pPr>
        <w:spacing w:line="480" w:lineRule="auto"/>
        <w:jc w:val="both"/>
        <w:rPr>
          <w:rFonts w:ascii="Times New Roman" w:hAnsi="Times New Roman" w:cs="Times New Roman"/>
        </w:rPr>
      </w:pPr>
    </w:p>
    <w:p w14:paraId="2BDA10AC" w14:textId="7B061082" w:rsidR="00437C8A" w:rsidRPr="005C3043" w:rsidRDefault="00437C8A" w:rsidP="005853D1">
      <w:pPr>
        <w:spacing w:line="480" w:lineRule="auto"/>
        <w:jc w:val="both"/>
        <w:rPr>
          <w:rFonts w:ascii="Times New Roman" w:hAnsi="Times New Roman" w:cs="Times New Roman"/>
          <w:color w:val="000000" w:themeColor="text1"/>
        </w:rPr>
      </w:pPr>
      <w:r w:rsidRPr="005C3043">
        <w:rPr>
          <w:rFonts w:ascii="Times New Roman" w:hAnsi="Times New Roman" w:cs="Times New Roman"/>
          <w:b/>
          <w:bCs/>
        </w:rPr>
        <w:t xml:space="preserve">Figure 12. </w:t>
      </w:r>
      <w:r w:rsidRPr="005C3043">
        <w:rPr>
          <w:rFonts w:ascii="Times New Roman" w:hAnsi="Times New Roman" w:cs="Times New Roman"/>
        </w:rPr>
        <w:t>Venn diagram listing the KEGG pathways significantly enriched with follicular fluid metabolites correlated to serum estradiol at GnRH2, follicular fluid progesterone concentration, and cow weight</w:t>
      </w:r>
      <w:r w:rsidR="004A5AAB" w:rsidRPr="005C3043">
        <w:rPr>
          <w:rFonts w:ascii="Times New Roman" w:hAnsi="Times New Roman" w:cs="Times New Roman"/>
        </w:rPr>
        <w:t>…………………………………………………………</w:t>
      </w:r>
      <w:r w:rsidR="001721A0">
        <w:rPr>
          <w:rFonts w:ascii="Times New Roman" w:hAnsi="Times New Roman" w:cs="Times New Roman"/>
        </w:rPr>
        <w:t>.</w:t>
      </w:r>
      <w:r w:rsidR="00357344">
        <w:rPr>
          <w:rFonts w:ascii="Times New Roman" w:hAnsi="Times New Roman" w:cs="Times New Roman"/>
        </w:rPr>
        <w:t>1</w:t>
      </w:r>
      <w:r w:rsidR="00790F50">
        <w:rPr>
          <w:rFonts w:ascii="Times New Roman" w:hAnsi="Times New Roman" w:cs="Times New Roman"/>
        </w:rPr>
        <w:t>19</w:t>
      </w:r>
    </w:p>
    <w:p w14:paraId="1DA0E22E" w14:textId="77777777" w:rsidR="0085757D" w:rsidRPr="005C3043" w:rsidRDefault="0085757D" w:rsidP="001721A0">
      <w:pPr>
        <w:spacing w:line="480" w:lineRule="auto"/>
        <w:jc w:val="both"/>
        <w:rPr>
          <w:rFonts w:ascii="Times New Roman" w:hAnsi="Times New Roman" w:cs="Times New Roman"/>
        </w:rPr>
      </w:pPr>
    </w:p>
    <w:p w14:paraId="4011BD93" w14:textId="77777777" w:rsidR="0085757D" w:rsidRPr="005C3043" w:rsidRDefault="0085757D" w:rsidP="00154DC0">
      <w:pPr>
        <w:spacing w:line="480" w:lineRule="auto"/>
        <w:rPr>
          <w:rFonts w:ascii="Times New Roman" w:hAnsi="Times New Roman" w:cs="Times New Roman"/>
        </w:rPr>
      </w:pPr>
    </w:p>
    <w:p w14:paraId="03A29975" w14:textId="77777777" w:rsidR="0085757D" w:rsidRPr="005C3043" w:rsidRDefault="0085757D" w:rsidP="00154DC0">
      <w:pPr>
        <w:spacing w:line="480" w:lineRule="auto"/>
        <w:rPr>
          <w:rFonts w:ascii="Times New Roman" w:hAnsi="Times New Roman" w:cs="Times New Roman"/>
        </w:rPr>
        <w:sectPr w:rsidR="0085757D" w:rsidRPr="005C3043" w:rsidSect="001D4908">
          <w:footerReference w:type="default" r:id="rId11"/>
          <w:pgSz w:w="12240" w:h="15840" w:code="1"/>
          <w:pgMar w:top="1440" w:right="1800" w:bottom="1872" w:left="1800" w:header="720" w:footer="1440" w:gutter="0"/>
          <w:pgNumType w:fmt="lowerRoman" w:start="1"/>
          <w:cols w:space="720"/>
          <w:noEndnote/>
          <w:titlePg/>
        </w:sectPr>
      </w:pPr>
    </w:p>
    <w:p w14:paraId="5762BDF4" w14:textId="691628EE" w:rsidR="009268EB" w:rsidRPr="005C3043" w:rsidRDefault="00526151" w:rsidP="00154DC0">
      <w:pPr>
        <w:pStyle w:val="Heading1"/>
        <w:spacing w:line="480" w:lineRule="auto"/>
        <w:rPr>
          <w:rFonts w:ascii="Times New Roman" w:hAnsi="Times New Roman" w:cs="Times New Roman"/>
        </w:rPr>
      </w:pPr>
      <w:bookmarkStart w:id="0" w:name="_Toc289175819"/>
      <w:bookmarkStart w:id="1" w:name="_Toc428279005"/>
      <w:bookmarkStart w:id="2" w:name="_Toc100072145"/>
      <w:r w:rsidRPr="005C3043">
        <w:rPr>
          <w:rFonts w:ascii="Times New Roman" w:hAnsi="Times New Roman" w:cs="Times New Roman"/>
        </w:rPr>
        <w:lastRenderedPageBreak/>
        <w:t>INTRODUCTION</w:t>
      </w:r>
      <w:bookmarkEnd w:id="0"/>
      <w:bookmarkEnd w:id="1"/>
      <w:bookmarkEnd w:id="2"/>
      <w:r w:rsidR="00EE334C" w:rsidRPr="005C3043">
        <w:rPr>
          <w:rFonts w:ascii="Times New Roman" w:hAnsi="Times New Roman" w:cs="Times New Roman"/>
        </w:rPr>
        <w:t xml:space="preserve"> </w:t>
      </w:r>
      <w:bookmarkStart w:id="3" w:name="_Toc289175820"/>
      <w:bookmarkStart w:id="4" w:name="_Toc428279006"/>
    </w:p>
    <w:p w14:paraId="5AF7F7F9" w14:textId="0ADEF2DE" w:rsidR="00E65B3B" w:rsidRPr="005C3043" w:rsidRDefault="00E65B3B" w:rsidP="00154DC0">
      <w:pPr>
        <w:spacing w:line="480" w:lineRule="auto"/>
        <w:ind w:firstLine="720"/>
        <w:jc w:val="both"/>
        <w:rPr>
          <w:rFonts w:ascii="Times New Roman" w:hAnsi="Times New Roman" w:cs="Times New Roman"/>
        </w:rPr>
      </w:pPr>
      <w:bookmarkStart w:id="5" w:name="_Hlk93858466"/>
      <w:bookmarkStart w:id="6" w:name="_Toc289175825"/>
      <w:bookmarkStart w:id="7" w:name="_Toc428279011"/>
      <w:bookmarkEnd w:id="3"/>
      <w:bookmarkEnd w:id="4"/>
      <w:r w:rsidRPr="005C3043">
        <w:rPr>
          <w:rFonts w:ascii="Times New Roman" w:hAnsi="Times New Roman" w:cs="Times New Roman"/>
        </w:rPr>
        <w:t xml:space="preserve">Incorporation of a </w:t>
      </w:r>
      <w:r w:rsidR="005946B9" w:rsidRPr="005C3043">
        <w:rPr>
          <w:rFonts w:ascii="Times New Roman" w:hAnsi="Times New Roman" w:cs="Times New Roman"/>
        </w:rPr>
        <w:t>fixed-time</w:t>
      </w:r>
      <w:r w:rsidRPr="005C3043">
        <w:rPr>
          <w:rFonts w:ascii="Times New Roman" w:hAnsi="Times New Roman" w:cs="Times New Roman"/>
        </w:rPr>
        <w:t xml:space="preserve"> artificial insemination (FTAI) protocol into beef cattle production systems </w:t>
      </w:r>
      <w:r w:rsidR="00B30F2F" w:rsidRPr="005C3043">
        <w:rPr>
          <w:rFonts w:ascii="Times New Roman" w:hAnsi="Times New Roman" w:cs="Times New Roman"/>
        </w:rPr>
        <w:t>improves</w:t>
      </w:r>
      <w:r w:rsidRPr="005C3043">
        <w:rPr>
          <w:rFonts w:ascii="Times New Roman" w:hAnsi="Times New Roman" w:cs="Times New Roman"/>
        </w:rPr>
        <w:t xml:space="preserve"> </w:t>
      </w:r>
      <w:r w:rsidR="00BB51B1" w:rsidRPr="005C3043">
        <w:rPr>
          <w:rFonts w:ascii="Times New Roman" w:hAnsi="Times New Roman" w:cs="Times New Roman"/>
        </w:rPr>
        <w:t xml:space="preserve">reproductive management </w:t>
      </w:r>
      <w:r w:rsidR="0056131E" w:rsidRPr="005C3043">
        <w:rPr>
          <w:rFonts w:ascii="Times New Roman" w:hAnsi="Times New Roman" w:cs="Times New Roman"/>
        </w:rPr>
        <w:t>as</w:t>
      </w:r>
      <w:r w:rsidR="00BB51B1" w:rsidRPr="005C3043">
        <w:rPr>
          <w:rFonts w:ascii="Times New Roman" w:hAnsi="Times New Roman" w:cs="Times New Roman"/>
        </w:rPr>
        <w:t xml:space="preserve"> well as </w:t>
      </w:r>
      <w:r w:rsidRPr="005C3043">
        <w:rPr>
          <w:rFonts w:ascii="Times New Roman" w:hAnsi="Times New Roman" w:cs="Times New Roman"/>
        </w:rPr>
        <w:t>the genetics, weight, and uniformity of the calf crop</w:t>
      </w:r>
      <w:bookmarkEnd w:id="5"/>
      <w:r w:rsidRPr="005C3043">
        <w:rPr>
          <w:rFonts w:ascii="Times New Roman" w:hAnsi="Times New Roman" w:cs="Times New Roman"/>
        </w:rPr>
        <w:t xml:space="preserve"> </w:t>
      </w:r>
      <w:r w:rsidR="00C55223" w:rsidRPr="005C3043">
        <w:rPr>
          <w:rFonts w:ascii="Times New Roman" w:hAnsi="Times New Roman" w:cs="Times New Roman"/>
          <w:noProof/>
        </w:rPr>
        <w:t>(Sá Filho et al., 2010; Funston et al., 2012; Cushman et al., 2013)</w:t>
      </w:r>
      <w:r w:rsidRPr="005C3043">
        <w:rPr>
          <w:rFonts w:ascii="Times New Roman" w:hAnsi="Times New Roman" w:cs="Times New Roman"/>
        </w:rPr>
        <w:t>. However, a subset of cattle</w:t>
      </w:r>
      <w:r w:rsidR="00C415A7" w:rsidRPr="005C3043">
        <w:rPr>
          <w:rFonts w:ascii="Times New Roman" w:hAnsi="Times New Roman" w:cs="Times New Roman"/>
        </w:rPr>
        <w:t xml:space="preserve"> (3-90%)</w:t>
      </w:r>
      <w:r w:rsidRPr="005C3043">
        <w:rPr>
          <w:rFonts w:ascii="Times New Roman" w:hAnsi="Times New Roman" w:cs="Times New Roman"/>
        </w:rPr>
        <w:t xml:space="preserve"> undergoing a FTAI protocol rely on the administration of gonadotropin releasing hormone (GnRH) to induce their ovulation. This subset of cattle has reduced pregnancy rates compared to animals that express estrus prior to FTAI and experience an endogenous pre-ovulatory gonadotropin surge </w:t>
      </w:r>
      <w:r w:rsidR="00C55223" w:rsidRPr="005C3043">
        <w:rPr>
          <w:rFonts w:ascii="Times New Roman" w:hAnsi="Times New Roman" w:cs="Times New Roman"/>
          <w:noProof/>
        </w:rPr>
        <w:t xml:space="preserve">(Perry et al., 2005; Perry et al., 2007; Atkins et al., </w:t>
      </w:r>
      <w:r w:rsidR="00937F46" w:rsidRPr="005C3043">
        <w:rPr>
          <w:rFonts w:ascii="Times New Roman" w:hAnsi="Times New Roman" w:cs="Times New Roman"/>
          <w:noProof/>
        </w:rPr>
        <w:t>2013</w:t>
      </w:r>
      <w:r w:rsidR="00C415A7" w:rsidRPr="005C3043">
        <w:rPr>
          <w:rFonts w:ascii="Times New Roman" w:hAnsi="Times New Roman" w:cs="Times New Roman"/>
          <w:noProof/>
        </w:rPr>
        <w:t>; Colazo and Mapletoft, 2014; Colazo et al., 2018</w:t>
      </w:r>
      <w:r w:rsidR="00D07C57" w:rsidRPr="005C3043">
        <w:rPr>
          <w:rFonts w:ascii="Times New Roman" w:hAnsi="Times New Roman" w:cs="Times New Roman"/>
          <w:noProof/>
        </w:rPr>
        <w:t>; Jinks et al. 2013; Richardson et al. 2016</w:t>
      </w:r>
      <w:r w:rsidR="00C55223" w:rsidRPr="005C3043">
        <w:rPr>
          <w:rFonts w:ascii="Times New Roman" w:hAnsi="Times New Roman" w:cs="Times New Roman"/>
          <w:noProof/>
        </w:rPr>
        <w:t>)</w:t>
      </w:r>
      <w:r w:rsidRPr="005C3043">
        <w:rPr>
          <w:rFonts w:ascii="Times New Roman" w:hAnsi="Times New Roman" w:cs="Times New Roman"/>
        </w:rPr>
        <w:t xml:space="preserve">. This reduced pregnancy rate could be due, in part, to reduced oocyte developmental competence. Oocyte developmental competence is typically defined as the </w:t>
      </w:r>
      <w:r w:rsidR="00B30F2F" w:rsidRPr="005C3043">
        <w:rPr>
          <w:rFonts w:ascii="Times New Roman" w:hAnsi="Times New Roman" w:cs="Times New Roman"/>
        </w:rPr>
        <w:t xml:space="preserve">oocyte’s </w:t>
      </w:r>
      <w:r w:rsidRPr="005C3043">
        <w:rPr>
          <w:rFonts w:ascii="Times New Roman" w:hAnsi="Times New Roman" w:cs="Times New Roman"/>
        </w:rPr>
        <w:t xml:space="preserve">ability to complete maturation, be fertilized, cleave, and develop to the blastocyst stage </w:t>
      </w:r>
      <w:r w:rsidR="00C55223" w:rsidRPr="005C3043">
        <w:rPr>
          <w:rFonts w:ascii="Times New Roman" w:hAnsi="Times New Roman" w:cs="Times New Roman"/>
          <w:noProof/>
        </w:rPr>
        <w:t>(Lonergan et al., 2003; Sirard et al., 2006; Boni, 2012)</w:t>
      </w:r>
      <w:r w:rsidRPr="005C3043">
        <w:rPr>
          <w:rFonts w:ascii="Times New Roman" w:hAnsi="Times New Roman" w:cs="Times New Roman"/>
        </w:rPr>
        <w:t>. Bovine oocytes from follicles as small as 2-3</w:t>
      </w:r>
      <w:r w:rsidR="0041016B" w:rsidRPr="005C3043">
        <w:rPr>
          <w:rFonts w:ascii="Times New Roman" w:hAnsi="Times New Roman" w:cs="Times New Roman"/>
        </w:rPr>
        <w:t xml:space="preserve"> </w:t>
      </w:r>
      <w:r w:rsidRPr="005C3043">
        <w:rPr>
          <w:rFonts w:ascii="Times New Roman" w:hAnsi="Times New Roman" w:cs="Times New Roman"/>
        </w:rPr>
        <w:t xml:space="preserve">mm possess the ability to resume </w:t>
      </w:r>
      <w:proofErr w:type="gramStart"/>
      <w:r w:rsidRPr="005C3043">
        <w:rPr>
          <w:rFonts w:ascii="Times New Roman" w:hAnsi="Times New Roman" w:cs="Times New Roman"/>
        </w:rPr>
        <w:t>meiosis, but</w:t>
      </w:r>
      <w:proofErr w:type="gramEnd"/>
      <w:r w:rsidRPr="005C3043">
        <w:rPr>
          <w:rFonts w:ascii="Times New Roman" w:hAnsi="Times New Roman" w:cs="Times New Roman"/>
        </w:rPr>
        <w:t xml:space="preserve"> have variations in their developmental potential </w:t>
      </w:r>
      <w:r w:rsidR="00C55223" w:rsidRPr="005C3043">
        <w:rPr>
          <w:rFonts w:ascii="Times New Roman" w:hAnsi="Times New Roman" w:cs="Times New Roman"/>
          <w:noProof/>
        </w:rPr>
        <w:t xml:space="preserve">(Hyttel et al., 1997; Otoi et al., 1997; Hendriksen et al., </w:t>
      </w:r>
      <w:r w:rsidR="008145FD" w:rsidRPr="005C3043">
        <w:rPr>
          <w:rFonts w:ascii="Times New Roman" w:hAnsi="Times New Roman" w:cs="Times New Roman"/>
          <w:noProof/>
        </w:rPr>
        <w:t>2000</w:t>
      </w:r>
      <w:r w:rsidR="00C55223" w:rsidRPr="005C3043">
        <w:rPr>
          <w:rFonts w:ascii="Times New Roman" w:hAnsi="Times New Roman" w:cs="Times New Roman"/>
          <w:noProof/>
        </w:rPr>
        <w:t>)</w:t>
      </w:r>
      <w:r w:rsidRPr="005C3043">
        <w:rPr>
          <w:rFonts w:ascii="Times New Roman" w:hAnsi="Times New Roman" w:cs="Times New Roman"/>
        </w:rPr>
        <w:t xml:space="preserve">. Despite completing meiotic maturation, </w:t>
      </w:r>
      <w:r w:rsidR="00B30F2F" w:rsidRPr="005C3043">
        <w:rPr>
          <w:rFonts w:ascii="Times New Roman" w:hAnsi="Times New Roman" w:cs="Times New Roman"/>
        </w:rPr>
        <w:t>oocytes</w:t>
      </w:r>
      <w:r w:rsidRPr="005C3043">
        <w:rPr>
          <w:rFonts w:ascii="Times New Roman" w:hAnsi="Times New Roman" w:cs="Times New Roman"/>
        </w:rPr>
        <w:t xml:space="preserve"> from follicles 2-6</w:t>
      </w:r>
      <w:r w:rsidR="0041016B" w:rsidRPr="005C3043">
        <w:rPr>
          <w:rFonts w:ascii="Times New Roman" w:hAnsi="Times New Roman" w:cs="Times New Roman"/>
        </w:rPr>
        <w:t xml:space="preserve"> </w:t>
      </w:r>
      <w:r w:rsidRPr="005C3043">
        <w:rPr>
          <w:rFonts w:ascii="Times New Roman" w:hAnsi="Times New Roman" w:cs="Times New Roman"/>
        </w:rPr>
        <w:t xml:space="preserve">mm </w:t>
      </w:r>
      <w:r w:rsidR="00A9730A" w:rsidRPr="005C3043">
        <w:rPr>
          <w:rFonts w:ascii="Times New Roman" w:hAnsi="Times New Roman" w:cs="Times New Roman"/>
        </w:rPr>
        <w:t xml:space="preserve">in diameter </w:t>
      </w:r>
      <w:r w:rsidRPr="005C3043">
        <w:rPr>
          <w:rFonts w:ascii="Times New Roman" w:hAnsi="Times New Roman" w:cs="Times New Roman"/>
        </w:rPr>
        <w:t xml:space="preserve">consistently have decreased cleavage and blastocyst rates than those originating from follicles larger than </w:t>
      </w:r>
      <w:r w:rsidR="0041016B" w:rsidRPr="005C3043">
        <w:rPr>
          <w:rFonts w:ascii="Times New Roman" w:hAnsi="Times New Roman" w:cs="Times New Roman"/>
        </w:rPr>
        <w:t xml:space="preserve">6 </w:t>
      </w:r>
      <w:r w:rsidRPr="005C3043">
        <w:rPr>
          <w:rFonts w:ascii="Times New Roman" w:hAnsi="Times New Roman" w:cs="Times New Roman"/>
        </w:rPr>
        <w:t xml:space="preserve">mm </w:t>
      </w:r>
      <w:r w:rsidR="00C55223" w:rsidRPr="005C3043">
        <w:rPr>
          <w:rFonts w:ascii="Times New Roman" w:hAnsi="Times New Roman" w:cs="Times New Roman"/>
          <w:noProof/>
        </w:rPr>
        <w:t xml:space="preserve">(Fair et al., 1995; Fair et al., 1997; Otoi et al., 1997; Hendriksen et al., </w:t>
      </w:r>
      <w:r w:rsidR="008145FD" w:rsidRPr="005C3043">
        <w:rPr>
          <w:rFonts w:ascii="Times New Roman" w:hAnsi="Times New Roman" w:cs="Times New Roman"/>
          <w:noProof/>
        </w:rPr>
        <w:t>2000</w:t>
      </w:r>
      <w:r w:rsidR="00C55223" w:rsidRPr="005C3043">
        <w:rPr>
          <w:rFonts w:ascii="Times New Roman" w:hAnsi="Times New Roman" w:cs="Times New Roman"/>
          <w:noProof/>
        </w:rPr>
        <w:t>; Lonergan et al., 2003; Boni, 2012; Aguila et al., 2020; Sarwar et al., 2020)</w:t>
      </w:r>
      <w:r w:rsidRPr="005C3043">
        <w:rPr>
          <w:rFonts w:ascii="Times New Roman" w:hAnsi="Times New Roman" w:cs="Times New Roman"/>
        </w:rPr>
        <w:t xml:space="preserve">. </w:t>
      </w:r>
      <w:r w:rsidRPr="005C3043">
        <w:rPr>
          <w:rFonts w:ascii="Times New Roman" w:hAnsi="Times New Roman" w:cs="Times New Roman"/>
          <w:color w:val="000000" w:themeColor="text1"/>
        </w:rPr>
        <w:t xml:space="preserve">While most oocytes that have resumed meiosis are capable of interacting with spermatozoa and forming a zygote, the ability of the zygote to reach the blastocyst stage is highly dependent on the degree of cytoplasmic competence and </w:t>
      </w:r>
      <w:r w:rsidR="00526D45" w:rsidRPr="005C3043">
        <w:rPr>
          <w:rFonts w:ascii="Times New Roman" w:hAnsi="Times New Roman" w:cs="Times New Roman"/>
          <w:color w:val="000000" w:themeColor="text1"/>
        </w:rPr>
        <w:t xml:space="preserve">oocyte </w:t>
      </w:r>
      <w:r w:rsidRPr="005C3043">
        <w:rPr>
          <w:rFonts w:ascii="Times New Roman" w:hAnsi="Times New Roman" w:cs="Times New Roman"/>
        </w:rPr>
        <w:lastRenderedPageBreak/>
        <w:t xml:space="preserve">metabolic capacitation </w:t>
      </w:r>
      <w:r w:rsidRPr="005C3043">
        <w:rPr>
          <w:rFonts w:ascii="Times New Roman" w:hAnsi="Times New Roman" w:cs="Times New Roman"/>
          <w:color w:val="000000" w:themeColor="text1"/>
        </w:rPr>
        <w:t xml:space="preserve">the oocyte has </w:t>
      </w:r>
      <w:r w:rsidR="00A9730A" w:rsidRPr="005C3043">
        <w:rPr>
          <w:rFonts w:ascii="Times New Roman" w:hAnsi="Times New Roman" w:cs="Times New Roman"/>
          <w:color w:val="000000" w:themeColor="text1"/>
        </w:rPr>
        <w:t>completed</w:t>
      </w:r>
      <w:r w:rsidRPr="005C3043">
        <w:rPr>
          <w:rFonts w:ascii="Times New Roman" w:hAnsi="Times New Roman" w:cs="Times New Roman"/>
          <w:color w:val="000000" w:themeColor="text1"/>
        </w:rPr>
        <w:t xml:space="preserve"> prior to the onset of maturation</w:t>
      </w:r>
      <w:r w:rsidR="00C415A7" w:rsidRPr="005C3043">
        <w:rPr>
          <w:rFonts w:ascii="Times New Roman" w:hAnsi="Times New Roman" w:cs="Times New Roman"/>
          <w:color w:val="000000" w:themeColor="text1"/>
        </w:rPr>
        <w:t xml:space="preserve"> </w:t>
      </w:r>
      <w:r w:rsidR="00A55BBD" w:rsidRPr="005C3043">
        <w:rPr>
          <w:rFonts w:ascii="Times New Roman" w:hAnsi="Times New Roman" w:cs="Times New Roman"/>
          <w:color w:val="000000" w:themeColor="text1"/>
        </w:rPr>
        <w:t>du</w:t>
      </w:r>
      <w:r w:rsidR="00C415A7" w:rsidRPr="005C3043">
        <w:rPr>
          <w:rFonts w:ascii="Times New Roman" w:hAnsi="Times New Roman" w:cs="Times New Roman"/>
          <w:color w:val="000000" w:themeColor="text1"/>
        </w:rPr>
        <w:t>e</w:t>
      </w:r>
      <w:r w:rsidR="00A55BBD" w:rsidRPr="005C3043">
        <w:rPr>
          <w:rFonts w:ascii="Times New Roman" w:hAnsi="Times New Roman" w:cs="Times New Roman"/>
          <w:color w:val="000000" w:themeColor="text1"/>
        </w:rPr>
        <w:t xml:space="preserve"> to the</w:t>
      </w:r>
      <w:r w:rsidR="00C415A7" w:rsidRPr="005C3043">
        <w:rPr>
          <w:rFonts w:ascii="Times New Roman" w:hAnsi="Times New Roman" w:cs="Times New Roman"/>
          <w:color w:val="000000" w:themeColor="text1"/>
        </w:rPr>
        <w:t xml:space="preserve"> </w:t>
      </w:r>
      <w:r w:rsidR="00432DFA" w:rsidRPr="005C3043">
        <w:rPr>
          <w:rFonts w:ascii="Times New Roman" w:hAnsi="Times New Roman" w:cs="Times New Roman"/>
          <w:color w:val="000000" w:themeColor="text1"/>
        </w:rPr>
        <w:t xml:space="preserve">luteinizing hormone </w:t>
      </w:r>
      <w:r w:rsidR="00C415A7" w:rsidRPr="005C3043">
        <w:rPr>
          <w:rFonts w:ascii="Times New Roman" w:hAnsi="Times New Roman" w:cs="Times New Roman"/>
          <w:color w:val="000000" w:themeColor="text1"/>
        </w:rPr>
        <w:t>(LH) surge</w:t>
      </w:r>
      <w:r w:rsidRPr="005C3043">
        <w:rPr>
          <w:rFonts w:ascii="Times New Roman" w:hAnsi="Times New Roman" w:cs="Times New Roman"/>
          <w:color w:val="000000" w:themeColor="text1"/>
        </w:rPr>
        <w:t xml:space="preserve"> </w:t>
      </w:r>
      <w:r w:rsidR="00C55223" w:rsidRPr="005C3043">
        <w:rPr>
          <w:rFonts w:ascii="Times New Roman" w:hAnsi="Times New Roman" w:cs="Times New Roman"/>
          <w:noProof/>
          <w:color w:val="000000" w:themeColor="text1"/>
        </w:rPr>
        <w:t xml:space="preserve">(Hendriksen et al., </w:t>
      </w:r>
      <w:r w:rsidR="008145FD" w:rsidRPr="005C3043">
        <w:rPr>
          <w:rFonts w:ascii="Times New Roman" w:hAnsi="Times New Roman" w:cs="Times New Roman"/>
          <w:noProof/>
          <w:color w:val="000000" w:themeColor="text1"/>
        </w:rPr>
        <w:t>2000</w:t>
      </w:r>
      <w:r w:rsidR="00C55223" w:rsidRPr="005C3043">
        <w:rPr>
          <w:rFonts w:ascii="Times New Roman" w:hAnsi="Times New Roman" w:cs="Times New Roman"/>
          <w:noProof/>
          <w:color w:val="000000" w:themeColor="text1"/>
        </w:rPr>
        <w:t>; Gosden, 2002; Watson, 2007; Jeong et al., 2009; Sirard, 2011; Boni, 2012; Conti and Franciosi, 2018; Aguila et al., 2020)</w:t>
      </w:r>
      <w:r w:rsidRPr="005C3043">
        <w:rPr>
          <w:rFonts w:ascii="Times New Roman" w:hAnsi="Times New Roman" w:cs="Times New Roman"/>
          <w:color w:val="000000" w:themeColor="text1"/>
        </w:rPr>
        <w:t>.</w:t>
      </w:r>
    </w:p>
    <w:p w14:paraId="75F0E54B" w14:textId="25E3B819" w:rsidR="006A1C51" w:rsidRPr="005C3043" w:rsidRDefault="00CE250C" w:rsidP="00154DC0">
      <w:pPr>
        <w:spacing w:line="480" w:lineRule="auto"/>
        <w:ind w:firstLine="720"/>
        <w:contextualSpacing/>
        <w:jc w:val="both"/>
        <w:rPr>
          <w:rFonts w:ascii="Times New Roman" w:hAnsi="Times New Roman" w:cs="Times New Roman"/>
        </w:rPr>
      </w:pPr>
      <w:r w:rsidRPr="005C3043">
        <w:rPr>
          <w:rFonts w:ascii="Times New Roman" w:hAnsi="Times New Roman" w:cs="Times New Roman"/>
        </w:rPr>
        <w:t>Metabolic priming consists of the gap junctional transport of metabolic substrates like ATP, pyruvate, and lipids from the cumulus cells to the oocyte as well as an increase in and reorganization of mitochondria within the oocyte’s cytoplasm</w:t>
      </w:r>
      <w:r w:rsidR="00A55BBD" w:rsidRPr="005C3043">
        <w:rPr>
          <w:rFonts w:ascii="Times New Roman" w:hAnsi="Times New Roman" w:cs="Times New Roman"/>
        </w:rPr>
        <w:t xml:space="preserve"> during antral follicle development prior to the LH </w:t>
      </w:r>
      <w:proofErr w:type="gramStart"/>
      <w:r w:rsidR="00A55BBD" w:rsidRPr="005C3043">
        <w:rPr>
          <w:rFonts w:ascii="Times New Roman" w:hAnsi="Times New Roman" w:cs="Times New Roman"/>
        </w:rPr>
        <w:t>surge</w:t>
      </w:r>
      <w:r w:rsidR="00C55223" w:rsidRPr="005C3043">
        <w:rPr>
          <w:rFonts w:ascii="Times New Roman" w:hAnsi="Times New Roman" w:cs="Times New Roman"/>
          <w:noProof/>
        </w:rPr>
        <w:t>(</w:t>
      </w:r>
      <w:proofErr w:type="gramEnd"/>
      <w:r w:rsidR="00C55223" w:rsidRPr="005C3043">
        <w:rPr>
          <w:rFonts w:ascii="Times New Roman" w:hAnsi="Times New Roman" w:cs="Times New Roman"/>
          <w:noProof/>
        </w:rPr>
        <w:t>Smith and Alcivar, 1993; Cao et al., 2007; Dumollard et al., 2007; Jeong et al., 2009; Kidder and Vanderhyden, 2010; Winterhager and Kidder, 2015; Aguila et al., 2020)</w:t>
      </w:r>
      <w:r w:rsidRPr="005C3043">
        <w:rPr>
          <w:rFonts w:ascii="Times New Roman" w:hAnsi="Times New Roman" w:cs="Times New Roman"/>
        </w:rPr>
        <w:t>.</w:t>
      </w:r>
      <w:r w:rsidR="00EB4D7A" w:rsidRPr="005C3043">
        <w:rPr>
          <w:rFonts w:ascii="Times New Roman" w:hAnsi="Times New Roman" w:cs="Times New Roman"/>
        </w:rPr>
        <w:t xml:space="preserve"> This process occurs during antral follicle growth prior to the LH surge.</w:t>
      </w:r>
      <w:r w:rsidRPr="005C3043">
        <w:rPr>
          <w:rFonts w:ascii="Times New Roman" w:hAnsi="Times New Roman" w:cs="Times New Roman"/>
        </w:rPr>
        <w:t xml:space="preserve"> The follicular fluid also contributes to the metabolic capacity of the </w:t>
      </w:r>
      <w:r w:rsidR="00B30F2F" w:rsidRPr="005C3043">
        <w:rPr>
          <w:rFonts w:ascii="Times New Roman" w:hAnsi="Times New Roman" w:cs="Times New Roman"/>
        </w:rPr>
        <w:t>cumulus-oocyte complex (</w:t>
      </w:r>
      <w:r w:rsidRPr="005C3043">
        <w:rPr>
          <w:rFonts w:ascii="Times New Roman" w:hAnsi="Times New Roman" w:cs="Times New Roman"/>
        </w:rPr>
        <w:t>COC</w:t>
      </w:r>
      <w:r w:rsidR="00B30F2F" w:rsidRPr="005C3043">
        <w:rPr>
          <w:rFonts w:ascii="Times New Roman" w:hAnsi="Times New Roman" w:cs="Times New Roman"/>
        </w:rPr>
        <w:t>)</w:t>
      </w:r>
      <w:r w:rsidRPr="005C3043">
        <w:rPr>
          <w:rFonts w:ascii="Times New Roman" w:hAnsi="Times New Roman" w:cs="Times New Roman"/>
        </w:rPr>
        <w:t xml:space="preserve"> by providing signaling molecules, metabolites, and other nutrients that are required for COC development and metabolic processes </w:t>
      </w:r>
      <w:r w:rsidR="00C55223" w:rsidRPr="005C3043">
        <w:rPr>
          <w:rFonts w:ascii="Times New Roman" w:hAnsi="Times New Roman" w:cs="Times New Roman"/>
          <w:noProof/>
        </w:rPr>
        <w:t>(Edwards, 1974; Orsi et al., 2005a; Baka and Malamitsi-Puchner, 2006; Sohel et al., 2013; Dumesic et al., 2015; Ferrazza et al., 2017; Da Broi et al., 2018; Guerreiro et al., 2018)</w:t>
      </w:r>
      <w:r w:rsidRPr="005C3043">
        <w:rPr>
          <w:rFonts w:ascii="Times New Roman" w:hAnsi="Times New Roman" w:cs="Times New Roman"/>
        </w:rPr>
        <w:t xml:space="preserve">. The level of metabolic priming prior to removal from the follicle or exposure to the pre-ovulatory gonadotropin surge in vivo is essential because gap junctions begin to break down and the oocyte and cumulus cells decouple once oocyte maturation commences </w:t>
      </w:r>
      <w:r w:rsidR="00C55223" w:rsidRPr="005C3043">
        <w:rPr>
          <w:rFonts w:ascii="Times New Roman" w:hAnsi="Times New Roman" w:cs="Times New Roman"/>
          <w:noProof/>
        </w:rPr>
        <w:t>(Granot and Dekel, 2002; Winterhager and Kidder, 2015; Conti and Franciosi, 2018; Read et al., 2018)</w:t>
      </w:r>
      <w:r w:rsidRPr="005C3043">
        <w:rPr>
          <w:rFonts w:ascii="Times New Roman" w:hAnsi="Times New Roman" w:cs="Times New Roman"/>
        </w:rPr>
        <w:t xml:space="preserve">. This causes metabolite transport </w:t>
      </w:r>
      <w:r w:rsidR="00B17674" w:rsidRPr="005C3043">
        <w:rPr>
          <w:rFonts w:ascii="Times New Roman" w:hAnsi="Times New Roman" w:cs="Times New Roman"/>
        </w:rPr>
        <w:t xml:space="preserve">from the cumulus cells </w:t>
      </w:r>
      <w:r w:rsidRPr="005C3043">
        <w:rPr>
          <w:rFonts w:ascii="Times New Roman" w:hAnsi="Times New Roman" w:cs="Times New Roman"/>
        </w:rPr>
        <w:t xml:space="preserve">to the oocyte to stop. Additionally, during oocyte maturation, mitochondrial biogenesis arrests until the blastocyst stage of embryo development </w:t>
      </w:r>
      <w:r w:rsidR="00C55223" w:rsidRPr="005C3043">
        <w:rPr>
          <w:rFonts w:ascii="Times New Roman" w:hAnsi="Times New Roman" w:cs="Times New Roman"/>
          <w:noProof/>
        </w:rPr>
        <w:t>(Van Blerkom, 2004; Chappel, 2013; Trebichalská et al., 2020)</w:t>
      </w:r>
      <w:r w:rsidRPr="005C3043">
        <w:rPr>
          <w:rFonts w:ascii="Times New Roman" w:hAnsi="Times New Roman" w:cs="Times New Roman"/>
        </w:rPr>
        <w:t xml:space="preserve">. </w:t>
      </w:r>
      <w:r w:rsidR="006A1C51" w:rsidRPr="005C3043">
        <w:rPr>
          <w:rFonts w:ascii="Times New Roman" w:hAnsi="Times New Roman" w:cs="Times New Roman"/>
        </w:rPr>
        <w:t xml:space="preserve">Because of this, the oocyte and early embryo </w:t>
      </w:r>
      <w:proofErr w:type="gramStart"/>
      <w:r w:rsidR="006A1C51" w:rsidRPr="005C3043">
        <w:rPr>
          <w:rFonts w:ascii="Times New Roman" w:hAnsi="Times New Roman" w:cs="Times New Roman"/>
        </w:rPr>
        <w:t>have to</w:t>
      </w:r>
      <w:proofErr w:type="gramEnd"/>
      <w:r w:rsidR="006A1C51" w:rsidRPr="005C3043">
        <w:rPr>
          <w:rFonts w:ascii="Times New Roman" w:hAnsi="Times New Roman" w:cs="Times New Roman"/>
        </w:rPr>
        <w:t xml:space="preserve"> sustain their energy-demanding developmental </w:t>
      </w:r>
      <w:r w:rsidR="006A1C51" w:rsidRPr="005C3043">
        <w:rPr>
          <w:rFonts w:ascii="Times New Roman" w:hAnsi="Times New Roman" w:cs="Times New Roman"/>
        </w:rPr>
        <w:lastRenderedPageBreak/>
        <w:t xml:space="preserve">processes with the metabolic substrates and mitochondria it has accrued </w:t>
      </w:r>
      <w:r w:rsidR="00B17674" w:rsidRPr="005C3043">
        <w:rPr>
          <w:rFonts w:ascii="Times New Roman" w:hAnsi="Times New Roman" w:cs="Times New Roman"/>
        </w:rPr>
        <w:t>prior to the pre-ovulatory gonadotropin surge</w:t>
      </w:r>
      <w:r w:rsidR="006A1C51" w:rsidRPr="005C3043">
        <w:rPr>
          <w:rFonts w:ascii="Times New Roman" w:hAnsi="Times New Roman" w:cs="Times New Roman"/>
        </w:rPr>
        <w:t xml:space="preserve">. </w:t>
      </w:r>
    </w:p>
    <w:p w14:paraId="35996648" w14:textId="7B52F9F9" w:rsidR="006A1C51" w:rsidRPr="005C3043" w:rsidRDefault="006A1C51" w:rsidP="00154DC0">
      <w:pPr>
        <w:spacing w:line="480" w:lineRule="auto"/>
        <w:ind w:firstLine="720"/>
        <w:contextualSpacing/>
        <w:jc w:val="both"/>
        <w:rPr>
          <w:rFonts w:ascii="Times New Roman" w:hAnsi="Times New Roman" w:cs="Times New Roman"/>
        </w:rPr>
      </w:pPr>
      <w:r w:rsidRPr="005C3043">
        <w:rPr>
          <w:rFonts w:ascii="Times New Roman" w:hAnsi="Times New Roman" w:cs="Times New Roman"/>
        </w:rPr>
        <w:t xml:space="preserve">Progression of the </w:t>
      </w:r>
      <w:r w:rsidR="00D97B76" w:rsidRPr="005C3043">
        <w:rPr>
          <w:rFonts w:ascii="Times New Roman" w:hAnsi="Times New Roman" w:cs="Times New Roman"/>
        </w:rPr>
        <w:t xml:space="preserve">dominant </w:t>
      </w:r>
      <w:r w:rsidRPr="005C3043">
        <w:rPr>
          <w:rFonts w:ascii="Times New Roman" w:hAnsi="Times New Roman" w:cs="Times New Roman"/>
        </w:rPr>
        <w:t>follicle through the p</w:t>
      </w:r>
      <w:r w:rsidR="00751FF5" w:rsidRPr="005C3043">
        <w:rPr>
          <w:rFonts w:ascii="Times New Roman" w:hAnsi="Times New Roman" w:cs="Times New Roman"/>
        </w:rPr>
        <w:t>re</w:t>
      </w:r>
      <w:r w:rsidRPr="005C3043">
        <w:rPr>
          <w:rFonts w:ascii="Times New Roman" w:hAnsi="Times New Roman" w:cs="Times New Roman"/>
        </w:rPr>
        <w:t xml:space="preserve">-ovulatory </w:t>
      </w:r>
      <w:proofErr w:type="gramStart"/>
      <w:r w:rsidRPr="005C3043">
        <w:rPr>
          <w:rFonts w:ascii="Times New Roman" w:hAnsi="Times New Roman" w:cs="Times New Roman"/>
        </w:rPr>
        <w:t>time period</w:t>
      </w:r>
      <w:proofErr w:type="gramEnd"/>
      <w:r w:rsidRPr="005C3043">
        <w:rPr>
          <w:rFonts w:ascii="Times New Roman" w:hAnsi="Times New Roman" w:cs="Times New Roman"/>
        </w:rPr>
        <w:t xml:space="preserve"> appears to contribute greatly to oocyte developmental competency </w:t>
      </w:r>
      <w:r w:rsidR="00C55223" w:rsidRPr="005C3043">
        <w:rPr>
          <w:rFonts w:ascii="Times New Roman" w:hAnsi="Times New Roman" w:cs="Times New Roman"/>
          <w:noProof/>
        </w:rPr>
        <w:t xml:space="preserve">(Hendriksen et al., </w:t>
      </w:r>
      <w:r w:rsidR="008145FD" w:rsidRPr="005C3043">
        <w:rPr>
          <w:rFonts w:ascii="Times New Roman" w:hAnsi="Times New Roman" w:cs="Times New Roman"/>
          <w:noProof/>
        </w:rPr>
        <w:t>2000</w:t>
      </w:r>
      <w:r w:rsidR="00C55223" w:rsidRPr="005C3043">
        <w:rPr>
          <w:rFonts w:ascii="Times New Roman" w:hAnsi="Times New Roman" w:cs="Times New Roman"/>
          <w:noProof/>
        </w:rPr>
        <w:t xml:space="preserve">; Dieleman et al., 2002; Knijn et al., 2002; Peterson and Lee, 2003; Atkins et al., </w:t>
      </w:r>
      <w:r w:rsidR="00937F46" w:rsidRPr="005C3043">
        <w:rPr>
          <w:rFonts w:ascii="Times New Roman" w:hAnsi="Times New Roman" w:cs="Times New Roman"/>
          <w:noProof/>
        </w:rPr>
        <w:t>2013</w:t>
      </w:r>
      <w:r w:rsidR="00C55223" w:rsidRPr="005C3043">
        <w:rPr>
          <w:rFonts w:ascii="Times New Roman" w:hAnsi="Times New Roman" w:cs="Times New Roman"/>
          <w:noProof/>
        </w:rPr>
        <w:t>)</w:t>
      </w:r>
      <w:r w:rsidRPr="005C3043">
        <w:rPr>
          <w:rFonts w:ascii="Times New Roman" w:hAnsi="Times New Roman" w:cs="Times New Roman"/>
        </w:rPr>
        <w:t xml:space="preserve"> and the metabolic capacity of oocytes </w:t>
      </w:r>
      <w:r w:rsidR="00C55223" w:rsidRPr="005C3043">
        <w:rPr>
          <w:rFonts w:ascii="Times New Roman" w:hAnsi="Times New Roman" w:cs="Times New Roman"/>
          <w:noProof/>
        </w:rPr>
        <w:t>(Moorey et al., 2021)</w:t>
      </w:r>
      <w:r w:rsidRPr="005C3043">
        <w:rPr>
          <w:rFonts w:ascii="Times New Roman" w:hAnsi="Times New Roman" w:cs="Times New Roman"/>
        </w:rPr>
        <w:t>. Utilization of a FTAI protocol synchronizes the development of a pre-ovulatory</w:t>
      </w:r>
      <w:r w:rsidR="008D25C0" w:rsidRPr="005C3043">
        <w:rPr>
          <w:rFonts w:ascii="Times New Roman" w:hAnsi="Times New Roman" w:cs="Times New Roman"/>
        </w:rPr>
        <w:t xml:space="preserve"> </w:t>
      </w:r>
      <w:r w:rsidRPr="005C3043">
        <w:rPr>
          <w:rFonts w:ascii="Times New Roman" w:hAnsi="Times New Roman" w:cs="Times New Roman"/>
        </w:rPr>
        <w:t>follicle in a group of cattle. Such procedures, however, result in pre-ovulatory follicles of varied physiological status. Some animals</w:t>
      </w:r>
      <w:r w:rsidR="00A55BBD" w:rsidRPr="005C3043">
        <w:rPr>
          <w:rFonts w:ascii="Times New Roman" w:hAnsi="Times New Roman" w:cs="Times New Roman"/>
        </w:rPr>
        <w:t xml:space="preserve"> (</w:t>
      </w:r>
      <w:r w:rsidR="005C3043">
        <w:rPr>
          <w:rFonts w:ascii="Times New Roman" w:hAnsi="Times New Roman" w:cs="Times New Roman"/>
        </w:rPr>
        <w:t>10-97</w:t>
      </w:r>
      <w:r w:rsidR="00A55BBD" w:rsidRPr="005C3043">
        <w:rPr>
          <w:rFonts w:ascii="Times New Roman" w:hAnsi="Times New Roman" w:cs="Times New Roman"/>
        </w:rPr>
        <w:t>%)</w:t>
      </w:r>
      <w:r w:rsidRPr="005C3043">
        <w:rPr>
          <w:rFonts w:ascii="Times New Roman" w:hAnsi="Times New Roman" w:cs="Times New Roman"/>
        </w:rPr>
        <w:t xml:space="preserve"> </w:t>
      </w:r>
      <w:r w:rsidRPr="00A42976">
        <w:rPr>
          <w:rFonts w:ascii="Times New Roman" w:hAnsi="Times New Roman" w:cs="Times New Roman"/>
        </w:rPr>
        <w:t>produce a follicle that initiates estrus and a pre-ovulatory gonadotropin surge before the scheduled FTAI</w:t>
      </w:r>
      <w:r w:rsidR="00A55BBD" w:rsidRPr="00A42976">
        <w:rPr>
          <w:rFonts w:ascii="Times New Roman" w:hAnsi="Times New Roman" w:cs="Times New Roman"/>
        </w:rPr>
        <w:t xml:space="preserve"> (</w:t>
      </w:r>
      <w:proofErr w:type="spellStart"/>
      <w:r w:rsidR="00A55BBD" w:rsidRPr="00A42976">
        <w:rPr>
          <w:rFonts w:ascii="Times New Roman" w:hAnsi="Times New Roman" w:cs="Times New Roman"/>
        </w:rPr>
        <w:t>Colazo</w:t>
      </w:r>
      <w:proofErr w:type="spellEnd"/>
      <w:r w:rsidR="00A55BBD" w:rsidRPr="00A42976">
        <w:rPr>
          <w:rFonts w:ascii="Times New Roman" w:hAnsi="Times New Roman" w:cs="Times New Roman"/>
        </w:rPr>
        <w:t xml:space="preserve"> and </w:t>
      </w:r>
      <w:proofErr w:type="spellStart"/>
      <w:r w:rsidR="00A55BBD" w:rsidRPr="00A42976">
        <w:rPr>
          <w:rFonts w:ascii="Times New Roman" w:hAnsi="Times New Roman" w:cs="Times New Roman"/>
        </w:rPr>
        <w:t>Mapltoft</w:t>
      </w:r>
      <w:proofErr w:type="spellEnd"/>
      <w:r w:rsidR="00A55BBD" w:rsidRPr="00A42976">
        <w:rPr>
          <w:rFonts w:ascii="Times New Roman" w:hAnsi="Times New Roman" w:cs="Times New Roman"/>
        </w:rPr>
        <w:t xml:space="preserve">, 2014; </w:t>
      </w:r>
      <w:proofErr w:type="spellStart"/>
      <w:r w:rsidR="00A55BBD" w:rsidRPr="00A42976">
        <w:rPr>
          <w:rFonts w:ascii="Times New Roman" w:hAnsi="Times New Roman" w:cs="Times New Roman"/>
        </w:rPr>
        <w:t>Colazo</w:t>
      </w:r>
      <w:proofErr w:type="spellEnd"/>
      <w:r w:rsidR="00A55BBD" w:rsidRPr="00A42976">
        <w:rPr>
          <w:rFonts w:ascii="Times New Roman" w:hAnsi="Times New Roman" w:cs="Times New Roman"/>
        </w:rPr>
        <w:t xml:space="preserve"> et al., 2018; Perry et al., 2005</w:t>
      </w:r>
      <w:r w:rsidR="00D07C57" w:rsidRPr="000B5F79">
        <w:rPr>
          <w:rFonts w:ascii="Times New Roman" w:hAnsi="Times New Roman" w:cs="Times New Roman"/>
        </w:rPr>
        <w:t>; Jinks et al., 2013; Richardson et al., 2016</w:t>
      </w:r>
      <w:r w:rsidR="00A55BBD" w:rsidRPr="005C3043">
        <w:rPr>
          <w:rFonts w:ascii="Times New Roman" w:hAnsi="Times New Roman" w:cs="Times New Roman"/>
        </w:rPr>
        <w:t>)</w:t>
      </w:r>
      <w:r w:rsidRPr="005C3043">
        <w:rPr>
          <w:rFonts w:ascii="Times New Roman" w:hAnsi="Times New Roman" w:cs="Times New Roman"/>
        </w:rPr>
        <w:t xml:space="preserve">. Other animals rely on administration of gonadotropin releasing hormone (GnRH) to induce </w:t>
      </w:r>
      <w:r w:rsidR="008D25C0" w:rsidRPr="005C3043">
        <w:rPr>
          <w:rFonts w:ascii="Times New Roman" w:hAnsi="Times New Roman" w:cs="Times New Roman"/>
        </w:rPr>
        <w:t>a</w:t>
      </w:r>
      <w:r w:rsidRPr="005C3043">
        <w:rPr>
          <w:rFonts w:ascii="Times New Roman" w:hAnsi="Times New Roman" w:cs="Times New Roman"/>
        </w:rPr>
        <w:t xml:space="preserve"> pre-ovulatory gonadotropin surge and subsequent oocyte maturation before an estrus and an endogenous surge occur. As previously stated, animals that rely on GnRH to induce a gonadotropin surge and ovulation experience lower pregnancy rates than a</w:t>
      </w:r>
      <w:r w:rsidRPr="00C87A3E">
        <w:rPr>
          <w:rFonts w:ascii="Times New Roman" w:hAnsi="Times New Roman" w:cs="Times New Roman"/>
        </w:rPr>
        <w:t xml:space="preserve">nimals that exhibit estrus and stimulate an endogenous surge </w:t>
      </w:r>
      <w:r w:rsidR="00C55223" w:rsidRPr="003B6B38">
        <w:rPr>
          <w:rFonts w:ascii="Times New Roman" w:hAnsi="Times New Roman" w:cs="Times New Roman"/>
          <w:noProof/>
        </w:rPr>
        <w:t>(Perry et al., 2005; Perry et al., 2007</w:t>
      </w:r>
      <w:r w:rsidR="00D07C57" w:rsidRPr="003B6B38">
        <w:rPr>
          <w:rFonts w:ascii="Times New Roman" w:hAnsi="Times New Roman" w:cs="Times New Roman"/>
          <w:noProof/>
        </w:rPr>
        <w:t xml:space="preserve">; </w:t>
      </w:r>
      <w:proofErr w:type="spellStart"/>
      <w:r w:rsidR="00D07C57" w:rsidRPr="005C3043">
        <w:rPr>
          <w:rFonts w:ascii="Times New Roman" w:hAnsi="Times New Roman" w:cs="Times New Roman"/>
        </w:rPr>
        <w:t>Colazo</w:t>
      </w:r>
      <w:proofErr w:type="spellEnd"/>
      <w:r w:rsidR="00D07C57" w:rsidRPr="005C3043">
        <w:rPr>
          <w:rFonts w:ascii="Times New Roman" w:hAnsi="Times New Roman" w:cs="Times New Roman"/>
        </w:rPr>
        <w:t xml:space="preserve"> and </w:t>
      </w:r>
      <w:proofErr w:type="spellStart"/>
      <w:r w:rsidR="00D07C57" w:rsidRPr="005C3043">
        <w:rPr>
          <w:rFonts w:ascii="Times New Roman" w:hAnsi="Times New Roman" w:cs="Times New Roman"/>
        </w:rPr>
        <w:t>Mapltoft</w:t>
      </w:r>
      <w:proofErr w:type="spellEnd"/>
      <w:r w:rsidR="00D07C57" w:rsidRPr="005C3043">
        <w:rPr>
          <w:rFonts w:ascii="Times New Roman" w:hAnsi="Times New Roman" w:cs="Times New Roman"/>
        </w:rPr>
        <w:t xml:space="preserve">, 2014; </w:t>
      </w:r>
      <w:proofErr w:type="spellStart"/>
      <w:r w:rsidR="00D07C57" w:rsidRPr="005C3043">
        <w:rPr>
          <w:rFonts w:ascii="Times New Roman" w:hAnsi="Times New Roman" w:cs="Times New Roman"/>
        </w:rPr>
        <w:t>Colazo</w:t>
      </w:r>
      <w:proofErr w:type="spellEnd"/>
      <w:r w:rsidR="00D07C57" w:rsidRPr="005C3043">
        <w:rPr>
          <w:rFonts w:ascii="Times New Roman" w:hAnsi="Times New Roman" w:cs="Times New Roman"/>
        </w:rPr>
        <w:t xml:space="preserve"> et al., 2018; Jinks et al., 2013; Richardson et al., 2016</w:t>
      </w:r>
      <w:r w:rsidR="00C55223" w:rsidRPr="005C3043">
        <w:rPr>
          <w:rFonts w:ascii="Times New Roman" w:hAnsi="Times New Roman" w:cs="Times New Roman"/>
          <w:noProof/>
        </w:rPr>
        <w:t>)</w:t>
      </w:r>
      <w:r w:rsidRPr="005C3043">
        <w:rPr>
          <w:rFonts w:ascii="Times New Roman" w:hAnsi="Times New Roman" w:cs="Times New Roman"/>
        </w:rPr>
        <w:t xml:space="preserve">. The follicles of such animals are denied the opportunity to undergo the final </w:t>
      </w:r>
      <w:r w:rsidR="00250177" w:rsidRPr="005C3043">
        <w:rPr>
          <w:rFonts w:ascii="Times New Roman" w:hAnsi="Times New Roman" w:cs="Times New Roman"/>
        </w:rPr>
        <w:t>stage</w:t>
      </w:r>
      <w:r w:rsidRPr="005C3043">
        <w:rPr>
          <w:rFonts w:ascii="Times New Roman" w:hAnsi="Times New Roman" w:cs="Times New Roman"/>
        </w:rPr>
        <w:t xml:space="preserve">s of </w:t>
      </w:r>
      <w:r w:rsidR="00250177" w:rsidRPr="005C3043">
        <w:rPr>
          <w:rFonts w:ascii="Times New Roman" w:hAnsi="Times New Roman" w:cs="Times New Roman"/>
        </w:rPr>
        <w:t xml:space="preserve">follicle </w:t>
      </w:r>
      <w:r w:rsidRPr="005C3043">
        <w:rPr>
          <w:rFonts w:ascii="Times New Roman" w:hAnsi="Times New Roman" w:cs="Times New Roman"/>
        </w:rPr>
        <w:t xml:space="preserve">development prior to </w:t>
      </w:r>
      <w:r w:rsidR="00B17674" w:rsidRPr="005C3043">
        <w:rPr>
          <w:rFonts w:ascii="Times New Roman" w:hAnsi="Times New Roman" w:cs="Times New Roman"/>
        </w:rPr>
        <w:t>the endogenous gonadotropin surge experienced by cattle who do display estrous behavior</w:t>
      </w:r>
      <w:r w:rsidRPr="005C3043">
        <w:rPr>
          <w:rFonts w:ascii="Times New Roman" w:hAnsi="Times New Roman" w:cs="Times New Roman"/>
        </w:rPr>
        <w:t xml:space="preserve">. Such a phenomenon provides a unique opportunity to evaluate the impact of the follicle’s status during these final hours leading up to estrus on oocyte developmental competency and fertility. </w:t>
      </w:r>
    </w:p>
    <w:p w14:paraId="58F5B1B2" w14:textId="25BDD601" w:rsidR="006A1C51" w:rsidRPr="005C3043" w:rsidRDefault="006A1C51" w:rsidP="00154DC0">
      <w:pPr>
        <w:spacing w:line="480" w:lineRule="auto"/>
        <w:ind w:firstLine="720"/>
        <w:contextualSpacing/>
        <w:jc w:val="both"/>
        <w:rPr>
          <w:rFonts w:ascii="Times New Roman" w:hAnsi="Times New Roman" w:cs="Times New Roman"/>
        </w:rPr>
      </w:pPr>
      <w:r w:rsidRPr="005C3043">
        <w:rPr>
          <w:rFonts w:ascii="Times New Roman" w:hAnsi="Times New Roman" w:cs="Times New Roman"/>
        </w:rPr>
        <w:lastRenderedPageBreak/>
        <w:t xml:space="preserve">Further, cattle induced to ovulate a small </w:t>
      </w:r>
      <w:r w:rsidR="00751FF5" w:rsidRPr="005C3043">
        <w:rPr>
          <w:rFonts w:ascii="Times New Roman" w:hAnsi="Times New Roman" w:cs="Times New Roman"/>
        </w:rPr>
        <w:t>pre-ovulatory</w:t>
      </w:r>
      <w:r w:rsidR="00250177" w:rsidRPr="005C3043">
        <w:rPr>
          <w:rFonts w:ascii="Times New Roman" w:hAnsi="Times New Roman" w:cs="Times New Roman"/>
        </w:rPr>
        <w:t xml:space="preserve"> </w:t>
      </w:r>
      <w:r w:rsidRPr="005C3043">
        <w:rPr>
          <w:rFonts w:ascii="Times New Roman" w:hAnsi="Times New Roman" w:cs="Times New Roman"/>
        </w:rPr>
        <w:t>follicle (</w:t>
      </w:r>
      <w:r w:rsidRPr="005C3043">
        <w:rPr>
          <w:rFonts w:ascii="Times New Roman" w:hAnsi="Times New Roman" w:cs="Times New Roman"/>
          <w:u w:val="single"/>
        </w:rPr>
        <w:t>&lt;</w:t>
      </w:r>
      <w:r w:rsidR="00250177" w:rsidRPr="005C3043">
        <w:rPr>
          <w:rFonts w:ascii="Times New Roman" w:hAnsi="Times New Roman" w:cs="Times New Roman"/>
        </w:rPr>
        <w:t xml:space="preserve"> </w:t>
      </w:r>
      <w:r w:rsidRPr="005C3043">
        <w:rPr>
          <w:rFonts w:ascii="Times New Roman" w:hAnsi="Times New Roman" w:cs="Times New Roman"/>
        </w:rPr>
        <w:t>11.3</w:t>
      </w:r>
      <w:r w:rsidR="00AC0937" w:rsidRPr="005C3043">
        <w:rPr>
          <w:rFonts w:ascii="Times New Roman" w:hAnsi="Times New Roman" w:cs="Times New Roman"/>
        </w:rPr>
        <w:t xml:space="preserve"> </w:t>
      </w:r>
      <w:r w:rsidRPr="005C3043">
        <w:rPr>
          <w:rFonts w:ascii="Times New Roman" w:hAnsi="Times New Roman" w:cs="Times New Roman"/>
        </w:rPr>
        <w:t>mm) had lower day 27 pregnancy rates and increased early pregnancy loss than cattle induced to ovulate a larger</w:t>
      </w:r>
      <w:r w:rsidR="0041412D" w:rsidRPr="005C3043">
        <w:rPr>
          <w:rFonts w:ascii="Times New Roman" w:hAnsi="Times New Roman" w:cs="Times New Roman"/>
        </w:rPr>
        <w:t xml:space="preserve">-sized </w:t>
      </w:r>
      <w:r w:rsidR="00751FF5" w:rsidRPr="005C3043">
        <w:rPr>
          <w:rFonts w:ascii="Times New Roman" w:hAnsi="Times New Roman" w:cs="Times New Roman"/>
        </w:rPr>
        <w:t>pre-ovulatory</w:t>
      </w:r>
      <w:r w:rsidRPr="005C3043">
        <w:rPr>
          <w:rFonts w:ascii="Times New Roman" w:hAnsi="Times New Roman" w:cs="Times New Roman"/>
        </w:rPr>
        <w:t xml:space="preserve"> follicle (</w:t>
      </w:r>
      <w:r w:rsidRPr="005C3043">
        <w:rPr>
          <w:rFonts w:ascii="Times New Roman" w:hAnsi="Times New Roman" w:cs="Times New Roman"/>
          <w:u w:val="single"/>
        </w:rPr>
        <w:t>&gt;</w:t>
      </w:r>
      <w:r w:rsidR="0041412D" w:rsidRPr="005C3043">
        <w:rPr>
          <w:rFonts w:ascii="Times New Roman" w:hAnsi="Times New Roman" w:cs="Times New Roman"/>
        </w:rPr>
        <w:t xml:space="preserve"> </w:t>
      </w:r>
      <w:r w:rsidRPr="005C3043">
        <w:rPr>
          <w:rFonts w:ascii="Times New Roman" w:hAnsi="Times New Roman" w:cs="Times New Roman"/>
        </w:rPr>
        <w:t>11.3</w:t>
      </w:r>
      <w:r w:rsidR="00AC0937" w:rsidRPr="005C3043">
        <w:rPr>
          <w:rFonts w:ascii="Times New Roman" w:hAnsi="Times New Roman" w:cs="Times New Roman"/>
        </w:rPr>
        <w:t xml:space="preserve"> </w:t>
      </w:r>
      <w:r w:rsidRPr="005C3043">
        <w:rPr>
          <w:rFonts w:ascii="Times New Roman" w:hAnsi="Times New Roman" w:cs="Times New Roman"/>
        </w:rPr>
        <w:t>mm</w:t>
      </w:r>
      <w:r w:rsidR="00B67D0F" w:rsidRPr="005C3043">
        <w:rPr>
          <w:rFonts w:ascii="Times New Roman" w:hAnsi="Times New Roman" w:cs="Times New Roman"/>
        </w:rPr>
        <w:t xml:space="preserve">; </w:t>
      </w:r>
      <w:r w:rsidR="00C55223" w:rsidRPr="005C3043">
        <w:rPr>
          <w:rFonts w:ascii="Times New Roman" w:hAnsi="Times New Roman" w:cs="Times New Roman"/>
          <w:noProof/>
        </w:rPr>
        <w:t>Perry et al., 2005)</w:t>
      </w:r>
      <w:r w:rsidRPr="005C3043">
        <w:rPr>
          <w:rFonts w:ascii="Times New Roman" w:hAnsi="Times New Roman" w:cs="Times New Roman"/>
        </w:rPr>
        <w:t xml:space="preserve">. Pre-ovulatory follicle diameter is positively correlated with circulating estradiol concentrations at the time of GnRH injection </w:t>
      </w:r>
      <w:r w:rsidR="00AB2C50" w:rsidRPr="005C3043">
        <w:rPr>
          <w:rFonts w:ascii="Times New Roman" w:hAnsi="Times New Roman" w:cs="Times New Roman"/>
        </w:rPr>
        <w:t xml:space="preserve">to induce ovulation </w:t>
      </w:r>
      <w:r w:rsidR="00C55223" w:rsidRPr="005C3043">
        <w:rPr>
          <w:rFonts w:ascii="Times New Roman" w:hAnsi="Times New Roman" w:cs="Times New Roman"/>
          <w:noProof/>
        </w:rPr>
        <w:t>(</w:t>
      </w:r>
      <w:r w:rsidR="00AB2C50" w:rsidRPr="005C3043">
        <w:rPr>
          <w:rFonts w:ascii="Times New Roman" w:hAnsi="Times New Roman" w:cs="Times New Roman"/>
          <w:noProof/>
        </w:rPr>
        <w:t xml:space="preserve">GnRH2; </w:t>
      </w:r>
      <w:r w:rsidR="00C55223" w:rsidRPr="005C3043">
        <w:rPr>
          <w:rFonts w:ascii="Times New Roman" w:hAnsi="Times New Roman" w:cs="Times New Roman"/>
          <w:noProof/>
        </w:rPr>
        <w:t xml:space="preserve">Perry et al., 2005; Jinks et al., </w:t>
      </w:r>
      <w:r w:rsidR="00937F46" w:rsidRPr="005C3043">
        <w:rPr>
          <w:rFonts w:ascii="Times New Roman" w:hAnsi="Times New Roman" w:cs="Times New Roman"/>
          <w:noProof/>
        </w:rPr>
        <w:t>2013</w:t>
      </w:r>
      <w:r w:rsidR="00C55223" w:rsidRPr="005C3043">
        <w:rPr>
          <w:rFonts w:ascii="Times New Roman" w:hAnsi="Times New Roman" w:cs="Times New Roman"/>
          <w:noProof/>
        </w:rPr>
        <w:t>)</w:t>
      </w:r>
      <w:r w:rsidRPr="005C3043">
        <w:rPr>
          <w:rFonts w:ascii="Times New Roman" w:hAnsi="Times New Roman" w:cs="Times New Roman"/>
        </w:rPr>
        <w:t>.</w:t>
      </w:r>
      <w:r w:rsidR="004705C3" w:rsidRPr="005C3043">
        <w:rPr>
          <w:rFonts w:ascii="Times New Roman" w:hAnsi="Times New Roman" w:cs="Times New Roman"/>
        </w:rPr>
        <w:t xml:space="preserve"> S</w:t>
      </w:r>
      <w:r w:rsidRPr="005C3043">
        <w:rPr>
          <w:rFonts w:ascii="Times New Roman" w:hAnsi="Times New Roman" w:cs="Times New Roman"/>
        </w:rPr>
        <w:t>ize of the pre-ovulatory follicle at the time on GnRH</w:t>
      </w:r>
      <w:r w:rsidR="00AB2C50" w:rsidRPr="005C3043">
        <w:rPr>
          <w:rFonts w:ascii="Times New Roman" w:hAnsi="Times New Roman" w:cs="Times New Roman"/>
        </w:rPr>
        <w:t>2</w:t>
      </w:r>
      <w:r w:rsidRPr="005C3043">
        <w:rPr>
          <w:rFonts w:ascii="Times New Roman" w:hAnsi="Times New Roman" w:cs="Times New Roman"/>
        </w:rPr>
        <w:t xml:space="preserve"> administration is an indicator of the follicle’s physiological status and maturity in animals that have yet to display estrus. Indeed, cattle induced to ovulate a small</w:t>
      </w:r>
      <w:r w:rsidR="004705C3" w:rsidRPr="005C3043">
        <w:rPr>
          <w:rFonts w:ascii="Times New Roman" w:hAnsi="Times New Roman" w:cs="Times New Roman"/>
        </w:rPr>
        <w:t xml:space="preserve"> </w:t>
      </w:r>
      <w:r w:rsidR="00751FF5" w:rsidRPr="005C3043">
        <w:rPr>
          <w:rFonts w:ascii="Times New Roman" w:hAnsi="Times New Roman" w:cs="Times New Roman"/>
        </w:rPr>
        <w:t>pre-ovulatory</w:t>
      </w:r>
      <w:r w:rsidRPr="005C3043">
        <w:rPr>
          <w:rFonts w:ascii="Times New Roman" w:hAnsi="Times New Roman" w:cs="Times New Roman"/>
        </w:rPr>
        <w:t xml:space="preserve"> follicle (&lt;</w:t>
      </w:r>
      <w:r w:rsidR="004705C3" w:rsidRPr="005C3043">
        <w:rPr>
          <w:rFonts w:ascii="Times New Roman" w:hAnsi="Times New Roman" w:cs="Times New Roman"/>
        </w:rPr>
        <w:t xml:space="preserve"> </w:t>
      </w:r>
      <w:r w:rsidRPr="005C3043">
        <w:rPr>
          <w:rFonts w:ascii="Times New Roman" w:hAnsi="Times New Roman" w:cs="Times New Roman"/>
        </w:rPr>
        <w:t xml:space="preserve">12.5 mm) also had decreased oocyte developmental competence as evidenced by decreased embryo quality and decreased probability of recovering a </w:t>
      </w:r>
      <w:r w:rsidR="00B17674" w:rsidRPr="005C3043">
        <w:rPr>
          <w:rFonts w:ascii="Times New Roman" w:hAnsi="Times New Roman" w:cs="Times New Roman"/>
        </w:rPr>
        <w:t>fertiliz</w:t>
      </w:r>
      <w:r w:rsidRPr="005C3043">
        <w:rPr>
          <w:rFonts w:ascii="Times New Roman" w:hAnsi="Times New Roman" w:cs="Times New Roman"/>
        </w:rPr>
        <w:t xml:space="preserve">ed embryo 7 days after insemination </w:t>
      </w:r>
      <w:r w:rsidR="00C55223" w:rsidRPr="005C3043">
        <w:rPr>
          <w:rFonts w:ascii="Times New Roman" w:hAnsi="Times New Roman" w:cs="Times New Roman"/>
          <w:noProof/>
        </w:rPr>
        <w:t xml:space="preserve">(Atkins et al., </w:t>
      </w:r>
      <w:r w:rsidR="00937F46" w:rsidRPr="005C3043">
        <w:rPr>
          <w:rFonts w:ascii="Times New Roman" w:hAnsi="Times New Roman" w:cs="Times New Roman"/>
          <w:noProof/>
        </w:rPr>
        <w:t>2013</w:t>
      </w:r>
      <w:r w:rsidR="00C55223" w:rsidRPr="005C3043">
        <w:rPr>
          <w:rFonts w:ascii="Times New Roman" w:hAnsi="Times New Roman" w:cs="Times New Roman"/>
          <w:noProof/>
        </w:rPr>
        <w:t>)</w:t>
      </w:r>
      <w:r w:rsidRPr="005C3043">
        <w:rPr>
          <w:rFonts w:ascii="Times New Roman" w:hAnsi="Times New Roman" w:cs="Times New Roman"/>
        </w:rPr>
        <w:t xml:space="preserve">. This prompted further research into the </w:t>
      </w:r>
      <w:r w:rsidR="004705C3" w:rsidRPr="005C3043">
        <w:rPr>
          <w:rFonts w:ascii="Times New Roman" w:hAnsi="Times New Roman" w:cs="Times New Roman"/>
        </w:rPr>
        <w:t>cumulus-oocyte-complexes (</w:t>
      </w:r>
      <w:r w:rsidRPr="005C3043">
        <w:rPr>
          <w:rFonts w:ascii="Times New Roman" w:hAnsi="Times New Roman" w:cs="Times New Roman"/>
        </w:rPr>
        <w:t>COC</w:t>
      </w:r>
      <w:r w:rsidR="004705C3" w:rsidRPr="005C3043">
        <w:rPr>
          <w:rFonts w:ascii="Times New Roman" w:hAnsi="Times New Roman" w:cs="Times New Roman"/>
        </w:rPr>
        <w:t>)</w:t>
      </w:r>
      <w:r w:rsidRPr="005C3043">
        <w:rPr>
          <w:rFonts w:ascii="Times New Roman" w:hAnsi="Times New Roman" w:cs="Times New Roman"/>
        </w:rPr>
        <w:t xml:space="preserve"> induced to ovulate prematurely from small and large </w:t>
      </w:r>
      <w:r w:rsidR="00751FF5" w:rsidRPr="005C3043">
        <w:rPr>
          <w:rFonts w:ascii="Times New Roman" w:hAnsi="Times New Roman" w:cs="Times New Roman"/>
        </w:rPr>
        <w:t>pre-ovulatory</w:t>
      </w:r>
      <w:r w:rsidR="004705C3" w:rsidRPr="005C3043">
        <w:rPr>
          <w:rFonts w:ascii="Times New Roman" w:hAnsi="Times New Roman" w:cs="Times New Roman"/>
        </w:rPr>
        <w:t xml:space="preserve"> </w:t>
      </w:r>
      <w:r w:rsidRPr="005C3043">
        <w:rPr>
          <w:rFonts w:ascii="Times New Roman" w:hAnsi="Times New Roman" w:cs="Times New Roman"/>
        </w:rPr>
        <w:t>follicles</w:t>
      </w:r>
      <w:r w:rsidR="004705C3" w:rsidRPr="005C3043">
        <w:rPr>
          <w:rFonts w:ascii="Times New Roman" w:hAnsi="Times New Roman" w:cs="Times New Roman"/>
        </w:rPr>
        <w:t xml:space="preserve"> in females that had not displayed estrus</w:t>
      </w:r>
      <w:r w:rsidRPr="005C3043">
        <w:rPr>
          <w:rFonts w:ascii="Times New Roman" w:hAnsi="Times New Roman" w:cs="Times New Roman"/>
        </w:rPr>
        <w:t>. RNA-sequencing analysis</w:t>
      </w:r>
      <w:r w:rsidR="00332A39" w:rsidRPr="005C3043">
        <w:rPr>
          <w:rFonts w:ascii="Times New Roman" w:hAnsi="Times New Roman" w:cs="Times New Roman"/>
        </w:rPr>
        <w:t xml:space="preserve"> performed on COCs collected </w:t>
      </w:r>
      <w:r w:rsidR="00EF20C0" w:rsidRPr="005C3043">
        <w:rPr>
          <w:rFonts w:ascii="Times New Roman" w:hAnsi="Times New Roman" w:cs="Times New Roman"/>
        </w:rPr>
        <w:t>approximately 21 hours after the LH surge</w:t>
      </w:r>
      <w:r w:rsidRPr="005C3043">
        <w:rPr>
          <w:rFonts w:ascii="Times New Roman" w:hAnsi="Times New Roman" w:cs="Times New Roman"/>
        </w:rPr>
        <w:t xml:space="preserve"> revealed decreased abundance of genes involved with glycolysis in the cumulus cells of </w:t>
      </w:r>
      <w:proofErr w:type="gramStart"/>
      <w:r w:rsidRPr="005C3043">
        <w:rPr>
          <w:rFonts w:ascii="Times New Roman" w:hAnsi="Times New Roman" w:cs="Times New Roman"/>
        </w:rPr>
        <w:t>small</w:t>
      </w:r>
      <w:r w:rsidR="004705C3" w:rsidRPr="005C3043">
        <w:rPr>
          <w:rFonts w:ascii="Times New Roman" w:hAnsi="Times New Roman" w:cs="Times New Roman"/>
        </w:rPr>
        <w:t xml:space="preserve"> </w:t>
      </w:r>
      <w:r w:rsidRPr="005C3043">
        <w:rPr>
          <w:rFonts w:ascii="Times New Roman" w:hAnsi="Times New Roman" w:cs="Times New Roman"/>
        </w:rPr>
        <w:t>induced</w:t>
      </w:r>
      <w:proofErr w:type="gramEnd"/>
      <w:r w:rsidRPr="005C3043">
        <w:rPr>
          <w:rFonts w:ascii="Times New Roman" w:hAnsi="Times New Roman" w:cs="Times New Roman"/>
        </w:rPr>
        <w:t xml:space="preserve"> follicles</w:t>
      </w:r>
      <w:r w:rsidR="00E16E27" w:rsidRPr="005C3043">
        <w:rPr>
          <w:rFonts w:ascii="Times New Roman" w:hAnsi="Times New Roman" w:cs="Times New Roman"/>
        </w:rPr>
        <w:t xml:space="preserve"> (</w:t>
      </w:r>
      <w:r w:rsidR="00E16E27" w:rsidRPr="005C3043">
        <w:rPr>
          <w:rFonts w:ascii="Times New Roman" w:hAnsi="Times New Roman" w:cs="Times New Roman"/>
          <w:u w:val="single"/>
        </w:rPr>
        <w:t>&lt;</w:t>
      </w:r>
      <w:r w:rsidR="00E16E27" w:rsidRPr="005C3043">
        <w:rPr>
          <w:rFonts w:ascii="Times New Roman" w:hAnsi="Times New Roman" w:cs="Times New Roman"/>
        </w:rPr>
        <w:t xml:space="preserve"> 11.7 mm)</w:t>
      </w:r>
      <w:r w:rsidRPr="005C3043">
        <w:rPr>
          <w:rFonts w:ascii="Times New Roman" w:hAnsi="Times New Roman" w:cs="Times New Roman"/>
        </w:rPr>
        <w:t xml:space="preserve"> compared to large</w:t>
      </w:r>
      <w:r w:rsidR="004705C3" w:rsidRPr="005C3043">
        <w:rPr>
          <w:rFonts w:ascii="Times New Roman" w:hAnsi="Times New Roman" w:cs="Times New Roman"/>
        </w:rPr>
        <w:t>r</w:t>
      </w:r>
      <w:r w:rsidRPr="005C3043">
        <w:rPr>
          <w:rFonts w:ascii="Times New Roman" w:hAnsi="Times New Roman" w:cs="Times New Roman"/>
        </w:rPr>
        <w:t xml:space="preserve"> induced follicles</w:t>
      </w:r>
      <w:r w:rsidR="00E16E27" w:rsidRPr="005C3043">
        <w:rPr>
          <w:rFonts w:ascii="Times New Roman" w:hAnsi="Times New Roman" w:cs="Times New Roman"/>
        </w:rPr>
        <w:t xml:space="preserve"> (</w:t>
      </w:r>
      <w:r w:rsidR="00E16E27" w:rsidRPr="005C3043">
        <w:rPr>
          <w:rFonts w:ascii="Times New Roman" w:hAnsi="Times New Roman" w:cs="Times New Roman"/>
          <w:u w:val="single"/>
        </w:rPr>
        <w:t>&gt;</w:t>
      </w:r>
      <w:r w:rsidR="00E16E27" w:rsidRPr="005C3043">
        <w:rPr>
          <w:rFonts w:ascii="Times New Roman" w:hAnsi="Times New Roman" w:cs="Times New Roman"/>
        </w:rPr>
        <w:t xml:space="preserve"> 12.7 mm)</w:t>
      </w:r>
      <w:r w:rsidRPr="005C3043">
        <w:rPr>
          <w:rFonts w:ascii="Times New Roman" w:hAnsi="Times New Roman" w:cs="Times New Roman"/>
        </w:rPr>
        <w:t xml:space="preserve"> and decreased mitochondrial gene expression in the oocytes from small induced follicles compared to non-induced follicles</w:t>
      </w:r>
      <w:r w:rsidR="00B17674" w:rsidRPr="005C3043">
        <w:rPr>
          <w:rFonts w:ascii="Times New Roman" w:hAnsi="Times New Roman" w:cs="Times New Roman"/>
        </w:rPr>
        <w:t xml:space="preserve"> (</w:t>
      </w:r>
      <w:proofErr w:type="spellStart"/>
      <w:r w:rsidR="00B17674" w:rsidRPr="005C3043">
        <w:rPr>
          <w:rFonts w:ascii="Times New Roman" w:hAnsi="Times New Roman" w:cs="Times New Roman"/>
        </w:rPr>
        <w:t>Moorey</w:t>
      </w:r>
      <w:proofErr w:type="spellEnd"/>
      <w:r w:rsidR="00B17674" w:rsidRPr="005C3043">
        <w:rPr>
          <w:rFonts w:ascii="Times New Roman" w:hAnsi="Times New Roman" w:cs="Times New Roman"/>
        </w:rPr>
        <w:t xml:space="preserve"> et al., 2021)</w:t>
      </w:r>
      <w:r w:rsidRPr="005C3043">
        <w:rPr>
          <w:rFonts w:ascii="Times New Roman" w:hAnsi="Times New Roman" w:cs="Times New Roman"/>
        </w:rPr>
        <w:t xml:space="preserve">. </w:t>
      </w:r>
      <w:r w:rsidR="00014FCD" w:rsidRPr="005C3043">
        <w:rPr>
          <w:rFonts w:ascii="Times New Roman" w:hAnsi="Times New Roman" w:cs="Times New Roman"/>
        </w:rPr>
        <w:t>This suggests reduced metabolic capacity of the oocytes from follicles induced to ovulate prematurely.</w:t>
      </w:r>
    </w:p>
    <w:p w14:paraId="64AED5D3" w14:textId="2D4B798B" w:rsidR="00665487" w:rsidRPr="005C3043" w:rsidRDefault="006A1C51" w:rsidP="00154DC0">
      <w:pPr>
        <w:spacing w:line="480" w:lineRule="auto"/>
        <w:ind w:firstLine="720"/>
        <w:contextualSpacing/>
        <w:jc w:val="both"/>
        <w:rPr>
          <w:rFonts w:ascii="Times New Roman" w:hAnsi="Times New Roman" w:cs="Times New Roman"/>
        </w:rPr>
      </w:pPr>
      <w:r w:rsidRPr="005C3043">
        <w:rPr>
          <w:rFonts w:ascii="Times New Roman" w:hAnsi="Times New Roman" w:cs="Times New Roman"/>
        </w:rPr>
        <w:t xml:space="preserve">Within the COC, cell-specific metabolic activity contributes to the accumulation of metabolite stores within the oocyte during </w:t>
      </w:r>
      <w:proofErr w:type="spellStart"/>
      <w:r w:rsidRPr="005C3043">
        <w:rPr>
          <w:rFonts w:ascii="Times New Roman" w:hAnsi="Times New Roman" w:cs="Times New Roman"/>
        </w:rPr>
        <w:t>folliculogenesis</w:t>
      </w:r>
      <w:proofErr w:type="spellEnd"/>
      <w:r w:rsidRPr="005C3043">
        <w:rPr>
          <w:rFonts w:ascii="Times New Roman" w:hAnsi="Times New Roman" w:cs="Times New Roman"/>
        </w:rPr>
        <w:t>. Cumulus cells possess high glycolytic activity while the oocyte and early embryo primarily u</w:t>
      </w:r>
      <w:r w:rsidR="00B17674" w:rsidRPr="005C3043">
        <w:rPr>
          <w:rFonts w:ascii="Times New Roman" w:hAnsi="Times New Roman" w:cs="Times New Roman"/>
        </w:rPr>
        <w:t>tilizes</w:t>
      </w:r>
      <w:r w:rsidRPr="005C3043">
        <w:rPr>
          <w:rFonts w:ascii="Times New Roman" w:hAnsi="Times New Roman" w:cs="Times New Roman"/>
        </w:rPr>
        <w:t xml:space="preserve"> oxidative </w:t>
      </w:r>
      <w:r w:rsidRPr="005C3043">
        <w:rPr>
          <w:rFonts w:ascii="Times New Roman" w:hAnsi="Times New Roman" w:cs="Times New Roman"/>
        </w:rPr>
        <w:lastRenderedPageBreak/>
        <w:t xml:space="preserve">phosphorylation to sustain development through to the blastocyst stage of embryo development </w:t>
      </w:r>
      <w:r w:rsidR="00C55223" w:rsidRPr="005C3043">
        <w:rPr>
          <w:rFonts w:ascii="Times New Roman" w:hAnsi="Times New Roman" w:cs="Times New Roman"/>
          <w:noProof/>
        </w:rPr>
        <w:t xml:space="preserve">(Biggers et al., 1967; Zeilmaker and Verhamme, 1974; Sutton et al., 2003; Dumollard et al., 2007; Thompson et al., </w:t>
      </w:r>
      <w:r w:rsidR="00E92BCC" w:rsidRPr="005C3043">
        <w:rPr>
          <w:rFonts w:ascii="Times New Roman" w:hAnsi="Times New Roman" w:cs="Times New Roman"/>
          <w:noProof/>
        </w:rPr>
        <w:t>2007</w:t>
      </w:r>
      <w:r w:rsidR="00C55223" w:rsidRPr="005C3043">
        <w:rPr>
          <w:rFonts w:ascii="Times New Roman" w:hAnsi="Times New Roman" w:cs="Times New Roman"/>
          <w:noProof/>
        </w:rPr>
        <w:t>; Sutton-McDowall et al., 2010; Leese, 2012; Paczkowski et al., 2013; Dalton et al., 2014; Roth, 2018; Dalbies-Tran et al., 2020)</w:t>
      </w:r>
      <w:r w:rsidR="00665487" w:rsidRPr="005C3043">
        <w:rPr>
          <w:rFonts w:ascii="Times New Roman" w:hAnsi="Times New Roman" w:cs="Times New Roman"/>
        </w:rPr>
        <w:t xml:space="preserve">. This metabolic dichotomy </w:t>
      </w:r>
      <w:r w:rsidR="00B17674" w:rsidRPr="005C3043">
        <w:rPr>
          <w:rFonts w:ascii="Times New Roman" w:hAnsi="Times New Roman" w:cs="Times New Roman"/>
        </w:rPr>
        <w:t xml:space="preserve">is a </w:t>
      </w:r>
      <w:r w:rsidR="00665487" w:rsidRPr="005C3043">
        <w:rPr>
          <w:rFonts w:ascii="Times New Roman" w:hAnsi="Times New Roman" w:cs="Times New Roman"/>
        </w:rPr>
        <w:t xml:space="preserve">result </w:t>
      </w:r>
      <w:r w:rsidR="00B17674" w:rsidRPr="005C3043">
        <w:rPr>
          <w:rFonts w:ascii="Times New Roman" w:hAnsi="Times New Roman" w:cs="Times New Roman"/>
        </w:rPr>
        <w:t>of</w:t>
      </w:r>
      <w:r w:rsidR="00665487" w:rsidRPr="005C3043">
        <w:rPr>
          <w:rFonts w:ascii="Times New Roman" w:hAnsi="Times New Roman" w:cs="Times New Roman"/>
        </w:rPr>
        <w:t xml:space="preserve"> a coupling </w:t>
      </w:r>
      <w:r w:rsidR="00B17674" w:rsidRPr="005C3043">
        <w:rPr>
          <w:rFonts w:ascii="Times New Roman" w:hAnsi="Times New Roman" w:cs="Times New Roman"/>
        </w:rPr>
        <w:t>between t</w:t>
      </w:r>
      <w:r w:rsidR="00665487" w:rsidRPr="005C3043">
        <w:rPr>
          <w:rFonts w:ascii="Times New Roman" w:hAnsi="Times New Roman" w:cs="Times New Roman"/>
        </w:rPr>
        <w:t xml:space="preserve">he oocyte and </w:t>
      </w:r>
      <w:r w:rsidR="005C5AED" w:rsidRPr="005C3043">
        <w:rPr>
          <w:rFonts w:ascii="Times New Roman" w:hAnsi="Times New Roman" w:cs="Times New Roman"/>
        </w:rPr>
        <w:t>cumulus cells</w:t>
      </w:r>
      <w:r w:rsidR="00EF20C0" w:rsidRPr="005C3043">
        <w:rPr>
          <w:rFonts w:ascii="Times New Roman" w:hAnsi="Times New Roman" w:cs="Times New Roman"/>
        </w:rPr>
        <w:t xml:space="preserve"> prior to the resumption of meiosis in the oocyte</w:t>
      </w:r>
      <w:r w:rsidR="00665487" w:rsidRPr="005C3043">
        <w:rPr>
          <w:rFonts w:ascii="Times New Roman" w:hAnsi="Times New Roman" w:cs="Times New Roman"/>
        </w:rPr>
        <w:t xml:space="preserve">. The cumulus cells utilize metabolites such as glucose from the follicular fluid to supply metabolic substrates like ATP, pyruvate, and lipids to the oocyte via gap junctions </w:t>
      </w:r>
      <w:r w:rsidR="00C55223" w:rsidRPr="005C3043">
        <w:rPr>
          <w:rFonts w:ascii="Times New Roman" w:hAnsi="Times New Roman" w:cs="Times New Roman"/>
          <w:noProof/>
        </w:rPr>
        <w:t>(Sutton et al., 2003; Kidder and Vanderhyden, 2010; Dumesic et al., 2015)</w:t>
      </w:r>
      <w:r w:rsidR="00665487" w:rsidRPr="005C3043">
        <w:rPr>
          <w:rFonts w:ascii="Times New Roman" w:hAnsi="Times New Roman" w:cs="Times New Roman"/>
        </w:rPr>
        <w:t>. The oocyte uses these metabolites for use in energy production as well as stockpiles them to provide energy for downstream developmental processes of</w:t>
      </w:r>
      <w:r w:rsidR="005C5AED" w:rsidRPr="005C3043">
        <w:rPr>
          <w:rFonts w:ascii="Times New Roman" w:hAnsi="Times New Roman" w:cs="Times New Roman"/>
        </w:rPr>
        <w:t xml:space="preserve"> oocyte</w:t>
      </w:r>
      <w:r w:rsidR="00665487" w:rsidRPr="005C3043">
        <w:rPr>
          <w:rFonts w:ascii="Times New Roman" w:hAnsi="Times New Roman" w:cs="Times New Roman"/>
        </w:rPr>
        <w:t xml:space="preserve"> maturation, fertilization, cleavage, and early embryonic cell divisions </w:t>
      </w:r>
      <w:r w:rsidR="00C55223" w:rsidRPr="005C3043">
        <w:rPr>
          <w:rFonts w:ascii="Times New Roman" w:hAnsi="Times New Roman" w:cs="Times New Roman"/>
          <w:noProof/>
        </w:rPr>
        <w:t>(Johnson et al., 2007; Jeong et al., 2009; Sutton-McDowall et al., 2010; Dumesic et al., 2015)</w:t>
      </w:r>
      <w:r w:rsidR="00665487" w:rsidRPr="005C3043">
        <w:rPr>
          <w:rFonts w:ascii="Times New Roman" w:hAnsi="Times New Roman" w:cs="Times New Roman"/>
        </w:rPr>
        <w:t xml:space="preserve">. </w:t>
      </w:r>
      <w:r w:rsidR="00EF20C0" w:rsidRPr="005C3043">
        <w:rPr>
          <w:rFonts w:ascii="Times New Roman" w:hAnsi="Times New Roman" w:cs="Times New Roman"/>
        </w:rPr>
        <w:t>Based on this information, we hypothesized that in c</w:t>
      </w:r>
      <w:r w:rsidR="00665487" w:rsidRPr="005C3043">
        <w:rPr>
          <w:rFonts w:ascii="Times New Roman" w:hAnsi="Times New Roman" w:cs="Times New Roman"/>
        </w:rPr>
        <w:t>attle that a</w:t>
      </w:r>
      <w:r w:rsidR="00EF20C0" w:rsidRPr="005C3043">
        <w:rPr>
          <w:rFonts w:ascii="Times New Roman" w:hAnsi="Times New Roman" w:cs="Times New Roman"/>
        </w:rPr>
        <w:t>re exposed to an</w:t>
      </w:r>
      <w:r w:rsidR="00665487" w:rsidRPr="005C3043">
        <w:rPr>
          <w:rFonts w:ascii="Times New Roman" w:hAnsi="Times New Roman" w:cs="Times New Roman"/>
        </w:rPr>
        <w:t xml:space="preserve"> induced gonadotropin surge during a FTAI protocol have </w:t>
      </w:r>
      <w:r w:rsidR="00B17674" w:rsidRPr="005C3043">
        <w:rPr>
          <w:rFonts w:ascii="Times New Roman" w:hAnsi="Times New Roman" w:cs="Times New Roman"/>
        </w:rPr>
        <w:t>an</w:t>
      </w:r>
      <w:r w:rsidR="00665487" w:rsidRPr="005C3043">
        <w:rPr>
          <w:rFonts w:ascii="Times New Roman" w:hAnsi="Times New Roman" w:cs="Times New Roman"/>
        </w:rPr>
        <w:t xml:space="preserve"> oocyte commence maturation prior to the endogenous gonadotropin surge – potentially interrupting the metabolic priming of the oocyte and decreasing the amount of time the oocyte had to accumulate metabolic substrates and increase the number of mitochondria. </w:t>
      </w:r>
    </w:p>
    <w:p w14:paraId="224DE987" w14:textId="50D20185" w:rsidR="00665487" w:rsidRPr="005C3043" w:rsidRDefault="00665487" w:rsidP="00154DC0">
      <w:pPr>
        <w:spacing w:line="480" w:lineRule="auto"/>
        <w:ind w:firstLine="720"/>
        <w:contextualSpacing/>
        <w:jc w:val="both"/>
        <w:rPr>
          <w:rFonts w:ascii="Times New Roman" w:hAnsi="Times New Roman" w:cs="Times New Roman"/>
        </w:rPr>
      </w:pPr>
      <w:r w:rsidRPr="005C3043">
        <w:rPr>
          <w:rFonts w:ascii="Times New Roman" w:hAnsi="Times New Roman" w:cs="Times New Roman"/>
        </w:rPr>
        <w:t>By inducing premature ovulation</w:t>
      </w:r>
      <w:r w:rsidR="00EF20C0" w:rsidRPr="005C3043">
        <w:rPr>
          <w:rFonts w:ascii="Times New Roman" w:hAnsi="Times New Roman" w:cs="Times New Roman"/>
        </w:rPr>
        <w:t xml:space="preserve"> via exposure to an exogenous</w:t>
      </w:r>
      <w:r w:rsidR="00432DFA" w:rsidRPr="005C3043">
        <w:rPr>
          <w:rFonts w:ascii="Times New Roman" w:hAnsi="Times New Roman" w:cs="Times New Roman"/>
        </w:rPr>
        <w:t>ly stimulated</w:t>
      </w:r>
      <w:r w:rsidR="00EF20C0" w:rsidRPr="005C3043">
        <w:rPr>
          <w:rFonts w:ascii="Times New Roman" w:hAnsi="Times New Roman" w:cs="Times New Roman"/>
        </w:rPr>
        <w:t xml:space="preserve"> gonadotropin surge</w:t>
      </w:r>
      <w:r w:rsidRPr="005C3043">
        <w:rPr>
          <w:rFonts w:ascii="Times New Roman" w:hAnsi="Times New Roman" w:cs="Times New Roman"/>
        </w:rPr>
        <w:t>, these metabolic processes could be altered due to inadequate length of exposure of the COC to the peri-ovulatory follicular microenvironment. Alternatively, modifications in the peri-ovulatory follicular fluid or follicular cell physiology that promote COC metabolism during the final hours leading up</w:t>
      </w:r>
      <w:r w:rsidR="00B17674" w:rsidRPr="005C3043">
        <w:rPr>
          <w:rFonts w:ascii="Times New Roman" w:hAnsi="Times New Roman" w:cs="Times New Roman"/>
        </w:rPr>
        <w:t xml:space="preserve"> to</w:t>
      </w:r>
      <w:r w:rsidRPr="005C3043">
        <w:rPr>
          <w:rFonts w:ascii="Times New Roman" w:hAnsi="Times New Roman" w:cs="Times New Roman"/>
        </w:rPr>
        <w:t xml:space="preserve"> the gonadotropin surge </w:t>
      </w:r>
      <w:r w:rsidRPr="005C3043">
        <w:rPr>
          <w:rFonts w:ascii="Times New Roman" w:hAnsi="Times New Roman" w:cs="Times New Roman"/>
        </w:rPr>
        <w:lastRenderedPageBreak/>
        <w:t>could be essential for optimal oocyte competence, and the premature stimulation of the pre-ovulatory gonadotropin surge could eliminate the follicle’s progression t</w:t>
      </w:r>
      <w:r w:rsidR="00B17674" w:rsidRPr="005C3043">
        <w:rPr>
          <w:rFonts w:ascii="Times New Roman" w:hAnsi="Times New Roman" w:cs="Times New Roman"/>
        </w:rPr>
        <w:t>hrough</w:t>
      </w:r>
      <w:r w:rsidRPr="005C3043">
        <w:rPr>
          <w:rFonts w:ascii="Times New Roman" w:hAnsi="Times New Roman" w:cs="Times New Roman"/>
        </w:rPr>
        <w:t xml:space="preserve"> these essential stages. Decreased availability of the metabolic substrates and organelles necessary to sustain these energy-demanding developmental processes and alterations in the follicular microenvironment could contribute to the </w:t>
      </w:r>
      <w:r w:rsidR="00BB51B1" w:rsidRPr="005C3043">
        <w:rPr>
          <w:rFonts w:ascii="Times New Roman" w:hAnsi="Times New Roman" w:cs="Times New Roman"/>
        </w:rPr>
        <w:t xml:space="preserve">reduced </w:t>
      </w:r>
      <w:r w:rsidRPr="005C3043">
        <w:rPr>
          <w:rFonts w:ascii="Times New Roman" w:hAnsi="Times New Roman" w:cs="Times New Roman"/>
        </w:rPr>
        <w:t xml:space="preserve">embryo cleavage and </w:t>
      </w:r>
      <w:r w:rsidR="00BB51B1" w:rsidRPr="005C3043">
        <w:rPr>
          <w:rFonts w:ascii="Times New Roman" w:hAnsi="Times New Roman" w:cs="Times New Roman"/>
        </w:rPr>
        <w:t xml:space="preserve">increased </w:t>
      </w:r>
      <w:r w:rsidRPr="005C3043">
        <w:rPr>
          <w:rFonts w:ascii="Times New Roman" w:hAnsi="Times New Roman" w:cs="Times New Roman"/>
        </w:rPr>
        <w:t xml:space="preserve">early embryo loss </w:t>
      </w:r>
      <w:r w:rsidR="00BB51B1" w:rsidRPr="005C3043">
        <w:rPr>
          <w:rFonts w:ascii="Times New Roman" w:hAnsi="Times New Roman" w:cs="Times New Roman"/>
        </w:rPr>
        <w:t xml:space="preserve">observed </w:t>
      </w:r>
      <w:r w:rsidRPr="005C3043">
        <w:rPr>
          <w:rFonts w:ascii="Times New Roman" w:hAnsi="Times New Roman" w:cs="Times New Roman"/>
        </w:rPr>
        <w:t xml:space="preserve">in </w:t>
      </w:r>
      <w:r w:rsidRPr="005C3043">
        <w:rPr>
          <w:rFonts w:ascii="Times New Roman" w:hAnsi="Times New Roman" w:cs="Times New Roman"/>
          <w:i/>
        </w:rPr>
        <w:t xml:space="preserve">in vivo </w:t>
      </w:r>
      <w:r w:rsidRPr="005C3043">
        <w:rPr>
          <w:rFonts w:ascii="Times New Roman" w:hAnsi="Times New Roman" w:cs="Times New Roman"/>
        </w:rPr>
        <w:t xml:space="preserve">reproductive systems when small follicles are induced to ovulate. Therefore, we hypothesized that pre-ovulatory follicle status at administration of GnRH to induce </w:t>
      </w:r>
      <w:r w:rsidR="00BB51B1" w:rsidRPr="005C3043">
        <w:rPr>
          <w:rFonts w:ascii="Times New Roman" w:hAnsi="Times New Roman" w:cs="Times New Roman"/>
        </w:rPr>
        <w:t>the pre-ovulatory gonadotropin surge</w:t>
      </w:r>
      <w:r w:rsidRPr="005C3043">
        <w:rPr>
          <w:rFonts w:ascii="Times New Roman" w:hAnsi="Times New Roman" w:cs="Times New Roman"/>
        </w:rPr>
        <w:t xml:space="preserve"> has an impact on the follicular fluid microenvironment and the metabolic capacity of the oocyte. </w:t>
      </w:r>
      <w:r w:rsidR="00AC0937" w:rsidRPr="005C3043">
        <w:rPr>
          <w:rFonts w:ascii="Times New Roman" w:hAnsi="Times New Roman" w:cs="Times New Roman"/>
        </w:rPr>
        <w:t>T</w:t>
      </w:r>
      <w:r w:rsidRPr="005C3043">
        <w:rPr>
          <w:rFonts w:ascii="Times New Roman" w:hAnsi="Times New Roman" w:cs="Times New Roman"/>
        </w:rPr>
        <w:t>wo studies</w:t>
      </w:r>
      <w:r w:rsidR="00AC0937" w:rsidRPr="005C3043">
        <w:rPr>
          <w:rFonts w:ascii="Times New Roman" w:hAnsi="Times New Roman" w:cs="Times New Roman"/>
        </w:rPr>
        <w:t xml:space="preserve"> were performed</w:t>
      </w:r>
      <w:r w:rsidRPr="005C3043">
        <w:rPr>
          <w:rFonts w:ascii="Times New Roman" w:hAnsi="Times New Roman" w:cs="Times New Roman"/>
        </w:rPr>
        <w:t xml:space="preserve"> with objectives to profile the metabolome of follicular fluid and examine the metabolic capacity of oocytes collected from follicles ~20 hours after GnRH administration and determine the correlation between pre-ovulatory follicle status, follicular fluid metabolite concentrations, and oocyte metabolic capacity. We also performed an intermediate study to develop the methodology to quantify both the level of ATP and mitochondrial DNA copy number from an individual oocyte. </w:t>
      </w:r>
    </w:p>
    <w:p w14:paraId="36C42B7D" w14:textId="1EC523C4" w:rsidR="00370EDB" w:rsidRPr="005C3043" w:rsidRDefault="00370EDB" w:rsidP="00154DC0">
      <w:pPr>
        <w:spacing w:line="480" w:lineRule="auto"/>
        <w:ind w:firstLine="720"/>
        <w:contextualSpacing/>
        <w:jc w:val="both"/>
        <w:rPr>
          <w:rFonts w:ascii="Times New Roman" w:hAnsi="Times New Roman" w:cs="Times New Roman"/>
        </w:rPr>
      </w:pPr>
    </w:p>
    <w:p w14:paraId="0BF9E961" w14:textId="0D7AD32E" w:rsidR="00370EDB" w:rsidRPr="005C3043" w:rsidRDefault="00370EDB" w:rsidP="00154DC0">
      <w:pPr>
        <w:spacing w:line="480" w:lineRule="auto"/>
        <w:ind w:firstLine="720"/>
        <w:contextualSpacing/>
        <w:jc w:val="both"/>
        <w:rPr>
          <w:rFonts w:ascii="Times New Roman" w:hAnsi="Times New Roman" w:cs="Times New Roman"/>
        </w:rPr>
      </w:pPr>
    </w:p>
    <w:p w14:paraId="3C04543E" w14:textId="0D20A1C6" w:rsidR="00370EDB" w:rsidRPr="005C3043" w:rsidRDefault="00370EDB" w:rsidP="00154DC0">
      <w:pPr>
        <w:spacing w:line="480" w:lineRule="auto"/>
        <w:ind w:firstLine="720"/>
        <w:contextualSpacing/>
        <w:jc w:val="both"/>
        <w:rPr>
          <w:rFonts w:ascii="Times New Roman" w:hAnsi="Times New Roman" w:cs="Times New Roman"/>
        </w:rPr>
      </w:pPr>
    </w:p>
    <w:p w14:paraId="37EAD4D7" w14:textId="46F40084" w:rsidR="00370EDB" w:rsidRPr="005C3043" w:rsidRDefault="00370EDB" w:rsidP="00154DC0">
      <w:pPr>
        <w:spacing w:line="480" w:lineRule="auto"/>
        <w:ind w:firstLine="720"/>
        <w:contextualSpacing/>
        <w:jc w:val="both"/>
        <w:rPr>
          <w:rFonts w:ascii="Times New Roman" w:hAnsi="Times New Roman" w:cs="Times New Roman"/>
        </w:rPr>
      </w:pPr>
    </w:p>
    <w:p w14:paraId="19C49B93" w14:textId="26912527" w:rsidR="00370EDB" w:rsidRPr="005C3043" w:rsidRDefault="00370EDB" w:rsidP="00154DC0">
      <w:pPr>
        <w:spacing w:line="480" w:lineRule="auto"/>
        <w:ind w:firstLine="720"/>
        <w:contextualSpacing/>
        <w:rPr>
          <w:rFonts w:ascii="Times New Roman" w:hAnsi="Times New Roman" w:cs="Times New Roman"/>
        </w:rPr>
      </w:pPr>
    </w:p>
    <w:p w14:paraId="294B1F56" w14:textId="41FDFBBC" w:rsidR="00370EDB" w:rsidRPr="005C3043" w:rsidRDefault="00370EDB" w:rsidP="00154DC0">
      <w:pPr>
        <w:spacing w:line="480" w:lineRule="auto"/>
        <w:ind w:firstLine="720"/>
        <w:contextualSpacing/>
        <w:rPr>
          <w:rFonts w:ascii="Times New Roman" w:hAnsi="Times New Roman" w:cs="Times New Roman"/>
        </w:rPr>
      </w:pPr>
    </w:p>
    <w:p w14:paraId="1D8A3F0B" w14:textId="5D5366D7" w:rsidR="00F672B3" w:rsidRDefault="00F672B3" w:rsidP="00F672B3">
      <w:pPr>
        <w:rPr>
          <w:rFonts w:ascii="Times New Roman" w:hAnsi="Times New Roman" w:cs="Times New Roman"/>
        </w:rPr>
      </w:pPr>
    </w:p>
    <w:p w14:paraId="639D2749" w14:textId="77777777" w:rsidR="00DA712E" w:rsidRPr="005C3043" w:rsidRDefault="00DA712E" w:rsidP="00F672B3">
      <w:pPr>
        <w:rPr>
          <w:rFonts w:ascii="Times New Roman" w:hAnsi="Times New Roman" w:cs="Times New Roman"/>
        </w:rPr>
      </w:pPr>
    </w:p>
    <w:p w14:paraId="6CB89AC0" w14:textId="4EE9E7A9" w:rsidR="00370EDB" w:rsidRPr="002F0A5C" w:rsidRDefault="00370EDB" w:rsidP="002F0A5C">
      <w:pPr>
        <w:pStyle w:val="Heading1"/>
        <w:rPr>
          <w:rFonts w:ascii="Times New Roman" w:hAnsi="Times New Roman" w:cs="Times New Roman"/>
        </w:rPr>
      </w:pPr>
      <w:bookmarkStart w:id="8" w:name="_Toc100072146"/>
      <w:r w:rsidRPr="002F0A5C">
        <w:rPr>
          <w:rFonts w:ascii="Times New Roman" w:hAnsi="Times New Roman" w:cs="Times New Roman"/>
        </w:rPr>
        <w:lastRenderedPageBreak/>
        <w:t>CHAPTER I</w:t>
      </w:r>
      <w:bookmarkEnd w:id="8"/>
    </w:p>
    <w:p w14:paraId="7E691B14" w14:textId="5FD50D4C" w:rsidR="00370EDB" w:rsidRPr="002F0A5C" w:rsidRDefault="00370EDB" w:rsidP="002F0A5C">
      <w:pPr>
        <w:pStyle w:val="Heading1"/>
        <w:rPr>
          <w:rFonts w:ascii="Times New Roman" w:hAnsi="Times New Roman" w:cs="Times New Roman"/>
        </w:rPr>
      </w:pPr>
      <w:bookmarkStart w:id="9" w:name="_Toc100072147"/>
      <w:r w:rsidRPr="002F0A5C">
        <w:rPr>
          <w:rFonts w:ascii="Times New Roman" w:hAnsi="Times New Roman" w:cs="Times New Roman"/>
        </w:rPr>
        <w:t>L</w:t>
      </w:r>
      <w:r w:rsidR="002E44F6" w:rsidRPr="002F0A5C">
        <w:rPr>
          <w:rFonts w:ascii="Times New Roman" w:hAnsi="Times New Roman" w:cs="Times New Roman"/>
        </w:rPr>
        <w:t>iterature Review</w:t>
      </w:r>
      <w:bookmarkEnd w:id="9"/>
    </w:p>
    <w:p w14:paraId="4BCABAAA" w14:textId="77777777" w:rsidR="00370EDB" w:rsidRPr="005C3043" w:rsidRDefault="00370EDB" w:rsidP="00154DC0">
      <w:pPr>
        <w:spacing w:line="480" w:lineRule="auto"/>
        <w:rPr>
          <w:rFonts w:ascii="Times New Roman" w:hAnsi="Times New Roman" w:cs="Times New Roman"/>
          <w:b/>
        </w:rPr>
      </w:pPr>
      <w:r w:rsidRPr="005C3043">
        <w:rPr>
          <w:rFonts w:ascii="Times New Roman" w:hAnsi="Times New Roman" w:cs="Times New Roman"/>
          <w:b/>
        </w:rPr>
        <w:br w:type="page"/>
      </w:r>
    </w:p>
    <w:p w14:paraId="05BF0C51" w14:textId="47D90284" w:rsidR="009268EB" w:rsidRPr="0064589E" w:rsidRDefault="009268EB" w:rsidP="0064589E">
      <w:pPr>
        <w:pStyle w:val="Heading2"/>
        <w:jc w:val="left"/>
        <w:rPr>
          <w:rFonts w:ascii="Times New Roman" w:hAnsi="Times New Roman" w:cs="Times New Roman"/>
          <w:noProof/>
          <w:sz w:val="24"/>
          <w:szCs w:val="24"/>
        </w:rPr>
      </w:pPr>
      <w:bookmarkStart w:id="10" w:name="_Toc100072148"/>
      <w:r w:rsidRPr="0064589E">
        <w:rPr>
          <w:rFonts w:ascii="Times New Roman" w:hAnsi="Times New Roman" w:cs="Times New Roman"/>
          <w:noProof/>
          <w:sz w:val="24"/>
          <w:szCs w:val="24"/>
        </w:rPr>
        <w:lastRenderedPageBreak/>
        <w:t>US Cattle Production and Fixed</w:t>
      </w:r>
      <w:r w:rsidR="005946B9" w:rsidRPr="0064589E">
        <w:rPr>
          <w:rFonts w:ascii="Times New Roman" w:hAnsi="Times New Roman" w:cs="Times New Roman"/>
          <w:noProof/>
          <w:sz w:val="24"/>
          <w:szCs w:val="24"/>
        </w:rPr>
        <w:t>-</w:t>
      </w:r>
      <w:r w:rsidRPr="0064589E">
        <w:rPr>
          <w:rFonts w:ascii="Times New Roman" w:hAnsi="Times New Roman" w:cs="Times New Roman"/>
          <w:noProof/>
          <w:sz w:val="24"/>
          <w:szCs w:val="24"/>
        </w:rPr>
        <w:t>Time Artificial Insemination</w:t>
      </w:r>
      <w:bookmarkEnd w:id="10"/>
    </w:p>
    <w:p w14:paraId="4F38CC93" w14:textId="5BC384A7" w:rsidR="00E62337" w:rsidRPr="005C3043" w:rsidRDefault="009268EB" w:rsidP="00F672B3">
      <w:pPr>
        <w:spacing w:line="480" w:lineRule="auto"/>
        <w:ind w:firstLine="720"/>
        <w:contextualSpacing/>
        <w:jc w:val="both"/>
        <w:rPr>
          <w:rFonts w:ascii="Times New Roman" w:hAnsi="Times New Roman" w:cs="Times New Roman"/>
        </w:rPr>
      </w:pPr>
      <w:r w:rsidRPr="005C3043">
        <w:rPr>
          <w:rFonts w:ascii="Times New Roman" w:hAnsi="Times New Roman" w:cs="Times New Roman"/>
        </w:rPr>
        <w:t>In a cow-calf herd, the ability of cows and heifers to conceive, birth, and wean a calf each year is essential to the success and profitability of the operation</w:t>
      </w:r>
      <w:r w:rsidR="00E62337" w:rsidRPr="005C3043">
        <w:rPr>
          <w:rFonts w:ascii="Times New Roman" w:hAnsi="Times New Roman" w:cs="Times New Roman"/>
        </w:rPr>
        <w:t xml:space="preserve"> </w:t>
      </w:r>
      <w:r w:rsidR="00C55223" w:rsidRPr="005C3043">
        <w:rPr>
          <w:rFonts w:ascii="Times New Roman" w:hAnsi="Times New Roman" w:cs="Times New Roman"/>
          <w:noProof/>
        </w:rPr>
        <w:t xml:space="preserve">(Mathews </w:t>
      </w:r>
      <w:r w:rsidR="006521DC" w:rsidRPr="005C3043">
        <w:rPr>
          <w:rFonts w:ascii="Times New Roman" w:hAnsi="Times New Roman" w:cs="Times New Roman"/>
          <w:noProof/>
        </w:rPr>
        <w:t>2001</w:t>
      </w:r>
      <w:r w:rsidR="00C55223" w:rsidRPr="005C3043">
        <w:rPr>
          <w:rFonts w:ascii="Times New Roman" w:hAnsi="Times New Roman" w:cs="Times New Roman"/>
          <w:noProof/>
        </w:rPr>
        <w:t>; Boyer et al., 2020; Ealy, 2020)</w:t>
      </w:r>
      <w:r w:rsidR="00E62337" w:rsidRPr="005C3043">
        <w:rPr>
          <w:rFonts w:ascii="Times New Roman" w:hAnsi="Times New Roman" w:cs="Times New Roman"/>
        </w:rPr>
        <w:t xml:space="preserve">. Return to cyclicity following calving is a major milestone that must be met for a cow to calve every 365 days and remain productive in the herd </w:t>
      </w:r>
      <w:r w:rsidR="00C55223" w:rsidRPr="005C3043">
        <w:rPr>
          <w:rFonts w:ascii="Times New Roman" w:hAnsi="Times New Roman" w:cs="Times New Roman"/>
          <w:noProof/>
        </w:rPr>
        <w:t>(Short et al., 1990; Opsomer and de Kruif, 1999; Cushman et al., 2007; Baruselli et al., 2018)</w:t>
      </w:r>
      <w:r w:rsidR="00E62337" w:rsidRPr="005C3043">
        <w:rPr>
          <w:rFonts w:ascii="Times New Roman" w:hAnsi="Times New Roman" w:cs="Times New Roman"/>
        </w:rPr>
        <w:t xml:space="preserve">. Animals that calve early in the calving season have greater days postpartum to return to cyclicity and become pregnant for the subsequent calving season. Thus, management to increase the percentage of animals calving early in the calving season improves cow longevity and productivity of the herd </w:t>
      </w:r>
      <w:r w:rsidR="00C55223" w:rsidRPr="005C3043">
        <w:rPr>
          <w:rFonts w:ascii="Times New Roman" w:hAnsi="Times New Roman" w:cs="Times New Roman"/>
          <w:noProof/>
        </w:rPr>
        <w:t>(Lesmeister et al., 1973; Funston et al., 2012; Cushman et al., 2013; Damiran et al., 2018)</w:t>
      </w:r>
      <w:r w:rsidR="00E62337" w:rsidRPr="005C3043">
        <w:rPr>
          <w:rFonts w:ascii="Times New Roman" w:hAnsi="Times New Roman" w:cs="Times New Roman"/>
        </w:rPr>
        <w:t>. To further improve the yield per head, producers can seek to produce a heavier weaning, more uniform calf crop. This can also be accomplished by managing cows to calve earlier in the calving season and by improving the genetic merit of the herd.</w:t>
      </w:r>
    </w:p>
    <w:p w14:paraId="5161E46D" w14:textId="6422AB40" w:rsidR="00E62337" w:rsidRPr="005C3043" w:rsidRDefault="00E62337" w:rsidP="00F672B3">
      <w:pPr>
        <w:spacing w:line="480" w:lineRule="auto"/>
        <w:ind w:firstLine="720"/>
        <w:contextualSpacing/>
        <w:jc w:val="both"/>
        <w:rPr>
          <w:rFonts w:ascii="Times New Roman" w:eastAsia="Calibri" w:hAnsi="Times New Roman" w:cs="Times New Roman"/>
        </w:rPr>
      </w:pPr>
      <w:r w:rsidRPr="005C3043">
        <w:rPr>
          <w:rFonts w:ascii="Times New Roman" w:hAnsi="Times New Roman" w:cs="Times New Roman"/>
        </w:rPr>
        <w:t xml:space="preserve">The benefits of increasing the percent of animals calving earlier in the calving season are documented in multiple original research and meta-analysis studies </w:t>
      </w:r>
      <w:r w:rsidR="00C55223" w:rsidRPr="005C3043">
        <w:rPr>
          <w:rFonts w:ascii="Times New Roman" w:hAnsi="Times New Roman" w:cs="Times New Roman"/>
          <w:noProof/>
        </w:rPr>
        <w:t>(Lesmeister et al., 1973; Lima et al., 2010; Funston et al., 2012; Cushman et al., 2013; Damiran et al., 2018)</w:t>
      </w:r>
      <w:r w:rsidRPr="005C3043">
        <w:rPr>
          <w:rFonts w:ascii="Times New Roman" w:hAnsi="Times New Roman" w:cs="Times New Roman"/>
        </w:rPr>
        <w:t xml:space="preserve">. </w:t>
      </w:r>
      <w:r w:rsidRPr="005C3043">
        <w:rPr>
          <w:rFonts w:ascii="Times New Roman" w:eastAsia="Calibri" w:hAnsi="Times New Roman" w:cs="Times New Roman"/>
        </w:rPr>
        <w:t>Among these, Funston et al</w:t>
      </w:r>
      <w:r w:rsidR="006521DC" w:rsidRPr="005C3043">
        <w:rPr>
          <w:rFonts w:ascii="Times New Roman" w:eastAsia="Calibri" w:hAnsi="Times New Roman" w:cs="Times New Roman"/>
        </w:rPr>
        <w:t>.</w:t>
      </w:r>
      <w:r w:rsidRPr="005C3043">
        <w:rPr>
          <w:rFonts w:ascii="Times New Roman" w:eastAsia="Calibri" w:hAnsi="Times New Roman" w:cs="Times New Roman"/>
        </w:rPr>
        <w:t xml:space="preserve"> 2012 </w:t>
      </w:r>
      <w:r w:rsidR="00B17674" w:rsidRPr="005C3043">
        <w:rPr>
          <w:rFonts w:ascii="Times New Roman" w:eastAsia="Calibri" w:hAnsi="Times New Roman" w:cs="Times New Roman"/>
        </w:rPr>
        <w:t>report</w:t>
      </w:r>
      <w:r w:rsidRPr="005C3043">
        <w:rPr>
          <w:rFonts w:ascii="Times New Roman" w:eastAsia="Calibri" w:hAnsi="Times New Roman" w:cs="Times New Roman"/>
        </w:rPr>
        <w:t xml:space="preserve">ed that calving period significantly influences progeny performance </w:t>
      </w:r>
      <w:r w:rsidR="00C55223" w:rsidRPr="005C3043">
        <w:rPr>
          <w:rFonts w:ascii="Times New Roman" w:eastAsia="Calibri" w:hAnsi="Times New Roman" w:cs="Times New Roman"/>
          <w:noProof/>
        </w:rPr>
        <w:t>(Funston et al., 2012)</w:t>
      </w:r>
      <w:r w:rsidRPr="005C3043">
        <w:rPr>
          <w:rFonts w:ascii="Times New Roman" w:eastAsia="Calibri" w:hAnsi="Times New Roman" w:cs="Times New Roman"/>
        </w:rPr>
        <w:t xml:space="preserve">. Within heifer calves, those born in the first 21-day calving period had a greater weaning weight, pre-breeding weight, and pre-calving weight as well as increased percent cycling prior to breeding and increased pregnancy rates when compared to those born in the third 21-day period. Their progeny </w:t>
      </w:r>
      <w:proofErr w:type="gramStart"/>
      <w:r w:rsidRPr="005C3043">
        <w:rPr>
          <w:rFonts w:ascii="Times New Roman" w:eastAsia="Calibri" w:hAnsi="Times New Roman" w:cs="Times New Roman"/>
        </w:rPr>
        <w:t>were</w:t>
      </w:r>
      <w:proofErr w:type="gramEnd"/>
      <w:r w:rsidRPr="005C3043">
        <w:rPr>
          <w:rFonts w:ascii="Times New Roman" w:eastAsia="Calibri" w:hAnsi="Times New Roman" w:cs="Times New Roman"/>
        </w:rPr>
        <w:t xml:space="preserve"> also born earlier and had increased weaning weights. Cushman et al</w:t>
      </w:r>
      <w:r w:rsidR="006521DC" w:rsidRPr="005C3043">
        <w:rPr>
          <w:rFonts w:ascii="Times New Roman" w:eastAsia="Calibri" w:hAnsi="Times New Roman" w:cs="Times New Roman"/>
        </w:rPr>
        <w:t>.</w:t>
      </w:r>
      <w:r w:rsidRPr="005C3043">
        <w:rPr>
          <w:rFonts w:ascii="Times New Roman" w:eastAsia="Calibri" w:hAnsi="Times New Roman" w:cs="Times New Roman"/>
        </w:rPr>
        <w:t xml:space="preserve"> </w:t>
      </w:r>
      <w:r w:rsidR="00AC0937" w:rsidRPr="005C3043">
        <w:rPr>
          <w:rFonts w:ascii="Times New Roman" w:eastAsia="Calibri" w:hAnsi="Times New Roman" w:cs="Times New Roman"/>
        </w:rPr>
        <w:t>(</w:t>
      </w:r>
      <w:r w:rsidRPr="005C3043">
        <w:rPr>
          <w:rFonts w:ascii="Times New Roman" w:eastAsia="Calibri" w:hAnsi="Times New Roman" w:cs="Times New Roman"/>
        </w:rPr>
        <w:t>2013</w:t>
      </w:r>
      <w:r w:rsidR="00AC0937" w:rsidRPr="005C3043">
        <w:rPr>
          <w:rFonts w:ascii="Times New Roman" w:eastAsia="Calibri" w:hAnsi="Times New Roman" w:cs="Times New Roman"/>
        </w:rPr>
        <w:t>)</w:t>
      </w:r>
      <w:r w:rsidRPr="005C3043">
        <w:rPr>
          <w:rFonts w:ascii="Times New Roman" w:eastAsia="Calibri" w:hAnsi="Times New Roman" w:cs="Times New Roman"/>
        </w:rPr>
        <w:t xml:space="preserve"> </w:t>
      </w:r>
      <w:r w:rsidR="00D52D0C" w:rsidRPr="005C3043">
        <w:rPr>
          <w:rFonts w:ascii="Times New Roman" w:eastAsia="Calibri" w:hAnsi="Times New Roman" w:cs="Times New Roman"/>
        </w:rPr>
        <w:t>report</w:t>
      </w:r>
      <w:r w:rsidRPr="005C3043">
        <w:rPr>
          <w:rFonts w:ascii="Times New Roman" w:eastAsia="Calibri" w:hAnsi="Times New Roman" w:cs="Times New Roman"/>
        </w:rPr>
        <w:t xml:space="preserve">ed </w:t>
      </w:r>
      <w:r w:rsidRPr="005C3043">
        <w:rPr>
          <w:rFonts w:ascii="Times New Roman" w:eastAsia="Calibri" w:hAnsi="Times New Roman" w:cs="Times New Roman"/>
        </w:rPr>
        <w:lastRenderedPageBreak/>
        <w:t xml:space="preserve">that heifers that calved early in the calving season with their first calf had increased herd longevity and produced increased pounds of weaned calves </w:t>
      </w:r>
      <w:r w:rsidR="00C55223" w:rsidRPr="005C3043">
        <w:rPr>
          <w:rFonts w:ascii="Times New Roman" w:eastAsia="Calibri" w:hAnsi="Times New Roman" w:cs="Times New Roman"/>
          <w:noProof/>
        </w:rPr>
        <w:t>(Cushman et al., 2013)</w:t>
      </w:r>
      <w:r w:rsidRPr="005C3043">
        <w:rPr>
          <w:rFonts w:ascii="Times New Roman" w:eastAsia="Calibri" w:hAnsi="Times New Roman" w:cs="Times New Roman"/>
        </w:rPr>
        <w:t>. The steer calves also benefitted from being born earlier in the calving season. They had greater weaning, final, and carcass weights as well as increased marbling, a greater percent grading USDA modest or greater, and increased carcass values. This increased weaning weight of early calved progeny amounted to the production of an extra calf in the dam’s lifetime compared to those dams that calve later in the season. Increasing the number of animals that calve earlier in the calving season has the potential to increase the weight of calves weaned and increase the profits of the operation.</w:t>
      </w:r>
    </w:p>
    <w:p w14:paraId="528E2B9C" w14:textId="7B45BCAB" w:rsidR="004E5152" w:rsidRPr="005C3043" w:rsidRDefault="00E62337" w:rsidP="00F672B3">
      <w:pPr>
        <w:spacing w:line="480" w:lineRule="auto"/>
        <w:ind w:firstLine="720"/>
        <w:contextualSpacing/>
        <w:jc w:val="both"/>
        <w:rPr>
          <w:rFonts w:ascii="Times New Roman" w:eastAsia="Calibri" w:hAnsi="Times New Roman" w:cs="Times New Roman"/>
        </w:rPr>
      </w:pPr>
      <w:r w:rsidRPr="005C3043">
        <w:rPr>
          <w:rFonts w:ascii="Times New Roman" w:eastAsia="Calibri" w:hAnsi="Times New Roman" w:cs="Times New Roman"/>
        </w:rPr>
        <w:t>Sire genetics also greatly influence herd productivity by influencing calf weaning weights, carcass merit, or other traits economically relevant to the specific marketing strategy of individual operations</w:t>
      </w:r>
      <w:r w:rsidR="006521DC" w:rsidRPr="005C3043">
        <w:rPr>
          <w:rFonts w:ascii="Times New Roman" w:eastAsia="Calibri" w:hAnsi="Times New Roman" w:cs="Times New Roman"/>
        </w:rPr>
        <w:t xml:space="preserve"> </w:t>
      </w:r>
      <w:r w:rsidR="00C55223" w:rsidRPr="005C3043">
        <w:rPr>
          <w:rFonts w:ascii="Times New Roman" w:eastAsia="Calibri" w:hAnsi="Times New Roman" w:cs="Times New Roman"/>
          <w:noProof/>
        </w:rPr>
        <w:t>(Smith, 1976; Ockerman et al., 1984; Cunningham et al., 1987; Crews, 2002; Casas and Cundiff, 2003; Berry et al., 2019; Eriksson et al., 2020; Martín et al., 2020, 2021)</w:t>
      </w:r>
      <w:r w:rsidRPr="005C3043">
        <w:rPr>
          <w:rFonts w:ascii="Times New Roman" w:eastAsia="Calibri" w:hAnsi="Times New Roman" w:cs="Times New Roman"/>
        </w:rPr>
        <w:t>. Careful selection of natural service sires and semen purchased for artificial insemination</w:t>
      </w:r>
      <w:r w:rsidR="006521DC" w:rsidRPr="005C3043">
        <w:rPr>
          <w:rFonts w:ascii="Times New Roman" w:eastAsia="Calibri" w:hAnsi="Times New Roman" w:cs="Times New Roman"/>
        </w:rPr>
        <w:t xml:space="preserve"> (AI)</w:t>
      </w:r>
      <w:r w:rsidRPr="005C3043">
        <w:rPr>
          <w:rFonts w:ascii="Times New Roman" w:eastAsia="Calibri" w:hAnsi="Times New Roman" w:cs="Times New Roman"/>
        </w:rPr>
        <w:t xml:space="preserve"> can improve calf genetic potential and performance. Artificial insemination is </w:t>
      </w:r>
      <w:r w:rsidR="00D52D0C" w:rsidRPr="005C3043">
        <w:rPr>
          <w:rFonts w:ascii="Times New Roman" w:eastAsia="Calibri" w:hAnsi="Times New Roman" w:cs="Times New Roman"/>
        </w:rPr>
        <w:t>economically more efficient for i</w:t>
      </w:r>
      <w:r w:rsidRPr="005C3043">
        <w:rPr>
          <w:rFonts w:ascii="Times New Roman" w:eastAsia="Calibri" w:hAnsi="Times New Roman" w:cs="Times New Roman"/>
        </w:rPr>
        <w:t xml:space="preserve">mproving herd genetics </w:t>
      </w:r>
      <w:r w:rsidR="00C55223" w:rsidRPr="005C3043">
        <w:rPr>
          <w:rFonts w:ascii="Times New Roman" w:eastAsia="Calibri" w:hAnsi="Times New Roman" w:cs="Times New Roman"/>
          <w:noProof/>
        </w:rPr>
        <w:t>(Lima et al., 2010; Rodgers et al., 2012; Lamb and Mercadante, 2016; Baruselli et al., 2018)</w:t>
      </w:r>
      <w:r w:rsidRPr="005C3043">
        <w:rPr>
          <w:rFonts w:ascii="Times New Roman" w:eastAsia="Calibri" w:hAnsi="Times New Roman" w:cs="Times New Roman"/>
        </w:rPr>
        <w:t xml:space="preserve">. </w:t>
      </w:r>
      <w:r w:rsidR="004E5152" w:rsidRPr="005C3043">
        <w:rPr>
          <w:rFonts w:ascii="Times New Roman" w:eastAsia="Calibri" w:hAnsi="Times New Roman" w:cs="Times New Roman"/>
        </w:rPr>
        <w:t xml:space="preserve">Improving herd genetics by purchasing a bull is limited by a producer’s budget to purchase high quality genetics and the reduced accuracy of expected progeny differences (EPDs) of most herd sire prospects. Artificial insemination allows producers to purchase semen from bulls with high accuracy and superior genetics without having to purchase the bull itself. While natural service (NS) is the least labor intensive during the onset of the breeding </w:t>
      </w:r>
      <w:r w:rsidR="004E5152" w:rsidRPr="005C3043">
        <w:rPr>
          <w:rFonts w:ascii="Times New Roman" w:eastAsia="Calibri" w:hAnsi="Times New Roman" w:cs="Times New Roman"/>
        </w:rPr>
        <w:lastRenderedPageBreak/>
        <w:t>season, there are additional costs associated with purchasing and maintaining the bull as well as dangers from the temperament.  Though the need for natural service sires</w:t>
      </w:r>
      <w:r w:rsidR="00D52D0C" w:rsidRPr="005C3043">
        <w:rPr>
          <w:rFonts w:ascii="Times New Roman" w:eastAsia="Calibri" w:hAnsi="Times New Roman" w:cs="Times New Roman"/>
        </w:rPr>
        <w:t xml:space="preserve"> is</w:t>
      </w:r>
      <w:r w:rsidR="004E5152" w:rsidRPr="005C3043">
        <w:rPr>
          <w:rFonts w:ascii="Times New Roman" w:eastAsia="Calibri" w:hAnsi="Times New Roman" w:cs="Times New Roman"/>
        </w:rPr>
        <w:t xml:space="preserve"> not fully eliminated </w:t>
      </w:r>
      <w:r w:rsidR="00D52D0C" w:rsidRPr="005C3043">
        <w:rPr>
          <w:rFonts w:ascii="Times New Roman" w:eastAsia="Calibri" w:hAnsi="Times New Roman" w:cs="Times New Roman"/>
        </w:rPr>
        <w:t>for</w:t>
      </w:r>
      <w:r w:rsidR="004E5152" w:rsidRPr="005C3043">
        <w:rPr>
          <w:rFonts w:ascii="Times New Roman" w:eastAsia="Calibri" w:hAnsi="Times New Roman" w:cs="Times New Roman"/>
        </w:rPr>
        <w:t xml:space="preserve"> herds that utilize AI, establishing pregnancy in a percentage of cows via AI reduces the number of bulls required to successfully service the cow herd and thus reduces such costs and concerns</w:t>
      </w:r>
      <w:r w:rsidR="00990711" w:rsidRPr="005C3043">
        <w:rPr>
          <w:rFonts w:ascii="Times New Roman" w:eastAsia="Calibri" w:hAnsi="Times New Roman" w:cs="Times New Roman"/>
        </w:rPr>
        <w:t xml:space="preserve"> </w:t>
      </w:r>
      <w:r w:rsidR="00C55223" w:rsidRPr="005C3043">
        <w:rPr>
          <w:rFonts w:ascii="Times New Roman" w:eastAsia="Calibri" w:hAnsi="Times New Roman" w:cs="Times New Roman"/>
          <w:noProof/>
        </w:rPr>
        <w:t>(Rodgers et al., 2012)</w:t>
      </w:r>
      <w:r w:rsidR="004E5152" w:rsidRPr="005C3043">
        <w:rPr>
          <w:rFonts w:ascii="Times New Roman" w:eastAsia="Calibri" w:hAnsi="Times New Roman" w:cs="Times New Roman"/>
        </w:rPr>
        <w:t xml:space="preserve">. </w:t>
      </w:r>
    </w:p>
    <w:p w14:paraId="1A9F84BA" w14:textId="3B2F17C4" w:rsidR="004E5152" w:rsidRPr="005C3043" w:rsidRDefault="004E5152" w:rsidP="00F672B3">
      <w:pPr>
        <w:spacing w:line="480" w:lineRule="auto"/>
        <w:ind w:firstLine="720"/>
        <w:contextualSpacing/>
        <w:jc w:val="both"/>
        <w:rPr>
          <w:rFonts w:ascii="Times New Roman" w:eastAsia="Calibri" w:hAnsi="Times New Roman" w:cs="Times New Roman"/>
        </w:rPr>
      </w:pPr>
      <w:r w:rsidRPr="005C3043">
        <w:rPr>
          <w:rFonts w:ascii="Times New Roman" w:eastAsia="Calibri" w:hAnsi="Times New Roman" w:cs="Times New Roman"/>
        </w:rPr>
        <w:t>Fixed</w:t>
      </w:r>
      <w:r w:rsidR="005946B9" w:rsidRPr="005C3043">
        <w:rPr>
          <w:rFonts w:ascii="Times New Roman" w:eastAsia="Calibri" w:hAnsi="Times New Roman" w:cs="Times New Roman"/>
        </w:rPr>
        <w:t>-T</w:t>
      </w:r>
      <w:r w:rsidRPr="005C3043">
        <w:rPr>
          <w:rFonts w:ascii="Times New Roman" w:eastAsia="Calibri" w:hAnsi="Times New Roman" w:cs="Times New Roman"/>
        </w:rPr>
        <w:t xml:space="preserve">ime artificial insemination (FTAI) is a viable management option as it incorporates the benefits of calving early and improving herd genetics through AI better than natural service alone or performing AI on only animals detected in estrus </w:t>
      </w:r>
      <w:r w:rsidR="00C55223" w:rsidRPr="005C3043">
        <w:rPr>
          <w:rFonts w:ascii="Times New Roman" w:eastAsia="Calibri" w:hAnsi="Times New Roman" w:cs="Times New Roman"/>
          <w:noProof/>
        </w:rPr>
        <w:t xml:space="preserve">(Rodgers et al., 2012; </w:t>
      </w:r>
      <w:r w:rsidR="006521DC" w:rsidRPr="005C3043">
        <w:rPr>
          <w:rFonts w:ascii="Times New Roman" w:eastAsia="Calibri" w:hAnsi="Times New Roman" w:cs="Times New Roman"/>
          <w:noProof/>
        </w:rPr>
        <w:t xml:space="preserve">Sá Filho </w:t>
      </w:r>
      <w:r w:rsidR="00C55223" w:rsidRPr="005C3043">
        <w:rPr>
          <w:rFonts w:ascii="Times New Roman" w:eastAsia="Calibri" w:hAnsi="Times New Roman" w:cs="Times New Roman"/>
          <w:noProof/>
        </w:rPr>
        <w:t>et al., 2013; Lamb and Mercadante, 2016; Baruselli et al., 2018)</w:t>
      </w:r>
      <w:r w:rsidRPr="005C3043">
        <w:rPr>
          <w:rFonts w:ascii="Times New Roman" w:eastAsia="Calibri" w:hAnsi="Times New Roman" w:cs="Times New Roman"/>
        </w:rPr>
        <w:t xml:space="preserve">. With FTAI, each cow in the herd is inseminated at the start of the breeding season. This gives every cow the opportunity to become pregnant and calve early. As pregnancy rates to FTAI in beef herds is often 40-60%, there is an increase in the percent of cows that become pregnant in the first 45 days of the breeding season when FTAI followed by natural service vs natural service alone was used </w:t>
      </w:r>
      <w:r w:rsidR="00C55223" w:rsidRPr="005C3043">
        <w:rPr>
          <w:rFonts w:ascii="Times New Roman" w:eastAsia="Calibri" w:hAnsi="Times New Roman" w:cs="Times New Roman"/>
          <w:noProof/>
        </w:rPr>
        <w:t xml:space="preserve">(Pursley et al., 1997; Bucher et al., 2009; Taponen, 2009; Sá Filho et al., 2010; </w:t>
      </w:r>
      <w:r w:rsidR="006521DC" w:rsidRPr="005C3043">
        <w:rPr>
          <w:rFonts w:ascii="Times New Roman" w:eastAsia="Calibri" w:hAnsi="Times New Roman" w:cs="Times New Roman"/>
          <w:noProof/>
        </w:rPr>
        <w:t xml:space="preserve">Sá Filho </w:t>
      </w:r>
      <w:r w:rsidR="00C55223" w:rsidRPr="005C3043">
        <w:rPr>
          <w:rFonts w:ascii="Times New Roman" w:eastAsia="Calibri" w:hAnsi="Times New Roman" w:cs="Times New Roman"/>
          <w:noProof/>
        </w:rPr>
        <w:t>et al., 2013; Baruselli et al., 2018; Crites et al., 2018)</w:t>
      </w:r>
      <w:r w:rsidRPr="005C3043">
        <w:rPr>
          <w:rFonts w:ascii="Times New Roman" w:eastAsia="Calibri" w:hAnsi="Times New Roman" w:cs="Times New Roman"/>
        </w:rPr>
        <w:t>. By adopting FTAI as a management practice, producers have the potential to significantly impact their calf productivity and profitability with relatively minimal investment in time and money at the start of the breeding season.</w:t>
      </w:r>
    </w:p>
    <w:p w14:paraId="4D4E5CC5" w14:textId="5452D854" w:rsidR="005E5D6E" w:rsidRPr="005C3043" w:rsidRDefault="004E5152" w:rsidP="00F672B3">
      <w:pPr>
        <w:spacing w:line="480" w:lineRule="auto"/>
        <w:ind w:firstLine="720"/>
        <w:contextualSpacing/>
        <w:jc w:val="both"/>
        <w:rPr>
          <w:rFonts w:ascii="Times New Roman" w:hAnsi="Times New Roman" w:cs="Times New Roman"/>
        </w:rPr>
      </w:pPr>
      <w:r w:rsidRPr="005C3043">
        <w:rPr>
          <w:rFonts w:ascii="Times New Roman" w:eastAsia="Calibri" w:hAnsi="Times New Roman" w:cs="Times New Roman"/>
        </w:rPr>
        <w:t xml:space="preserve">However, despite the many benefits of FTAI, the technology is not perfect. There is a subset of cattle with decreased pregnancy rates to FTAI compared to the rest of the herd. This subset has not expressed estrus and has not had a gonadotropin surge by the time of scheduled insemination and, consequently, relies on the administration of gonadotropin </w:t>
      </w:r>
      <w:r w:rsidRPr="005C3043">
        <w:rPr>
          <w:rFonts w:ascii="Times New Roman" w:eastAsia="Calibri" w:hAnsi="Times New Roman" w:cs="Times New Roman"/>
        </w:rPr>
        <w:lastRenderedPageBreak/>
        <w:t xml:space="preserve">releasing hormone (GnRH) to induce their ovulation prior to AI. Cattle induced to ovulate had a 14-60% reduction in pregnancy rate compared to animals that displayed estrus prior to breeding </w:t>
      </w:r>
      <w:r w:rsidR="00C55223" w:rsidRPr="005C3043">
        <w:rPr>
          <w:rFonts w:ascii="Times New Roman" w:eastAsia="Calibri" w:hAnsi="Times New Roman" w:cs="Times New Roman"/>
          <w:noProof/>
        </w:rPr>
        <w:t>(Perry et al., 2005; Kasimanickam et al., 2009; Sá Filho et al., 2010; Nash et al., 2012; Whittier et al., 2013; Bridges et al., 2014; Martin et al., 2014; Richardson et al., 2016; Abel et al., 2017; Colazo et al., 2018; Rodrigues et al., 2018)</w:t>
      </w:r>
      <w:r w:rsidR="002A0645" w:rsidRPr="005C3043">
        <w:rPr>
          <w:rFonts w:ascii="Times New Roman" w:eastAsia="Calibri" w:hAnsi="Times New Roman" w:cs="Times New Roman"/>
        </w:rPr>
        <w:t>. Further, within the cattle induced to ovulate, cattle induced to ovulate a small</w:t>
      </w:r>
      <w:r w:rsidR="00AC0937" w:rsidRPr="005C3043">
        <w:rPr>
          <w:rFonts w:ascii="Times New Roman" w:eastAsia="Calibri" w:hAnsi="Times New Roman" w:cs="Times New Roman"/>
        </w:rPr>
        <w:t>er sized</w:t>
      </w:r>
      <w:r w:rsidR="002A0645" w:rsidRPr="005C3043">
        <w:rPr>
          <w:rFonts w:ascii="Times New Roman" w:eastAsia="Calibri" w:hAnsi="Times New Roman" w:cs="Times New Roman"/>
        </w:rPr>
        <w:t xml:space="preserve"> </w:t>
      </w:r>
      <w:r w:rsidR="00751FF5" w:rsidRPr="005C3043">
        <w:rPr>
          <w:rFonts w:ascii="Times New Roman" w:eastAsia="Calibri" w:hAnsi="Times New Roman" w:cs="Times New Roman"/>
        </w:rPr>
        <w:t>pre-ovulatory</w:t>
      </w:r>
      <w:r w:rsidR="00AC0937" w:rsidRPr="005C3043">
        <w:rPr>
          <w:rFonts w:ascii="Times New Roman" w:eastAsia="Calibri" w:hAnsi="Times New Roman" w:cs="Times New Roman"/>
        </w:rPr>
        <w:t xml:space="preserve"> </w:t>
      </w:r>
      <w:r w:rsidR="002A0645" w:rsidRPr="005C3043">
        <w:rPr>
          <w:rFonts w:ascii="Times New Roman" w:eastAsia="Calibri" w:hAnsi="Times New Roman" w:cs="Times New Roman"/>
        </w:rPr>
        <w:t>follicle (</w:t>
      </w:r>
      <w:r w:rsidR="002A0645" w:rsidRPr="005C3043">
        <w:rPr>
          <w:rFonts w:ascii="Times New Roman" w:eastAsia="Calibri" w:hAnsi="Times New Roman" w:cs="Times New Roman"/>
          <w:u w:val="single"/>
        </w:rPr>
        <w:t>&lt;</w:t>
      </w:r>
      <w:r w:rsidR="00AC0937" w:rsidRPr="005C3043">
        <w:rPr>
          <w:rFonts w:ascii="Times New Roman" w:eastAsia="Calibri" w:hAnsi="Times New Roman" w:cs="Times New Roman"/>
        </w:rPr>
        <w:t xml:space="preserve"> </w:t>
      </w:r>
      <w:r w:rsidR="002A0645" w:rsidRPr="005C3043">
        <w:rPr>
          <w:rFonts w:ascii="Times New Roman" w:eastAsia="Calibri" w:hAnsi="Times New Roman" w:cs="Times New Roman"/>
        </w:rPr>
        <w:t>11.3</w:t>
      </w:r>
      <w:r w:rsidR="00AC0937" w:rsidRPr="005C3043">
        <w:rPr>
          <w:rFonts w:ascii="Times New Roman" w:eastAsia="Calibri" w:hAnsi="Times New Roman" w:cs="Times New Roman"/>
        </w:rPr>
        <w:t xml:space="preserve"> </w:t>
      </w:r>
      <w:r w:rsidR="002A0645" w:rsidRPr="005C3043">
        <w:rPr>
          <w:rFonts w:ascii="Times New Roman" w:eastAsia="Calibri" w:hAnsi="Times New Roman" w:cs="Times New Roman"/>
        </w:rPr>
        <w:t>mm) had decreased pregnancy rates and increased late embryonic mortality compared to those induced to ovulate a large</w:t>
      </w:r>
      <w:r w:rsidR="00AC0937" w:rsidRPr="005C3043">
        <w:rPr>
          <w:rFonts w:ascii="Times New Roman" w:eastAsia="Calibri" w:hAnsi="Times New Roman" w:cs="Times New Roman"/>
        </w:rPr>
        <w:t xml:space="preserve">r </w:t>
      </w:r>
      <w:r w:rsidR="00751FF5" w:rsidRPr="005C3043">
        <w:rPr>
          <w:rFonts w:ascii="Times New Roman" w:eastAsia="Calibri" w:hAnsi="Times New Roman" w:cs="Times New Roman"/>
        </w:rPr>
        <w:t>pre-ovulatory</w:t>
      </w:r>
      <w:r w:rsidR="002A0645" w:rsidRPr="005C3043">
        <w:rPr>
          <w:rFonts w:ascii="Times New Roman" w:eastAsia="Calibri" w:hAnsi="Times New Roman" w:cs="Times New Roman"/>
        </w:rPr>
        <w:t xml:space="preserve"> follicle (&gt;</w:t>
      </w:r>
      <w:r w:rsidR="00AC0937" w:rsidRPr="005C3043">
        <w:rPr>
          <w:rFonts w:ascii="Times New Roman" w:eastAsia="Calibri" w:hAnsi="Times New Roman" w:cs="Times New Roman"/>
        </w:rPr>
        <w:t xml:space="preserve"> </w:t>
      </w:r>
      <w:r w:rsidR="002A0645" w:rsidRPr="005C3043">
        <w:rPr>
          <w:rFonts w:ascii="Times New Roman" w:eastAsia="Calibri" w:hAnsi="Times New Roman" w:cs="Times New Roman"/>
        </w:rPr>
        <w:t>11.3</w:t>
      </w:r>
      <w:r w:rsidR="00AC0937" w:rsidRPr="005C3043">
        <w:rPr>
          <w:rFonts w:ascii="Times New Roman" w:eastAsia="Calibri" w:hAnsi="Times New Roman" w:cs="Times New Roman"/>
        </w:rPr>
        <w:t xml:space="preserve"> </w:t>
      </w:r>
      <w:r w:rsidR="002A0645" w:rsidRPr="005C3043">
        <w:rPr>
          <w:rFonts w:ascii="Times New Roman" w:eastAsia="Calibri" w:hAnsi="Times New Roman" w:cs="Times New Roman"/>
        </w:rPr>
        <w:t>mm</w:t>
      </w:r>
      <w:r w:rsidR="00AC6DC1" w:rsidRPr="005C3043">
        <w:rPr>
          <w:rFonts w:ascii="Times New Roman" w:eastAsia="Calibri" w:hAnsi="Times New Roman" w:cs="Times New Roman"/>
        </w:rPr>
        <w:t xml:space="preserve">; </w:t>
      </w:r>
      <w:r w:rsidR="00C55223" w:rsidRPr="005C3043">
        <w:rPr>
          <w:rFonts w:ascii="Times New Roman" w:eastAsia="Calibri" w:hAnsi="Times New Roman" w:cs="Times New Roman"/>
          <w:noProof/>
        </w:rPr>
        <w:t>Perry et al., 2005)</w:t>
      </w:r>
      <w:r w:rsidR="002A0645" w:rsidRPr="005C3043">
        <w:rPr>
          <w:rFonts w:ascii="Times New Roman" w:eastAsia="Calibri" w:hAnsi="Times New Roman" w:cs="Times New Roman"/>
        </w:rPr>
        <w:t>. This phenomenon has been observed by multiple research teams in cattle across the United States and in South America</w:t>
      </w:r>
      <w:r w:rsidR="006521DC" w:rsidRPr="005C3043">
        <w:rPr>
          <w:rFonts w:ascii="Times New Roman" w:eastAsia="Calibri" w:hAnsi="Times New Roman" w:cs="Times New Roman"/>
          <w:noProof/>
        </w:rPr>
        <w:t xml:space="preserve"> (</w:t>
      </w:r>
      <w:r w:rsidR="00C55223" w:rsidRPr="005C3043">
        <w:rPr>
          <w:rFonts w:ascii="Times New Roman" w:eastAsia="Calibri" w:hAnsi="Times New Roman" w:cs="Times New Roman"/>
          <w:noProof/>
        </w:rPr>
        <w:t>Lamb et al., 2001; Vasconcelos et al., 2001; Perry et al., 2005; Perry et al., 2007; Sá Filho et al., 2010; Cooke et al., 2019)</w:t>
      </w:r>
      <w:r w:rsidR="002A0645" w:rsidRPr="005C3043">
        <w:rPr>
          <w:rFonts w:ascii="Times New Roman" w:eastAsia="Calibri" w:hAnsi="Times New Roman" w:cs="Times New Roman"/>
        </w:rPr>
        <w:t xml:space="preserve">. Interestingly, in </w:t>
      </w:r>
      <w:r w:rsidR="00D52D0C" w:rsidRPr="005C3043">
        <w:rPr>
          <w:rFonts w:ascii="Times New Roman" w:eastAsia="Calibri" w:hAnsi="Times New Roman" w:cs="Times New Roman"/>
        </w:rPr>
        <w:t>beef</w:t>
      </w:r>
      <w:r w:rsidR="002A0645" w:rsidRPr="005C3043">
        <w:rPr>
          <w:rFonts w:ascii="Times New Roman" w:eastAsia="Calibri" w:hAnsi="Times New Roman" w:cs="Times New Roman"/>
        </w:rPr>
        <w:t xml:space="preserve"> cattle that displayed estrus, </w:t>
      </w:r>
      <w:r w:rsidR="00751FF5" w:rsidRPr="005C3043">
        <w:rPr>
          <w:rFonts w:ascii="Times New Roman" w:eastAsia="Calibri" w:hAnsi="Times New Roman" w:cs="Times New Roman"/>
        </w:rPr>
        <w:t>pre-ovulatory</w:t>
      </w:r>
      <w:r w:rsidR="00AC0937" w:rsidRPr="005C3043">
        <w:rPr>
          <w:rFonts w:ascii="Times New Roman" w:eastAsia="Calibri" w:hAnsi="Times New Roman" w:cs="Times New Roman"/>
        </w:rPr>
        <w:t xml:space="preserve"> </w:t>
      </w:r>
      <w:r w:rsidR="002A0645" w:rsidRPr="005C3043">
        <w:rPr>
          <w:rFonts w:ascii="Times New Roman" w:eastAsia="Calibri" w:hAnsi="Times New Roman" w:cs="Times New Roman"/>
        </w:rPr>
        <w:t xml:space="preserve">follicle size </w:t>
      </w:r>
      <w:r w:rsidR="008E3A14" w:rsidRPr="005C3043">
        <w:rPr>
          <w:rFonts w:ascii="Times New Roman" w:eastAsia="Calibri" w:hAnsi="Times New Roman" w:cs="Times New Roman"/>
        </w:rPr>
        <w:t xml:space="preserve">at the time of GnRH administration </w:t>
      </w:r>
      <w:r w:rsidR="002A0645" w:rsidRPr="005C3043">
        <w:rPr>
          <w:rFonts w:ascii="Times New Roman" w:eastAsia="Calibri" w:hAnsi="Times New Roman" w:cs="Times New Roman"/>
        </w:rPr>
        <w:t xml:space="preserve">had no effect on pregnancy rate </w:t>
      </w:r>
      <w:r w:rsidR="00C55223" w:rsidRPr="005C3043">
        <w:rPr>
          <w:rFonts w:ascii="Times New Roman" w:eastAsia="Calibri" w:hAnsi="Times New Roman" w:cs="Times New Roman"/>
          <w:noProof/>
        </w:rPr>
        <w:t>(Perry et al., 2005)</w:t>
      </w:r>
      <w:r w:rsidR="002A0645" w:rsidRPr="005C3043">
        <w:rPr>
          <w:rFonts w:ascii="Times New Roman" w:eastAsia="Calibri" w:hAnsi="Times New Roman" w:cs="Times New Roman"/>
        </w:rPr>
        <w:t xml:space="preserve">. This suggests that follicle size is primarily an indicator of the follicle’s physiological status in cattle induced to ovulate, and that the physiological status of the follicle at the time of GnRH injection to induce ovulation heavily affects pregnancy outcome. These differences in pregnancy success could be due to inadequate preparation of the maternal environment or decreased oocyte developmental competence </w:t>
      </w:r>
      <w:r w:rsidR="00C55223" w:rsidRPr="005C3043">
        <w:rPr>
          <w:rFonts w:ascii="Times New Roman" w:eastAsia="Calibri" w:hAnsi="Times New Roman" w:cs="Times New Roman"/>
          <w:noProof/>
        </w:rPr>
        <w:t xml:space="preserve">(Vasconcelos et al., 2001; Perry et al., 2005; Busch et al., 2008; Atkins et al., 2010a, b; Fields et al., 2012; Atkins et al., </w:t>
      </w:r>
      <w:r w:rsidR="00937F46" w:rsidRPr="005C3043">
        <w:rPr>
          <w:rFonts w:ascii="Times New Roman" w:eastAsia="Calibri" w:hAnsi="Times New Roman" w:cs="Times New Roman"/>
          <w:noProof/>
        </w:rPr>
        <w:t>2013</w:t>
      </w:r>
      <w:r w:rsidR="00C55223" w:rsidRPr="005C3043">
        <w:rPr>
          <w:rFonts w:ascii="Times New Roman" w:eastAsia="Calibri" w:hAnsi="Times New Roman" w:cs="Times New Roman"/>
          <w:noProof/>
        </w:rPr>
        <w:t xml:space="preserve">; Jinks et al., </w:t>
      </w:r>
      <w:r w:rsidR="00937F46" w:rsidRPr="005C3043">
        <w:rPr>
          <w:rFonts w:ascii="Times New Roman" w:eastAsia="Calibri" w:hAnsi="Times New Roman" w:cs="Times New Roman"/>
          <w:noProof/>
        </w:rPr>
        <w:t>2013</w:t>
      </w:r>
      <w:r w:rsidR="00C55223" w:rsidRPr="005C3043">
        <w:rPr>
          <w:rFonts w:ascii="Times New Roman" w:eastAsia="Calibri" w:hAnsi="Times New Roman" w:cs="Times New Roman"/>
          <w:noProof/>
        </w:rPr>
        <w:t>; Perry et al., 2014; Cooke et al., 2019; Ciernia et al., 2021)</w:t>
      </w:r>
      <w:r w:rsidR="002A0645" w:rsidRPr="005C3043">
        <w:rPr>
          <w:rFonts w:ascii="Times New Roman" w:eastAsia="Calibri" w:hAnsi="Times New Roman" w:cs="Times New Roman"/>
        </w:rPr>
        <w:t>. Cattle induced to ovulate a small</w:t>
      </w:r>
      <w:r w:rsidR="0083422B" w:rsidRPr="005C3043">
        <w:rPr>
          <w:rFonts w:ascii="Times New Roman" w:eastAsia="Calibri" w:hAnsi="Times New Roman" w:cs="Times New Roman"/>
        </w:rPr>
        <w:t xml:space="preserve">er </w:t>
      </w:r>
      <w:r w:rsidR="00751FF5" w:rsidRPr="005C3043">
        <w:rPr>
          <w:rFonts w:ascii="Times New Roman" w:eastAsia="Calibri" w:hAnsi="Times New Roman" w:cs="Times New Roman"/>
        </w:rPr>
        <w:t>pre-ovulatory</w:t>
      </w:r>
      <w:r w:rsidR="002A0645" w:rsidRPr="005C3043">
        <w:rPr>
          <w:rFonts w:ascii="Times New Roman" w:eastAsia="Calibri" w:hAnsi="Times New Roman" w:cs="Times New Roman"/>
        </w:rPr>
        <w:t xml:space="preserve"> follicle have lower serum estradiol</w:t>
      </w:r>
      <w:r w:rsidR="00C74A00" w:rsidRPr="005C3043">
        <w:rPr>
          <w:rFonts w:ascii="Times New Roman" w:eastAsia="Calibri" w:hAnsi="Times New Roman" w:cs="Times New Roman"/>
        </w:rPr>
        <w:t xml:space="preserve"> concentrations</w:t>
      </w:r>
      <w:r w:rsidR="002A0645" w:rsidRPr="005C3043">
        <w:rPr>
          <w:rFonts w:ascii="Times New Roman" w:eastAsia="Calibri" w:hAnsi="Times New Roman" w:cs="Times New Roman"/>
        </w:rPr>
        <w:t xml:space="preserve"> at the induction of ovulation and a </w:t>
      </w:r>
      <w:r w:rsidR="008E3A14" w:rsidRPr="005C3043">
        <w:rPr>
          <w:rFonts w:ascii="Times New Roman" w:eastAsia="Calibri" w:hAnsi="Times New Roman" w:cs="Times New Roman"/>
        </w:rPr>
        <w:t>less rapid</w:t>
      </w:r>
      <w:r w:rsidR="002A0645" w:rsidRPr="005C3043">
        <w:rPr>
          <w:rFonts w:ascii="Times New Roman" w:eastAsia="Calibri" w:hAnsi="Times New Roman" w:cs="Times New Roman"/>
        </w:rPr>
        <w:t xml:space="preserve"> rise in serum progesterone </w:t>
      </w:r>
      <w:r w:rsidR="008E3A14" w:rsidRPr="005C3043">
        <w:rPr>
          <w:rFonts w:ascii="Times New Roman" w:eastAsia="Calibri" w:hAnsi="Times New Roman" w:cs="Times New Roman"/>
        </w:rPr>
        <w:t xml:space="preserve">during the first 12-14 days </w:t>
      </w:r>
      <w:r w:rsidR="002A0645" w:rsidRPr="005C3043">
        <w:rPr>
          <w:rFonts w:ascii="Times New Roman" w:eastAsia="Calibri" w:hAnsi="Times New Roman" w:cs="Times New Roman"/>
        </w:rPr>
        <w:t xml:space="preserve">after ovulation compared to cattle </w:t>
      </w:r>
      <w:r w:rsidR="002A0645" w:rsidRPr="005C3043">
        <w:rPr>
          <w:rFonts w:ascii="Times New Roman" w:eastAsia="Calibri" w:hAnsi="Times New Roman" w:cs="Times New Roman"/>
        </w:rPr>
        <w:lastRenderedPageBreak/>
        <w:t>induced to ovulate a large</w:t>
      </w:r>
      <w:r w:rsidR="00C74A00" w:rsidRPr="005C3043">
        <w:rPr>
          <w:rFonts w:ascii="Times New Roman" w:eastAsia="Calibri" w:hAnsi="Times New Roman" w:cs="Times New Roman"/>
        </w:rPr>
        <w:t xml:space="preserve">r </w:t>
      </w:r>
      <w:r w:rsidR="00751FF5" w:rsidRPr="005C3043">
        <w:rPr>
          <w:rFonts w:ascii="Times New Roman" w:eastAsia="Calibri" w:hAnsi="Times New Roman" w:cs="Times New Roman"/>
        </w:rPr>
        <w:t>pre-ovulatory</w:t>
      </w:r>
      <w:r w:rsidR="002A0645" w:rsidRPr="005C3043">
        <w:rPr>
          <w:rFonts w:ascii="Times New Roman" w:eastAsia="Calibri" w:hAnsi="Times New Roman" w:cs="Times New Roman"/>
        </w:rPr>
        <w:t xml:space="preserve"> follicle </w:t>
      </w:r>
      <w:r w:rsidR="008E3A14" w:rsidRPr="005C3043">
        <w:rPr>
          <w:rFonts w:ascii="Times New Roman" w:eastAsia="Calibri" w:hAnsi="Times New Roman" w:cs="Times New Roman"/>
        </w:rPr>
        <w:t>or cattle that displayed estrus</w:t>
      </w:r>
      <w:r w:rsidR="00C55223" w:rsidRPr="005C3043">
        <w:rPr>
          <w:rFonts w:ascii="Times New Roman" w:eastAsia="Calibri" w:hAnsi="Times New Roman" w:cs="Times New Roman"/>
          <w:noProof/>
        </w:rPr>
        <w:t>(Vasconcelos et al., 2001; Perry et al., 2005; Busch et al., 2008; Atkins et al., 2010</w:t>
      </w:r>
      <w:r w:rsidR="00D52D0C" w:rsidRPr="005C3043">
        <w:rPr>
          <w:rFonts w:ascii="Times New Roman" w:eastAsia="Calibri" w:hAnsi="Times New Roman" w:cs="Times New Roman"/>
          <w:noProof/>
        </w:rPr>
        <w:t>ab</w:t>
      </w:r>
      <w:r w:rsidR="00C55223" w:rsidRPr="005C3043">
        <w:rPr>
          <w:rFonts w:ascii="Times New Roman" w:eastAsia="Calibri" w:hAnsi="Times New Roman" w:cs="Times New Roman"/>
          <w:noProof/>
        </w:rPr>
        <w:t xml:space="preserve">; Jinks et al., </w:t>
      </w:r>
      <w:r w:rsidR="00937F46" w:rsidRPr="005C3043">
        <w:rPr>
          <w:rFonts w:ascii="Times New Roman" w:eastAsia="Calibri" w:hAnsi="Times New Roman" w:cs="Times New Roman"/>
          <w:noProof/>
        </w:rPr>
        <w:t>2013</w:t>
      </w:r>
      <w:r w:rsidR="00C55223" w:rsidRPr="005C3043">
        <w:rPr>
          <w:rFonts w:ascii="Times New Roman" w:eastAsia="Calibri" w:hAnsi="Times New Roman" w:cs="Times New Roman"/>
          <w:noProof/>
        </w:rPr>
        <w:t>)</w:t>
      </w:r>
      <w:r w:rsidR="002A0645" w:rsidRPr="005C3043">
        <w:rPr>
          <w:rFonts w:ascii="Times New Roman" w:eastAsia="Calibri" w:hAnsi="Times New Roman" w:cs="Times New Roman"/>
        </w:rPr>
        <w:t>, thus an influence of follicle status on the maternal environment is likely. A reciprocal embryo transfer experiment designed to control for alterations in maternal environment highlighted differences in oocyte developmental competence from small</w:t>
      </w:r>
      <w:r w:rsidR="00C74A00" w:rsidRPr="005C3043">
        <w:rPr>
          <w:rFonts w:ascii="Times New Roman" w:eastAsia="Calibri" w:hAnsi="Times New Roman" w:cs="Times New Roman"/>
        </w:rPr>
        <w:t>er versus</w:t>
      </w:r>
      <w:r w:rsidR="002A0645" w:rsidRPr="005C3043">
        <w:rPr>
          <w:rFonts w:ascii="Times New Roman" w:eastAsia="Calibri" w:hAnsi="Times New Roman" w:cs="Times New Roman"/>
        </w:rPr>
        <w:t xml:space="preserve"> large</w:t>
      </w:r>
      <w:r w:rsidR="00C74A00" w:rsidRPr="005C3043">
        <w:rPr>
          <w:rFonts w:ascii="Times New Roman" w:eastAsia="Calibri" w:hAnsi="Times New Roman" w:cs="Times New Roman"/>
        </w:rPr>
        <w:t>r</w:t>
      </w:r>
      <w:r w:rsidR="002A0645" w:rsidRPr="005C3043">
        <w:rPr>
          <w:rFonts w:ascii="Times New Roman" w:eastAsia="Calibri" w:hAnsi="Times New Roman" w:cs="Times New Roman"/>
        </w:rPr>
        <w:t xml:space="preserve"> pre-ovulatory follicles</w:t>
      </w:r>
      <w:r w:rsidR="009B47BA" w:rsidRPr="005C3043">
        <w:rPr>
          <w:rFonts w:ascii="Times New Roman" w:eastAsia="Calibri" w:hAnsi="Times New Roman" w:cs="Times New Roman"/>
        </w:rPr>
        <w:t xml:space="preserve"> (Atkins et al., 2013)</w:t>
      </w:r>
      <w:r w:rsidR="002A0645" w:rsidRPr="005C3043">
        <w:rPr>
          <w:rFonts w:ascii="Times New Roman" w:eastAsia="Calibri" w:hAnsi="Times New Roman" w:cs="Times New Roman"/>
        </w:rPr>
        <w:t xml:space="preserve">. </w:t>
      </w:r>
      <w:r w:rsidR="00D52D0C" w:rsidRPr="005C3043">
        <w:rPr>
          <w:rFonts w:ascii="Times New Roman" w:eastAsia="Calibri" w:hAnsi="Times New Roman" w:cs="Times New Roman"/>
        </w:rPr>
        <w:t xml:space="preserve">Cows </w:t>
      </w:r>
      <w:r w:rsidR="002A0645" w:rsidRPr="005C3043">
        <w:rPr>
          <w:rFonts w:ascii="Times New Roman" w:eastAsia="Calibri" w:hAnsi="Times New Roman" w:cs="Times New Roman"/>
        </w:rPr>
        <w:t>induced to ovulate a small</w:t>
      </w:r>
      <w:r w:rsidR="009B47BA" w:rsidRPr="005C3043">
        <w:rPr>
          <w:rFonts w:ascii="Times New Roman" w:eastAsia="Calibri" w:hAnsi="Times New Roman" w:cs="Times New Roman"/>
        </w:rPr>
        <w:t xml:space="preserve">er </w:t>
      </w:r>
      <w:r w:rsidR="00751FF5" w:rsidRPr="005C3043">
        <w:rPr>
          <w:rFonts w:ascii="Times New Roman" w:eastAsia="Calibri" w:hAnsi="Times New Roman" w:cs="Times New Roman"/>
        </w:rPr>
        <w:t>pre-ovulatory</w:t>
      </w:r>
      <w:r w:rsidR="002A0645" w:rsidRPr="005C3043">
        <w:rPr>
          <w:rFonts w:ascii="Times New Roman" w:eastAsia="Calibri" w:hAnsi="Times New Roman" w:cs="Times New Roman"/>
        </w:rPr>
        <w:t xml:space="preserve"> follicle had decreased embryo quality as well as decreased probability of recovering a cleaved embryo seven days after FTAI</w:t>
      </w:r>
      <w:r w:rsidR="00C00ECC" w:rsidRPr="005C3043">
        <w:rPr>
          <w:rFonts w:ascii="Times New Roman" w:eastAsia="Calibri" w:hAnsi="Times New Roman" w:cs="Times New Roman"/>
        </w:rPr>
        <w:t xml:space="preserve">. </w:t>
      </w:r>
    </w:p>
    <w:p w14:paraId="1857CAA1" w14:textId="0AE5C7F4" w:rsidR="006F7165" w:rsidRPr="0064589E" w:rsidRDefault="006F7165" w:rsidP="000D2CCE">
      <w:pPr>
        <w:pStyle w:val="Diss2"/>
      </w:pPr>
      <w:bookmarkStart w:id="11" w:name="_Toc100072149"/>
      <w:r w:rsidRPr="0064589E">
        <w:t xml:space="preserve">Oocyte Developmental Competence and </w:t>
      </w:r>
      <w:r w:rsidR="00324CB7" w:rsidRPr="0064589E">
        <w:t xml:space="preserve">Follicle </w:t>
      </w:r>
      <w:r w:rsidRPr="0064589E">
        <w:t>Physiological Status</w:t>
      </w:r>
      <w:bookmarkEnd w:id="11"/>
    </w:p>
    <w:p w14:paraId="29D39F5F" w14:textId="0941FE89" w:rsidR="00513F4B" w:rsidRPr="005C3043" w:rsidRDefault="00513F4B" w:rsidP="00F672B3">
      <w:pPr>
        <w:spacing w:line="480" w:lineRule="auto"/>
        <w:ind w:firstLine="720"/>
        <w:contextualSpacing/>
        <w:jc w:val="both"/>
        <w:rPr>
          <w:rFonts w:ascii="Times New Roman" w:hAnsi="Times New Roman" w:cs="Times New Roman"/>
        </w:rPr>
      </w:pPr>
      <w:r w:rsidRPr="005C3043">
        <w:rPr>
          <w:rFonts w:ascii="Times New Roman" w:hAnsi="Times New Roman" w:cs="Times New Roman"/>
        </w:rPr>
        <w:t xml:space="preserve">While the </w:t>
      </w:r>
      <w:r w:rsidRPr="005C3043">
        <w:rPr>
          <w:rFonts w:ascii="Times New Roman" w:hAnsi="Times New Roman" w:cs="Times New Roman"/>
          <w:i/>
        </w:rPr>
        <w:t xml:space="preserve">in vivo </w:t>
      </w:r>
      <w:r w:rsidRPr="005C3043">
        <w:rPr>
          <w:rFonts w:ascii="Times New Roman" w:hAnsi="Times New Roman" w:cs="Times New Roman"/>
        </w:rPr>
        <w:t xml:space="preserve">fertilization rate for assisted reproductive techniques (ARTs) and natural </w:t>
      </w:r>
      <w:proofErr w:type="spellStart"/>
      <w:r w:rsidRPr="005C3043">
        <w:rPr>
          <w:rFonts w:ascii="Times New Roman" w:hAnsi="Times New Roman" w:cs="Times New Roman"/>
        </w:rPr>
        <w:t>matings</w:t>
      </w:r>
      <w:proofErr w:type="spellEnd"/>
      <w:r w:rsidRPr="005C3043">
        <w:rPr>
          <w:rFonts w:ascii="Times New Roman" w:hAnsi="Times New Roman" w:cs="Times New Roman"/>
        </w:rPr>
        <w:t xml:space="preserve"> in beef cattle is high, accepted to be close to 90%, pregnancy rate per service </w:t>
      </w:r>
      <w:r w:rsidR="008E3A14" w:rsidRPr="005C3043">
        <w:rPr>
          <w:rFonts w:ascii="Times New Roman" w:hAnsi="Times New Roman" w:cs="Times New Roman"/>
        </w:rPr>
        <w:t>may range from</w:t>
      </w:r>
      <w:r w:rsidRPr="005C3043">
        <w:rPr>
          <w:rFonts w:ascii="Times New Roman" w:hAnsi="Times New Roman" w:cs="Times New Roman"/>
        </w:rPr>
        <w:t xml:space="preserve"> 40-55% </w:t>
      </w:r>
      <w:r w:rsidR="00C55223" w:rsidRPr="005C3043">
        <w:rPr>
          <w:rFonts w:ascii="Times New Roman" w:hAnsi="Times New Roman" w:cs="Times New Roman"/>
          <w:noProof/>
        </w:rPr>
        <w:t>(Spitzer et al., 1978; Diskin and Sreenan, 1980; Smith et al., 1982; Carter et al., 2008; Dickinson et al., 2016; Reese et al., 2020)</w:t>
      </w:r>
      <w:r w:rsidRPr="005C3043">
        <w:rPr>
          <w:rFonts w:ascii="Times New Roman" w:hAnsi="Times New Roman" w:cs="Times New Roman"/>
        </w:rPr>
        <w:t xml:space="preserve">. This decline in fertility is partly attributed to early embryo loss because 7-57% of </w:t>
      </w:r>
      <w:r w:rsidRPr="005C3043">
        <w:rPr>
          <w:rFonts w:ascii="Times New Roman" w:hAnsi="Times New Roman" w:cs="Times New Roman"/>
          <w:i/>
        </w:rPr>
        <w:t>in vivo</w:t>
      </w:r>
      <w:r w:rsidRPr="005C3043">
        <w:rPr>
          <w:rFonts w:ascii="Times New Roman" w:hAnsi="Times New Roman" w:cs="Times New Roman"/>
        </w:rPr>
        <w:t xml:space="preserve"> produced embryos will </w:t>
      </w:r>
      <w:r w:rsidR="00D52D0C" w:rsidRPr="005C3043">
        <w:rPr>
          <w:rFonts w:ascii="Times New Roman" w:hAnsi="Times New Roman" w:cs="Times New Roman"/>
        </w:rPr>
        <w:t>become degenerate</w:t>
      </w:r>
      <w:r w:rsidRPr="005C3043">
        <w:rPr>
          <w:rFonts w:ascii="Times New Roman" w:hAnsi="Times New Roman" w:cs="Times New Roman"/>
        </w:rPr>
        <w:t xml:space="preserve"> by the morula/blastocyst stage of embryo development </w:t>
      </w:r>
      <w:r w:rsidR="00C55223" w:rsidRPr="005C3043">
        <w:rPr>
          <w:rFonts w:ascii="Times New Roman" w:hAnsi="Times New Roman" w:cs="Times New Roman"/>
          <w:noProof/>
        </w:rPr>
        <w:t>(Diskin and Sreenan, 1980; Roche et al., 1981; Smith et al., 1982; Garrett et al., 1988; Breuel et al., 1993; Carter et al., 2008; Reese et al., 2020)</w:t>
      </w:r>
      <w:r w:rsidRPr="005C3043">
        <w:rPr>
          <w:rFonts w:ascii="Times New Roman" w:hAnsi="Times New Roman" w:cs="Times New Roman"/>
        </w:rPr>
        <w:t xml:space="preserve">. These reductions in pregnancy success are mirrored in </w:t>
      </w:r>
      <w:r w:rsidRPr="005C3043">
        <w:rPr>
          <w:rFonts w:ascii="Times New Roman" w:hAnsi="Times New Roman" w:cs="Times New Roman"/>
          <w:i/>
        </w:rPr>
        <w:t xml:space="preserve">in vitro </w:t>
      </w:r>
      <w:r w:rsidRPr="005C3043">
        <w:rPr>
          <w:rFonts w:ascii="Times New Roman" w:hAnsi="Times New Roman" w:cs="Times New Roman"/>
        </w:rPr>
        <w:t xml:space="preserve">systems. While fertilization remains high, 70-80%, 30-86% of oocytes entering IVP fail to produce blastocysts </w:t>
      </w:r>
      <w:r w:rsidR="00C55223" w:rsidRPr="005C3043">
        <w:rPr>
          <w:rFonts w:ascii="Times New Roman" w:hAnsi="Times New Roman" w:cs="Times New Roman"/>
          <w:noProof/>
        </w:rPr>
        <w:t>(Pavlok et al., 1992; Lonergan et al., 1994; Blondin and Sirard, 1995; Blondin et al., 1996; Hyttel et al., 1997; Otoi et al., 1997; Hagemann et al., 1999; van de Leemput et al., 1999; Lonergan et al., 2001; Dieleman et al., 2002; Iwata et al., 2004; Lequarre et al., 2005; Ferré et al., 2020)</w:t>
      </w:r>
      <w:r w:rsidRPr="005C3043">
        <w:rPr>
          <w:rFonts w:ascii="Times New Roman" w:hAnsi="Times New Roman" w:cs="Times New Roman"/>
        </w:rPr>
        <w:t xml:space="preserve">. </w:t>
      </w:r>
      <w:r w:rsidR="00324CB7" w:rsidRPr="005C3043">
        <w:rPr>
          <w:rFonts w:ascii="Times New Roman" w:hAnsi="Times New Roman" w:cs="Times New Roman"/>
        </w:rPr>
        <w:t>Embryo d</w:t>
      </w:r>
      <w:r w:rsidRPr="005C3043">
        <w:rPr>
          <w:rFonts w:ascii="Times New Roman" w:hAnsi="Times New Roman" w:cs="Times New Roman"/>
        </w:rPr>
        <w:t xml:space="preserve">evelopment </w:t>
      </w:r>
      <w:r w:rsidR="00324CB7" w:rsidRPr="005C3043">
        <w:rPr>
          <w:rFonts w:ascii="Times New Roman" w:hAnsi="Times New Roman" w:cs="Times New Roman"/>
        </w:rPr>
        <w:lastRenderedPageBreak/>
        <w:t>from fertilization to the blastocyst stage</w:t>
      </w:r>
      <w:r w:rsidRPr="005C3043">
        <w:rPr>
          <w:rFonts w:ascii="Times New Roman" w:hAnsi="Times New Roman" w:cs="Times New Roman"/>
        </w:rPr>
        <w:t xml:space="preserve"> is largely the responsibility of the oocyte and relies on the acquisition of </w:t>
      </w:r>
      <w:r w:rsidR="00504A09" w:rsidRPr="005C3043">
        <w:rPr>
          <w:rFonts w:ascii="Times New Roman" w:hAnsi="Times New Roman" w:cs="Times New Roman"/>
        </w:rPr>
        <w:t xml:space="preserve">oocyte </w:t>
      </w:r>
      <w:r w:rsidRPr="005C3043">
        <w:rPr>
          <w:rFonts w:ascii="Times New Roman" w:hAnsi="Times New Roman" w:cs="Times New Roman"/>
        </w:rPr>
        <w:t xml:space="preserve">developmental competence </w:t>
      </w:r>
      <w:r w:rsidR="00C55223" w:rsidRPr="005C3043">
        <w:rPr>
          <w:rFonts w:ascii="Times New Roman" w:hAnsi="Times New Roman" w:cs="Times New Roman"/>
          <w:noProof/>
        </w:rPr>
        <w:t>(Gosden, 2002; Fair, 2003; Sirard et al., 2006; Swain and Pool, 2008; Zhang and Smith, 2015; Conti and Franciosi, 2018)</w:t>
      </w:r>
      <w:r w:rsidRPr="005C3043">
        <w:rPr>
          <w:rFonts w:ascii="Times New Roman" w:hAnsi="Times New Roman" w:cs="Times New Roman"/>
        </w:rPr>
        <w:t xml:space="preserve">. The early embryo loss </w:t>
      </w:r>
      <w:r w:rsidR="00504A09" w:rsidRPr="005C3043">
        <w:rPr>
          <w:rFonts w:ascii="Times New Roman" w:hAnsi="Times New Roman" w:cs="Times New Roman"/>
        </w:rPr>
        <w:t xml:space="preserve">observed </w:t>
      </w:r>
      <w:r w:rsidRPr="005C3043">
        <w:rPr>
          <w:rFonts w:ascii="Times New Roman" w:hAnsi="Times New Roman" w:cs="Times New Roman"/>
        </w:rPr>
        <w:t xml:space="preserve">both </w:t>
      </w:r>
      <w:r w:rsidRPr="005C3043">
        <w:rPr>
          <w:rFonts w:ascii="Times New Roman" w:hAnsi="Times New Roman" w:cs="Times New Roman"/>
          <w:i/>
          <w:iCs/>
        </w:rPr>
        <w:t xml:space="preserve">in vivo </w:t>
      </w:r>
      <w:r w:rsidRPr="005C3043">
        <w:rPr>
          <w:rFonts w:ascii="Times New Roman" w:hAnsi="Times New Roman" w:cs="Times New Roman"/>
        </w:rPr>
        <w:t xml:space="preserve">and </w:t>
      </w:r>
      <w:r w:rsidRPr="005C3043">
        <w:rPr>
          <w:rFonts w:ascii="Times New Roman" w:hAnsi="Times New Roman" w:cs="Times New Roman"/>
          <w:i/>
          <w:iCs/>
        </w:rPr>
        <w:t xml:space="preserve">in vitro </w:t>
      </w:r>
      <w:r w:rsidRPr="005C3043">
        <w:rPr>
          <w:rFonts w:ascii="Times New Roman" w:hAnsi="Times New Roman" w:cs="Times New Roman"/>
        </w:rPr>
        <w:t xml:space="preserve">is indicative of inadequate oocyte developmental competence. Broadly, oocyte developmental competence is defined as the ability of the oocyte to complete maturation, be fertilized, cleave, and develop to the blastocyst stage </w:t>
      </w:r>
      <w:r w:rsidR="00C55223" w:rsidRPr="005C3043">
        <w:rPr>
          <w:rFonts w:ascii="Times New Roman" w:hAnsi="Times New Roman" w:cs="Times New Roman"/>
          <w:noProof/>
        </w:rPr>
        <w:t>(Lonergan et al., 2003; Sirard et al., 2006; Boni, 2012)</w:t>
      </w:r>
      <w:r w:rsidRPr="005C3043">
        <w:rPr>
          <w:rFonts w:ascii="Times New Roman" w:hAnsi="Times New Roman" w:cs="Times New Roman"/>
        </w:rPr>
        <w:t xml:space="preserve">. </w:t>
      </w:r>
      <w:proofErr w:type="gramStart"/>
      <w:r w:rsidRPr="005C3043">
        <w:rPr>
          <w:rFonts w:ascii="Times New Roman" w:hAnsi="Times New Roman" w:cs="Times New Roman"/>
        </w:rPr>
        <w:t>In order to</w:t>
      </w:r>
      <w:proofErr w:type="gramEnd"/>
      <w:r w:rsidRPr="005C3043">
        <w:rPr>
          <w:rFonts w:ascii="Times New Roman" w:hAnsi="Times New Roman" w:cs="Times New Roman"/>
        </w:rPr>
        <w:t xml:space="preserve"> accomplish these tasks, the oocyte must have completed specific developmental milestones</w:t>
      </w:r>
      <w:r w:rsidR="009B47BA" w:rsidRPr="005C3043">
        <w:rPr>
          <w:rFonts w:ascii="Times New Roman" w:hAnsi="Times New Roman" w:cs="Times New Roman"/>
        </w:rPr>
        <w:t xml:space="preserve"> </w:t>
      </w:r>
      <w:r w:rsidRPr="005C3043">
        <w:rPr>
          <w:rFonts w:ascii="Times New Roman" w:hAnsi="Times New Roman" w:cs="Times New Roman"/>
        </w:rPr>
        <w:t>to allow for its acquisition of meiotic and cytoplasmic competence.</w:t>
      </w:r>
    </w:p>
    <w:p w14:paraId="3695C3B3" w14:textId="77777777" w:rsidR="00513F4B" w:rsidRPr="005C3043" w:rsidRDefault="00513F4B" w:rsidP="000D2CCE">
      <w:pPr>
        <w:pStyle w:val="Diss3"/>
        <w:rPr>
          <w:b w:val="0"/>
        </w:rPr>
      </w:pPr>
      <w:bookmarkStart w:id="12" w:name="_Toc100072150"/>
      <w:r w:rsidRPr="005C3043">
        <w:t>2.1 Acquisition of oocyte developmental competence during oocyte and follicle growth</w:t>
      </w:r>
      <w:bookmarkEnd w:id="12"/>
    </w:p>
    <w:p w14:paraId="2A8168BE" w14:textId="31163904" w:rsidR="00513F4B" w:rsidRPr="005C3043" w:rsidRDefault="00513F4B" w:rsidP="00F672B3">
      <w:pPr>
        <w:spacing w:line="480" w:lineRule="auto"/>
        <w:ind w:firstLine="720"/>
        <w:contextualSpacing/>
        <w:jc w:val="both"/>
        <w:rPr>
          <w:rFonts w:ascii="Times New Roman" w:hAnsi="Times New Roman" w:cs="Times New Roman"/>
        </w:rPr>
      </w:pPr>
      <w:r w:rsidRPr="005C3043">
        <w:rPr>
          <w:rFonts w:ascii="Times New Roman" w:hAnsi="Times New Roman" w:cs="Times New Roman"/>
        </w:rPr>
        <w:t xml:space="preserve">Meiotic competence is the oocyte’s ability to undergo germinal vesicle breakdown (GVBD), progress to metaphase II (MII), and complete the extrusion of a polar body </w:t>
      </w:r>
      <w:r w:rsidR="00C55223" w:rsidRPr="005C3043">
        <w:rPr>
          <w:rFonts w:ascii="Times New Roman" w:hAnsi="Times New Roman" w:cs="Times New Roman"/>
          <w:noProof/>
        </w:rPr>
        <w:t>(Landim-Alvarenga</w:t>
      </w:r>
      <w:r w:rsidR="006978CF" w:rsidRPr="005C3043">
        <w:rPr>
          <w:rFonts w:ascii="Times New Roman" w:hAnsi="Times New Roman" w:cs="Times New Roman"/>
          <w:noProof/>
        </w:rPr>
        <w:t xml:space="preserve"> and Maziero</w:t>
      </w:r>
      <w:r w:rsidR="00C55223" w:rsidRPr="005C3043">
        <w:rPr>
          <w:rFonts w:ascii="Times New Roman" w:hAnsi="Times New Roman" w:cs="Times New Roman"/>
          <w:noProof/>
        </w:rPr>
        <w:t>, 2014; Coticchio et al., 2015; Conti and Franciosi, 2018; He et al., 2021)</w:t>
      </w:r>
      <w:r w:rsidRPr="005C3043">
        <w:rPr>
          <w:rFonts w:ascii="Times New Roman" w:hAnsi="Times New Roman" w:cs="Times New Roman"/>
        </w:rPr>
        <w:t xml:space="preserve">. During oogenesis in </w:t>
      </w:r>
      <w:r w:rsidR="006978CF" w:rsidRPr="005C3043">
        <w:rPr>
          <w:rFonts w:ascii="Times New Roman" w:hAnsi="Times New Roman" w:cs="Times New Roman"/>
        </w:rPr>
        <w:t>cattle</w:t>
      </w:r>
      <w:r w:rsidRPr="005C3043">
        <w:rPr>
          <w:rFonts w:ascii="Times New Roman" w:hAnsi="Times New Roman" w:cs="Times New Roman"/>
        </w:rPr>
        <w:t xml:space="preserve">, meiotically incompetent growth occurs primarily in preantral/early antral (2-3mm) follicles and is typically characterized by oocytes less than ~110μm in diameter </w:t>
      </w:r>
      <w:r w:rsidR="00C55223" w:rsidRPr="005C3043">
        <w:rPr>
          <w:rFonts w:ascii="Times New Roman" w:hAnsi="Times New Roman" w:cs="Times New Roman"/>
          <w:noProof/>
        </w:rPr>
        <w:t>(Fair et al., 1995; Hyttel et al., 1997; Otoi et al., 1997; Aerts and Bols, 2010b)</w:t>
      </w:r>
      <w:r w:rsidRPr="005C3043">
        <w:rPr>
          <w:rFonts w:ascii="Times New Roman" w:hAnsi="Times New Roman" w:cs="Times New Roman"/>
        </w:rPr>
        <w:t xml:space="preserve">. Despite being able to resume meiosis beyond this timepoint, the follicular environment maintains a state of meiotic arrest within the oocyte </w:t>
      </w:r>
      <w:r w:rsidR="00C55223" w:rsidRPr="005C3043">
        <w:rPr>
          <w:rFonts w:ascii="Times New Roman" w:hAnsi="Times New Roman" w:cs="Times New Roman"/>
          <w:noProof/>
        </w:rPr>
        <w:t>(Gosden, 2002; Fair, 2003; Conti and Franciosi, 2018)</w:t>
      </w:r>
      <w:r w:rsidRPr="005C3043">
        <w:rPr>
          <w:rFonts w:ascii="Times New Roman" w:hAnsi="Times New Roman" w:cs="Times New Roman"/>
        </w:rPr>
        <w:t xml:space="preserve">. During this time, the oocyte enters a period of meiotically competent growth, increasing to its final size of 120-150μm </w:t>
      </w:r>
      <w:r w:rsidR="00C55223" w:rsidRPr="005C3043">
        <w:rPr>
          <w:rFonts w:ascii="Times New Roman" w:hAnsi="Times New Roman" w:cs="Times New Roman"/>
          <w:noProof/>
        </w:rPr>
        <w:t>(Fair et al., 1995; Fair et al., 1997; Hyttel et al., 1997; Otoi et al., 1997)</w:t>
      </w:r>
      <w:r w:rsidRPr="005C3043">
        <w:rPr>
          <w:rFonts w:ascii="Times New Roman" w:hAnsi="Times New Roman" w:cs="Times New Roman"/>
        </w:rPr>
        <w:t xml:space="preserve">. Although developmental competence of the oocyte is greatly improved once the oocyte achieves the capacity to </w:t>
      </w:r>
      <w:r w:rsidRPr="005C3043">
        <w:rPr>
          <w:rFonts w:ascii="Times New Roman" w:hAnsi="Times New Roman" w:cs="Times New Roman"/>
        </w:rPr>
        <w:lastRenderedPageBreak/>
        <w:t xml:space="preserve">complete meiosis, it continues to improve as </w:t>
      </w:r>
      <w:r w:rsidR="009B47BA" w:rsidRPr="005C3043">
        <w:rPr>
          <w:rFonts w:ascii="Times New Roman" w:hAnsi="Times New Roman" w:cs="Times New Roman"/>
        </w:rPr>
        <w:t>antral follicle development</w:t>
      </w:r>
      <w:r w:rsidRPr="005C3043">
        <w:rPr>
          <w:rFonts w:ascii="Times New Roman" w:hAnsi="Times New Roman" w:cs="Times New Roman"/>
        </w:rPr>
        <w:t xml:space="preserve"> progresses to the pre</w:t>
      </w:r>
      <w:r w:rsidR="0081670A" w:rsidRPr="005C3043">
        <w:rPr>
          <w:rFonts w:ascii="Times New Roman" w:hAnsi="Times New Roman" w:cs="Times New Roman"/>
        </w:rPr>
        <w:t>-ovulatory</w:t>
      </w:r>
      <w:r w:rsidRPr="005C3043">
        <w:rPr>
          <w:rFonts w:ascii="Times New Roman" w:hAnsi="Times New Roman" w:cs="Times New Roman"/>
        </w:rPr>
        <w:t xml:space="preserve"> stages </w:t>
      </w:r>
      <w:r w:rsidR="00C55223" w:rsidRPr="005C3043">
        <w:rPr>
          <w:rFonts w:ascii="Times New Roman" w:hAnsi="Times New Roman" w:cs="Times New Roman"/>
          <w:noProof/>
        </w:rPr>
        <w:t xml:space="preserve">(Pavlok et al., 1992; Lonergan et al., 1994; Blondin and Sirard, 1995; Fair et al., 1995; Blondin et al., 1996; Hyttel et al., 1997; Otoi et al., 1997; Hagemann et al., 1999; van de Leemput et al., 1999; Dieleman et al., 2002; Iwata et al., 2004; Atkins et al., </w:t>
      </w:r>
      <w:r w:rsidR="00937F46" w:rsidRPr="005C3043">
        <w:rPr>
          <w:rFonts w:ascii="Times New Roman" w:hAnsi="Times New Roman" w:cs="Times New Roman"/>
          <w:noProof/>
        </w:rPr>
        <w:t>2013</w:t>
      </w:r>
      <w:r w:rsidR="00C55223" w:rsidRPr="005C3043">
        <w:rPr>
          <w:rFonts w:ascii="Times New Roman" w:hAnsi="Times New Roman" w:cs="Times New Roman"/>
          <w:noProof/>
        </w:rPr>
        <w:t>)</w:t>
      </w:r>
      <w:r w:rsidRPr="005C3043">
        <w:rPr>
          <w:rFonts w:ascii="Times New Roman" w:hAnsi="Times New Roman" w:cs="Times New Roman"/>
        </w:rPr>
        <w:t xml:space="preserve">. </w:t>
      </w:r>
    </w:p>
    <w:p w14:paraId="419C1C23" w14:textId="3B9ED180" w:rsidR="00513F4B" w:rsidRPr="005C3043" w:rsidRDefault="00513F4B" w:rsidP="00F672B3">
      <w:pPr>
        <w:spacing w:line="480" w:lineRule="auto"/>
        <w:ind w:firstLine="720"/>
        <w:contextualSpacing/>
        <w:jc w:val="both"/>
        <w:rPr>
          <w:rFonts w:ascii="Times New Roman" w:hAnsi="Times New Roman" w:cs="Times New Roman"/>
        </w:rPr>
      </w:pPr>
      <w:r w:rsidRPr="005C3043">
        <w:rPr>
          <w:rFonts w:ascii="Times New Roman" w:hAnsi="Times New Roman" w:cs="Times New Roman"/>
        </w:rPr>
        <w:t xml:space="preserve">Throughout the meiotically incompetent and competent growth phases, the oocyte is increasing its cytoplasmic competence. Cytoplasmic competency involves an increase in oocyte size, transcript accumulation, organelle reorganization, and increased energy and nutrient stores made by the oocyte that are important for downstream developmental processes </w:t>
      </w:r>
      <w:r w:rsidR="00C55223" w:rsidRPr="005C3043">
        <w:rPr>
          <w:rFonts w:ascii="Times New Roman" w:hAnsi="Times New Roman" w:cs="Times New Roman"/>
          <w:noProof/>
        </w:rPr>
        <w:t>(Fair et al., 1995; Hyttel et al., 1997; Otoi et al., 1997; Swain and Pool, 2008; Graf et al., 2014; Winterhager and Kidder, 2015; Zhang and Smith, 2015; Conti and Franciosi, 2018)</w:t>
      </w:r>
      <w:r w:rsidRPr="005C3043">
        <w:rPr>
          <w:rFonts w:ascii="Times New Roman" w:hAnsi="Times New Roman" w:cs="Times New Roman"/>
        </w:rPr>
        <w:t xml:space="preserve">. Improved cytoplasmic competency leads to further improvements in embryo cleavage and blastocyst rates when COCs are collected from antral follicles of increasing size. A study by </w:t>
      </w:r>
      <w:proofErr w:type="spellStart"/>
      <w:r w:rsidRPr="005C3043">
        <w:rPr>
          <w:rFonts w:ascii="Times New Roman" w:hAnsi="Times New Roman" w:cs="Times New Roman"/>
        </w:rPr>
        <w:t>Pavlok</w:t>
      </w:r>
      <w:proofErr w:type="spellEnd"/>
      <w:r w:rsidRPr="005C3043">
        <w:rPr>
          <w:rFonts w:ascii="Times New Roman" w:hAnsi="Times New Roman" w:cs="Times New Roman"/>
        </w:rPr>
        <w:t xml:space="preserve"> and others</w:t>
      </w:r>
      <w:r w:rsidR="00824173" w:rsidRPr="005C3043">
        <w:rPr>
          <w:rFonts w:ascii="Times New Roman" w:hAnsi="Times New Roman" w:cs="Times New Roman"/>
        </w:rPr>
        <w:t xml:space="preserve"> (1992)</w:t>
      </w:r>
      <w:r w:rsidRPr="005C3043">
        <w:rPr>
          <w:rFonts w:ascii="Times New Roman" w:hAnsi="Times New Roman" w:cs="Times New Roman"/>
        </w:rPr>
        <w:t xml:space="preserve"> removed oocytes from abattoir-sourced ovaries and divided them into three groups</w:t>
      </w:r>
      <w:r w:rsidR="00504A09" w:rsidRPr="005C3043">
        <w:rPr>
          <w:rFonts w:ascii="Times New Roman" w:hAnsi="Times New Roman" w:cs="Times New Roman"/>
        </w:rPr>
        <w:t xml:space="preserve"> based on </w:t>
      </w:r>
      <w:r w:rsidR="009B47BA" w:rsidRPr="005C3043">
        <w:rPr>
          <w:rFonts w:ascii="Times New Roman" w:hAnsi="Times New Roman" w:cs="Times New Roman"/>
        </w:rPr>
        <w:t xml:space="preserve">antral </w:t>
      </w:r>
      <w:r w:rsidR="00504A09" w:rsidRPr="005C3043">
        <w:rPr>
          <w:rFonts w:ascii="Times New Roman" w:hAnsi="Times New Roman" w:cs="Times New Roman"/>
        </w:rPr>
        <w:t>follicle diameter</w:t>
      </w:r>
      <w:r w:rsidRPr="005C3043">
        <w:rPr>
          <w:rFonts w:ascii="Times New Roman" w:hAnsi="Times New Roman" w:cs="Times New Roman"/>
        </w:rPr>
        <w:t>: &gt;1-2</w:t>
      </w:r>
      <w:r w:rsidR="009B47BA" w:rsidRPr="005C3043">
        <w:rPr>
          <w:rFonts w:ascii="Times New Roman" w:hAnsi="Times New Roman" w:cs="Times New Roman"/>
        </w:rPr>
        <w:t xml:space="preserve"> </w:t>
      </w:r>
      <w:r w:rsidRPr="005C3043">
        <w:rPr>
          <w:rFonts w:ascii="Times New Roman" w:hAnsi="Times New Roman" w:cs="Times New Roman"/>
        </w:rPr>
        <w:t>mm, &gt;</w:t>
      </w:r>
      <w:r w:rsidR="009B47BA" w:rsidRPr="005C3043">
        <w:rPr>
          <w:rFonts w:ascii="Times New Roman" w:hAnsi="Times New Roman" w:cs="Times New Roman"/>
        </w:rPr>
        <w:t xml:space="preserve"> </w:t>
      </w:r>
      <w:r w:rsidRPr="005C3043">
        <w:rPr>
          <w:rFonts w:ascii="Times New Roman" w:hAnsi="Times New Roman" w:cs="Times New Roman"/>
        </w:rPr>
        <w:t>2-4</w:t>
      </w:r>
      <w:r w:rsidR="009B47BA" w:rsidRPr="005C3043">
        <w:rPr>
          <w:rFonts w:ascii="Times New Roman" w:hAnsi="Times New Roman" w:cs="Times New Roman"/>
        </w:rPr>
        <w:t xml:space="preserve"> </w:t>
      </w:r>
      <w:r w:rsidRPr="005C3043">
        <w:rPr>
          <w:rFonts w:ascii="Times New Roman" w:hAnsi="Times New Roman" w:cs="Times New Roman"/>
        </w:rPr>
        <w:t>mm, and 4-8</w:t>
      </w:r>
      <w:r w:rsidR="009B47BA" w:rsidRPr="005C3043">
        <w:rPr>
          <w:rFonts w:ascii="Times New Roman" w:hAnsi="Times New Roman" w:cs="Times New Roman"/>
        </w:rPr>
        <w:t xml:space="preserve"> </w:t>
      </w:r>
      <w:r w:rsidRPr="005C3043">
        <w:rPr>
          <w:rFonts w:ascii="Times New Roman" w:hAnsi="Times New Roman" w:cs="Times New Roman"/>
        </w:rPr>
        <w:t xml:space="preserve">mm. </w:t>
      </w:r>
      <w:r w:rsidR="009B47BA" w:rsidRPr="005C3043">
        <w:rPr>
          <w:rFonts w:ascii="Times New Roman" w:hAnsi="Times New Roman" w:cs="Times New Roman"/>
        </w:rPr>
        <w:t>O</w:t>
      </w:r>
      <w:r w:rsidRPr="005C3043">
        <w:rPr>
          <w:rFonts w:ascii="Times New Roman" w:hAnsi="Times New Roman" w:cs="Times New Roman"/>
        </w:rPr>
        <w:t>ocytes from follicles &gt;</w:t>
      </w:r>
      <w:r w:rsidR="009B47BA" w:rsidRPr="005C3043">
        <w:rPr>
          <w:rFonts w:ascii="Times New Roman" w:hAnsi="Times New Roman" w:cs="Times New Roman"/>
        </w:rPr>
        <w:t xml:space="preserve"> </w:t>
      </w:r>
      <w:r w:rsidRPr="005C3043">
        <w:rPr>
          <w:rFonts w:ascii="Times New Roman" w:hAnsi="Times New Roman" w:cs="Times New Roman"/>
        </w:rPr>
        <w:t>2</w:t>
      </w:r>
      <w:r w:rsidR="009B47BA" w:rsidRPr="005C3043">
        <w:rPr>
          <w:rFonts w:ascii="Times New Roman" w:hAnsi="Times New Roman" w:cs="Times New Roman"/>
        </w:rPr>
        <w:t xml:space="preserve"> </w:t>
      </w:r>
      <w:r w:rsidRPr="005C3043">
        <w:rPr>
          <w:rFonts w:ascii="Times New Roman" w:hAnsi="Times New Roman" w:cs="Times New Roman"/>
        </w:rPr>
        <w:t>mm had a 20% increase in fertilization (84.5% vs 62%) and blastocyst rate (24.5% vs 0%) and a 40% increase in cleavage rate (66.5% vs 20%) over those removed from follicles &lt;</w:t>
      </w:r>
      <w:r w:rsidR="009B47BA" w:rsidRPr="005C3043">
        <w:rPr>
          <w:rFonts w:ascii="Times New Roman" w:hAnsi="Times New Roman" w:cs="Times New Roman"/>
        </w:rPr>
        <w:t xml:space="preserve"> </w:t>
      </w:r>
      <w:r w:rsidRPr="005C3043">
        <w:rPr>
          <w:rFonts w:ascii="Times New Roman" w:hAnsi="Times New Roman" w:cs="Times New Roman"/>
        </w:rPr>
        <w:t>2</w:t>
      </w:r>
      <w:r w:rsidR="009B47BA" w:rsidRPr="005C3043">
        <w:rPr>
          <w:rFonts w:ascii="Times New Roman" w:hAnsi="Times New Roman" w:cs="Times New Roman"/>
        </w:rPr>
        <w:t xml:space="preserve"> </w:t>
      </w:r>
      <w:r w:rsidRPr="005C3043">
        <w:rPr>
          <w:rFonts w:ascii="Times New Roman" w:hAnsi="Times New Roman" w:cs="Times New Roman"/>
        </w:rPr>
        <w:t xml:space="preserve">mm </w:t>
      </w:r>
      <w:r w:rsidR="00C55223" w:rsidRPr="005C3043">
        <w:rPr>
          <w:rFonts w:ascii="Times New Roman" w:hAnsi="Times New Roman" w:cs="Times New Roman"/>
          <w:noProof/>
        </w:rPr>
        <w:t>(Pavlok et al., 1992)</w:t>
      </w:r>
      <w:r w:rsidRPr="005C3043">
        <w:rPr>
          <w:rFonts w:ascii="Times New Roman" w:hAnsi="Times New Roman" w:cs="Times New Roman"/>
        </w:rPr>
        <w:t xml:space="preserve">. Additional studies further improved developmental competence by including oocytes from larger </w:t>
      </w:r>
      <w:r w:rsidR="009B47BA" w:rsidRPr="005C3043">
        <w:rPr>
          <w:rFonts w:ascii="Times New Roman" w:hAnsi="Times New Roman" w:cs="Times New Roman"/>
        </w:rPr>
        <w:t xml:space="preserve">antral </w:t>
      </w:r>
      <w:r w:rsidRPr="005C3043">
        <w:rPr>
          <w:rFonts w:ascii="Times New Roman" w:hAnsi="Times New Roman" w:cs="Times New Roman"/>
        </w:rPr>
        <w:t>follicles (&gt;</w:t>
      </w:r>
      <w:r w:rsidR="009B47BA" w:rsidRPr="005C3043">
        <w:rPr>
          <w:rFonts w:ascii="Times New Roman" w:hAnsi="Times New Roman" w:cs="Times New Roman"/>
        </w:rPr>
        <w:t xml:space="preserve"> </w:t>
      </w:r>
      <w:r w:rsidRPr="005C3043">
        <w:rPr>
          <w:rFonts w:ascii="Times New Roman" w:hAnsi="Times New Roman" w:cs="Times New Roman"/>
        </w:rPr>
        <w:t>8</w:t>
      </w:r>
      <w:r w:rsidR="009B47BA" w:rsidRPr="005C3043">
        <w:rPr>
          <w:rFonts w:ascii="Times New Roman" w:hAnsi="Times New Roman" w:cs="Times New Roman"/>
        </w:rPr>
        <w:t xml:space="preserve"> </w:t>
      </w:r>
      <w:r w:rsidRPr="005C3043">
        <w:rPr>
          <w:rFonts w:ascii="Times New Roman" w:hAnsi="Times New Roman" w:cs="Times New Roman"/>
        </w:rPr>
        <w:t xml:space="preserve">mm) in their IVP system </w:t>
      </w:r>
      <w:r w:rsidR="00C55223" w:rsidRPr="005C3043">
        <w:rPr>
          <w:rFonts w:ascii="Times New Roman" w:hAnsi="Times New Roman" w:cs="Times New Roman"/>
          <w:noProof/>
        </w:rPr>
        <w:t>(Lonergan et al., 1994; Blondin and Sirard, 1995; Blondin et al., 1996; Hagemann et al., 1999; van de Leemput et al., 1999; Iwata et al., 2004)</w:t>
      </w:r>
      <w:r w:rsidRPr="005C3043">
        <w:rPr>
          <w:rFonts w:ascii="Times New Roman" w:hAnsi="Times New Roman" w:cs="Times New Roman"/>
        </w:rPr>
        <w:t xml:space="preserve">. While Lonergan had similar blastocyst rates to </w:t>
      </w:r>
      <w:proofErr w:type="spellStart"/>
      <w:r w:rsidRPr="005C3043">
        <w:rPr>
          <w:rFonts w:ascii="Times New Roman" w:hAnsi="Times New Roman" w:cs="Times New Roman"/>
        </w:rPr>
        <w:t>Pavlok</w:t>
      </w:r>
      <w:proofErr w:type="spellEnd"/>
      <w:r w:rsidRPr="005C3043">
        <w:rPr>
          <w:rFonts w:ascii="Times New Roman" w:hAnsi="Times New Roman" w:cs="Times New Roman"/>
        </w:rPr>
        <w:t xml:space="preserve"> et al</w:t>
      </w:r>
      <w:r w:rsidR="00824173" w:rsidRPr="005C3043">
        <w:rPr>
          <w:rFonts w:ascii="Times New Roman" w:hAnsi="Times New Roman" w:cs="Times New Roman"/>
        </w:rPr>
        <w:t xml:space="preserve">. </w:t>
      </w:r>
      <w:r w:rsidR="00824173" w:rsidRPr="005C3043">
        <w:rPr>
          <w:rFonts w:ascii="Times New Roman" w:hAnsi="Times New Roman" w:cs="Times New Roman"/>
        </w:rPr>
        <w:lastRenderedPageBreak/>
        <w:t>(1992)</w:t>
      </w:r>
      <w:r w:rsidRPr="005C3043">
        <w:rPr>
          <w:rFonts w:ascii="Times New Roman" w:hAnsi="Times New Roman" w:cs="Times New Roman"/>
        </w:rPr>
        <w:t xml:space="preserve"> in oocytes retrieved from 2-6</w:t>
      </w:r>
      <w:r w:rsidR="009B47BA" w:rsidRPr="005C3043">
        <w:rPr>
          <w:rFonts w:ascii="Times New Roman" w:hAnsi="Times New Roman" w:cs="Times New Roman"/>
        </w:rPr>
        <w:t xml:space="preserve"> </w:t>
      </w:r>
      <w:r w:rsidRPr="005C3043">
        <w:rPr>
          <w:rFonts w:ascii="Times New Roman" w:hAnsi="Times New Roman" w:cs="Times New Roman"/>
        </w:rPr>
        <w:t xml:space="preserve">mm follicles (34%), by obtaining oocytes from all follicles over 6mm they doubled their blastocyst rate to 66% </w:t>
      </w:r>
      <w:r w:rsidR="00C55223" w:rsidRPr="005C3043">
        <w:rPr>
          <w:rFonts w:ascii="Times New Roman" w:hAnsi="Times New Roman" w:cs="Times New Roman"/>
          <w:noProof/>
        </w:rPr>
        <w:t>(Lonergan et al., 1994)</w:t>
      </w:r>
      <w:r w:rsidRPr="005C3043">
        <w:rPr>
          <w:rFonts w:ascii="Times New Roman" w:hAnsi="Times New Roman" w:cs="Times New Roman"/>
        </w:rPr>
        <w:t xml:space="preserve">. Studies by </w:t>
      </w:r>
      <w:proofErr w:type="spellStart"/>
      <w:r w:rsidRPr="005C3043">
        <w:rPr>
          <w:rFonts w:ascii="Times New Roman" w:hAnsi="Times New Roman" w:cs="Times New Roman"/>
        </w:rPr>
        <w:t>Blondin</w:t>
      </w:r>
      <w:proofErr w:type="spellEnd"/>
      <w:r w:rsidRPr="005C3043">
        <w:rPr>
          <w:rFonts w:ascii="Times New Roman" w:hAnsi="Times New Roman" w:cs="Times New Roman"/>
        </w:rPr>
        <w:t xml:space="preserve"> reported a 20-40% increase in developmental rate to the 16+ cell stage in medium/large (&gt;</w:t>
      </w:r>
      <w:r w:rsidR="009B47BA" w:rsidRPr="005C3043">
        <w:rPr>
          <w:rFonts w:ascii="Times New Roman" w:hAnsi="Times New Roman" w:cs="Times New Roman"/>
        </w:rPr>
        <w:t xml:space="preserve"> </w:t>
      </w:r>
      <w:r w:rsidRPr="005C3043">
        <w:rPr>
          <w:rFonts w:ascii="Times New Roman" w:hAnsi="Times New Roman" w:cs="Times New Roman"/>
        </w:rPr>
        <w:t>3</w:t>
      </w:r>
      <w:r w:rsidR="009B47BA" w:rsidRPr="005C3043">
        <w:rPr>
          <w:rFonts w:ascii="Times New Roman" w:hAnsi="Times New Roman" w:cs="Times New Roman"/>
        </w:rPr>
        <w:t xml:space="preserve"> </w:t>
      </w:r>
      <w:r w:rsidRPr="005C3043">
        <w:rPr>
          <w:rFonts w:ascii="Times New Roman" w:hAnsi="Times New Roman" w:cs="Times New Roman"/>
        </w:rPr>
        <w:t xml:space="preserve">mm) </w:t>
      </w:r>
      <w:r w:rsidR="009B47BA" w:rsidRPr="005C3043">
        <w:rPr>
          <w:rFonts w:ascii="Times New Roman" w:hAnsi="Times New Roman" w:cs="Times New Roman"/>
        </w:rPr>
        <w:t xml:space="preserve">antral </w:t>
      </w:r>
      <w:r w:rsidRPr="005C3043">
        <w:rPr>
          <w:rFonts w:ascii="Times New Roman" w:hAnsi="Times New Roman" w:cs="Times New Roman"/>
        </w:rPr>
        <w:t>follicle groups over the small groups (&lt;</w:t>
      </w:r>
      <w:r w:rsidR="009B47BA" w:rsidRPr="005C3043">
        <w:rPr>
          <w:rFonts w:ascii="Times New Roman" w:hAnsi="Times New Roman" w:cs="Times New Roman"/>
        </w:rPr>
        <w:t xml:space="preserve"> </w:t>
      </w:r>
      <w:r w:rsidRPr="005C3043">
        <w:rPr>
          <w:rFonts w:ascii="Times New Roman" w:hAnsi="Times New Roman" w:cs="Times New Roman"/>
        </w:rPr>
        <w:t>3</w:t>
      </w:r>
      <w:r w:rsidR="009B47BA" w:rsidRPr="005C3043">
        <w:rPr>
          <w:rFonts w:ascii="Times New Roman" w:hAnsi="Times New Roman" w:cs="Times New Roman"/>
        </w:rPr>
        <w:t xml:space="preserve"> </w:t>
      </w:r>
      <w:r w:rsidRPr="005C3043">
        <w:rPr>
          <w:rFonts w:ascii="Times New Roman" w:hAnsi="Times New Roman" w:cs="Times New Roman"/>
        </w:rPr>
        <w:t>mm</w:t>
      </w:r>
      <w:r w:rsidR="006521DC" w:rsidRPr="005C3043">
        <w:rPr>
          <w:rFonts w:ascii="Times New Roman" w:hAnsi="Times New Roman" w:cs="Times New Roman"/>
        </w:rPr>
        <w:t xml:space="preserve">; </w:t>
      </w:r>
      <w:r w:rsidR="00C55223" w:rsidRPr="005C3043">
        <w:rPr>
          <w:rFonts w:ascii="Times New Roman" w:hAnsi="Times New Roman" w:cs="Times New Roman"/>
          <w:noProof/>
        </w:rPr>
        <w:t>Blondin and Sirard, 1995; Blondin et al., 1996)</w:t>
      </w:r>
      <w:r w:rsidRPr="005C3043">
        <w:rPr>
          <w:rFonts w:ascii="Times New Roman" w:hAnsi="Times New Roman" w:cs="Times New Roman"/>
        </w:rPr>
        <w:t xml:space="preserve">. A later study by Iwata and others </w:t>
      </w:r>
      <w:r w:rsidR="00824173" w:rsidRPr="005C3043">
        <w:rPr>
          <w:rFonts w:ascii="Times New Roman" w:hAnsi="Times New Roman" w:cs="Times New Roman"/>
        </w:rPr>
        <w:t xml:space="preserve">(2004) </w:t>
      </w:r>
      <w:r w:rsidRPr="005C3043">
        <w:rPr>
          <w:rFonts w:ascii="Times New Roman" w:hAnsi="Times New Roman" w:cs="Times New Roman"/>
        </w:rPr>
        <w:t xml:space="preserve">also showed an ~20% increase in both cleavage and blastocyst rate of large </w:t>
      </w:r>
      <w:r w:rsidR="007957A4" w:rsidRPr="005C3043">
        <w:rPr>
          <w:rFonts w:ascii="Times New Roman" w:hAnsi="Times New Roman" w:cs="Times New Roman"/>
        </w:rPr>
        <w:t xml:space="preserve">antral </w:t>
      </w:r>
      <w:r w:rsidRPr="005C3043">
        <w:rPr>
          <w:rFonts w:ascii="Times New Roman" w:hAnsi="Times New Roman" w:cs="Times New Roman"/>
        </w:rPr>
        <w:t>follicles (6-12</w:t>
      </w:r>
      <w:r w:rsidR="009B47BA" w:rsidRPr="005C3043">
        <w:rPr>
          <w:rFonts w:ascii="Times New Roman" w:hAnsi="Times New Roman" w:cs="Times New Roman"/>
        </w:rPr>
        <w:t xml:space="preserve"> </w:t>
      </w:r>
      <w:r w:rsidRPr="005C3043">
        <w:rPr>
          <w:rFonts w:ascii="Times New Roman" w:hAnsi="Times New Roman" w:cs="Times New Roman"/>
        </w:rPr>
        <w:t xml:space="preserve">mm) over small </w:t>
      </w:r>
      <w:r w:rsidR="007957A4" w:rsidRPr="005C3043">
        <w:rPr>
          <w:rFonts w:ascii="Times New Roman" w:hAnsi="Times New Roman" w:cs="Times New Roman"/>
        </w:rPr>
        <w:t xml:space="preserve">antral </w:t>
      </w:r>
      <w:r w:rsidRPr="005C3043">
        <w:rPr>
          <w:rFonts w:ascii="Times New Roman" w:hAnsi="Times New Roman" w:cs="Times New Roman"/>
        </w:rPr>
        <w:t>follicles (2-6</w:t>
      </w:r>
      <w:r w:rsidR="009B47BA" w:rsidRPr="005C3043">
        <w:rPr>
          <w:rFonts w:ascii="Times New Roman" w:hAnsi="Times New Roman" w:cs="Times New Roman"/>
        </w:rPr>
        <w:t xml:space="preserve"> </w:t>
      </w:r>
      <w:r w:rsidRPr="005C3043">
        <w:rPr>
          <w:rFonts w:ascii="Times New Roman" w:hAnsi="Times New Roman" w:cs="Times New Roman"/>
        </w:rPr>
        <w:t>mm</w:t>
      </w:r>
      <w:r w:rsidR="006521DC" w:rsidRPr="005C3043">
        <w:rPr>
          <w:rFonts w:ascii="Times New Roman" w:hAnsi="Times New Roman" w:cs="Times New Roman"/>
        </w:rPr>
        <w:t xml:space="preserve">; </w:t>
      </w:r>
      <w:r w:rsidR="00C55223" w:rsidRPr="005C3043">
        <w:rPr>
          <w:rFonts w:ascii="Times New Roman" w:hAnsi="Times New Roman" w:cs="Times New Roman"/>
          <w:noProof/>
        </w:rPr>
        <w:t>Iwata et al., 2004)</w:t>
      </w:r>
      <w:r w:rsidRPr="005C3043">
        <w:rPr>
          <w:rFonts w:ascii="Times New Roman" w:hAnsi="Times New Roman" w:cs="Times New Roman"/>
        </w:rPr>
        <w:t xml:space="preserve">. Hagemann and others further broke down </w:t>
      </w:r>
      <w:r w:rsidR="007957A4" w:rsidRPr="005C3043">
        <w:rPr>
          <w:rFonts w:ascii="Times New Roman" w:hAnsi="Times New Roman" w:cs="Times New Roman"/>
        </w:rPr>
        <w:t xml:space="preserve">antral </w:t>
      </w:r>
      <w:r w:rsidRPr="005C3043">
        <w:rPr>
          <w:rFonts w:ascii="Times New Roman" w:hAnsi="Times New Roman" w:cs="Times New Roman"/>
        </w:rPr>
        <w:t>follicle size into smaller size ranges: 3-5</w:t>
      </w:r>
      <w:r w:rsidR="009B47BA" w:rsidRPr="005C3043">
        <w:rPr>
          <w:rFonts w:ascii="Times New Roman" w:hAnsi="Times New Roman" w:cs="Times New Roman"/>
        </w:rPr>
        <w:t xml:space="preserve"> </w:t>
      </w:r>
      <w:r w:rsidRPr="005C3043">
        <w:rPr>
          <w:rFonts w:ascii="Times New Roman" w:hAnsi="Times New Roman" w:cs="Times New Roman"/>
        </w:rPr>
        <w:t>mm, 6-8</w:t>
      </w:r>
      <w:r w:rsidR="009B47BA" w:rsidRPr="005C3043">
        <w:rPr>
          <w:rFonts w:ascii="Times New Roman" w:hAnsi="Times New Roman" w:cs="Times New Roman"/>
        </w:rPr>
        <w:t xml:space="preserve"> </w:t>
      </w:r>
      <w:r w:rsidRPr="005C3043">
        <w:rPr>
          <w:rFonts w:ascii="Times New Roman" w:hAnsi="Times New Roman" w:cs="Times New Roman"/>
        </w:rPr>
        <w:t>mm, 9-12</w:t>
      </w:r>
      <w:r w:rsidR="009B47BA" w:rsidRPr="005C3043">
        <w:rPr>
          <w:rFonts w:ascii="Times New Roman" w:hAnsi="Times New Roman" w:cs="Times New Roman"/>
        </w:rPr>
        <w:t xml:space="preserve"> </w:t>
      </w:r>
      <w:r w:rsidRPr="005C3043">
        <w:rPr>
          <w:rFonts w:ascii="Times New Roman" w:hAnsi="Times New Roman" w:cs="Times New Roman"/>
        </w:rPr>
        <w:t xml:space="preserve">mm, and </w:t>
      </w:r>
      <w:r w:rsidRPr="005C3043">
        <w:rPr>
          <w:rFonts w:ascii="Times New Roman" w:hAnsi="Times New Roman" w:cs="Times New Roman"/>
          <w:u w:val="single"/>
        </w:rPr>
        <w:t>&gt;</w:t>
      </w:r>
      <w:r w:rsidRPr="005C3043">
        <w:rPr>
          <w:rFonts w:ascii="Times New Roman" w:hAnsi="Times New Roman" w:cs="Times New Roman"/>
        </w:rPr>
        <w:t xml:space="preserve"> 13</w:t>
      </w:r>
      <w:r w:rsidR="009B47BA" w:rsidRPr="005C3043">
        <w:rPr>
          <w:rFonts w:ascii="Times New Roman" w:hAnsi="Times New Roman" w:cs="Times New Roman"/>
        </w:rPr>
        <w:t xml:space="preserve"> </w:t>
      </w:r>
      <w:r w:rsidRPr="005C3043">
        <w:rPr>
          <w:rFonts w:ascii="Times New Roman" w:hAnsi="Times New Roman" w:cs="Times New Roman"/>
        </w:rPr>
        <w:t xml:space="preserve">mm. Oocytes from the largest </w:t>
      </w:r>
      <w:r w:rsidR="007957A4" w:rsidRPr="005C3043">
        <w:rPr>
          <w:rFonts w:ascii="Times New Roman" w:hAnsi="Times New Roman" w:cs="Times New Roman"/>
        </w:rPr>
        <w:t xml:space="preserve">antral </w:t>
      </w:r>
      <w:proofErr w:type="spellStart"/>
      <w:r w:rsidR="007957A4" w:rsidRPr="005C3043">
        <w:rPr>
          <w:rFonts w:ascii="Times New Roman" w:hAnsi="Times New Roman" w:cs="Times New Roman"/>
        </w:rPr>
        <w:t>a</w:t>
      </w:r>
      <w:r w:rsidRPr="005C3043">
        <w:rPr>
          <w:rFonts w:ascii="Times New Roman" w:hAnsi="Times New Roman" w:cs="Times New Roman"/>
        </w:rPr>
        <w:t>follicle</w:t>
      </w:r>
      <w:proofErr w:type="spellEnd"/>
      <w:r w:rsidRPr="005C3043">
        <w:rPr>
          <w:rFonts w:ascii="Times New Roman" w:hAnsi="Times New Roman" w:cs="Times New Roman"/>
        </w:rPr>
        <w:t xml:space="preserve"> group had a 26% increase in blastocyst rate compared to the smallest </w:t>
      </w:r>
      <w:r w:rsidR="007957A4" w:rsidRPr="005C3043">
        <w:rPr>
          <w:rFonts w:ascii="Times New Roman" w:hAnsi="Times New Roman" w:cs="Times New Roman"/>
        </w:rPr>
        <w:t xml:space="preserve">antral </w:t>
      </w:r>
      <w:r w:rsidRPr="005C3043">
        <w:rPr>
          <w:rFonts w:ascii="Times New Roman" w:hAnsi="Times New Roman" w:cs="Times New Roman"/>
        </w:rPr>
        <w:t xml:space="preserve">follicle group </w:t>
      </w:r>
      <w:r w:rsidR="00C55223" w:rsidRPr="005C3043">
        <w:rPr>
          <w:rFonts w:ascii="Times New Roman" w:hAnsi="Times New Roman" w:cs="Times New Roman"/>
          <w:noProof/>
        </w:rPr>
        <w:t>(Hagemann et al., 1999)</w:t>
      </w:r>
      <w:r w:rsidRPr="005C3043">
        <w:rPr>
          <w:rFonts w:ascii="Times New Roman" w:hAnsi="Times New Roman" w:cs="Times New Roman"/>
        </w:rPr>
        <w:t xml:space="preserve">. </w:t>
      </w:r>
    </w:p>
    <w:p w14:paraId="1CF03FC3" w14:textId="0097A2A1" w:rsidR="00513F4B" w:rsidRPr="005C3043" w:rsidRDefault="00513F4B" w:rsidP="00F672B3">
      <w:pPr>
        <w:spacing w:line="480" w:lineRule="auto"/>
        <w:ind w:firstLine="720"/>
        <w:contextualSpacing/>
        <w:jc w:val="both"/>
        <w:rPr>
          <w:rFonts w:ascii="Times New Roman" w:hAnsi="Times New Roman" w:cs="Times New Roman"/>
        </w:rPr>
      </w:pPr>
      <w:r w:rsidRPr="005C3043">
        <w:rPr>
          <w:rFonts w:ascii="Times New Roman" w:hAnsi="Times New Roman" w:cs="Times New Roman"/>
        </w:rPr>
        <w:t xml:space="preserve">Because increased oocyte size is also related to developmental competence, multiple studies have retrieved cumulus-oocyte complexes (COCs) from abattoir follicles of various sizes, grouped oocytes according to intrazonal oocyte diameter, and </w:t>
      </w:r>
      <w:r w:rsidR="00504A09" w:rsidRPr="005C3043">
        <w:rPr>
          <w:rFonts w:ascii="Times New Roman" w:hAnsi="Times New Roman" w:cs="Times New Roman"/>
        </w:rPr>
        <w:t xml:space="preserve">observed </w:t>
      </w:r>
      <w:r w:rsidRPr="005C3043">
        <w:rPr>
          <w:rFonts w:ascii="Times New Roman" w:hAnsi="Times New Roman" w:cs="Times New Roman"/>
        </w:rPr>
        <w:t xml:space="preserve">similar results to those based on follicle size </w:t>
      </w:r>
      <w:r w:rsidR="00C55223" w:rsidRPr="005C3043">
        <w:rPr>
          <w:rFonts w:ascii="Times New Roman" w:hAnsi="Times New Roman" w:cs="Times New Roman"/>
          <w:noProof/>
        </w:rPr>
        <w:t>(Fair et al., 1995; Hyttel et al., 1997; Otoi et al., 1997)</w:t>
      </w:r>
      <w:r w:rsidRPr="005C3043">
        <w:rPr>
          <w:rFonts w:ascii="Times New Roman" w:hAnsi="Times New Roman" w:cs="Times New Roman"/>
        </w:rPr>
        <w:t xml:space="preserve">. Each of these studies showed that increasing oocyte diameter </w:t>
      </w:r>
      <w:r w:rsidR="007957A4" w:rsidRPr="005C3043">
        <w:rPr>
          <w:rFonts w:ascii="Times New Roman" w:hAnsi="Times New Roman" w:cs="Times New Roman"/>
        </w:rPr>
        <w:t xml:space="preserve">is related to </w:t>
      </w:r>
      <w:r w:rsidRPr="005C3043">
        <w:rPr>
          <w:rFonts w:ascii="Times New Roman" w:hAnsi="Times New Roman" w:cs="Times New Roman"/>
        </w:rPr>
        <w:t>increase</w:t>
      </w:r>
      <w:r w:rsidR="007957A4" w:rsidRPr="005C3043">
        <w:rPr>
          <w:rFonts w:ascii="Times New Roman" w:hAnsi="Times New Roman" w:cs="Times New Roman"/>
        </w:rPr>
        <w:t>d</w:t>
      </w:r>
      <w:r w:rsidRPr="005C3043">
        <w:rPr>
          <w:rFonts w:ascii="Times New Roman" w:hAnsi="Times New Roman" w:cs="Times New Roman"/>
        </w:rPr>
        <w:t xml:space="preserve"> oocyte developmental competence as evidenced by a higher proportion being fertilized, cleaving, and/or developing to the blastocyst stage. However, based on blastocyst rates well below 100% in even the largest follicle or oocyte groups, size alone is not the most accurate predictor of oocyte developmental competence. </w:t>
      </w:r>
    </w:p>
    <w:p w14:paraId="47CAD589" w14:textId="43CE9673" w:rsidR="00513F4B" w:rsidRPr="005C3043" w:rsidRDefault="00513F4B" w:rsidP="00F672B3">
      <w:pPr>
        <w:spacing w:line="480" w:lineRule="auto"/>
        <w:ind w:firstLine="720"/>
        <w:contextualSpacing/>
        <w:jc w:val="both"/>
        <w:rPr>
          <w:rFonts w:ascii="Times New Roman" w:hAnsi="Times New Roman" w:cs="Times New Roman"/>
        </w:rPr>
      </w:pPr>
      <w:r w:rsidRPr="005C3043">
        <w:rPr>
          <w:rFonts w:ascii="Times New Roman" w:hAnsi="Times New Roman" w:cs="Times New Roman"/>
        </w:rPr>
        <w:t xml:space="preserve">As follicle size increases, the average oocyte diameter is also increasing </w:t>
      </w:r>
      <w:r w:rsidR="00C55223" w:rsidRPr="005C3043">
        <w:rPr>
          <w:rFonts w:ascii="Times New Roman" w:hAnsi="Times New Roman" w:cs="Times New Roman"/>
          <w:noProof/>
        </w:rPr>
        <w:t>(Fair et al., 1995; Arlotto et al., 1996; Hyttel et al., 1997; Aerts and Bols, 2010b)</w:t>
      </w:r>
      <w:r w:rsidRPr="005C3043">
        <w:rPr>
          <w:rFonts w:ascii="Times New Roman" w:hAnsi="Times New Roman" w:cs="Times New Roman"/>
        </w:rPr>
        <w:t xml:space="preserve">. However, at any given size, two </w:t>
      </w:r>
      <w:r w:rsidR="007957A4" w:rsidRPr="005C3043">
        <w:rPr>
          <w:rFonts w:ascii="Times New Roman" w:hAnsi="Times New Roman" w:cs="Times New Roman"/>
        </w:rPr>
        <w:t xml:space="preserve">different </w:t>
      </w:r>
      <w:r w:rsidRPr="005C3043">
        <w:rPr>
          <w:rFonts w:ascii="Times New Roman" w:hAnsi="Times New Roman" w:cs="Times New Roman"/>
        </w:rPr>
        <w:t xml:space="preserve">follicles could have oocytes with vastly different diameters </w:t>
      </w:r>
      <w:r w:rsidR="00C55223" w:rsidRPr="005C3043">
        <w:rPr>
          <w:rFonts w:ascii="Times New Roman" w:hAnsi="Times New Roman" w:cs="Times New Roman"/>
          <w:noProof/>
        </w:rPr>
        <w:t xml:space="preserve">(Fair </w:t>
      </w:r>
      <w:r w:rsidR="00C55223" w:rsidRPr="005C3043">
        <w:rPr>
          <w:rFonts w:ascii="Times New Roman" w:hAnsi="Times New Roman" w:cs="Times New Roman"/>
          <w:noProof/>
        </w:rPr>
        <w:lastRenderedPageBreak/>
        <w:t xml:space="preserve">et al., 1995; Arlotto et al., 1996; Hendriksen et al., </w:t>
      </w:r>
      <w:r w:rsidR="008145FD" w:rsidRPr="005C3043">
        <w:rPr>
          <w:rFonts w:ascii="Times New Roman" w:hAnsi="Times New Roman" w:cs="Times New Roman"/>
          <w:noProof/>
        </w:rPr>
        <w:t>2000</w:t>
      </w:r>
      <w:r w:rsidR="00C55223" w:rsidRPr="005C3043">
        <w:rPr>
          <w:rFonts w:ascii="Times New Roman" w:hAnsi="Times New Roman" w:cs="Times New Roman"/>
          <w:noProof/>
        </w:rPr>
        <w:t>)</w:t>
      </w:r>
      <w:r w:rsidRPr="005C3043">
        <w:rPr>
          <w:rFonts w:ascii="Times New Roman" w:hAnsi="Times New Roman" w:cs="Times New Roman"/>
        </w:rPr>
        <w:t xml:space="preserve">. This suggests that regardless of follicle diameter, these follicles could be at different developmental stages and contain oocytes with different developmental competencies. Studies investigating </w:t>
      </w:r>
      <w:r w:rsidR="00F34E7E" w:rsidRPr="005C3043">
        <w:rPr>
          <w:rFonts w:ascii="Times New Roman" w:hAnsi="Times New Roman" w:cs="Times New Roman"/>
        </w:rPr>
        <w:t>the dynamics</w:t>
      </w:r>
      <w:r w:rsidRPr="005C3043">
        <w:rPr>
          <w:rFonts w:ascii="Times New Roman" w:hAnsi="Times New Roman" w:cs="Times New Roman"/>
        </w:rPr>
        <w:t xml:space="preserve"> of follicular development within </w:t>
      </w:r>
      <w:r w:rsidR="006978CF" w:rsidRPr="005C3043">
        <w:rPr>
          <w:rFonts w:ascii="Times New Roman" w:hAnsi="Times New Roman" w:cs="Times New Roman"/>
        </w:rPr>
        <w:t>cattle</w:t>
      </w:r>
      <w:r w:rsidRPr="005C3043">
        <w:rPr>
          <w:rFonts w:ascii="Times New Roman" w:hAnsi="Times New Roman" w:cs="Times New Roman"/>
        </w:rPr>
        <w:t xml:space="preserve"> further support </w:t>
      </w:r>
      <w:proofErr w:type="gramStart"/>
      <w:r w:rsidRPr="005C3043">
        <w:rPr>
          <w:rFonts w:ascii="Times New Roman" w:hAnsi="Times New Roman" w:cs="Times New Roman"/>
        </w:rPr>
        <w:t>that follicles of equal size</w:t>
      </w:r>
      <w:proofErr w:type="gramEnd"/>
      <w:r w:rsidRPr="005C3043">
        <w:rPr>
          <w:rFonts w:ascii="Times New Roman" w:hAnsi="Times New Roman" w:cs="Times New Roman"/>
        </w:rPr>
        <w:t xml:space="preserve"> could be at different physiological stages </w:t>
      </w:r>
      <w:r w:rsidR="00C55223" w:rsidRPr="005C3043">
        <w:rPr>
          <w:rFonts w:ascii="Times New Roman" w:hAnsi="Times New Roman" w:cs="Times New Roman"/>
          <w:noProof/>
        </w:rPr>
        <w:t xml:space="preserve">(Spicer and Echternkamp, 1986; Taylor and Rajamahendran, 1991; Fortune, 1993; Hendriksen et al., </w:t>
      </w:r>
      <w:r w:rsidR="008145FD" w:rsidRPr="005C3043">
        <w:rPr>
          <w:rFonts w:ascii="Times New Roman" w:hAnsi="Times New Roman" w:cs="Times New Roman"/>
          <w:noProof/>
        </w:rPr>
        <w:t>2000</w:t>
      </w:r>
      <w:r w:rsidR="00C55223" w:rsidRPr="005C3043">
        <w:rPr>
          <w:rFonts w:ascii="Times New Roman" w:hAnsi="Times New Roman" w:cs="Times New Roman"/>
          <w:noProof/>
        </w:rPr>
        <w:t xml:space="preserve">; Hendriksen et al., 2003; Atkins et al., 2010a, b; Jinks et al., </w:t>
      </w:r>
      <w:r w:rsidR="00937F46" w:rsidRPr="005C3043">
        <w:rPr>
          <w:rFonts w:ascii="Times New Roman" w:hAnsi="Times New Roman" w:cs="Times New Roman"/>
          <w:noProof/>
        </w:rPr>
        <w:t>2013</w:t>
      </w:r>
      <w:r w:rsidR="00C55223" w:rsidRPr="005C3043">
        <w:rPr>
          <w:rFonts w:ascii="Times New Roman" w:hAnsi="Times New Roman" w:cs="Times New Roman"/>
          <w:noProof/>
        </w:rPr>
        <w:t>; de Lima et al., 2020)</w:t>
      </w:r>
      <w:r w:rsidRPr="005C3043">
        <w:rPr>
          <w:rFonts w:ascii="Times New Roman" w:hAnsi="Times New Roman" w:cs="Times New Roman"/>
        </w:rPr>
        <w:t xml:space="preserve">. It can take up to 2 weeks for an atretic follicle to fully regress </w:t>
      </w:r>
      <w:r w:rsidR="00C55223" w:rsidRPr="005C3043">
        <w:rPr>
          <w:rFonts w:ascii="Times New Roman" w:hAnsi="Times New Roman" w:cs="Times New Roman"/>
          <w:noProof/>
        </w:rPr>
        <w:t xml:space="preserve">(Hendriksen et al., </w:t>
      </w:r>
      <w:r w:rsidR="008145FD" w:rsidRPr="005C3043">
        <w:rPr>
          <w:rFonts w:ascii="Times New Roman" w:hAnsi="Times New Roman" w:cs="Times New Roman"/>
          <w:noProof/>
        </w:rPr>
        <w:t>2000</w:t>
      </w:r>
      <w:r w:rsidR="00C55223" w:rsidRPr="005C3043">
        <w:rPr>
          <w:rFonts w:ascii="Times New Roman" w:hAnsi="Times New Roman" w:cs="Times New Roman"/>
          <w:noProof/>
        </w:rPr>
        <w:t>)</w:t>
      </w:r>
      <w:r w:rsidRPr="005C3043">
        <w:rPr>
          <w:rFonts w:ascii="Times New Roman" w:hAnsi="Times New Roman" w:cs="Times New Roman"/>
        </w:rPr>
        <w:t xml:space="preserve">. Atretic follicles decreasing in size and healthy follicles increasing in size results in a mix of atretic and healthy follicles at any given follicle size </w:t>
      </w:r>
      <w:r w:rsidR="00C55223" w:rsidRPr="005C3043">
        <w:rPr>
          <w:rFonts w:ascii="Times New Roman" w:hAnsi="Times New Roman" w:cs="Times New Roman"/>
          <w:noProof/>
        </w:rPr>
        <w:t xml:space="preserve">(Kruip and Dieleman, 1982; Spicer and Echternkamp, 1986; Hendriksen et al., </w:t>
      </w:r>
      <w:r w:rsidR="008145FD" w:rsidRPr="005C3043">
        <w:rPr>
          <w:rFonts w:ascii="Times New Roman" w:hAnsi="Times New Roman" w:cs="Times New Roman"/>
          <w:noProof/>
        </w:rPr>
        <w:t>2000</w:t>
      </w:r>
      <w:r w:rsidR="00C55223" w:rsidRPr="005C3043">
        <w:rPr>
          <w:rFonts w:ascii="Times New Roman" w:hAnsi="Times New Roman" w:cs="Times New Roman"/>
          <w:noProof/>
        </w:rPr>
        <w:t>; Hendriksen et al., 2003)</w:t>
      </w:r>
      <w:r w:rsidRPr="005C3043">
        <w:rPr>
          <w:rFonts w:ascii="Times New Roman" w:hAnsi="Times New Roman" w:cs="Times New Roman"/>
        </w:rPr>
        <w:t xml:space="preserve">. Additionally, the follicular fluid and serum estradiol levels of cattle with similarly sized follicles can vary greatly, </w:t>
      </w:r>
      <w:proofErr w:type="spellStart"/>
      <w:r w:rsidR="008E3A14" w:rsidRPr="005C3043">
        <w:rPr>
          <w:rFonts w:ascii="Times New Roman" w:hAnsi="Times New Roman" w:cs="Times New Roman"/>
        </w:rPr>
        <w:t>suggest</w:t>
      </w:r>
      <w:r w:rsidRPr="005C3043">
        <w:rPr>
          <w:rFonts w:ascii="Times New Roman" w:hAnsi="Times New Roman" w:cs="Times New Roman"/>
        </w:rPr>
        <w:t>ting</w:t>
      </w:r>
      <w:proofErr w:type="spellEnd"/>
      <w:r w:rsidRPr="005C3043">
        <w:rPr>
          <w:rFonts w:ascii="Times New Roman" w:hAnsi="Times New Roman" w:cs="Times New Roman"/>
        </w:rPr>
        <w:t xml:space="preserve"> varied stages of follicular development in similarly sized follicles </w:t>
      </w:r>
      <w:r w:rsidR="00C55223" w:rsidRPr="005C3043">
        <w:rPr>
          <w:rFonts w:ascii="Times New Roman" w:hAnsi="Times New Roman" w:cs="Times New Roman"/>
          <w:noProof/>
        </w:rPr>
        <w:t xml:space="preserve">(Kruip and Dieleman, 1982; Hendriksen et al., 2003; Busch et al., 2008; Atkins et al., 2010a, b; Jinks et al., </w:t>
      </w:r>
      <w:r w:rsidR="00937F46" w:rsidRPr="005C3043">
        <w:rPr>
          <w:rFonts w:ascii="Times New Roman" w:hAnsi="Times New Roman" w:cs="Times New Roman"/>
          <w:noProof/>
        </w:rPr>
        <w:t>2013</w:t>
      </w:r>
      <w:r w:rsidR="00C55223" w:rsidRPr="005C3043">
        <w:rPr>
          <w:rFonts w:ascii="Times New Roman" w:hAnsi="Times New Roman" w:cs="Times New Roman"/>
          <w:noProof/>
        </w:rPr>
        <w:t>; Perry et al., 2014)</w:t>
      </w:r>
      <w:r w:rsidRPr="005C3043">
        <w:rPr>
          <w:rFonts w:ascii="Times New Roman" w:hAnsi="Times New Roman" w:cs="Times New Roman"/>
        </w:rPr>
        <w:t xml:space="preserve">. This phenomenon is also demonstrated during the pre-ovulatory </w:t>
      </w:r>
      <w:proofErr w:type="gramStart"/>
      <w:r w:rsidRPr="005C3043">
        <w:rPr>
          <w:rFonts w:ascii="Times New Roman" w:hAnsi="Times New Roman" w:cs="Times New Roman"/>
        </w:rPr>
        <w:t>time period</w:t>
      </w:r>
      <w:proofErr w:type="gramEnd"/>
      <w:r w:rsidRPr="005C3043">
        <w:rPr>
          <w:rFonts w:ascii="Times New Roman" w:hAnsi="Times New Roman" w:cs="Times New Roman"/>
        </w:rPr>
        <w:t>, as the ability of follicles to initiate an endogenous gonadotropin surge to induce their own ovulation is achieved between ~9</w:t>
      </w:r>
      <w:r w:rsidR="009B47BA" w:rsidRPr="005C3043">
        <w:rPr>
          <w:rFonts w:ascii="Times New Roman" w:hAnsi="Times New Roman" w:cs="Times New Roman"/>
        </w:rPr>
        <w:t xml:space="preserve"> </w:t>
      </w:r>
      <w:r w:rsidRPr="005C3043">
        <w:rPr>
          <w:rFonts w:ascii="Times New Roman" w:hAnsi="Times New Roman" w:cs="Times New Roman"/>
        </w:rPr>
        <w:t>mm and &gt;</w:t>
      </w:r>
      <w:r w:rsidR="009B47BA" w:rsidRPr="005C3043">
        <w:rPr>
          <w:rFonts w:ascii="Times New Roman" w:hAnsi="Times New Roman" w:cs="Times New Roman"/>
        </w:rPr>
        <w:t xml:space="preserve"> </w:t>
      </w:r>
      <w:r w:rsidRPr="005C3043">
        <w:rPr>
          <w:rFonts w:ascii="Times New Roman" w:hAnsi="Times New Roman" w:cs="Times New Roman"/>
        </w:rPr>
        <w:t>17</w:t>
      </w:r>
      <w:r w:rsidR="009B47BA" w:rsidRPr="005C3043">
        <w:rPr>
          <w:rFonts w:ascii="Times New Roman" w:hAnsi="Times New Roman" w:cs="Times New Roman"/>
        </w:rPr>
        <w:t xml:space="preserve"> </w:t>
      </w:r>
      <w:r w:rsidRPr="005C3043">
        <w:rPr>
          <w:rFonts w:ascii="Times New Roman" w:hAnsi="Times New Roman" w:cs="Times New Roman"/>
        </w:rPr>
        <w:t>mm</w:t>
      </w:r>
      <w:r w:rsidR="007957A4" w:rsidRPr="005C3043">
        <w:rPr>
          <w:rFonts w:ascii="Times New Roman" w:hAnsi="Times New Roman" w:cs="Times New Roman"/>
        </w:rPr>
        <w:t xml:space="preserve"> in beef cattle</w:t>
      </w:r>
      <w:r w:rsidRPr="005C3043">
        <w:rPr>
          <w:rFonts w:ascii="Times New Roman" w:hAnsi="Times New Roman" w:cs="Times New Roman"/>
        </w:rPr>
        <w:t xml:space="preserve"> </w:t>
      </w:r>
      <w:r w:rsidR="00C55223" w:rsidRPr="005C3043">
        <w:rPr>
          <w:rFonts w:ascii="Times New Roman" w:hAnsi="Times New Roman" w:cs="Times New Roman"/>
          <w:noProof/>
        </w:rPr>
        <w:t>(Fortune, 1993; Perry et al., 2005; Busch et al., 2008; Fields et al., 2012; Perry et al., 2014)</w:t>
      </w:r>
      <w:r w:rsidRPr="005C3043">
        <w:rPr>
          <w:rFonts w:ascii="Times New Roman" w:hAnsi="Times New Roman" w:cs="Times New Roman"/>
        </w:rPr>
        <w:t xml:space="preserve">. Collectively, these studies provide evidence that two follicles at any given size can either be </w:t>
      </w:r>
      <w:r w:rsidR="004A6D7C" w:rsidRPr="005C3043">
        <w:rPr>
          <w:rFonts w:ascii="Times New Roman" w:hAnsi="Times New Roman" w:cs="Times New Roman"/>
        </w:rPr>
        <w:t>at different physiological stages of development</w:t>
      </w:r>
      <w:r w:rsidRPr="005C3043">
        <w:rPr>
          <w:rFonts w:ascii="Times New Roman" w:hAnsi="Times New Roman" w:cs="Times New Roman"/>
        </w:rPr>
        <w:t xml:space="preserve">. Therefore, the physiological status of the follicle should be considered prior to utilization of the oocyte to produce an embryo. </w:t>
      </w:r>
    </w:p>
    <w:p w14:paraId="5AD89C39" w14:textId="42EE2B38" w:rsidR="000D2CCE" w:rsidRPr="005C3043" w:rsidRDefault="00513F4B" w:rsidP="000D2CCE">
      <w:pPr>
        <w:pStyle w:val="Diss3"/>
      </w:pPr>
      <w:bookmarkStart w:id="13" w:name="_Toc100072151"/>
      <w:r w:rsidRPr="005C3043">
        <w:lastRenderedPageBreak/>
        <w:t>2.2 The effects of follicle physiological status on oocyte developmental competence</w:t>
      </w:r>
      <w:bookmarkEnd w:id="13"/>
    </w:p>
    <w:p w14:paraId="72637565" w14:textId="62F84F95" w:rsidR="00513F4B" w:rsidRPr="005C3043" w:rsidRDefault="00513F4B" w:rsidP="00F672B3">
      <w:pPr>
        <w:spacing w:line="480" w:lineRule="auto"/>
        <w:ind w:firstLine="720"/>
        <w:contextualSpacing/>
        <w:jc w:val="both"/>
        <w:rPr>
          <w:rFonts w:ascii="Times New Roman" w:hAnsi="Times New Roman" w:cs="Times New Roman"/>
        </w:rPr>
      </w:pPr>
      <w:r w:rsidRPr="005C3043">
        <w:rPr>
          <w:rFonts w:ascii="Times New Roman" w:hAnsi="Times New Roman" w:cs="Times New Roman"/>
        </w:rPr>
        <w:t xml:space="preserve">Within the bovine estrous cycle, there are typically two to three follicular waves with the second or third wave producing the ovulatory follicle </w:t>
      </w:r>
      <w:r w:rsidR="00C55223" w:rsidRPr="005C3043">
        <w:rPr>
          <w:rFonts w:ascii="Times New Roman" w:hAnsi="Times New Roman" w:cs="Times New Roman"/>
          <w:noProof/>
        </w:rPr>
        <w:t>(Taylor and Rajamahendran, 1991; Lucy et al., 1992; Fortune, 1993; Hendriksen et al., 2003; Fortune et al., 2004; Jaiswal et al., 2004; Aerts and Bols, 2010a; Miura, 2019)</w:t>
      </w:r>
      <w:r w:rsidRPr="005C3043">
        <w:rPr>
          <w:rFonts w:ascii="Times New Roman" w:hAnsi="Times New Roman" w:cs="Times New Roman"/>
        </w:rPr>
        <w:t xml:space="preserve">. For simplicity, this review will focus on describing the follicular dynamics of an estrous cycle with two follicular waves. </w:t>
      </w:r>
      <w:r w:rsidR="00A9730A" w:rsidRPr="005C3043">
        <w:rPr>
          <w:rFonts w:ascii="Times New Roman" w:hAnsi="Times New Roman" w:cs="Times New Roman"/>
        </w:rPr>
        <w:t>T</w:t>
      </w:r>
      <w:r w:rsidR="00C96869" w:rsidRPr="005C3043">
        <w:rPr>
          <w:rFonts w:ascii="Times New Roman" w:hAnsi="Times New Roman" w:cs="Times New Roman"/>
        </w:rPr>
        <w:t>he previous cycle’s follicle ovulates ~24 hours after estrous onset</w:t>
      </w:r>
      <w:r w:rsidR="00A9730A" w:rsidRPr="005C3043">
        <w:rPr>
          <w:rFonts w:ascii="Times New Roman" w:hAnsi="Times New Roman" w:cs="Times New Roman"/>
        </w:rPr>
        <w:t>, designated as day 0</w:t>
      </w:r>
      <w:r w:rsidR="00C96869" w:rsidRPr="005C3043">
        <w:rPr>
          <w:rFonts w:ascii="Times New Roman" w:hAnsi="Times New Roman" w:cs="Times New Roman"/>
        </w:rPr>
        <w:t xml:space="preserve"> </w:t>
      </w:r>
      <w:r w:rsidR="00C55223" w:rsidRPr="005C3043">
        <w:rPr>
          <w:rFonts w:ascii="Times New Roman" w:hAnsi="Times New Roman" w:cs="Times New Roman"/>
          <w:noProof/>
        </w:rPr>
        <w:t>(Skarzynski et al., 2013)</w:t>
      </w:r>
      <w:r w:rsidR="00C96869" w:rsidRPr="005C3043">
        <w:rPr>
          <w:rFonts w:ascii="Times New Roman" w:hAnsi="Times New Roman" w:cs="Times New Roman"/>
        </w:rPr>
        <w:t>. Serum</w:t>
      </w:r>
      <w:r w:rsidRPr="005C3043">
        <w:rPr>
          <w:rFonts w:ascii="Times New Roman" w:hAnsi="Times New Roman" w:cs="Times New Roman"/>
        </w:rPr>
        <w:t xml:space="preserve"> est</w:t>
      </w:r>
      <w:r w:rsidR="00C96869" w:rsidRPr="005C3043">
        <w:rPr>
          <w:rFonts w:ascii="Times New Roman" w:hAnsi="Times New Roman" w:cs="Times New Roman"/>
        </w:rPr>
        <w:t>radiol</w:t>
      </w:r>
      <w:r w:rsidRPr="005C3043">
        <w:rPr>
          <w:rFonts w:ascii="Times New Roman" w:hAnsi="Times New Roman" w:cs="Times New Roman"/>
        </w:rPr>
        <w:t xml:space="preserve"> levels decrease to basal levels (~2 </w:t>
      </w:r>
      <w:proofErr w:type="spellStart"/>
      <w:r w:rsidRPr="005C3043">
        <w:rPr>
          <w:rFonts w:ascii="Times New Roman" w:hAnsi="Times New Roman" w:cs="Times New Roman"/>
        </w:rPr>
        <w:t>pg</w:t>
      </w:r>
      <w:proofErr w:type="spellEnd"/>
      <w:r w:rsidRPr="005C3043">
        <w:rPr>
          <w:rFonts w:ascii="Times New Roman" w:hAnsi="Times New Roman" w:cs="Times New Roman"/>
        </w:rPr>
        <w:t>/ml</w:t>
      </w:r>
      <w:r w:rsidR="006521DC" w:rsidRPr="005C3043">
        <w:rPr>
          <w:rFonts w:ascii="Times New Roman" w:hAnsi="Times New Roman" w:cs="Times New Roman"/>
        </w:rPr>
        <w:t xml:space="preserve">; </w:t>
      </w:r>
      <w:r w:rsidR="00C55223" w:rsidRPr="005C3043">
        <w:rPr>
          <w:rFonts w:ascii="Times New Roman" w:hAnsi="Times New Roman" w:cs="Times New Roman"/>
          <w:noProof/>
        </w:rPr>
        <w:t>Lucy et al., 1992; Alvarez et al., 2000)</w:t>
      </w:r>
      <w:r w:rsidR="00C96869" w:rsidRPr="005C3043">
        <w:rPr>
          <w:rFonts w:ascii="Times New Roman" w:hAnsi="Times New Roman" w:cs="Times New Roman"/>
        </w:rPr>
        <w:t xml:space="preserve"> </w:t>
      </w:r>
      <w:r w:rsidRPr="005C3043">
        <w:rPr>
          <w:rFonts w:ascii="Times New Roman" w:hAnsi="Times New Roman" w:cs="Times New Roman"/>
        </w:rPr>
        <w:t xml:space="preserve">and serum progesterone levels rise as the corpus luteum (CL) forms. The decrease in circulating estradiol and inhibin from the past ovulatory follicle removes the inhibition on follicle stimulating hormone (FSH) release and FSH levels increase </w:t>
      </w:r>
      <w:r w:rsidR="00C55223" w:rsidRPr="005C3043">
        <w:rPr>
          <w:rFonts w:ascii="Times New Roman" w:hAnsi="Times New Roman" w:cs="Times New Roman"/>
          <w:noProof/>
        </w:rPr>
        <w:t>(Hendriksen et al., 2003)</w:t>
      </w:r>
      <w:r w:rsidRPr="005C3043">
        <w:rPr>
          <w:rFonts w:ascii="Times New Roman" w:hAnsi="Times New Roman" w:cs="Times New Roman"/>
        </w:rPr>
        <w:t>. The increase in FSH levels recruit</w:t>
      </w:r>
      <w:r w:rsidR="00C96869" w:rsidRPr="005C3043">
        <w:rPr>
          <w:rFonts w:ascii="Times New Roman" w:hAnsi="Times New Roman" w:cs="Times New Roman"/>
        </w:rPr>
        <w:t>s</w:t>
      </w:r>
      <w:r w:rsidRPr="005C3043">
        <w:rPr>
          <w:rFonts w:ascii="Times New Roman" w:hAnsi="Times New Roman" w:cs="Times New Roman"/>
        </w:rPr>
        <w:t xml:space="preserve"> a group of 5-24 </w:t>
      </w:r>
      <w:r w:rsidRPr="005C3043">
        <w:rPr>
          <w:rFonts w:ascii="Times New Roman" w:hAnsi="Times New Roman" w:cs="Times New Roman"/>
        </w:rPr>
        <w:softHyphen/>
        <w:t>~3</w:t>
      </w:r>
      <w:r w:rsidR="009B47BA" w:rsidRPr="005C3043">
        <w:rPr>
          <w:rFonts w:ascii="Times New Roman" w:hAnsi="Times New Roman" w:cs="Times New Roman"/>
        </w:rPr>
        <w:t xml:space="preserve"> </w:t>
      </w:r>
      <w:r w:rsidRPr="005C3043">
        <w:rPr>
          <w:rFonts w:ascii="Times New Roman" w:hAnsi="Times New Roman" w:cs="Times New Roman"/>
        </w:rPr>
        <w:t xml:space="preserve">mm follicles into the first follicular wave of the new estrous cycle </w:t>
      </w:r>
      <w:r w:rsidR="00C55223" w:rsidRPr="005C3043">
        <w:rPr>
          <w:rFonts w:ascii="Times New Roman" w:hAnsi="Times New Roman" w:cs="Times New Roman"/>
          <w:noProof/>
        </w:rPr>
        <w:t>(Ginther et al., 1997; Hendriksen et al., 2003; Aerts and Bols, 2010a)</w:t>
      </w:r>
      <w:r w:rsidRPr="005C3043">
        <w:rPr>
          <w:rFonts w:ascii="Times New Roman" w:hAnsi="Times New Roman" w:cs="Times New Roman"/>
        </w:rPr>
        <w:t xml:space="preserve">. </w:t>
      </w:r>
      <w:r w:rsidR="00347A39" w:rsidRPr="005C3043">
        <w:rPr>
          <w:rFonts w:ascii="Times New Roman" w:hAnsi="Times New Roman" w:cs="Times New Roman"/>
        </w:rPr>
        <w:t>I</w:t>
      </w:r>
      <w:r w:rsidRPr="005C3043">
        <w:rPr>
          <w:rFonts w:ascii="Times New Roman" w:hAnsi="Times New Roman" w:cs="Times New Roman"/>
        </w:rPr>
        <w:t xml:space="preserve">ncreased estradiol and inhibin production by the growing cohort of follicles begins to decrease the levels of circulating FSH </w:t>
      </w:r>
      <w:r w:rsidR="00C55223" w:rsidRPr="005C3043">
        <w:rPr>
          <w:rFonts w:ascii="Times New Roman" w:hAnsi="Times New Roman" w:cs="Times New Roman"/>
          <w:noProof/>
        </w:rPr>
        <w:t>(Ginther et al., 2000; Ginther et al., 2001; Aerts and Bols, 2010a; Lamb et al., 2010)</w:t>
      </w:r>
      <w:r w:rsidRPr="005C3043">
        <w:rPr>
          <w:rFonts w:ascii="Times New Roman" w:hAnsi="Times New Roman" w:cs="Times New Roman"/>
        </w:rPr>
        <w:t xml:space="preserve">. By ~ day </w:t>
      </w:r>
      <w:r w:rsidR="00347A39" w:rsidRPr="005C3043">
        <w:rPr>
          <w:rFonts w:ascii="Times New Roman" w:hAnsi="Times New Roman" w:cs="Times New Roman"/>
        </w:rPr>
        <w:t>2-3</w:t>
      </w:r>
      <w:r w:rsidRPr="005C3043">
        <w:rPr>
          <w:rFonts w:ascii="Times New Roman" w:hAnsi="Times New Roman" w:cs="Times New Roman"/>
        </w:rPr>
        <w:t xml:space="preserve"> of the cycle, the largest follicle reaches ~8</w:t>
      </w:r>
      <w:r w:rsidR="009B47BA" w:rsidRPr="005C3043">
        <w:rPr>
          <w:rFonts w:ascii="Times New Roman" w:hAnsi="Times New Roman" w:cs="Times New Roman"/>
        </w:rPr>
        <w:t xml:space="preserve"> </w:t>
      </w:r>
      <w:r w:rsidRPr="005C3043">
        <w:rPr>
          <w:rFonts w:ascii="Times New Roman" w:hAnsi="Times New Roman" w:cs="Times New Roman"/>
        </w:rPr>
        <w:t xml:space="preserve">mm and its granulosa cells begin to express </w:t>
      </w:r>
      <w:r w:rsidR="00A55BBD" w:rsidRPr="005C3043">
        <w:rPr>
          <w:rFonts w:ascii="Times New Roman" w:hAnsi="Times New Roman" w:cs="Times New Roman"/>
        </w:rPr>
        <w:t>LH</w:t>
      </w:r>
      <w:r w:rsidRPr="005C3043">
        <w:rPr>
          <w:rFonts w:ascii="Times New Roman" w:hAnsi="Times New Roman" w:cs="Times New Roman"/>
        </w:rPr>
        <w:t xml:space="preserve"> receptors</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Bodensteiner et al., 1996; Aerts and Bols, 2010a; Bisinotto and Santos, 2011)</w:t>
      </w:r>
      <w:r w:rsidRPr="005C3043">
        <w:rPr>
          <w:rFonts w:ascii="Times New Roman" w:hAnsi="Times New Roman" w:cs="Times New Roman"/>
        </w:rPr>
        <w:t xml:space="preserve">. This allows LH to stimulate its growth and </w:t>
      </w:r>
      <w:r w:rsidR="006F7A7A" w:rsidRPr="005C3043">
        <w:rPr>
          <w:rFonts w:ascii="Times New Roman" w:hAnsi="Times New Roman" w:cs="Times New Roman"/>
        </w:rPr>
        <w:t xml:space="preserve">further </w:t>
      </w:r>
      <w:r w:rsidRPr="005C3043">
        <w:rPr>
          <w:rFonts w:ascii="Times New Roman" w:hAnsi="Times New Roman" w:cs="Times New Roman"/>
        </w:rPr>
        <w:t xml:space="preserve">increase its production of estradiol and inhibin while further decreasing circulating FSH levels </w:t>
      </w:r>
      <w:r w:rsidR="00C55223" w:rsidRPr="005C3043">
        <w:rPr>
          <w:rFonts w:ascii="Times New Roman" w:hAnsi="Times New Roman" w:cs="Times New Roman"/>
          <w:noProof/>
        </w:rPr>
        <w:t>(Ginther et al., 2001)</w:t>
      </w:r>
      <w:r w:rsidRPr="005C3043">
        <w:rPr>
          <w:rFonts w:ascii="Times New Roman" w:hAnsi="Times New Roman" w:cs="Times New Roman"/>
        </w:rPr>
        <w:t xml:space="preserve">.  Despite decreased levels of FSH, the selected follicle continues growth because it has gained LH receptors in its granulosa cells while the subordinate, FSH-dependent </w:t>
      </w:r>
      <w:r w:rsidRPr="005C3043">
        <w:rPr>
          <w:rFonts w:ascii="Times New Roman" w:hAnsi="Times New Roman" w:cs="Times New Roman"/>
        </w:rPr>
        <w:lastRenderedPageBreak/>
        <w:t xml:space="preserve">follicles have decreased growth </w:t>
      </w:r>
      <w:r w:rsidR="00C55223" w:rsidRPr="005C3043">
        <w:rPr>
          <w:rFonts w:ascii="Times New Roman" w:hAnsi="Times New Roman" w:cs="Times New Roman"/>
          <w:noProof/>
        </w:rPr>
        <w:t>(Ginther et al., 2001; Jaiswal et al., 2004; Aerts and Bols, 2010a)</w:t>
      </w:r>
      <w:r w:rsidRPr="005C3043">
        <w:rPr>
          <w:rFonts w:ascii="Times New Roman" w:hAnsi="Times New Roman" w:cs="Times New Roman"/>
        </w:rPr>
        <w:t xml:space="preserve">. The dominant follicle continues to grow until ~ day 8 of the cycle while the subordinate follicles undergo atresia. The high levels of circulating progesterone (~2-6ng/ml) produced by the CL have </w:t>
      </w:r>
      <w:proofErr w:type="gramStart"/>
      <w:r w:rsidR="00F34E7E" w:rsidRPr="005C3043">
        <w:rPr>
          <w:rFonts w:ascii="Times New Roman" w:hAnsi="Times New Roman" w:cs="Times New Roman"/>
        </w:rPr>
        <w:t xml:space="preserve">a </w:t>
      </w:r>
      <w:r w:rsidRPr="005C3043">
        <w:rPr>
          <w:rFonts w:ascii="Times New Roman" w:hAnsi="Times New Roman" w:cs="Times New Roman"/>
        </w:rPr>
        <w:t>negative feedback</w:t>
      </w:r>
      <w:proofErr w:type="gramEnd"/>
      <w:r w:rsidRPr="005C3043">
        <w:rPr>
          <w:rFonts w:ascii="Times New Roman" w:hAnsi="Times New Roman" w:cs="Times New Roman"/>
        </w:rPr>
        <w:t xml:space="preserve"> on </w:t>
      </w:r>
      <w:r w:rsidR="00F34E7E" w:rsidRPr="005C3043">
        <w:rPr>
          <w:rFonts w:ascii="Times New Roman" w:hAnsi="Times New Roman" w:cs="Times New Roman"/>
        </w:rPr>
        <w:t>LH pulse frequency</w:t>
      </w:r>
      <w:r w:rsidRPr="005C3043">
        <w:rPr>
          <w:rFonts w:ascii="Times New Roman" w:hAnsi="Times New Roman" w:cs="Times New Roman"/>
        </w:rPr>
        <w:t>,</w:t>
      </w:r>
      <w:r w:rsidR="00F34E7E" w:rsidRPr="005C3043">
        <w:rPr>
          <w:rFonts w:ascii="Times New Roman" w:hAnsi="Times New Roman" w:cs="Times New Roman"/>
        </w:rPr>
        <w:t xml:space="preserve"> preventing the increase in LH pulse frequency needed for the follicle to continue growing and enter the pre-ovulatory stage of development</w:t>
      </w:r>
      <w:r w:rsidRPr="005C3043">
        <w:rPr>
          <w:rFonts w:ascii="Times New Roman" w:hAnsi="Times New Roman" w:cs="Times New Roman"/>
        </w:rPr>
        <w:t xml:space="preserve"> </w:t>
      </w:r>
      <w:r w:rsidR="00C55223" w:rsidRPr="005C3043">
        <w:rPr>
          <w:rFonts w:ascii="Times New Roman" w:hAnsi="Times New Roman" w:cs="Times New Roman"/>
          <w:noProof/>
        </w:rPr>
        <w:t xml:space="preserve">(Skinner et al., 1998; Alvarez et al., 2000; Perry et al., 2005; Jinks et al., </w:t>
      </w:r>
      <w:r w:rsidR="00937F46" w:rsidRPr="005C3043">
        <w:rPr>
          <w:rFonts w:ascii="Times New Roman" w:hAnsi="Times New Roman" w:cs="Times New Roman"/>
          <w:noProof/>
        </w:rPr>
        <w:t>2013</w:t>
      </w:r>
      <w:r w:rsidR="00C55223" w:rsidRPr="005C3043">
        <w:rPr>
          <w:rFonts w:ascii="Times New Roman" w:hAnsi="Times New Roman" w:cs="Times New Roman"/>
          <w:noProof/>
        </w:rPr>
        <w:t>; Hill et al., 2014)</w:t>
      </w:r>
      <w:r w:rsidRPr="005C3043">
        <w:rPr>
          <w:rFonts w:ascii="Times New Roman" w:hAnsi="Times New Roman" w:cs="Times New Roman"/>
        </w:rPr>
        <w:t xml:space="preserve">. The LH-dependent growth of the follicle is </w:t>
      </w:r>
      <w:proofErr w:type="gramStart"/>
      <w:r w:rsidRPr="005C3043">
        <w:rPr>
          <w:rFonts w:ascii="Times New Roman" w:hAnsi="Times New Roman" w:cs="Times New Roman"/>
        </w:rPr>
        <w:t>inhibited</w:t>
      </w:r>
      <w:proofErr w:type="gramEnd"/>
      <w:r w:rsidRPr="005C3043">
        <w:rPr>
          <w:rFonts w:ascii="Times New Roman" w:hAnsi="Times New Roman" w:cs="Times New Roman"/>
        </w:rPr>
        <w:t xml:space="preserve"> and the dominant follicle undergoes atresia. This causes a drop in the levels of circulating estradiol</w:t>
      </w:r>
      <w:r w:rsidR="006F7A7A" w:rsidRPr="005C3043">
        <w:rPr>
          <w:rFonts w:ascii="Times New Roman" w:hAnsi="Times New Roman" w:cs="Times New Roman"/>
        </w:rPr>
        <w:t xml:space="preserve"> and inhibin</w:t>
      </w:r>
      <w:r w:rsidR="00347A39" w:rsidRPr="005C3043">
        <w:rPr>
          <w:rFonts w:ascii="Times New Roman" w:hAnsi="Times New Roman" w:cs="Times New Roman"/>
        </w:rPr>
        <w:t>, a rise in FSH,</w:t>
      </w:r>
      <w:r w:rsidRPr="005C3043">
        <w:rPr>
          <w:rFonts w:ascii="Times New Roman" w:hAnsi="Times New Roman" w:cs="Times New Roman"/>
        </w:rPr>
        <w:t xml:space="preserve"> and allows for the second follicular wave to be recruited around days 9</w:t>
      </w:r>
      <w:r w:rsidR="008F2B0A" w:rsidRPr="005C3043">
        <w:rPr>
          <w:rFonts w:ascii="Times New Roman" w:hAnsi="Times New Roman" w:cs="Times New Roman"/>
        </w:rPr>
        <w:t>-10</w:t>
      </w:r>
      <w:r w:rsidRPr="005C3043">
        <w:rPr>
          <w:rFonts w:ascii="Times New Roman" w:hAnsi="Times New Roman" w:cs="Times New Roman"/>
        </w:rPr>
        <w:t xml:space="preserve"> </w:t>
      </w:r>
      <w:r w:rsidR="00C55223" w:rsidRPr="005C3043">
        <w:rPr>
          <w:rFonts w:ascii="Times New Roman" w:hAnsi="Times New Roman" w:cs="Times New Roman"/>
          <w:noProof/>
        </w:rPr>
        <w:t>(Fortune, 1993; Hendriksen et al., 2003)</w:t>
      </w:r>
      <w:r w:rsidRPr="005C3043">
        <w:rPr>
          <w:rFonts w:ascii="Times New Roman" w:hAnsi="Times New Roman" w:cs="Times New Roman"/>
        </w:rPr>
        <w:t xml:space="preserve">. </w:t>
      </w:r>
      <w:r w:rsidR="00347A39" w:rsidRPr="005C3043">
        <w:rPr>
          <w:rFonts w:ascii="Times New Roman" w:hAnsi="Times New Roman" w:cs="Times New Roman"/>
        </w:rPr>
        <w:t>A</w:t>
      </w:r>
      <w:r w:rsidRPr="005C3043">
        <w:rPr>
          <w:rFonts w:ascii="Times New Roman" w:hAnsi="Times New Roman" w:cs="Times New Roman"/>
        </w:rPr>
        <w:t xml:space="preserve"> new dominant follicle is selected</w:t>
      </w:r>
      <w:r w:rsidR="00347A39" w:rsidRPr="005C3043">
        <w:rPr>
          <w:rFonts w:ascii="Times New Roman" w:hAnsi="Times New Roman" w:cs="Times New Roman"/>
        </w:rPr>
        <w:t xml:space="preserve"> on day 12 </w:t>
      </w:r>
      <w:r w:rsidR="00C55223" w:rsidRPr="005C3043">
        <w:rPr>
          <w:rFonts w:ascii="Times New Roman" w:hAnsi="Times New Roman" w:cs="Times New Roman"/>
          <w:noProof/>
        </w:rPr>
        <w:t>(Taylor and Rajamahendran, 1991; Bisinotto and Santos, 2011)</w:t>
      </w:r>
      <w:r w:rsidRPr="005C3043">
        <w:rPr>
          <w:rFonts w:ascii="Times New Roman" w:hAnsi="Times New Roman" w:cs="Times New Roman"/>
        </w:rPr>
        <w:t xml:space="preserve">. Around day 16, the CL undergoes </w:t>
      </w:r>
      <w:proofErr w:type="spellStart"/>
      <w:r w:rsidRPr="005C3043">
        <w:rPr>
          <w:rFonts w:ascii="Times New Roman" w:hAnsi="Times New Roman" w:cs="Times New Roman"/>
        </w:rPr>
        <w:t>luteolysis</w:t>
      </w:r>
      <w:proofErr w:type="spellEnd"/>
      <w:r w:rsidRPr="005C3043">
        <w:rPr>
          <w:rFonts w:ascii="Times New Roman" w:hAnsi="Times New Roman" w:cs="Times New Roman"/>
        </w:rPr>
        <w:t xml:space="preserve">, decreasing the levels of circulating progesterone and removing progesterone’s inhibition of gonadotropin releasing hormone (GnRH) from the </w:t>
      </w:r>
      <w:r w:rsidR="00AC6DC1" w:rsidRPr="005C3043">
        <w:rPr>
          <w:rFonts w:ascii="Times New Roman" w:hAnsi="Times New Roman" w:cs="Times New Roman"/>
        </w:rPr>
        <w:t>hypothalamus</w:t>
      </w:r>
      <w:r w:rsidR="00AC6DC1" w:rsidRPr="005C3043">
        <w:rPr>
          <w:rFonts w:ascii="Times New Roman" w:hAnsi="Times New Roman" w:cs="Times New Roman"/>
          <w:noProof/>
        </w:rPr>
        <w:t xml:space="preserve"> (</w:t>
      </w:r>
      <w:r w:rsidR="00C55223" w:rsidRPr="005C3043">
        <w:rPr>
          <w:rFonts w:ascii="Times New Roman" w:hAnsi="Times New Roman" w:cs="Times New Roman"/>
          <w:noProof/>
        </w:rPr>
        <w:t>Taylor and Rajamahendran, 1991; Skarzynski et al., 2013)</w:t>
      </w:r>
      <w:r w:rsidRPr="005C3043">
        <w:rPr>
          <w:rFonts w:ascii="Times New Roman" w:hAnsi="Times New Roman" w:cs="Times New Roman"/>
        </w:rPr>
        <w:t xml:space="preserve">. </w:t>
      </w:r>
      <w:r w:rsidR="00C07B58" w:rsidRPr="005C3043">
        <w:rPr>
          <w:rFonts w:ascii="Times New Roman" w:hAnsi="Times New Roman" w:cs="Times New Roman"/>
        </w:rPr>
        <w:t>As the</w:t>
      </w:r>
      <w:r w:rsidRPr="005C3043">
        <w:rPr>
          <w:rFonts w:ascii="Times New Roman" w:hAnsi="Times New Roman" w:cs="Times New Roman"/>
        </w:rPr>
        <w:t xml:space="preserve"> follicle increases in size, it produces increased levels of estradiol</w:t>
      </w:r>
      <w:r w:rsidR="00C36E6D" w:rsidRPr="005C3043">
        <w:rPr>
          <w:rFonts w:ascii="Times New Roman" w:hAnsi="Times New Roman" w:cs="Times New Roman"/>
        </w:rPr>
        <w:t xml:space="preserve"> </w:t>
      </w:r>
      <w:r w:rsidR="00C07B58" w:rsidRPr="005C3043">
        <w:rPr>
          <w:rFonts w:ascii="Times New Roman" w:hAnsi="Times New Roman" w:cs="Times New Roman"/>
        </w:rPr>
        <w:t xml:space="preserve">due to the removal of progesterone’s negative feedback on LH </w:t>
      </w:r>
      <w:proofErr w:type="spellStart"/>
      <w:r w:rsidR="00C07B58" w:rsidRPr="005C3043">
        <w:rPr>
          <w:rFonts w:ascii="Times New Roman" w:hAnsi="Times New Roman" w:cs="Times New Roman"/>
        </w:rPr>
        <w:t>pulsatility</w:t>
      </w:r>
      <w:proofErr w:type="spellEnd"/>
      <w:r w:rsidR="00C07B58" w:rsidRPr="005C3043">
        <w:rPr>
          <w:rFonts w:ascii="Times New Roman" w:hAnsi="Times New Roman" w:cs="Times New Roman"/>
        </w:rPr>
        <w:t xml:space="preserve"> </w:t>
      </w:r>
      <w:r w:rsidR="00C36E6D" w:rsidRPr="005C3043">
        <w:rPr>
          <w:rFonts w:ascii="Times New Roman" w:hAnsi="Times New Roman" w:cs="Times New Roman"/>
        </w:rPr>
        <w:t xml:space="preserve">(Stumpf et al., 1989; </w:t>
      </w:r>
      <w:r w:rsidR="003840F0" w:rsidRPr="005C3043">
        <w:rPr>
          <w:rFonts w:ascii="Times New Roman" w:hAnsi="Times New Roman" w:cs="Times New Roman"/>
        </w:rPr>
        <w:t>Perry et al., 2014; Jinks et al., 2013; Atkins et al., 2013; Perry et al., 2005</w:t>
      </w:r>
      <w:r w:rsidR="00C36E6D" w:rsidRPr="005C3043">
        <w:rPr>
          <w:rFonts w:ascii="Times New Roman" w:hAnsi="Times New Roman" w:cs="Times New Roman"/>
        </w:rPr>
        <w:t>)</w:t>
      </w:r>
      <w:r w:rsidRPr="005C3043">
        <w:rPr>
          <w:rFonts w:ascii="Times New Roman" w:hAnsi="Times New Roman" w:cs="Times New Roman"/>
        </w:rPr>
        <w:t xml:space="preserve">. </w:t>
      </w:r>
      <w:r w:rsidR="00C07B58" w:rsidRPr="005C3043">
        <w:rPr>
          <w:rFonts w:ascii="Times New Roman" w:hAnsi="Times New Roman" w:cs="Times New Roman"/>
        </w:rPr>
        <w:t xml:space="preserve">Estradiol continues to have </w:t>
      </w:r>
      <w:proofErr w:type="gramStart"/>
      <w:r w:rsidR="00C07B58" w:rsidRPr="005C3043">
        <w:rPr>
          <w:rFonts w:ascii="Times New Roman" w:hAnsi="Times New Roman" w:cs="Times New Roman"/>
        </w:rPr>
        <w:t>a negative feedback</w:t>
      </w:r>
      <w:proofErr w:type="gramEnd"/>
      <w:r w:rsidR="00C07B58" w:rsidRPr="005C3043">
        <w:rPr>
          <w:rFonts w:ascii="Times New Roman" w:hAnsi="Times New Roman" w:cs="Times New Roman"/>
        </w:rPr>
        <w:t xml:space="preserve"> on the tonic center of the hypothalamus, however estradiol does have a positive feedback on the surge center of the hypothalamus (</w:t>
      </w:r>
      <w:proofErr w:type="spellStart"/>
      <w:r w:rsidR="00C07B58" w:rsidRPr="005C3043">
        <w:rPr>
          <w:rFonts w:ascii="Times New Roman" w:hAnsi="Times New Roman" w:cs="Times New Roman"/>
        </w:rPr>
        <w:t>Sinchak</w:t>
      </w:r>
      <w:proofErr w:type="spellEnd"/>
      <w:r w:rsidR="00C07B58" w:rsidRPr="005C3043">
        <w:rPr>
          <w:rFonts w:ascii="Times New Roman" w:hAnsi="Times New Roman" w:cs="Times New Roman"/>
        </w:rPr>
        <w:t xml:space="preserve"> and Wagner, 2012; Christian and </w:t>
      </w:r>
      <w:proofErr w:type="spellStart"/>
      <w:r w:rsidR="00C07B58" w:rsidRPr="005C3043">
        <w:rPr>
          <w:rFonts w:ascii="Times New Roman" w:hAnsi="Times New Roman" w:cs="Times New Roman"/>
        </w:rPr>
        <w:t>Moenter</w:t>
      </w:r>
      <w:proofErr w:type="spellEnd"/>
      <w:r w:rsidR="00C07B58" w:rsidRPr="005C3043">
        <w:rPr>
          <w:rFonts w:ascii="Times New Roman" w:hAnsi="Times New Roman" w:cs="Times New Roman"/>
        </w:rPr>
        <w:t xml:space="preserve">, 2010). </w:t>
      </w:r>
      <w:proofErr w:type="gramStart"/>
      <w:r w:rsidR="00C07B58" w:rsidRPr="005C3043">
        <w:rPr>
          <w:rFonts w:ascii="Times New Roman" w:hAnsi="Times New Roman" w:cs="Times New Roman"/>
        </w:rPr>
        <w:t>As a consequence</w:t>
      </w:r>
      <w:proofErr w:type="gramEnd"/>
      <w:r w:rsidR="00C07B58" w:rsidRPr="005C3043">
        <w:rPr>
          <w:rFonts w:ascii="Times New Roman" w:hAnsi="Times New Roman" w:cs="Times New Roman"/>
        </w:rPr>
        <w:t xml:space="preserve">, pulsatile GnRH release from the tonic center and the corresponding LH release from the anterior pituitary is reduced even in the pre-ovulatory time period (Christian and </w:t>
      </w:r>
      <w:proofErr w:type="spellStart"/>
      <w:r w:rsidR="00C07B58" w:rsidRPr="005C3043">
        <w:rPr>
          <w:rFonts w:ascii="Times New Roman" w:hAnsi="Times New Roman" w:cs="Times New Roman"/>
        </w:rPr>
        <w:t>Moenter</w:t>
      </w:r>
      <w:proofErr w:type="spellEnd"/>
      <w:r w:rsidR="00C07B58" w:rsidRPr="005C3043">
        <w:rPr>
          <w:rFonts w:ascii="Times New Roman" w:hAnsi="Times New Roman" w:cs="Times New Roman"/>
        </w:rPr>
        <w:t xml:space="preserve">, 2010). </w:t>
      </w:r>
      <w:r w:rsidRPr="005C3043">
        <w:rPr>
          <w:rFonts w:ascii="Times New Roman" w:hAnsi="Times New Roman" w:cs="Times New Roman"/>
        </w:rPr>
        <w:t xml:space="preserve">Once </w:t>
      </w:r>
      <w:r w:rsidRPr="005C3043">
        <w:rPr>
          <w:rFonts w:ascii="Times New Roman" w:hAnsi="Times New Roman" w:cs="Times New Roman"/>
        </w:rPr>
        <w:lastRenderedPageBreak/>
        <w:t xml:space="preserve">estradiol reaches a threshold level </w:t>
      </w:r>
      <w:r w:rsidR="00903C83" w:rsidRPr="005C3043">
        <w:rPr>
          <w:rFonts w:ascii="Times New Roman" w:hAnsi="Times New Roman" w:cs="Times New Roman"/>
        </w:rPr>
        <w:t>around day 20</w:t>
      </w:r>
      <w:r w:rsidR="00E77405" w:rsidRPr="005C3043">
        <w:rPr>
          <w:rFonts w:ascii="Times New Roman" w:hAnsi="Times New Roman" w:cs="Times New Roman"/>
        </w:rPr>
        <w:t xml:space="preserve"> </w:t>
      </w:r>
      <w:r w:rsidRPr="005C3043">
        <w:rPr>
          <w:rFonts w:ascii="Times New Roman" w:hAnsi="Times New Roman" w:cs="Times New Roman"/>
        </w:rPr>
        <w:t>(~ 7-9pg/ml)</w:t>
      </w:r>
      <w:r w:rsidR="00C07B58" w:rsidRPr="005C3043">
        <w:rPr>
          <w:rFonts w:ascii="Times New Roman" w:hAnsi="Times New Roman" w:cs="Times New Roman"/>
        </w:rPr>
        <w:t xml:space="preserve">, </w:t>
      </w:r>
      <w:r w:rsidR="00D50909" w:rsidRPr="005C3043">
        <w:rPr>
          <w:rFonts w:ascii="Times New Roman" w:hAnsi="Times New Roman" w:cs="Times New Roman"/>
        </w:rPr>
        <w:t>it</w:t>
      </w:r>
      <w:r w:rsidR="004E7BF7" w:rsidRPr="005C3043">
        <w:rPr>
          <w:rFonts w:ascii="Times New Roman" w:hAnsi="Times New Roman" w:cs="Times New Roman"/>
        </w:rPr>
        <w:t xml:space="preserve"> results in</w:t>
      </w:r>
      <w:r w:rsidR="00C07B58" w:rsidRPr="005C3043">
        <w:rPr>
          <w:rFonts w:ascii="Times New Roman" w:hAnsi="Times New Roman" w:cs="Times New Roman"/>
        </w:rPr>
        <w:t xml:space="preserve"> </w:t>
      </w:r>
      <w:r w:rsidR="00903C83" w:rsidRPr="005C3043">
        <w:rPr>
          <w:rFonts w:ascii="Times New Roman" w:hAnsi="Times New Roman" w:cs="Times New Roman"/>
        </w:rPr>
        <w:t xml:space="preserve">estrous behavior </w:t>
      </w:r>
      <w:r w:rsidR="00C07B58" w:rsidRPr="005C3043">
        <w:rPr>
          <w:rFonts w:ascii="Times New Roman" w:hAnsi="Times New Roman" w:cs="Times New Roman"/>
        </w:rPr>
        <w:t>and stimulates the</w:t>
      </w:r>
      <w:r w:rsidR="006F7A7A" w:rsidRPr="005C3043">
        <w:rPr>
          <w:rFonts w:ascii="Times New Roman" w:hAnsi="Times New Roman" w:cs="Times New Roman"/>
        </w:rPr>
        <w:t xml:space="preserve"> GnRH-induced LH surge</w:t>
      </w:r>
      <w:r w:rsidRPr="005C3043">
        <w:rPr>
          <w:rFonts w:ascii="Times New Roman" w:hAnsi="Times New Roman" w:cs="Times New Roman"/>
        </w:rPr>
        <w:t xml:space="preserve"> </w:t>
      </w:r>
      <w:r w:rsidR="00C55223" w:rsidRPr="005C3043">
        <w:rPr>
          <w:rFonts w:ascii="Times New Roman" w:hAnsi="Times New Roman" w:cs="Times New Roman"/>
          <w:noProof/>
        </w:rPr>
        <w:t>(Wettemann et al., 1972; Alvarez et al., 2000</w:t>
      </w:r>
      <w:r w:rsidR="00E77405" w:rsidRPr="005C3043">
        <w:rPr>
          <w:rFonts w:ascii="Times New Roman" w:hAnsi="Times New Roman" w:cs="Times New Roman"/>
          <w:noProof/>
        </w:rPr>
        <w:t>;</w:t>
      </w:r>
      <w:r w:rsidR="00903C83" w:rsidRPr="005C3043">
        <w:rPr>
          <w:rFonts w:ascii="Times New Roman" w:hAnsi="Times New Roman" w:cs="Times New Roman"/>
          <w:noProof/>
        </w:rPr>
        <w:t xml:space="preserve"> Allrich</w:t>
      </w:r>
      <w:r w:rsidR="00E77405" w:rsidRPr="005C3043">
        <w:rPr>
          <w:rFonts w:ascii="Times New Roman" w:hAnsi="Times New Roman" w:cs="Times New Roman"/>
          <w:noProof/>
        </w:rPr>
        <w:t>,</w:t>
      </w:r>
      <w:r w:rsidR="00903C83" w:rsidRPr="005C3043">
        <w:rPr>
          <w:rFonts w:ascii="Times New Roman" w:hAnsi="Times New Roman" w:cs="Times New Roman"/>
          <w:noProof/>
        </w:rPr>
        <w:t xml:space="preserve"> 1994</w:t>
      </w:r>
      <w:r w:rsidR="00C55223" w:rsidRPr="005C3043">
        <w:rPr>
          <w:rFonts w:ascii="Times New Roman" w:hAnsi="Times New Roman" w:cs="Times New Roman"/>
          <w:noProof/>
        </w:rPr>
        <w:t>)</w:t>
      </w:r>
      <w:r w:rsidRPr="005C3043">
        <w:rPr>
          <w:rFonts w:ascii="Times New Roman" w:hAnsi="Times New Roman" w:cs="Times New Roman"/>
        </w:rPr>
        <w:t xml:space="preserve">. The follicle begins to undergo luteinization and prepare for ovulation. This causes a decrease in production of estradiol by the follicle and a decrease in serum estradiol levels. Approximately 24 hours later, ovulation </w:t>
      </w:r>
      <w:proofErr w:type="gramStart"/>
      <w:r w:rsidRPr="005C3043">
        <w:rPr>
          <w:rFonts w:ascii="Times New Roman" w:hAnsi="Times New Roman" w:cs="Times New Roman"/>
        </w:rPr>
        <w:t>occurs</w:t>
      </w:r>
      <w:proofErr w:type="gramEnd"/>
      <w:r w:rsidRPr="005C3043">
        <w:rPr>
          <w:rFonts w:ascii="Times New Roman" w:hAnsi="Times New Roman" w:cs="Times New Roman"/>
        </w:rPr>
        <w:t xml:space="preserve"> and the CL increases in size over the next five days </w:t>
      </w:r>
      <w:r w:rsidR="00C55223" w:rsidRPr="005C3043">
        <w:rPr>
          <w:rFonts w:ascii="Times New Roman" w:hAnsi="Times New Roman" w:cs="Times New Roman"/>
          <w:noProof/>
        </w:rPr>
        <w:t>(Skarzynski et al., 2013)</w:t>
      </w:r>
      <w:r w:rsidRPr="005C3043">
        <w:rPr>
          <w:rFonts w:ascii="Times New Roman" w:hAnsi="Times New Roman" w:cs="Times New Roman"/>
        </w:rPr>
        <w:t xml:space="preserve">. Serum progesterone levels increase gradually as the CL becomes more developed and the cycle repeats with a new follicular wave. </w:t>
      </w:r>
    </w:p>
    <w:p w14:paraId="6C9B9102" w14:textId="7EAD80F3" w:rsidR="00513F4B" w:rsidRPr="005C3043" w:rsidRDefault="00513F4B" w:rsidP="00F672B3">
      <w:pPr>
        <w:spacing w:line="480" w:lineRule="auto"/>
        <w:ind w:firstLine="720"/>
        <w:contextualSpacing/>
        <w:jc w:val="both"/>
        <w:rPr>
          <w:rFonts w:ascii="Times New Roman" w:hAnsi="Times New Roman" w:cs="Times New Roman"/>
        </w:rPr>
      </w:pPr>
      <w:r w:rsidRPr="005C3043">
        <w:rPr>
          <w:rFonts w:ascii="Times New Roman" w:hAnsi="Times New Roman" w:cs="Times New Roman"/>
        </w:rPr>
        <w:t>Each follicular wave can be broken down into FSH-dependent growth of the follicle (days ~1-6 and 9-16, follicle size ~3-8</w:t>
      </w:r>
      <w:r w:rsidR="009B47BA" w:rsidRPr="005C3043">
        <w:rPr>
          <w:rFonts w:ascii="Times New Roman" w:hAnsi="Times New Roman" w:cs="Times New Roman"/>
        </w:rPr>
        <w:t xml:space="preserve"> </w:t>
      </w:r>
      <w:r w:rsidRPr="005C3043">
        <w:rPr>
          <w:rFonts w:ascii="Times New Roman" w:hAnsi="Times New Roman" w:cs="Times New Roman"/>
        </w:rPr>
        <w:t xml:space="preserve">mm) and LH-dependent follicle growth (days ~7-8 and 17-20, follicle size ~9-preLH surge) phases. The final follicular wave of each estrous cycle results in additional growth of the dominant follicle following </w:t>
      </w:r>
      <w:proofErr w:type="spellStart"/>
      <w:r w:rsidRPr="005C3043">
        <w:rPr>
          <w:rFonts w:ascii="Times New Roman" w:hAnsi="Times New Roman" w:cs="Times New Roman"/>
        </w:rPr>
        <w:t>luteolysis</w:t>
      </w:r>
      <w:proofErr w:type="spellEnd"/>
      <w:r w:rsidRPr="005C3043">
        <w:rPr>
          <w:rFonts w:ascii="Times New Roman" w:hAnsi="Times New Roman" w:cs="Times New Roman"/>
        </w:rPr>
        <w:t>. In this wave, the dominant follicle reaches the ovulatory phase of follicle development (~day 21, post</w:t>
      </w:r>
      <w:r w:rsidR="00021AAA" w:rsidRPr="005C3043">
        <w:rPr>
          <w:rFonts w:ascii="Times New Roman" w:hAnsi="Times New Roman" w:cs="Times New Roman"/>
        </w:rPr>
        <w:t>-</w:t>
      </w:r>
      <w:r w:rsidRPr="005C3043">
        <w:rPr>
          <w:rFonts w:ascii="Times New Roman" w:hAnsi="Times New Roman" w:cs="Times New Roman"/>
        </w:rPr>
        <w:t xml:space="preserve">LH surge – ovulation). The studies mentioned previously that investigated developmental competence of oocytes collected from follicles of varied sizes inadvertently grouped oocytes from follicles that likely differed in physiological status. However, abattoir-sourced ovaries are from variable, unknown reproductive </w:t>
      </w:r>
      <w:proofErr w:type="gramStart"/>
      <w:r w:rsidRPr="005C3043">
        <w:rPr>
          <w:rFonts w:ascii="Times New Roman" w:hAnsi="Times New Roman" w:cs="Times New Roman"/>
        </w:rPr>
        <w:t>backgrounds</w:t>
      </w:r>
      <w:proofErr w:type="gramEnd"/>
      <w:r w:rsidRPr="005C3043">
        <w:rPr>
          <w:rFonts w:ascii="Times New Roman" w:hAnsi="Times New Roman" w:cs="Times New Roman"/>
        </w:rPr>
        <w:t xml:space="preserve"> and various stages of atresia. To further decipher impacts of the follicle’s known physiological status on oocyte developmental competence, Hagemann and others</w:t>
      </w:r>
      <w:r w:rsidR="00824173" w:rsidRPr="005C3043">
        <w:rPr>
          <w:rFonts w:ascii="Times New Roman" w:hAnsi="Times New Roman" w:cs="Times New Roman"/>
        </w:rPr>
        <w:t xml:space="preserve"> (1999)</w:t>
      </w:r>
      <w:r w:rsidRPr="005C3043">
        <w:rPr>
          <w:rFonts w:ascii="Times New Roman" w:hAnsi="Times New Roman" w:cs="Times New Roman"/>
        </w:rPr>
        <w:t xml:space="preserve"> produced follicles of known background by synchronizing estrus in a population of cows and collecting the ovaries at slaughter on days 2, 7, 10, and 15 of the estrous cycle</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Hagemann, 1999)</w:t>
      </w:r>
      <w:r w:rsidRPr="005C3043">
        <w:rPr>
          <w:rFonts w:ascii="Times New Roman" w:hAnsi="Times New Roman" w:cs="Times New Roman"/>
        </w:rPr>
        <w:t>. They collected oocytes from growing, nonatretic follicles 3-5</w:t>
      </w:r>
      <w:r w:rsidR="009B47BA" w:rsidRPr="005C3043">
        <w:rPr>
          <w:rFonts w:ascii="Times New Roman" w:hAnsi="Times New Roman" w:cs="Times New Roman"/>
        </w:rPr>
        <w:t xml:space="preserve"> </w:t>
      </w:r>
      <w:r w:rsidRPr="005C3043">
        <w:rPr>
          <w:rFonts w:ascii="Times New Roman" w:hAnsi="Times New Roman" w:cs="Times New Roman"/>
        </w:rPr>
        <w:t>mm, 6-8</w:t>
      </w:r>
      <w:r w:rsidR="009B47BA" w:rsidRPr="005C3043">
        <w:rPr>
          <w:rFonts w:ascii="Times New Roman" w:hAnsi="Times New Roman" w:cs="Times New Roman"/>
        </w:rPr>
        <w:t xml:space="preserve"> </w:t>
      </w:r>
      <w:r w:rsidRPr="005C3043">
        <w:rPr>
          <w:rFonts w:ascii="Times New Roman" w:hAnsi="Times New Roman" w:cs="Times New Roman"/>
        </w:rPr>
        <w:t>mm, 9-12</w:t>
      </w:r>
      <w:r w:rsidR="009B47BA" w:rsidRPr="005C3043">
        <w:rPr>
          <w:rFonts w:ascii="Times New Roman" w:hAnsi="Times New Roman" w:cs="Times New Roman"/>
        </w:rPr>
        <w:t xml:space="preserve"> </w:t>
      </w:r>
      <w:r w:rsidRPr="005C3043">
        <w:rPr>
          <w:rFonts w:ascii="Times New Roman" w:hAnsi="Times New Roman" w:cs="Times New Roman"/>
        </w:rPr>
        <w:t xml:space="preserve">mm, and </w:t>
      </w:r>
      <w:r w:rsidRPr="005C3043">
        <w:rPr>
          <w:rFonts w:ascii="Times New Roman" w:hAnsi="Times New Roman" w:cs="Times New Roman"/>
          <w:u w:val="single"/>
        </w:rPr>
        <w:t>&gt;</w:t>
      </w:r>
      <w:r w:rsidRPr="005C3043">
        <w:rPr>
          <w:rFonts w:ascii="Times New Roman" w:hAnsi="Times New Roman" w:cs="Times New Roman"/>
        </w:rPr>
        <w:t xml:space="preserve"> 13</w:t>
      </w:r>
      <w:r w:rsidR="009B47BA" w:rsidRPr="005C3043">
        <w:rPr>
          <w:rFonts w:ascii="Times New Roman" w:hAnsi="Times New Roman" w:cs="Times New Roman"/>
        </w:rPr>
        <w:t xml:space="preserve"> </w:t>
      </w:r>
      <w:r w:rsidRPr="005C3043">
        <w:rPr>
          <w:rFonts w:ascii="Times New Roman" w:hAnsi="Times New Roman" w:cs="Times New Roman"/>
        </w:rPr>
        <w:t xml:space="preserve">mm and </w:t>
      </w:r>
      <w:r w:rsidR="00551133" w:rsidRPr="005C3043">
        <w:rPr>
          <w:rFonts w:ascii="Times New Roman" w:hAnsi="Times New Roman" w:cs="Times New Roman"/>
        </w:rPr>
        <w:t xml:space="preserve">observed </w:t>
      </w:r>
      <w:r w:rsidRPr="005C3043">
        <w:rPr>
          <w:rFonts w:ascii="Times New Roman" w:hAnsi="Times New Roman" w:cs="Times New Roman"/>
        </w:rPr>
        <w:t>a size-dependent increase in blastocyst rate from 45% in the 3-5</w:t>
      </w:r>
      <w:r w:rsidR="007957A4" w:rsidRPr="005C3043">
        <w:rPr>
          <w:rFonts w:ascii="Times New Roman" w:hAnsi="Times New Roman" w:cs="Times New Roman"/>
        </w:rPr>
        <w:t xml:space="preserve"> </w:t>
      </w:r>
      <w:r w:rsidRPr="005C3043">
        <w:rPr>
          <w:rFonts w:ascii="Times New Roman" w:hAnsi="Times New Roman" w:cs="Times New Roman"/>
        </w:rPr>
        <w:t xml:space="preserve">mm </w:t>
      </w:r>
      <w:r w:rsidRPr="005C3043">
        <w:rPr>
          <w:rFonts w:ascii="Times New Roman" w:hAnsi="Times New Roman" w:cs="Times New Roman"/>
        </w:rPr>
        <w:lastRenderedPageBreak/>
        <w:t xml:space="preserve">group to 70% in the </w:t>
      </w:r>
      <w:r w:rsidRPr="005C3043">
        <w:rPr>
          <w:rFonts w:ascii="Times New Roman" w:hAnsi="Times New Roman" w:cs="Times New Roman"/>
          <w:u w:val="single"/>
        </w:rPr>
        <w:t>&gt;</w:t>
      </w:r>
      <w:r w:rsidR="007957A4" w:rsidRPr="005C3043">
        <w:rPr>
          <w:rFonts w:ascii="Times New Roman" w:hAnsi="Times New Roman" w:cs="Times New Roman"/>
        </w:rPr>
        <w:t xml:space="preserve"> </w:t>
      </w:r>
      <w:r w:rsidRPr="005C3043">
        <w:rPr>
          <w:rFonts w:ascii="Times New Roman" w:hAnsi="Times New Roman" w:cs="Times New Roman"/>
        </w:rPr>
        <w:t>13 mm group. The collection of 3-5</w:t>
      </w:r>
      <w:r w:rsidR="007957A4" w:rsidRPr="005C3043">
        <w:rPr>
          <w:rFonts w:ascii="Times New Roman" w:hAnsi="Times New Roman" w:cs="Times New Roman"/>
        </w:rPr>
        <w:t xml:space="preserve"> </w:t>
      </w:r>
      <w:r w:rsidRPr="005C3043">
        <w:rPr>
          <w:rFonts w:ascii="Times New Roman" w:hAnsi="Times New Roman" w:cs="Times New Roman"/>
        </w:rPr>
        <w:t>mm follicles on day 2</w:t>
      </w:r>
      <w:r w:rsidR="00551133" w:rsidRPr="005C3043">
        <w:rPr>
          <w:rFonts w:ascii="Times New Roman" w:hAnsi="Times New Roman" w:cs="Times New Roman"/>
        </w:rPr>
        <w:t xml:space="preserve"> </w:t>
      </w:r>
      <w:r w:rsidRPr="005C3043">
        <w:rPr>
          <w:rFonts w:ascii="Times New Roman" w:hAnsi="Times New Roman" w:cs="Times New Roman"/>
        </w:rPr>
        <w:t xml:space="preserve">of the estrous cycle likely resulted in the collection of oocytes during FSH-dependent growth phase while the collection of follicles </w:t>
      </w:r>
      <w:r w:rsidRPr="005C3043">
        <w:rPr>
          <w:rFonts w:ascii="Times New Roman" w:hAnsi="Times New Roman" w:cs="Times New Roman"/>
          <w:u w:val="single"/>
        </w:rPr>
        <w:t>&gt;</w:t>
      </w:r>
      <w:r w:rsidRPr="005C3043">
        <w:rPr>
          <w:rFonts w:ascii="Times New Roman" w:hAnsi="Times New Roman" w:cs="Times New Roman"/>
        </w:rPr>
        <w:t xml:space="preserve"> 13</w:t>
      </w:r>
      <w:r w:rsidR="007957A4" w:rsidRPr="005C3043">
        <w:rPr>
          <w:rFonts w:ascii="Times New Roman" w:hAnsi="Times New Roman" w:cs="Times New Roman"/>
        </w:rPr>
        <w:t xml:space="preserve"> </w:t>
      </w:r>
      <w:r w:rsidRPr="005C3043">
        <w:rPr>
          <w:rFonts w:ascii="Times New Roman" w:hAnsi="Times New Roman" w:cs="Times New Roman"/>
        </w:rPr>
        <w:t>mm on day 15 of the estrous cycle likely resulted in the collection of oocytes during the LH-dependent growth phase. The improved developmental competence of oocytes collected from this time point provide</w:t>
      </w:r>
      <w:r w:rsidR="00551133" w:rsidRPr="005C3043">
        <w:rPr>
          <w:rFonts w:ascii="Times New Roman" w:hAnsi="Times New Roman" w:cs="Times New Roman"/>
        </w:rPr>
        <w:t>s</w:t>
      </w:r>
      <w:r w:rsidRPr="005C3043">
        <w:rPr>
          <w:rFonts w:ascii="Times New Roman" w:hAnsi="Times New Roman" w:cs="Times New Roman"/>
        </w:rPr>
        <w:t xml:space="preserve"> evidence o</w:t>
      </w:r>
      <w:r w:rsidR="00551133" w:rsidRPr="005C3043">
        <w:rPr>
          <w:rFonts w:ascii="Times New Roman" w:hAnsi="Times New Roman" w:cs="Times New Roman"/>
        </w:rPr>
        <w:t>f</w:t>
      </w:r>
      <w:r w:rsidRPr="005C3043">
        <w:rPr>
          <w:rFonts w:ascii="Times New Roman" w:hAnsi="Times New Roman" w:cs="Times New Roman"/>
        </w:rPr>
        <w:t xml:space="preserve"> the importance of LH-dependent growth on oocyte developmental competence. In the LH-dependent follicular phase, the oocyte undergoes a phase of low growth and increased cytoplasmic reorganization referred to as the </w:t>
      </w:r>
      <w:r w:rsidR="008E3A14" w:rsidRPr="005C3043">
        <w:rPr>
          <w:rFonts w:ascii="Times New Roman" w:hAnsi="Times New Roman" w:cs="Times New Roman"/>
        </w:rPr>
        <w:t xml:space="preserve">oocyte </w:t>
      </w:r>
      <w:r w:rsidRPr="005C3043">
        <w:rPr>
          <w:rFonts w:ascii="Times New Roman" w:hAnsi="Times New Roman" w:cs="Times New Roman"/>
        </w:rPr>
        <w:t>capacitation phase (~120-150μm</w:t>
      </w:r>
      <w:r w:rsidR="006521DC" w:rsidRPr="005C3043">
        <w:rPr>
          <w:rFonts w:ascii="Times New Roman" w:hAnsi="Times New Roman" w:cs="Times New Roman"/>
        </w:rPr>
        <w:t xml:space="preserve">; </w:t>
      </w:r>
      <w:r w:rsidR="00C55223" w:rsidRPr="005C3043">
        <w:rPr>
          <w:rFonts w:ascii="Times New Roman" w:hAnsi="Times New Roman" w:cs="Times New Roman"/>
          <w:noProof/>
        </w:rPr>
        <w:t>Humblot et al., 2005)</w:t>
      </w:r>
      <w:r w:rsidRPr="005C3043">
        <w:rPr>
          <w:rFonts w:ascii="Times New Roman" w:hAnsi="Times New Roman" w:cs="Times New Roman"/>
        </w:rPr>
        <w:t>. Despite possessing the ability to resume meiosis and having reached their final size, oocytes in this phase are maintained in a period of meiotic arrest. This allows for ultrastructural changes to occur as well as modifications to be made to RNA and proteins to prevent their degradation</w:t>
      </w:r>
      <w:r w:rsidR="003811E4" w:rsidRPr="005C3043">
        <w:rPr>
          <w:rFonts w:ascii="Times New Roman" w:hAnsi="Times New Roman" w:cs="Times New Roman"/>
        </w:rPr>
        <w:t xml:space="preserve"> </w:t>
      </w:r>
      <w:r w:rsidR="00C55223" w:rsidRPr="005C3043">
        <w:rPr>
          <w:rFonts w:ascii="Times New Roman" w:hAnsi="Times New Roman" w:cs="Times New Roman"/>
          <w:noProof/>
        </w:rPr>
        <w:t>(Hyttel et al., 1989; Merton et al., 2003; Gougeon, 2010; Labrecque et al., 2016; Liu et al., 2017; Tang et al., 2019)</w:t>
      </w:r>
      <w:r w:rsidRPr="005C3043">
        <w:rPr>
          <w:rFonts w:ascii="Times New Roman" w:hAnsi="Times New Roman" w:cs="Times New Roman"/>
        </w:rPr>
        <w:t>.</w:t>
      </w:r>
    </w:p>
    <w:p w14:paraId="2716FA88" w14:textId="6B11FC17" w:rsidR="00513F4B" w:rsidRPr="005C3043" w:rsidRDefault="00513F4B" w:rsidP="00F672B3">
      <w:pPr>
        <w:spacing w:line="480" w:lineRule="auto"/>
        <w:ind w:firstLine="720"/>
        <w:contextualSpacing/>
        <w:jc w:val="both"/>
        <w:rPr>
          <w:rFonts w:ascii="Times New Roman" w:hAnsi="Times New Roman" w:cs="Times New Roman"/>
        </w:rPr>
      </w:pPr>
      <w:r w:rsidRPr="005C3043">
        <w:rPr>
          <w:rFonts w:ascii="Times New Roman" w:hAnsi="Times New Roman" w:cs="Times New Roman"/>
        </w:rPr>
        <w:t xml:space="preserve">Additional studies compare the developmental competence of oocytes collected </w:t>
      </w:r>
      <w:r w:rsidR="0081670A" w:rsidRPr="005C3043">
        <w:rPr>
          <w:rFonts w:ascii="Times New Roman" w:hAnsi="Times New Roman" w:cs="Times New Roman"/>
        </w:rPr>
        <w:t>after the LH surge</w:t>
      </w:r>
      <w:r w:rsidRPr="005C3043">
        <w:rPr>
          <w:rFonts w:ascii="Times New Roman" w:hAnsi="Times New Roman" w:cs="Times New Roman"/>
        </w:rPr>
        <w:t xml:space="preserve"> to oocytes collected during the FSH-dependent and LH-dependent phases. </w:t>
      </w:r>
      <w:r w:rsidRPr="005C3043">
        <w:rPr>
          <w:rFonts w:ascii="Times New Roman" w:hAnsi="Times New Roman" w:cs="Times New Roman"/>
          <w:i/>
        </w:rPr>
        <w:t xml:space="preserve">In vitro </w:t>
      </w:r>
      <w:r w:rsidRPr="005C3043">
        <w:rPr>
          <w:rFonts w:ascii="Times New Roman" w:hAnsi="Times New Roman" w:cs="Times New Roman"/>
        </w:rPr>
        <w:t xml:space="preserve">culture studies by van de </w:t>
      </w:r>
      <w:proofErr w:type="spellStart"/>
      <w:r w:rsidRPr="005C3043">
        <w:rPr>
          <w:rFonts w:ascii="Times New Roman" w:hAnsi="Times New Roman" w:cs="Times New Roman"/>
        </w:rPr>
        <w:t>Leemput</w:t>
      </w:r>
      <w:proofErr w:type="spellEnd"/>
      <w:r w:rsidRPr="005C3043">
        <w:rPr>
          <w:rFonts w:ascii="Times New Roman" w:hAnsi="Times New Roman" w:cs="Times New Roman"/>
        </w:rPr>
        <w:t xml:space="preserve"> and Dieleman </w:t>
      </w:r>
      <w:r w:rsidR="005946B9" w:rsidRPr="005C3043">
        <w:rPr>
          <w:rFonts w:ascii="Times New Roman" w:hAnsi="Times New Roman" w:cs="Times New Roman"/>
        </w:rPr>
        <w:t xml:space="preserve">(1999) </w:t>
      </w:r>
      <w:r w:rsidRPr="005C3043">
        <w:rPr>
          <w:rFonts w:ascii="Times New Roman" w:hAnsi="Times New Roman" w:cs="Times New Roman"/>
        </w:rPr>
        <w:t>also showed the importance of physiological status of the follicle prior to oocyte removal. The first study compared abattoir-sourced, 2-8</w:t>
      </w:r>
      <w:r w:rsidR="007957A4" w:rsidRPr="005C3043">
        <w:rPr>
          <w:rFonts w:ascii="Times New Roman" w:hAnsi="Times New Roman" w:cs="Times New Roman"/>
        </w:rPr>
        <w:t xml:space="preserve"> </w:t>
      </w:r>
      <w:r w:rsidRPr="005C3043">
        <w:rPr>
          <w:rFonts w:ascii="Times New Roman" w:hAnsi="Times New Roman" w:cs="Times New Roman"/>
        </w:rPr>
        <w:t xml:space="preserve">mm follicle (FSH-dependent phase) oocytes that underwent </w:t>
      </w:r>
      <w:r w:rsidRPr="005C3043">
        <w:rPr>
          <w:rFonts w:ascii="Times New Roman" w:hAnsi="Times New Roman" w:cs="Times New Roman"/>
          <w:i/>
        </w:rPr>
        <w:t>in vitro</w:t>
      </w:r>
      <w:r w:rsidRPr="005C3043">
        <w:rPr>
          <w:rFonts w:ascii="Times New Roman" w:hAnsi="Times New Roman" w:cs="Times New Roman"/>
        </w:rPr>
        <w:t xml:space="preserve"> maturation to oocytes removed from super</w:t>
      </w:r>
      <w:r w:rsidR="008E3A14" w:rsidRPr="005C3043">
        <w:rPr>
          <w:rFonts w:ascii="Times New Roman" w:hAnsi="Times New Roman" w:cs="Times New Roman"/>
        </w:rPr>
        <w:t>-</w:t>
      </w:r>
      <w:r w:rsidRPr="005C3043">
        <w:rPr>
          <w:rFonts w:ascii="Times New Roman" w:hAnsi="Times New Roman" w:cs="Times New Roman"/>
        </w:rPr>
        <w:t xml:space="preserve">ovulated cattle 24 hours after the LH surge (full development through </w:t>
      </w:r>
      <w:r w:rsidR="0081670A" w:rsidRPr="005C3043">
        <w:rPr>
          <w:rFonts w:ascii="Times New Roman" w:hAnsi="Times New Roman" w:cs="Times New Roman"/>
        </w:rPr>
        <w:t>post LH surge environment</w:t>
      </w:r>
      <w:r w:rsidR="00AC6DC1" w:rsidRPr="005C3043">
        <w:rPr>
          <w:rFonts w:ascii="Times New Roman" w:hAnsi="Times New Roman" w:cs="Times New Roman"/>
        </w:rPr>
        <w:t xml:space="preserve"> </w:t>
      </w:r>
      <w:r w:rsidR="00C55223" w:rsidRPr="005C3043">
        <w:rPr>
          <w:rFonts w:ascii="Times New Roman" w:hAnsi="Times New Roman" w:cs="Times New Roman"/>
          <w:noProof/>
        </w:rPr>
        <w:t>(van de Leemput et al., 1999)</w:t>
      </w:r>
      <w:r w:rsidRPr="005C3043">
        <w:rPr>
          <w:rFonts w:ascii="Times New Roman" w:hAnsi="Times New Roman" w:cs="Times New Roman"/>
        </w:rPr>
        <w:t xml:space="preserve">. Oocytes that were exposed to </w:t>
      </w:r>
      <w:proofErr w:type="gramStart"/>
      <w:r w:rsidRPr="005C3043">
        <w:rPr>
          <w:rFonts w:ascii="Times New Roman" w:hAnsi="Times New Roman" w:cs="Times New Roman"/>
        </w:rPr>
        <w:t>all of</w:t>
      </w:r>
      <w:proofErr w:type="gramEnd"/>
      <w:r w:rsidRPr="005C3043">
        <w:rPr>
          <w:rFonts w:ascii="Times New Roman" w:hAnsi="Times New Roman" w:cs="Times New Roman"/>
        </w:rPr>
        <w:t xml:space="preserve"> the follicle </w:t>
      </w:r>
      <w:r w:rsidR="00E56393" w:rsidRPr="005C3043">
        <w:rPr>
          <w:rFonts w:ascii="Times New Roman" w:hAnsi="Times New Roman" w:cs="Times New Roman"/>
        </w:rPr>
        <w:t xml:space="preserve">developmental </w:t>
      </w:r>
      <w:r w:rsidRPr="005C3043">
        <w:rPr>
          <w:rFonts w:ascii="Times New Roman" w:hAnsi="Times New Roman" w:cs="Times New Roman"/>
        </w:rPr>
        <w:t xml:space="preserve">stages had 20% </w:t>
      </w:r>
      <w:r w:rsidR="00D52D0C" w:rsidRPr="005C3043">
        <w:rPr>
          <w:rFonts w:ascii="Times New Roman" w:hAnsi="Times New Roman" w:cs="Times New Roman"/>
        </w:rPr>
        <w:t xml:space="preserve">greater </w:t>
      </w:r>
      <w:r w:rsidRPr="005C3043">
        <w:rPr>
          <w:rFonts w:ascii="Times New Roman" w:hAnsi="Times New Roman" w:cs="Times New Roman"/>
        </w:rPr>
        <w:t xml:space="preserve">cleavage and blastocyst rates compared to those removed from the physiologically </w:t>
      </w:r>
      <w:r w:rsidRPr="005C3043">
        <w:rPr>
          <w:rFonts w:ascii="Times New Roman" w:hAnsi="Times New Roman" w:cs="Times New Roman"/>
        </w:rPr>
        <w:lastRenderedPageBreak/>
        <w:t xml:space="preserve">younger follicles (FSH dependent phase). </w:t>
      </w:r>
      <w:proofErr w:type="spellStart"/>
      <w:r w:rsidRPr="005C3043">
        <w:rPr>
          <w:rFonts w:ascii="Times New Roman" w:hAnsi="Times New Roman" w:cs="Times New Roman"/>
        </w:rPr>
        <w:t>Gjorret</w:t>
      </w:r>
      <w:proofErr w:type="spellEnd"/>
      <w:r w:rsidRPr="005C3043">
        <w:rPr>
          <w:rFonts w:ascii="Times New Roman" w:hAnsi="Times New Roman" w:cs="Times New Roman"/>
        </w:rPr>
        <w:t xml:space="preserve"> et al</w:t>
      </w:r>
      <w:r w:rsidR="005946B9" w:rsidRPr="005C3043">
        <w:rPr>
          <w:rFonts w:ascii="Times New Roman" w:hAnsi="Times New Roman" w:cs="Times New Roman"/>
        </w:rPr>
        <w:t>. (2003)</w:t>
      </w:r>
      <w:r w:rsidRPr="005C3043">
        <w:rPr>
          <w:rFonts w:ascii="Times New Roman" w:hAnsi="Times New Roman" w:cs="Times New Roman"/>
        </w:rPr>
        <w:t xml:space="preserve"> and </w:t>
      </w:r>
      <w:proofErr w:type="spellStart"/>
      <w:r w:rsidRPr="005C3043">
        <w:rPr>
          <w:rFonts w:ascii="Times New Roman" w:hAnsi="Times New Roman" w:cs="Times New Roman"/>
        </w:rPr>
        <w:t>Knijn</w:t>
      </w:r>
      <w:proofErr w:type="spellEnd"/>
      <w:r w:rsidRPr="005C3043">
        <w:rPr>
          <w:rFonts w:ascii="Times New Roman" w:hAnsi="Times New Roman" w:cs="Times New Roman"/>
        </w:rPr>
        <w:t xml:space="preserve"> et al</w:t>
      </w:r>
      <w:r w:rsidR="005946B9" w:rsidRPr="005C3043">
        <w:rPr>
          <w:rFonts w:ascii="Times New Roman" w:hAnsi="Times New Roman" w:cs="Times New Roman"/>
        </w:rPr>
        <w:t xml:space="preserve">. (2002) </w:t>
      </w:r>
      <w:r w:rsidRPr="005C3043">
        <w:rPr>
          <w:rFonts w:ascii="Times New Roman" w:hAnsi="Times New Roman" w:cs="Times New Roman"/>
        </w:rPr>
        <w:t>conducted similar experiments</w:t>
      </w:r>
      <w:r w:rsidR="00647FA2" w:rsidRPr="005C3043">
        <w:rPr>
          <w:rFonts w:ascii="Times New Roman" w:hAnsi="Times New Roman" w:cs="Times New Roman"/>
        </w:rPr>
        <w:t xml:space="preserve"> </w:t>
      </w:r>
      <w:r w:rsidRPr="005C3043">
        <w:rPr>
          <w:rFonts w:ascii="Times New Roman" w:hAnsi="Times New Roman" w:cs="Times New Roman"/>
        </w:rPr>
        <w:t xml:space="preserve">and recorded embryo quality. </w:t>
      </w:r>
      <w:r w:rsidRPr="005C3043">
        <w:rPr>
          <w:rFonts w:ascii="Times New Roman" w:hAnsi="Times New Roman" w:cs="Times New Roman"/>
          <w:i/>
        </w:rPr>
        <w:t>In vivo</w:t>
      </w:r>
      <w:r w:rsidRPr="005C3043">
        <w:rPr>
          <w:rFonts w:ascii="Times New Roman" w:hAnsi="Times New Roman" w:cs="Times New Roman"/>
        </w:rPr>
        <w:t xml:space="preserve"> produced embryos </w:t>
      </w:r>
      <w:r w:rsidR="00526D45" w:rsidRPr="005C3043">
        <w:rPr>
          <w:rFonts w:ascii="Times New Roman" w:hAnsi="Times New Roman" w:cs="Times New Roman"/>
        </w:rPr>
        <w:t xml:space="preserve">from super-ovulated cattle </w:t>
      </w:r>
      <w:r w:rsidRPr="005C3043">
        <w:rPr>
          <w:rFonts w:ascii="Times New Roman" w:hAnsi="Times New Roman" w:cs="Times New Roman"/>
        </w:rPr>
        <w:t xml:space="preserve">were </w:t>
      </w:r>
      <w:r w:rsidR="00C72B76" w:rsidRPr="005C3043">
        <w:rPr>
          <w:rFonts w:ascii="Times New Roman" w:hAnsi="Times New Roman" w:cs="Times New Roman"/>
        </w:rPr>
        <w:t>better</w:t>
      </w:r>
      <w:r w:rsidRPr="005C3043">
        <w:rPr>
          <w:rFonts w:ascii="Times New Roman" w:hAnsi="Times New Roman" w:cs="Times New Roman"/>
        </w:rPr>
        <w:t xml:space="preserve"> quality as shown by an increase in cell number and a decrease in apoptotic cells </w:t>
      </w:r>
      <w:r w:rsidR="00C72B76" w:rsidRPr="005C3043">
        <w:rPr>
          <w:rFonts w:ascii="Times New Roman" w:hAnsi="Times New Roman" w:cs="Times New Roman"/>
        </w:rPr>
        <w:t xml:space="preserve">compared to </w:t>
      </w:r>
      <w:r w:rsidR="00C72B76" w:rsidRPr="005C3043">
        <w:rPr>
          <w:rFonts w:ascii="Times New Roman" w:hAnsi="Times New Roman" w:cs="Times New Roman"/>
          <w:i/>
        </w:rPr>
        <w:t xml:space="preserve">in vitro </w:t>
      </w:r>
      <w:r w:rsidR="00C72B76" w:rsidRPr="005C3043">
        <w:rPr>
          <w:rFonts w:ascii="Times New Roman" w:hAnsi="Times New Roman" w:cs="Times New Roman"/>
        </w:rPr>
        <w:t xml:space="preserve">produced embryos </w:t>
      </w:r>
      <w:r w:rsidR="00C55223" w:rsidRPr="005C3043">
        <w:rPr>
          <w:rFonts w:ascii="Times New Roman" w:hAnsi="Times New Roman" w:cs="Times New Roman"/>
          <w:noProof/>
        </w:rPr>
        <w:t xml:space="preserve">(Knijn et al., 2002; Gjorret </w:t>
      </w:r>
      <w:r w:rsidR="005946B9" w:rsidRPr="005C3043">
        <w:rPr>
          <w:rFonts w:ascii="Times New Roman" w:hAnsi="Times New Roman" w:cs="Times New Roman"/>
          <w:noProof/>
        </w:rPr>
        <w:t>et al.</w:t>
      </w:r>
      <w:r w:rsidR="00C55223" w:rsidRPr="005C3043">
        <w:rPr>
          <w:rFonts w:ascii="Times New Roman" w:hAnsi="Times New Roman" w:cs="Times New Roman"/>
          <w:noProof/>
        </w:rPr>
        <w:t>, 2003)</w:t>
      </w:r>
      <w:r w:rsidRPr="005C3043">
        <w:rPr>
          <w:rFonts w:ascii="Times New Roman" w:hAnsi="Times New Roman" w:cs="Times New Roman"/>
        </w:rPr>
        <w:t xml:space="preserve">. Dieleman </w:t>
      </w:r>
      <w:r w:rsidR="005946B9" w:rsidRPr="005C3043">
        <w:rPr>
          <w:rFonts w:ascii="Times New Roman" w:hAnsi="Times New Roman" w:cs="Times New Roman"/>
        </w:rPr>
        <w:t xml:space="preserve">and others (2002) </w:t>
      </w:r>
      <w:r w:rsidRPr="005C3043">
        <w:rPr>
          <w:rFonts w:ascii="Times New Roman" w:hAnsi="Times New Roman" w:cs="Times New Roman"/>
        </w:rPr>
        <w:t xml:space="preserve">further elucidated the importance of the final stages of </w:t>
      </w:r>
      <w:r w:rsidR="006F7A7A" w:rsidRPr="005C3043">
        <w:rPr>
          <w:rFonts w:ascii="Times New Roman" w:hAnsi="Times New Roman" w:cs="Times New Roman"/>
        </w:rPr>
        <w:t xml:space="preserve">antral </w:t>
      </w:r>
      <w:r w:rsidRPr="005C3043">
        <w:rPr>
          <w:rFonts w:ascii="Times New Roman" w:hAnsi="Times New Roman" w:cs="Times New Roman"/>
        </w:rPr>
        <w:t xml:space="preserve">follicle development, specifically highlighting the importance of the completion of capacitation and exposure to the </w:t>
      </w:r>
      <w:r w:rsidR="008C4D22" w:rsidRPr="005C3043">
        <w:rPr>
          <w:rFonts w:ascii="Times New Roman" w:hAnsi="Times New Roman" w:cs="Times New Roman"/>
        </w:rPr>
        <w:t>post LH surge follicular environment</w:t>
      </w:r>
      <w:r w:rsidRPr="005C3043">
        <w:rPr>
          <w:rFonts w:ascii="Times New Roman" w:hAnsi="Times New Roman" w:cs="Times New Roman"/>
        </w:rPr>
        <w:t>. They super</w:t>
      </w:r>
      <w:r w:rsidR="006F7A7A" w:rsidRPr="005C3043">
        <w:rPr>
          <w:rFonts w:ascii="Times New Roman" w:hAnsi="Times New Roman" w:cs="Times New Roman"/>
        </w:rPr>
        <w:t>-</w:t>
      </w:r>
      <w:r w:rsidRPr="005C3043">
        <w:rPr>
          <w:rFonts w:ascii="Times New Roman" w:hAnsi="Times New Roman" w:cs="Times New Roman"/>
        </w:rPr>
        <w:t>ovulated cattle and removed a group of oocytes from the follicle 2 hours prior to the</w:t>
      </w:r>
      <w:r w:rsidR="00A244E1" w:rsidRPr="005C3043">
        <w:rPr>
          <w:rFonts w:ascii="Times New Roman" w:hAnsi="Times New Roman" w:cs="Times New Roman"/>
        </w:rPr>
        <w:t xml:space="preserve"> GnRH-induced</w:t>
      </w:r>
      <w:r w:rsidRPr="005C3043">
        <w:rPr>
          <w:rFonts w:ascii="Times New Roman" w:hAnsi="Times New Roman" w:cs="Times New Roman"/>
        </w:rPr>
        <w:t xml:space="preserve"> LH surge and 24 hours after the LH surge via </w:t>
      </w:r>
      <w:r w:rsidR="00551133" w:rsidRPr="005C3043">
        <w:rPr>
          <w:rFonts w:ascii="Times New Roman" w:hAnsi="Times New Roman" w:cs="Times New Roman"/>
        </w:rPr>
        <w:t>ovum pick up (</w:t>
      </w:r>
      <w:r w:rsidRPr="005C3043">
        <w:rPr>
          <w:rFonts w:ascii="Times New Roman" w:hAnsi="Times New Roman" w:cs="Times New Roman"/>
        </w:rPr>
        <w:t>OPU</w:t>
      </w:r>
      <w:r w:rsidR="00551133" w:rsidRPr="005C3043">
        <w:rPr>
          <w:rFonts w:ascii="Times New Roman" w:hAnsi="Times New Roman" w:cs="Times New Roman"/>
        </w:rPr>
        <w:t>)</w:t>
      </w:r>
      <w:r w:rsidRPr="005C3043">
        <w:rPr>
          <w:rFonts w:ascii="Times New Roman" w:hAnsi="Times New Roman" w:cs="Times New Roman"/>
        </w:rPr>
        <w:t xml:space="preserve">. The oocytes removed from the follicle </w:t>
      </w:r>
      <w:r w:rsidR="00A244E1" w:rsidRPr="005C3043">
        <w:rPr>
          <w:rFonts w:ascii="Times New Roman" w:hAnsi="Times New Roman" w:cs="Times New Roman"/>
        </w:rPr>
        <w:t xml:space="preserve">2 hours </w:t>
      </w:r>
      <w:r w:rsidRPr="005C3043">
        <w:rPr>
          <w:rFonts w:ascii="Times New Roman" w:hAnsi="Times New Roman" w:cs="Times New Roman"/>
        </w:rPr>
        <w:t xml:space="preserve">prior to the LH surge were matured </w:t>
      </w:r>
      <w:r w:rsidRPr="005C3043">
        <w:rPr>
          <w:rFonts w:ascii="Times New Roman" w:hAnsi="Times New Roman" w:cs="Times New Roman"/>
          <w:i/>
        </w:rPr>
        <w:t>in vitro</w:t>
      </w:r>
      <w:r w:rsidRPr="005C3043">
        <w:rPr>
          <w:rFonts w:ascii="Times New Roman" w:hAnsi="Times New Roman" w:cs="Times New Roman"/>
        </w:rPr>
        <w:t xml:space="preserve"> while those removed after </w:t>
      </w:r>
      <w:r w:rsidR="00A244E1" w:rsidRPr="005C3043">
        <w:rPr>
          <w:rFonts w:ascii="Times New Roman" w:hAnsi="Times New Roman" w:cs="Times New Roman"/>
        </w:rPr>
        <w:t xml:space="preserve">the LH surge </w:t>
      </w:r>
      <w:r w:rsidRPr="005C3043">
        <w:rPr>
          <w:rFonts w:ascii="Times New Roman" w:hAnsi="Times New Roman" w:cs="Times New Roman"/>
        </w:rPr>
        <w:t xml:space="preserve">were matured </w:t>
      </w:r>
      <w:r w:rsidRPr="005C3043">
        <w:rPr>
          <w:rFonts w:ascii="Times New Roman" w:hAnsi="Times New Roman" w:cs="Times New Roman"/>
          <w:i/>
        </w:rPr>
        <w:t>in vivo</w:t>
      </w:r>
      <w:r w:rsidRPr="005C3043">
        <w:rPr>
          <w:rFonts w:ascii="Times New Roman" w:hAnsi="Times New Roman" w:cs="Times New Roman"/>
        </w:rPr>
        <w:t xml:space="preserve">. Exposure of the oocyte to the full length of </w:t>
      </w:r>
      <w:r w:rsidR="00526D45" w:rsidRPr="005C3043">
        <w:rPr>
          <w:rFonts w:ascii="Times New Roman" w:hAnsi="Times New Roman" w:cs="Times New Roman"/>
        </w:rPr>
        <w:t xml:space="preserve">oocyte </w:t>
      </w:r>
      <w:r w:rsidRPr="005C3043">
        <w:rPr>
          <w:rFonts w:ascii="Times New Roman" w:hAnsi="Times New Roman" w:cs="Times New Roman"/>
        </w:rPr>
        <w:t xml:space="preserve">capacitation and the </w:t>
      </w:r>
      <w:r w:rsidR="008C4D22" w:rsidRPr="005C3043">
        <w:rPr>
          <w:rFonts w:ascii="Times New Roman" w:hAnsi="Times New Roman" w:cs="Times New Roman"/>
        </w:rPr>
        <w:t>post LH surge</w:t>
      </w:r>
      <w:r w:rsidRPr="005C3043">
        <w:rPr>
          <w:rFonts w:ascii="Times New Roman" w:hAnsi="Times New Roman" w:cs="Times New Roman"/>
        </w:rPr>
        <w:t xml:space="preserve"> environment is important for downstream developmental competence as oocytes that were allowed to complete</w:t>
      </w:r>
      <w:r w:rsidR="00526D45" w:rsidRPr="005C3043">
        <w:rPr>
          <w:rFonts w:ascii="Times New Roman" w:hAnsi="Times New Roman" w:cs="Times New Roman"/>
        </w:rPr>
        <w:t xml:space="preserve"> oocyte</w:t>
      </w:r>
      <w:r w:rsidRPr="005C3043">
        <w:rPr>
          <w:rFonts w:ascii="Times New Roman" w:hAnsi="Times New Roman" w:cs="Times New Roman"/>
        </w:rPr>
        <w:t xml:space="preserve"> capacitation and mature </w:t>
      </w:r>
      <w:r w:rsidRPr="005C3043">
        <w:rPr>
          <w:rFonts w:ascii="Times New Roman" w:hAnsi="Times New Roman" w:cs="Times New Roman"/>
          <w:i/>
        </w:rPr>
        <w:t>in vivo</w:t>
      </w:r>
      <w:r w:rsidRPr="005C3043">
        <w:rPr>
          <w:rFonts w:ascii="Times New Roman" w:hAnsi="Times New Roman" w:cs="Times New Roman"/>
        </w:rPr>
        <w:t xml:space="preserve"> had a higher blastocyst rate (50% vs 80%). Completion of </w:t>
      </w:r>
      <w:r w:rsidR="00526D45" w:rsidRPr="005C3043">
        <w:rPr>
          <w:rFonts w:ascii="Times New Roman" w:hAnsi="Times New Roman" w:cs="Times New Roman"/>
        </w:rPr>
        <w:t xml:space="preserve">oocyte </w:t>
      </w:r>
      <w:r w:rsidRPr="005C3043">
        <w:rPr>
          <w:rFonts w:ascii="Times New Roman" w:hAnsi="Times New Roman" w:cs="Times New Roman"/>
        </w:rPr>
        <w:t xml:space="preserve">capacitation and oocyte maturation </w:t>
      </w:r>
      <w:r w:rsidRPr="005C3043">
        <w:rPr>
          <w:rFonts w:ascii="Times New Roman" w:hAnsi="Times New Roman" w:cs="Times New Roman"/>
          <w:i/>
          <w:iCs/>
        </w:rPr>
        <w:t>in vivo</w:t>
      </w:r>
      <w:r w:rsidRPr="005C3043">
        <w:rPr>
          <w:rFonts w:ascii="Times New Roman" w:hAnsi="Times New Roman" w:cs="Times New Roman"/>
        </w:rPr>
        <w:t xml:space="preserve"> is also important for embryo </w:t>
      </w:r>
      <w:r w:rsidR="00A244E1" w:rsidRPr="005C3043">
        <w:rPr>
          <w:rFonts w:ascii="Times New Roman" w:hAnsi="Times New Roman" w:cs="Times New Roman"/>
        </w:rPr>
        <w:t>quality</w:t>
      </w:r>
      <w:r w:rsidRPr="005C3043">
        <w:rPr>
          <w:rFonts w:ascii="Times New Roman" w:hAnsi="Times New Roman" w:cs="Times New Roman"/>
        </w:rPr>
        <w:t xml:space="preserve"> as evidenced by an increased embryo cell number </w:t>
      </w:r>
      <w:r w:rsidR="005946B9" w:rsidRPr="005C3043">
        <w:rPr>
          <w:rFonts w:ascii="Times New Roman" w:hAnsi="Times New Roman" w:cs="Times New Roman"/>
        </w:rPr>
        <w:t xml:space="preserve">(54% vs 96%) </w:t>
      </w:r>
      <w:r w:rsidRPr="005C3043">
        <w:rPr>
          <w:rFonts w:ascii="Times New Roman" w:hAnsi="Times New Roman" w:cs="Times New Roman"/>
        </w:rPr>
        <w:t xml:space="preserve">and a lower percent of mixoploid embryos (50% vs 21%) in the </w:t>
      </w:r>
      <w:r w:rsidRPr="005C3043">
        <w:rPr>
          <w:rFonts w:ascii="Times New Roman" w:hAnsi="Times New Roman" w:cs="Times New Roman"/>
          <w:i/>
        </w:rPr>
        <w:t>in vivo</w:t>
      </w:r>
      <w:r w:rsidRPr="005C3043">
        <w:rPr>
          <w:rFonts w:ascii="Times New Roman" w:hAnsi="Times New Roman" w:cs="Times New Roman"/>
        </w:rPr>
        <w:t xml:space="preserve"> matured group</w:t>
      </w:r>
      <w:r w:rsidR="00873509" w:rsidRPr="005C3043">
        <w:rPr>
          <w:rFonts w:ascii="Times New Roman" w:hAnsi="Times New Roman" w:cs="Times New Roman"/>
        </w:rPr>
        <w:t xml:space="preserve"> (Dieleman et al., 2002)</w:t>
      </w:r>
      <w:r w:rsidRPr="005C3043">
        <w:rPr>
          <w:rFonts w:ascii="Times New Roman" w:hAnsi="Times New Roman" w:cs="Times New Roman"/>
        </w:rPr>
        <w:t>. Another study by de</w:t>
      </w:r>
      <w:r w:rsidR="00873509" w:rsidRPr="005C3043">
        <w:rPr>
          <w:rFonts w:ascii="Times New Roman" w:hAnsi="Times New Roman" w:cs="Times New Roman"/>
        </w:rPr>
        <w:t xml:space="preserve"> </w:t>
      </w:r>
      <w:r w:rsidRPr="005C3043">
        <w:rPr>
          <w:rFonts w:ascii="Times New Roman" w:hAnsi="Times New Roman" w:cs="Times New Roman"/>
        </w:rPr>
        <w:t>Loos et al</w:t>
      </w:r>
      <w:r w:rsidR="00A244E1" w:rsidRPr="005C3043">
        <w:rPr>
          <w:rFonts w:ascii="Times New Roman" w:hAnsi="Times New Roman" w:cs="Times New Roman"/>
        </w:rPr>
        <w:t>.</w:t>
      </w:r>
      <w:r w:rsidRPr="005C3043">
        <w:rPr>
          <w:rFonts w:ascii="Times New Roman" w:hAnsi="Times New Roman" w:cs="Times New Roman"/>
        </w:rPr>
        <w:t xml:space="preserve"> </w:t>
      </w:r>
      <w:r w:rsidR="00A244E1" w:rsidRPr="005C3043">
        <w:rPr>
          <w:rFonts w:ascii="Times New Roman" w:hAnsi="Times New Roman" w:cs="Times New Roman"/>
        </w:rPr>
        <w:t>(</w:t>
      </w:r>
      <w:r w:rsidRPr="005C3043">
        <w:rPr>
          <w:rFonts w:ascii="Times New Roman" w:hAnsi="Times New Roman" w:cs="Times New Roman"/>
        </w:rPr>
        <w:t>1992</w:t>
      </w:r>
      <w:r w:rsidR="00A244E1" w:rsidRPr="005C3043">
        <w:rPr>
          <w:rFonts w:ascii="Times New Roman" w:hAnsi="Times New Roman" w:cs="Times New Roman"/>
        </w:rPr>
        <w:t>)</w:t>
      </w:r>
      <w:r w:rsidRPr="005C3043">
        <w:rPr>
          <w:rFonts w:ascii="Times New Roman" w:hAnsi="Times New Roman" w:cs="Times New Roman"/>
        </w:rPr>
        <w:t xml:space="preserve"> revealed that </w:t>
      </w:r>
      <w:r w:rsidRPr="005C3043">
        <w:rPr>
          <w:rFonts w:ascii="Times New Roman" w:hAnsi="Times New Roman" w:cs="Times New Roman"/>
          <w:i/>
        </w:rPr>
        <w:t>in vitro</w:t>
      </w:r>
      <w:r w:rsidRPr="005C3043">
        <w:rPr>
          <w:rFonts w:ascii="Times New Roman" w:hAnsi="Times New Roman" w:cs="Times New Roman"/>
        </w:rPr>
        <w:t xml:space="preserve"> versus </w:t>
      </w:r>
      <w:r w:rsidRPr="005C3043">
        <w:rPr>
          <w:rFonts w:ascii="Times New Roman" w:hAnsi="Times New Roman" w:cs="Times New Roman"/>
          <w:i/>
        </w:rPr>
        <w:t>in vivo</w:t>
      </w:r>
      <w:r w:rsidRPr="005C3043">
        <w:rPr>
          <w:rFonts w:ascii="Times New Roman" w:hAnsi="Times New Roman" w:cs="Times New Roman"/>
        </w:rPr>
        <w:t xml:space="preserve"> final maturation affected cumulus cells as well. Cumulus cells of </w:t>
      </w:r>
      <w:r w:rsidRPr="005C3043">
        <w:rPr>
          <w:rFonts w:ascii="Times New Roman" w:hAnsi="Times New Roman" w:cs="Times New Roman"/>
          <w:i/>
        </w:rPr>
        <w:t>in vitro</w:t>
      </w:r>
      <w:r w:rsidRPr="005C3043">
        <w:rPr>
          <w:rFonts w:ascii="Times New Roman" w:hAnsi="Times New Roman" w:cs="Times New Roman"/>
        </w:rPr>
        <w:t xml:space="preserve"> matured COCs had decreased expansion. Cumulus cell expansion is important for oocyte maturation as well as fertilization. Decreased expansion in </w:t>
      </w:r>
      <w:r w:rsidRPr="005C3043">
        <w:rPr>
          <w:rFonts w:ascii="Times New Roman" w:hAnsi="Times New Roman" w:cs="Times New Roman"/>
          <w:i/>
          <w:iCs/>
        </w:rPr>
        <w:t>in vitro</w:t>
      </w:r>
      <w:r w:rsidRPr="005C3043">
        <w:rPr>
          <w:rFonts w:ascii="Times New Roman" w:hAnsi="Times New Roman" w:cs="Times New Roman"/>
        </w:rPr>
        <w:t xml:space="preserve"> matured COCs provides further evidence that </w:t>
      </w:r>
      <w:r w:rsidRPr="005C3043">
        <w:rPr>
          <w:rFonts w:ascii="Times New Roman" w:hAnsi="Times New Roman" w:cs="Times New Roman"/>
        </w:rPr>
        <w:lastRenderedPageBreak/>
        <w:t xml:space="preserve">COCs need to be exposed to </w:t>
      </w:r>
      <w:r w:rsidR="00C72B76" w:rsidRPr="005C3043">
        <w:rPr>
          <w:rFonts w:ascii="Times New Roman" w:hAnsi="Times New Roman" w:cs="Times New Roman"/>
        </w:rPr>
        <w:t>a complete</w:t>
      </w:r>
      <w:r w:rsidRPr="005C3043">
        <w:rPr>
          <w:rFonts w:ascii="Times New Roman" w:hAnsi="Times New Roman" w:cs="Times New Roman"/>
        </w:rPr>
        <w:t xml:space="preserve"> follicular phase </w:t>
      </w:r>
      <w:proofErr w:type="gramStart"/>
      <w:r w:rsidRPr="005C3043">
        <w:rPr>
          <w:rFonts w:ascii="Times New Roman" w:hAnsi="Times New Roman" w:cs="Times New Roman"/>
        </w:rPr>
        <w:t>in order to</w:t>
      </w:r>
      <w:proofErr w:type="gramEnd"/>
      <w:r w:rsidRPr="005C3043">
        <w:rPr>
          <w:rFonts w:ascii="Times New Roman" w:hAnsi="Times New Roman" w:cs="Times New Roman"/>
        </w:rPr>
        <w:t xml:space="preserve"> obtain full developmental competence</w:t>
      </w:r>
      <w:r w:rsidR="00070631" w:rsidRPr="005C3043">
        <w:rPr>
          <w:rFonts w:ascii="Times New Roman" w:hAnsi="Times New Roman" w:cs="Times New Roman"/>
        </w:rPr>
        <w:t xml:space="preserve"> </w:t>
      </w:r>
      <w:r w:rsidR="00C55223" w:rsidRPr="005C3043">
        <w:rPr>
          <w:rFonts w:ascii="Times New Roman" w:hAnsi="Times New Roman" w:cs="Times New Roman"/>
          <w:noProof/>
        </w:rPr>
        <w:t>(de Loos et al., 1991)</w:t>
      </w:r>
      <w:r w:rsidRPr="005C3043">
        <w:rPr>
          <w:rFonts w:ascii="Times New Roman" w:hAnsi="Times New Roman" w:cs="Times New Roman"/>
        </w:rPr>
        <w:t xml:space="preserve">. </w:t>
      </w:r>
    </w:p>
    <w:p w14:paraId="3795F02D" w14:textId="2C00ECF3" w:rsidR="00513F4B" w:rsidRPr="005C3043" w:rsidRDefault="00513F4B" w:rsidP="00F672B3">
      <w:pPr>
        <w:spacing w:line="480" w:lineRule="auto"/>
        <w:ind w:firstLine="720"/>
        <w:contextualSpacing/>
        <w:jc w:val="both"/>
        <w:rPr>
          <w:rFonts w:ascii="Times New Roman" w:hAnsi="Times New Roman" w:cs="Times New Roman"/>
        </w:rPr>
      </w:pPr>
      <w:r w:rsidRPr="005C3043">
        <w:rPr>
          <w:rFonts w:ascii="Times New Roman" w:hAnsi="Times New Roman" w:cs="Times New Roman"/>
        </w:rPr>
        <w:t>Studies by Perry and Atkins highlight the importance of pre-ovulatory follicle status</w:t>
      </w:r>
      <w:r w:rsidR="00AF2153" w:rsidRPr="005C3043">
        <w:rPr>
          <w:rFonts w:ascii="Times New Roman" w:hAnsi="Times New Roman" w:cs="Times New Roman"/>
        </w:rPr>
        <w:t xml:space="preserve"> </w:t>
      </w:r>
      <w:r w:rsidRPr="005C3043">
        <w:rPr>
          <w:rFonts w:ascii="Times New Roman" w:hAnsi="Times New Roman" w:cs="Times New Roman"/>
        </w:rPr>
        <w:t>and oocyte capacitation on pregnancy outcome or embryo development in beef cows following fixed-time artificial insemination</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Perry et al., 2005</w:t>
      </w:r>
      <w:r w:rsidR="00AF2153" w:rsidRPr="005C3043">
        <w:rPr>
          <w:rFonts w:ascii="Times New Roman" w:hAnsi="Times New Roman" w:cs="Times New Roman"/>
          <w:noProof/>
        </w:rPr>
        <w:t>, Atkins et al., 2013</w:t>
      </w:r>
      <w:r w:rsidR="00C55223" w:rsidRPr="005C3043">
        <w:rPr>
          <w:rFonts w:ascii="Times New Roman" w:hAnsi="Times New Roman" w:cs="Times New Roman"/>
          <w:noProof/>
        </w:rPr>
        <w:t>)</w:t>
      </w:r>
      <w:r w:rsidRPr="005C3043">
        <w:rPr>
          <w:rFonts w:ascii="Times New Roman" w:hAnsi="Times New Roman" w:cs="Times New Roman"/>
        </w:rPr>
        <w:t xml:space="preserve">. As previously discussed, cattle that did not display estrus prior to induced ovulation/AI had </w:t>
      </w:r>
      <w:r w:rsidR="00AF2153" w:rsidRPr="005C3043">
        <w:rPr>
          <w:rFonts w:ascii="Times New Roman" w:hAnsi="Times New Roman" w:cs="Times New Roman"/>
        </w:rPr>
        <w:t>lower</w:t>
      </w:r>
      <w:r w:rsidRPr="005C3043">
        <w:rPr>
          <w:rFonts w:ascii="Times New Roman" w:hAnsi="Times New Roman" w:cs="Times New Roman"/>
        </w:rPr>
        <w:t xml:space="preserve"> day 27 pregnancy rates compared to those that did (29% vs 90% in cows and 20% vs 63% in heifers</w:t>
      </w:r>
      <w:r w:rsidR="00AC6DC1" w:rsidRPr="005C3043">
        <w:rPr>
          <w:rFonts w:ascii="Times New Roman" w:hAnsi="Times New Roman" w:cs="Times New Roman"/>
        </w:rPr>
        <w:t xml:space="preserve">; </w:t>
      </w:r>
      <w:r w:rsidR="00C55223" w:rsidRPr="005C3043">
        <w:rPr>
          <w:rFonts w:ascii="Times New Roman" w:hAnsi="Times New Roman" w:cs="Times New Roman"/>
          <w:noProof/>
        </w:rPr>
        <w:t>Perry et al., 2005; Perry et al., 2007)</w:t>
      </w:r>
      <w:r w:rsidRPr="005C3043">
        <w:rPr>
          <w:rFonts w:ascii="Times New Roman" w:hAnsi="Times New Roman" w:cs="Times New Roman"/>
        </w:rPr>
        <w:t xml:space="preserve">. Size of the follicle at estrus did not affect pregnancy rate, indicating that physiological status of the follicle was the primary factor in developmental competence. Regardless of size, the follicles had progressed through all the physiological phases of development </w:t>
      </w:r>
      <w:r w:rsidRPr="005C3043">
        <w:rPr>
          <w:rFonts w:ascii="Times New Roman" w:hAnsi="Times New Roman" w:cs="Times New Roman"/>
          <w:i/>
          <w:iCs/>
        </w:rPr>
        <w:t>in vivo</w:t>
      </w:r>
      <w:r w:rsidRPr="005C3043">
        <w:rPr>
          <w:rFonts w:ascii="Times New Roman" w:hAnsi="Times New Roman" w:cs="Times New Roman"/>
        </w:rPr>
        <w:t xml:space="preserve"> and should have resulted in ovulation of a maximally developmentally competent oocyte </w:t>
      </w:r>
      <w:r w:rsidR="00C55223" w:rsidRPr="005C3043">
        <w:rPr>
          <w:rFonts w:ascii="Times New Roman" w:hAnsi="Times New Roman" w:cs="Times New Roman"/>
          <w:noProof/>
        </w:rPr>
        <w:t>(Dieleman et al., 2002)</w:t>
      </w:r>
      <w:r w:rsidRPr="005C3043">
        <w:rPr>
          <w:rFonts w:ascii="Times New Roman" w:hAnsi="Times New Roman" w:cs="Times New Roman"/>
        </w:rPr>
        <w:t xml:space="preserve">. </w:t>
      </w:r>
      <w:r w:rsidR="00AF2153" w:rsidRPr="005C3043">
        <w:rPr>
          <w:rFonts w:ascii="Times New Roman" w:hAnsi="Times New Roman" w:cs="Times New Roman"/>
        </w:rPr>
        <w:t xml:space="preserve">Oocytes from </w:t>
      </w:r>
      <w:r w:rsidR="00751FF5" w:rsidRPr="005C3043">
        <w:rPr>
          <w:rFonts w:ascii="Times New Roman" w:hAnsi="Times New Roman" w:cs="Times New Roman"/>
        </w:rPr>
        <w:t>pre-ovulatory</w:t>
      </w:r>
      <w:r w:rsidR="00AF2153" w:rsidRPr="005C3043">
        <w:rPr>
          <w:rFonts w:ascii="Times New Roman" w:hAnsi="Times New Roman" w:cs="Times New Roman"/>
        </w:rPr>
        <w:t xml:space="preserve"> follicles</w:t>
      </w:r>
      <w:r w:rsidRPr="005C3043">
        <w:rPr>
          <w:rFonts w:ascii="Times New Roman" w:hAnsi="Times New Roman" w:cs="Times New Roman"/>
        </w:rPr>
        <w:t xml:space="preserve"> induced to ovulate did not have the opportunity to complete the final hours of LH</w:t>
      </w:r>
      <w:r w:rsidR="00526D45" w:rsidRPr="005C3043">
        <w:rPr>
          <w:rFonts w:ascii="Times New Roman" w:hAnsi="Times New Roman" w:cs="Times New Roman"/>
        </w:rPr>
        <w:t>-</w:t>
      </w:r>
      <w:r w:rsidRPr="005C3043">
        <w:rPr>
          <w:rFonts w:ascii="Times New Roman" w:hAnsi="Times New Roman" w:cs="Times New Roman"/>
        </w:rPr>
        <w:t xml:space="preserve">dependent </w:t>
      </w:r>
      <w:r w:rsidR="00526D45" w:rsidRPr="005C3043">
        <w:rPr>
          <w:rFonts w:ascii="Times New Roman" w:hAnsi="Times New Roman" w:cs="Times New Roman"/>
        </w:rPr>
        <w:t xml:space="preserve">oocyte </w:t>
      </w:r>
      <w:r w:rsidRPr="005C3043">
        <w:rPr>
          <w:rFonts w:ascii="Times New Roman" w:hAnsi="Times New Roman" w:cs="Times New Roman"/>
        </w:rPr>
        <w:t>capacitation prior to induction of the gonadotropin surge. Further, the groups that were induced to ovulate were subdivided into small (&lt;</w:t>
      </w:r>
      <w:r w:rsidR="007957A4" w:rsidRPr="005C3043">
        <w:rPr>
          <w:rFonts w:ascii="Times New Roman" w:hAnsi="Times New Roman" w:cs="Times New Roman"/>
        </w:rPr>
        <w:t xml:space="preserve"> </w:t>
      </w:r>
      <w:r w:rsidRPr="005C3043">
        <w:rPr>
          <w:rFonts w:ascii="Times New Roman" w:hAnsi="Times New Roman" w:cs="Times New Roman"/>
        </w:rPr>
        <w:t>11.3</w:t>
      </w:r>
      <w:r w:rsidR="007957A4" w:rsidRPr="005C3043">
        <w:rPr>
          <w:rFonts w:ascii="Times New Roman" w:hAnsi="Times New Roman" w:cs="Times New Roman"/>
        </w:rPr>
        <w:t xml:space="preserve"> </w:t>
      </w:r>
      <w:r w:rsidRPr="005C3043">
        <w:rPr>
          <w:rFonts w:ascii="Times New Roman" w:hAnsi="Times New Roman" w:cs="Times New Roman"/>
        </w:rPr>
        <w:t>mm in cows and &lt;</w:t>
      </w:r>
      <w:r w:rsidR="007957A4" w:rsidRPr="005C3043">
        <w:rPr>
          <w:rFonts w:ascii="Times New Roman" w:hAnsi="Times New Roman" w:cs="Times New Roman"/>
        </w:rPr>
        <w:t xml:space="preserve"> </w:t>
      </w:r>
      <w:r w:rsidRPr="005C3043">
        <w:rPr>
          <w:rFonts w:ascii="Times New Roman" w:hAnsi="Times New Roman" w:cs="Times New Roman"/>
        </w:rPr>
        <w:t>10.7</w:t>
      </w:r>
      <w:r w:rsidR="007957A4" w:rsidRPr="005C3043">
        <w:rPr>
          <w:rFonts w:ascii="Times New Roman" w:hAnsi="Times New Roman" w:cs="Times New Roman"/>
        </w:rPr>
        <w:t xml:space="preserve"> </w:t>
      </w:r>
      <w:r w:rsidRPr="005C3043">
        <w:rPr>
          <w:rFonts w:ascii="Times New Roman" w:hAnsi="Times New Roman" w:cs="Times New Roman"/>
        </w:rPr>
        <w:t>mm in heifers) and large (</w:t>
      </w:r>
      <w:r w:rsidRPr="005C3043">
        <w:rPr>
          <w:rFonts w:ascii="Times New Roman" w:hAnsi="Times New Roman" w:cs="Times New Roman"/>
          <w:u w:val="single"/>
        </w:rPr>
        <w:t>&gt;</w:t>
      </w:r>
      <w:r w:rsidR="007957A4" w:rsidRPr="005C3043">
        <w:rPr>
          <w:rFonts w:ascii="Times New Roman" w:hAnsi="Times New Roman" w:cs="Times New Roman"/>
        </w:rPr>
        <w:t xml:space="preserve"> </w:t>
      </w:r>
      <w:r w:rsidRPr="005C3043">
        <w:rPr>
          <w:rFonts w:ascii="Times New Roman" w:hAnsi="Times New Roman" w:cs="Times New Roman"/>
        </w:rPr>
        <w:t>11.3</w:t>
      </w:r>
      <w:r w:rsidR="007957A4" w:rsidRPr="005C3043">
        <w:rPr>
          <w:rFonts w:ascii="Times New Roman" w:hAnsi="Times New Roman" w:cs="Times New Roman"/>
        </w:rPr>
        <w:t xml:space="preserve"> </w:t>
      </w:r>
      <w:r w:rsidRPr="005C3043">
        <w:rPr>
          <w:rFonts w:ascii="Times New Roman" w:hAnsi="Times New Roman" w:cs="Times New Roman"/>
        </w:rPr>
        <w:t xml:space="preserve">mm in cows and </w:t>
      </w:r>
      <w:r w:rsidRPr="005C3043">
        <w:rPr>
          <w:rFonts w:ascii="Times New Roman" w:hAnsi="Times New Roman" w:cs="Times New Roman"/>
          <w:u w:val="single"/>
        </w:rPr>
        <w:t>&gt;</w:t>
      </w:r>
      <w:r w:rsidR="007957A4" w:rsidRPr="005C3043">
        <w:rPr>
          <w:rFonts w:ascii="Times New Roman" w:hAnsi="Times New Roman" w:cs="Times New Roman"/>
        </w:rPr>
        <w:t xml:space="preserve"> </w:t>
      </w:r>
      <w:r w:rsidRPr="005C3043">
        <w:rPr>
          <w:rFonts w:ascii="Times New Roman" w:hAnsi="Times New Roman" w:cs="Times New Roman"/>
        </w:rPr>
        <w:t>12.8</w:t>
      </w:r>
      <w:r w:rsidR="007957A4" w:rsidRPr="005C3043">
        <w:rPr>
          <w:rFonts w:ascii="Times New Roman" w:hAnsi="Times New Roman" w:cs="Times New Roman"/>
        </w:rPr>
        <w:t xml:space="preserve"> </w:t>
      </w:r>
      <w:r w:rsidRPr="005C3043">
        <w:rPr>
          <w:rFonts w:ascii="Times New Roman" w:hAnsi="Times New Roman" w:cs="Times New Roman"/>
        </w:rPr>
        <w:t>mm in heifers) follicle groups. Those cattle induced to ovulate a small</w:t>
      </w:r>
      <w:r w:rsidR="00AF2153" w:rsidRPr="005C3043">
        <w:rPr>
          <w:rFonts w:ascii="Times New Roman" w:hAnsi="Times New Roman" w:cs="Times New Roman"/>
        </w:rPr>
        <w:t xml:space="preserve">er </w:t>
      </w:r>
      <w:r w:rsidR="00751FF5" w:rsidRPr="005C3043">
        <w:rPr>
          <w:rFonts w:ascii="Times New Roman" w:hAnsi="Times New Roman" w:cs="Times New Roman"/>
        </w:rPr>
        <w:t>pre-ovulatory</w:t>
      </w:r>
      <w:r w:rsidRPr="005C3043">
        <w:rPr>
          <w:rFonts w:ascii="Times New Roman" w:hAnsi="Times New Roman" w:cs="Times New Roman"/>
        </w:rPr>
        <w:t xml:space="preserve"> follicle had a reduced day 27 pregnancy rate following AI compared to animals induced to ovulate a large</w:t>
      </w:r>
      <w:r w:rsidR="00751FF5" w:rsidRPr="005C3043">
        <w:rPr>
          <w:rFonts w:ascii="Times New Roman" w:hAnsi="Times New Roman" w:cs="Times New Roman"/>
        </w:rPr>
        <w:t>r</w:t>
      </w:r>
      <w:r w:rsidR="00AF2153" w:rsidRPr="005C3043">
        <w:rPr>
          <w:rFonts w:ascii="Times New Roman" w:hAnsi="Times New Roman" w:cs="Times New Roman"/>
        </w:rPr>
        <w:t xml:space="preserve"> p</w:t>
      </w:r>
      <w:r w:rsidRPr="005C3043">
        <w:rPr>
          <w:rFonts w:ascii="Times New Roman" w:hAnsi="Times New Roman" w:cs="Times New Roman"/>
        </w:rPr>
        <w:t>re-ovulatory follicle. These follicle sizes also mark a transition in the degree of progression that the follicle completed prior to premature induction of the pre-ovulatory gonadotropin surge. Small follicles would likely be physiologically younger and the oocyte within would have spent less time in the LH-dependent growth phase. Large</w:t>
      </w:r>
      <w:r w:rsidR="00AF2153" w:rsidRPr="005C3043">
        <w:rPr>
          <w:rFonts w:ascii="Times New Roman" w:hAnsi="Times New Roman" w:cs="Times New Roman"/>
        </w:rPr>
        <w:t>r</w:t>
      </w:r>
      <w:r w:rsidRPr="005C3043">
        <w:rPr>
          <w:rFonts w:ascii="Times New Roman" w:hAnsi="Times New Roman" w:cs="Times New Roman"/>
        </w:rPr>
        <w:t xml:space="preserve"> </w:t>
      </w:r>
      <w:r w:rsidRPr="005C3043">
        <w:rPr>
          <w:rFonts w:ascii="Times New Roman" w:hAnsi="Times New Roman" w:cs="Times New Roman"/>
        </w:rPr>
        <w:lastRenderedPageBreak/>
        <w:t xml:space="preserve">follicles </w:t>
      </w:r>
      <w:r w:rsidR="00526D45" w:rsidRPr="005C3043">
        <w:rPr>
          <w:rFonts w:ascii="Times New Roman" w:hAnsi="Times New Roman" w:cs="Times New Roman"/>
        </w:rPr>
        <w:t xml:space="preserve">would contain oocytes that </w:t>
      </w:r>
      <w:r w:rsidR="00AF2153" w:rsidRPr="005C3043">
        <w:rPr>
          <w:rFonts w:ascii="Times New Roman" w:hAnsi="Times New Roman" w:cs="Times New Roman"/>
        </w:rPr>
        <w:t>may</w:t>
      </w:r>
      <w:r w:rsidRPr="005C3043">
        <w:rPr>
          <w:rFonts w:ascii="Times New Roman" w:hAnsi="Times New Roman" w:cs="Times New Roman"/>
        </w:rPr>
        <w:t xml:space="preserve"> have likely progressed further through </w:t>
      </w:r>
      <w:r w:rsidR="00526D45" w:rsidRPr="005C3043">
        <w:rPr>
          <w:rFonts w:ascii="Times New Roman" w:hAnsi="Times New Roman" w:cs="Times New Roman"/>
        </w:rPr>
        <w:t xml:space="preserve">oocyte </w:t>
      </w:r>
      <w:r w:rsidRPr="005C3043">
        <w:rPr>
          <w:rFonts w:ascii="Times New Roman" w:hAnsi="Times New Roman" w:cs="Times New Roman"/>
        </w:rPr>
        <w:t xml:space="preserve">capacitation before the gonadotropin surge was induced. Taken together, these studies show improved day 27 pregnancy rates as the follicle progresses through more advanced physiological stages. </w:t>
      </w:r>
    </w:p>
    <w:p w14:paraId="0E2BADBE" w14:textId="3795C263" w:rsidR="00513F4B" w:rsidRPr="005C3043" w:rsidRDefault="00513F4B" w:rsidP="00F672B3">
      <w:pPr>
        <w:spacing w:line="480" w:lineRule="auto"/>
        <w:ind w:firstLine="720"/>
        <w:contextualSpacing/>
        <w:jc w:val="both"/>
        <w:rPr>
          <w:rFonts w:ascii="Times New Roman" w:hAnsi="Times New Roman" w:cs="Times New Roman"/>
        </w:rPr>
      </w:pPr>
      <w:r w:rsidRPr="005C3043">
        <w:rPr>
          <w:rFonts w:ascii="Times New Roman" w:hAnsi="Times New Roman" w:cs="Times New Roman"/>
        </w:rPr>
        <w:t>While improved pregnancy rates of cows that expressed estrus or were induced to ovulate a large</w:t>
      </w:r>
      <w:r w:rsidR="004D0927" w:rsidRPr="005C3043">
        <w:rPr>
          <w:rFonts w:ascii="Times New Roman" w:hAnsi="Times New Roman" w:cs="Times New Roman"/>
        </w:rPr>
        <w:t>r</w:t>
      </w:r>
      <w:r w:rsidRPr="005C3043">
        <w:rPr>
          <w:rFonts w:ascii="Times New Roman" w:hAnsi="Times New Roman" w:cs="Times New Roman"/>
        </w:rPr>
        <w:t xml:space="preserve"> vs small</w:t>
      </w:r>
      <w:r w:rsidR="004D0927" w:rsidRPr="005C3043">
        <w:rPr>
          <w:rFonts w:ascii="Times New Roman" w:hAnsi="Times New Roman" w:cs="Times New Roman"/>
        </w:rPr>
        <w:t xml:space="preserve">er </w:t>
      </w:r>
      <w:r w:rsidR="00751FF5" w:rsidRPr="005C3043">
        <w:rPr>
          <w:rFonts w:ascii="Times New Roman" w:hAnsi="Times New Roman" w:cs="Times New Roman"/>
        </w:rPr>
        <w:t>pre-ovulatory</w:t>
      </w:r>
      <w:r w:rsidRPr="005C3043">
        <w:rPr>
          <w:rFonts w:ascii="Times New Roman" w:hAnsi="Times New Roman" w:cs="Times New Roman"/>
        </w:rPr>
        <w:t xml:space="preserve"> follicle were undoubtedly related in part to an improved maternal environment </w:t>
      </w:r>
      <w:r w:rsidR="00C55223" w:rsidRPr="005C3043">
        <w:rPr>
          <w:rFonts w:ascii="Times New Roman" w:hAnsi="Times New Roman" w:cs="Times New Roman"/>
          <w:noProof/>
        </w:rPr>
        <w:t>(Cooke et al., 2019)</w:t>
      </w:r>
      <w:r w:rsidRPr="005C3043">
        <w:rPr>
          <w:rFonts w:ascii="Times New Roman" w:hAnsi="Times New Roman" w:cs="Times New Roman"/>
        </w:rPr>
        <w:t xml:space="preserve">, multiple studies show that improved oocyte developmental competence is also a contributing factor </w:t>
      </w:r>
      <w:r w:rsidR="00C55223" w:rsidRPr="005C3043">
        <w:rPr>
          <w:rFonts w:ascii="Times New Roman" w:hAnsi="Times New Roman" w:cs="Times New Roman"/>
          <w:noProof/>
        </w:rPr>
        <w:t xml:space="preserve">(van de Leemput et al., 1999; Dieleman et al., 2002; Atkins et al., </w:t>
      </w:r>
      <w:r w:rsidR="00937F46" w:rsidRPr="005C3043">
        <w:rPr>
          <w:rFonts w:ascii="Times New Roman" w:hAnsi="Times New Roman" w:cs="Times New Roman"/>
          <w:noProof/>
        </w:rPr>
        <w:t>2013</w:t>
      </w:r>
      <w:r w:rsidR="00C55223" w:rsidRPr="005C3043">
        <w:rPr>
          <w:rFonts w:ascii="Times New Roman" w:hAnsi="Times New Roman" w:cs="Times New Roman"/>
          <w:noProof/>
        </w:rPr>
        <w:t>)</w:t>
      </w:r>
      <w:r w:rsidRPr="005C3043">
        <w:rPr>
          <w:rFonts w:ascii="Times New Roman" w:hAnsi="Times New Roman" w:cs="Times New Roman"/>
        </w:rPr>
        <w:t xml:space="preserve">. Atkins demonstrated that increased follicle size at induced ovulation in cattle that did not display estrus was correlated to increased probability of recovering a </w:t>
      </w:r>
      <w:r w:rsidR="00C72B76" w:rsidRPr="005C3043">
        <w:rPr>
          <w:rFonts w:ascii="Times New Roman" w:hAnsi="Times New Roman" w:cs="Times New Roman"/>
        </w:rPr>
        <w:t>fertilized</w:t>
      </w:r>
      <w:r w:rsidRPr="005C3043">
        <w:rPr>
          <w:rFonts w:ascii="Times New Roman" w:hAnsi="Times New Roman" w:cs="Times New Roman"/>
        </w:rPr>
        <w:t xml:space="preserve"> embryo as well as improved day 7 embryo quality. Additionally, Cooke and others </w:t>
      </w:r>
      <w:r w:rsidR="003834C0" w:rsidRPr="005C3043">
        <w:rPr>
          <w:rFonts w:ascii="Times New Roman" w:hAnsi="Times New Roman" w:cs="Times New Roman"/>
        </w:rPr>
        <w:t xml:space="preserve">(2019) </w:t>
      </w:r>
      <w:r w:rsidRPr="005C3043">
        <w:rPr>
          <w:rFonts w:ascii="Times New Roman" w:hAnsi="Times New Roman" w:cs="Times New Roman"/>
        </w:rPr>
        <w:t xml:space="preserve">showed that conceptuses collected on day 15 after insemination were almost 3 times longer in cattle that displayed estrus prior to AI compared to those that did not display estrus </w:t>
      </w:r>
      <w:r w:rsidR="00C55223" w:rsidRPr="005C3043">
        <w:rPr>
          <w:rFonts w:ascii="Times New Roman" w:hAnsi="Times New Roman" w:cs="Times New Roman"/>
          <w:noProof/>
        </w:rPr>
        <w:t>(Cooke et al., 2019)</w:t>
      </w:r>
      <w:r w:rsidRPr="005C3043">
        <w:rPr>
          <w:rFonts w:ascii="Times New Roman" w:hAnsi="Times New Roman" w:cs="Times New Roman"/>
        </w:rPr>
        <w:t>.</w:t>
      </w:r>
    </w:p>
    <w:p w14:paraId="5C261DCB" w14:textId="1BAC472C" w:rsidR="006F7165" w:rsidRPr="005C3043" w:rsidRDefault="00513F4B" w:rsidP="00F672B3">
      <w:pPr>
        <w:spacing w:line="480" w:lineRule="auto"/>
        <w:ind w:firstLine="720"/>
        <w:contextualSpacing/>
        <w:jc w:val="both"/>
        <w:rPr>
          <w:rFonts w:ascii="Times New Roman" w:eastAsiaTheme="minorHAnsi" w:hAnsi="Times New Roman" w:cs="Times New Roman"/>
        </w:rPr>
      </w:pPr>
      <w:r w:rsidRPr="005C3043">
        <w:rPr>
          <w:rFonts w:ascii="Times New Roman" w:hAnsi="Times New Roman" w:cs="Times New Roman"/>
        </w:rPr>
        <w:t xml:space="preserve">To better understand the critical physiological processes that take place during the final hours of oocyte capacitation, </w:t>
      </w:r>
      <w:proofErr w:type="spellStart"/>
      <w:r w:rsidRPr="005C3043">
        <w:rPr>
          <w:rFonts w:ascii="Times New Roman" w:hAnsi="Times New Roman" w:cs="Times New Roman"/>
        </w:rPr>
        <w:t>Moorey</w:t>
      </w:r>
      <w:proofErr w:type="spellEnd"/>
      <w:r w:rsidRPr="005C3043">
        <w:rPr>
          <w:rFonts w:ascii="Times New Roman" w:hAnsi="Times New Roman" w:cs="Times New Roman"/>
        </w:rPr>
        <w:t xml:space="preserve"> and others </w:t>
      </w:r>
      <w:r w:rsidR="003834C0" w:rsidRPr="005C3043">
        <w:rPr>
          <w:rFonts w:ascii="Times New Roman" w:hAnsi="Times New Roman" w:cs="Times New Roman"/>
        </w:rPr>
        <w:t xml:space="preserve">(2021) </w:t>
      </w:r>
      <w:r w:rsidRPr="005C3043">
        <w:rPr>
          <w:rFonts w:ascii="Times New Roman" w:hAnsi="Times New Roman" w:cs="Times New Roman"/>
        </w:rPr>
        <w:t xml:space="preserve">performed an RNA sequencing study that compared the gene expression profiles of oocytes and cumulus cells collected from the follicles of cattle that displayed estrus and those that did not </w:t>
      </w:r>
      <w:r w:rsidR="00C55223" w:rsidRPr="005C3043">
        <w:rPr>
          <w:rFonts w:ascii="Times New Roman" w:hAnsi="Times New Roman" w:cs="Times New Roman"/>
          <w:noProof/>
        </w:rPr>
        <w:t>(Moorey et al., 2021)</w:t>
      </w:r>
      <w:r w:rsidRPr="005C3043">
        <w:rPr>
          <w:rFonts w:ascii="Times New Roman" w:hAnsi="Times New Roman" w:cs="Times New Roman"/>
        </w:rPr>
        <w:t>. The follicles of the cattle that did not display estrus were further divided into large</w:t>
      </w:r>
      <w:r w:rsidR="004D0927" w:rsidRPr="005C3043">
        <w:rPr>
          <w:rFonts w:ascii="Times New Roman" w:hAnsi="Times New Roman" w:cs="Times New Roman"/>
        </w:rPr>
        <w:t>r</w:t>
      </w:r>
      <w:r w:rsidR="00C00ECC" w:rsidRPr="005C3043">
        <w:rPr>
          <w:rFonts w:ascii="Times New Roman" w:hAnsi="Times New Roman" w:cs="Times New Roman"/>
        </w:rPr>
        <w:t xml:space="preserve"> (</w:t>
      </w:r>
      <w:r w:rsidR="00C00ECC" w:rsidRPr="005C3043">
        <w:rPr>
          <w:rFonts w:ascii="Times New Roman" w:hAnsi="Times New Roman" w:cs="Times New Roman"/>
          <w:u w:val="single"/>
        </w:rPr>
        <w:t>&gt;</w:t>
      </w:r>
      <w:r w:rsidR="007957A4" w:rsidRPr="005C3043">
        <w:rPr>
          <w:rFonts w:ascii="Times New Roman" w:hAnsi="Times New Roman" w:cs="Times New Roman"/>
        </w:rPr>
        <w:t xml:space="preserve"> </w:t>
      </w:r>
      <w:r w:rsidR="00C00ECC" w:rsidRPr="005C3043">
        <w:rPr>
          <w:rFonts w:ascii="Times New Roman" w:hAnsi="Times New Roman" w:cs="Times New Roman"/>
        </w:rPr>
        <w:t>12.7</w:t>
      </w:r>
      <w:r w:rsidR="007957A4" w:rsidRPr="005C3043">
        <w:rPr>
          <w:rFonts w:ascii="Times New Roman" w:hAnsi="Times New Roman" w:cs="Times New Roman"/>
        </w:rPr>
        <w:t xml:space="preserve"> </w:t>
      </w:r>
      <w:r w:rsidR="00C00ECC" w:rsidRPr="005C3043">
        <w:rPr>
          <w:rFonts w:ascii="Times New Roman" w:hAnsi="Times New Roman" w:cs="Times New Roman"/>
        </w:rPr>
        <w:t>mm)</w:t>
      </w:r>
      <w:r w:rsidRPr="005C3043">
        <w:rPr>
          <w:rFonts w:ascii="Times New Roman" w:hAnsi="Times New Roman" w:cs="Times New Roman"/>
        </w:rPr>
        <w:t xml:space="preserve"> and small</w:t>
      </w:r>
      <w:r w:rsidR="004D0927" w:rsidRPr="005C3043">
        <w:rPr>
          <w:rFonts w:ascii="Times New Roman" w:hAnsi="Times New Roman" w:cs="Times New Roman"/>
        </w:rPr>
        <w:t>er</w:t>
      </w:r>
      <w:r w:rsidR="00C00ECC" w:rsidRPr="005C3043">
        <w:rPr>
          <w:rFonts w:ascii="Times New Roman" w:hAnsi="Times New Roman" w:cs="Times New Roman"/>
        </w:rPr>
        <w:t xml:space="preserve"> (</w:t>
      </w:r>
      <w:r w:rsidR="00C00ECC" w:rsidRPr="005C3043">
        <w:rPr>
          <w:rFonts w:ascii="Times New Roman" w:hAnsi="Times New Roman" w:cs="Times New Roman"/>
          <w:u w:val="single"/>
        </w:rPr>
        <w:t>&lt;</w:t>
      </w:r>
      <w:r w:rsidR="007957A4" w:rsidRPr="005C3043">
        <w:rPr>
          <w:rFonts w:ascii="Times New Roman" w:hAnsi="Times New Roman" w:cs="Times New Roman"/>
        </w:rPr>
        <w:t xml:space="preserve"> </w:t>
      </w:r>
      <w:r w:rsidR="00C00ECC" w:rsidRPr="005C3043">
        <w:rPr>
          <w:rFonts w:ascii="Times New Roman" w:hAnsi="Times New Roman" w:cs="Times New Roman"/>
        </w:rPr>
        <w:t>11.7</w:t>
      </w:r>
      <w:r w:rsidR="007957A4" w:rsidRPr="005C3043">
        <w:rPr>
          <w:rFonts w:ascii="Times New Roman" w:hAnsi="Times New Roman" w:cs="Times New Roman"/>
        </w:rPr>
        <w:t xml:space="preserve"> </w:t>
      </w:r>
      <w:r w:rsidR="00C00ECC" w:rsidRPr="005C3043">
        <w:rPr>
          <w:rFonts w:ascii="Times New Roman" w:hAnsi="Times New Roman" w:cs="Times New Roman"/>
        </w:rPr>
        <w:t>mm)</w:t>
      </w:r>
      <w:r w:rsidRPr="005C3043">
        <w:rPr>
          <w:rFonts w:ascii="Times New Roman" w:hAnsi="Times New Roman" w:cs="Times New Roman"/>
        </w:rPr>
        <w:t xml:space="preserve"> </w:t>
      </w:r>
      <w:r w:rsidR="00751FF5" w:rsidRPr="005C3043">
        <w:rPr>
          <w:rFonts w:ascii="Times New Roman" w:hAnsi="Times New Roman" w:cs="Times New Roman"/>
        </w:rPr>
        <w:t>pre-ovulatory</w:t>
      </w:r>
      <w:r w:rsidR="004D0927" w:rsidRPr="005C3043">
        <w:rPr>
          <w:rFonts w:ascii="Times New Roman" w:hAnsi="Times New Roman" w:cs="Times New Roman"/>
        </w:rPr>
        <w:t xml:space="preserve"> follicle </w:t>
      </w:r>
      <w:r w:rsidRPr="005C3043">
        <w:rPr>
          <w:rFonts w:ascii="Times New Roman" w:hAnsi="Times New Roman" w:cs="Times New Roman"/>
        </w:rPr>
        <w:t xml:space="preserve">groups. </w:t>
      </w:r>
      <w:proofErr w:type="spellStart"/>
      <w:r w:rsidR="00C72B76" w:rsidRPr="005C3043">
        <w:rPr>
          <w:rFonts w:ascii="Times New Roman" w:hAnsi="Times New Roman" w:cs="Times New Roman"/>
        </w:rPr>
        <w:t>Moorey</w:t>
      </w:r>
      <w:proofErr w:type="spellEnd"/>
      <w:r w:rsidR="00C72B76" w:rsidRPr="005C3043">
        <w:rPr>
          <w:rFonts w:ascii="Times New Roman" w:hAnsi="Times New Roman" w:cs="Times New Roman"/>
        </w:rPr>
        <w:t xml:space="preserve"> et al. (2021) reported</w:t>
      </w:r>
      <w:r w:rsidRPr="005C3043">
        <w:rPr>
          <w:rFonts w:ascii="Times New Roman" w:hAnsi="Times New Roman" w:cs="Times New Roman"/>
        </w:rPr>
        <w:t xml:space="preserve"> decreased expression of </w:t>
      </w:r>
      <w:r w:rsidR="004D0927" w:rsidRPr="005C3043">
        <w:rPr>
          <w:rFonts w:ascii="Times New Roman" w:hAnsi="Times New Roman" w:cs="Times New Roman"/>
        </w:rPr>
        <w:t>transcript</w:t>
      </w:r>
      <w:r w:rsidRPr="005C3043">
        <w:rPr>
          <w:rFonts w:ascii="Times New Roman" w:hAnsi="Times New Roman" w:cs="Times New Roman"/>
        </w:rPr>
        <w:t xml:space="preserve">s involved in glycolysis in the cumulus cells of </w:t>
      </w:r>
      <w:r w:rsidR="004D0927" w:rsidRPr="005C3043">
        <w:rPr>
          <w:rFonts w:ascii="Times New Roman" w:hAnsi="Times New Roman" w:cs="Times New Roman"/>
        </w:rPr>
        <w:t>sm</w:t>
      </w:r>
      <w:r w:rsidRPr="005C3043">
        <w:rPr>
          <w:rFonts w:ascii="Times New Roman" w:hAnsi="Times New Roman" w:cs="Times New Roman"/>
        </w:rPr>
        <w:t>all</w:t>
      </w:r>
      <w:r w:rsidR="004D0927" w:rsidRPr="005C3043">
        <w:rPr>
          <w:rFonts w:ascii="Times New Roman" w:hAnsi="Times New Roman" w:cs="Times New Roman"/>
        </w:rPr>
        <w:t>er</w:t>
      </w:r>
      <w:r w:rsidRPr="005C3043">
        <w:rPr>
          <w:rFonts w:ascii="Times New Roman" w:hAnsi="Times New Roman" w:cs="Times New Roman"/>
        </w:rPr>
        <w:t xml:space="preserve"> compared to large</w:t>
      </w:r>
      <w:r w:rsidR="004D0927" w:rsidRPr="005C3043">
        <w:rPr>
          <w:rFonts w:ascii="Times New Roman" w:hAnsi="Times New Roman" w:cs="Times New Roman"/>
        </w:rPr>
        <w:t xml:space="preserve">r </w:t>
      </w:r>
      <w:r w:rsidR="00751FF5" w:rsidRPr="005C3043">
        <w:rPr>
          <w:rFonts w:ascii="Times New Roman" w:hAnsi="Times New Roman" w:cs="Times New Roman"/>
        </w:rPr>
        <w:t>pre-ovulatory</w:t>
      </w:r>
      <w:r w:rsidRPr="005C3043">
        <w:rPr>
          <w:rFonts w:ascii="Times New Roman" w:hAnsi="Times New Roman" w:cs="Times New Roman"/>
        </w:rPr>
        <w:t xml:space="preserve"> follicles. Further, oocytes from small </w:t>
      </w:r>
      <w:r w:rsidRPr="005C3043">
        <w:rPr>
          <w:rFonts w:ascii="Times New Roman" w:hAnsi="Times New Roman" w:cs="Times New Roman"/>
        </w:rPr>
        <w:lastRenderedPageBreak/>
        <w:t>follicles had decreased expression of genes associated with mitochondria and oxidative phosphorylation when compared to the oocytes from cattle that displayed estrus. The oocyte and early embryo rely on cumulus cell glycolysis and oocyte oxidative phosphorylation for energy production</w:t>
      </w:r>
      <w:r w:rsidR="0012286B" w:rsidRPr="005C3043">
        <w:rPr>
          <w:rFonts w:ascii="Times New Roman" w:hAnsi="Times New Roman" w:cs="Times New Roman"/>
        </w:rPr>
        <w:t xml:space="preserve"> </w:t>
      </w:r>
      <w:r w:rsidR="00C55223" w:rsidRPr="005C3043">
        <w:rPr>
          <w:rFonts w:ascii="Times New Roman" w:hAnsi="Times New Roman" w:cs="Times New Roman"/>
          <w:noProof/>
        </w:rPr>
        <w:t>(Paczkowski et al., 2013)</w:t>
      </w:r>
      <w:r w:rsidRPr="005C3043">
        <w:rPr>
          <w:rFonts w:ascii="Times New Roman" w:hAnsi="Times New Roman" w:cs="Times New Roman"/>
        </w:rPr>
        <w:t xml:space="preserve">]. Decreased expression of genes involved in these key pathways suggests a decrease in the metabolic capacity of the oocytes induced to ovulate prematurely from a small follicle. </w:t>
      </w:r>
    </w:p>
    <w:p w14:paraId="323DAE58" w14:textId="3D014397" w:rsidR="005E5D6E" w:rsidRPr="005C3043" w:rsidRDefault="005E5D6E" w:rsidP="000D2CCE">
      <w:pPr>
        <w:pStyle w:val="Diss2"/>
      </w:pPr>
      <w:bookmarkStart w:id="14" w:name="_Toc100072152"/>
      <w:r w:rsidRPr="005C3043">
        <w:t>Metabolic Capacity of the COC and Embryo Development</w:t>
      </w:r>
      <w:bookmarkEnd w:id="14"/>
    </w:p>
    <w:p w14:paraId="358EB118" w14:textId="4B310B59" w:rsidR="00EE2DD5" w:rsidRPr="005C3043" w:rsidRDefault="00EE2DD5" w:rsidP="00F672B3">
      <w:pPr>
        <w:spacing w:line="480" w:lineRule="auto"/>
        <w:ind w:firstLine="720"/>
        <w:contextualSpacing/>
        <w:jc w:val="both"/>
        <w:rPr>
          <w:rFonts w:ascii="Times New Roman" w:hAnsi="Times New Roman" w:cs="Times New Roman"/>
        </w:rPr>
      </w:pPr>
      <w:r w:rsidRPr="005C3043">
        <w:rPr>
          <w:rFonts w:ascii="Times New Roman" w:hAnsi="Times New Roman" w:cs="Times New Roman"/>
        </w:rPr>
        <w:t xml:space="preserve">The oocyte and early embryo primarily rely on oxidative phosphorylation to create the energy necessary to sustain development through to the blastocyst stage of embryo development </w:t>
      </w:r>
      <w:r w:rsidR="00C55223" w:rsidRPr="005C3043">
        <w:rPr>
          <w:rFonts w:ascii="Times New Roman" w:hAnsi="Times New Roman" w:cs="Times New Roman"/>
          <w:noProof/>
        </w:rPr>
        <w:t>(Biggers et al., 1967; Tamassia et al., 2004; Sutton-McDowall et al., 2010; Paczkowski et al., 2013; Dalton et al., 2014; Babayev and Seli, 2015; Dalbies-Tran et al., 2020)</w:t>
      </w:r>
      <w:r w:rsidRPr="005C3043">
        <w:rPr>
          <w:rFonts w:ascii="Times New Roman" w:hAnsi="Times New Roman" w:cs="Times New Roman"/>
        </w:rPr>
        <w:t xml:space="preserve">. The ability to meet these energy needs relies on events that happen during </w:t>
      </w:r>
      <w:r w:rsidR="004D0927" w:rsidRPr="005C3043">
        <w:rPr>
          <w:rFonts w:ascii="Times New Roman" w:hAnsi="Times New Roman" w:cs="Times New Roman"/>
        </w:rPr>
        <w:t>antral follicle growth</w:t>
      </w:r>
      <w:r w:rsidRPr="005C3043">
        <w:rPr>
          <w:rFonts w:ascii="Times New Roman" w:hAnsi="Times New Roman" w:cs="Times New Roman"/>
        </w:rPr>
        <w:t xml:space="preserve"> prior to the</w:t>
      </w:r>
      <w:r w:rsidR="00526D45" w:rsidRPr="005C3043">
        <w:rPr>
          <w:rFonts w:ascii="Times New Roman" w:hAnsi="Times New Roman" w:cs="Times New Roman"/>
        </w:rPr>
        <w:t xml:space="preserve"> LH surge and</w:t>
      </w:r>
      <w:r w:rsidR="000D2CCE">
        <w:rPr>
          <w:rFonts w:ascii="Times New Roman" w:hAnsi="Times New Roman" w:cs="Times New Roman"/>
        </w:rPr>
        <w:t xml:space="preserve"> </w:t>
      </w:r>
      <w:r w:rsidR="00526D45" w:rsidRPr="005C3043">
        <w:rPr>
          <w:rFonts w:ascii="Times New Roman" w:hAnsi="Times New Roman" w:cs="Times New Roman"/>
        </w:rPr>
        <w:t>resumption of oocyte</w:t>
      </w:r>
      <w:r w:rsidRPr="005C3043">
        <w:rPr>
          <w:rFonts w:ascii="Times New Roman" w:hAnsi="Times New Roman" w:cs="Times New Roman"/>
        </w:rPr>
        <w:t xml:space="preserve"> meiotic maturation</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Zhang et al., 2017)</w:t>
      </w:r>
      <w:r w:rsidRPr="005C3043">
        <w:rPr>
          <w:rFonts w:ascii="Times New Roman" w:hAnsi="Times New Roman" w:cs="Times New Roman"/>
        </w:rPr>
        <w:t xml:space="preserve">. This includes an increase in mitochondrial number within the oocyte as well as an accumulation of metabolic substrates that can be utilized to fuel oxidative phosphorylation. Ultimately, stored metabolic substrates are used to produce ATP via oxidative phosphorylation to meet the energy needs of </w:t>
      </w:r>
      <w:r w:rsidR="00526D45" w:rsidRPr="005C3043">
        <w:rPr>
          <w:rFonts w:ascii="Times New Roman" w:hAnsi="Times New Roman" w:cs="Times New Roman"/>
        </w:rPr>
        <w:t xml:space="preserve">the </w:t>
      </w:r>
      <w:r w:rsidR="00771235" w:rsidRPr="005C3043">
        <w:rPr>
          <w:rFonts w:ascii="Times New Roman" w:hAnsi="Times New Roman" w:cs="Times New Roman"/>
        </w:rPr>
        <w:t>oocyte</w:t>
      </w:r>
      <w:r w:rsidR="00526D45" w:rsidRPr="005C3043">
        <w:rPr>
          <w:rFonts w:ascii="Times New Roman" w:hAnsi="Times New Roman" w:cs="Times New Roman"/>
        </w:rPr>
        <w:t xml:space="preserve"> during the resumption of meiosis, fertilization, and cleavage</w:t>
      </w:r>
      <w:r w:rsidR="00771235" w:rsidRPr="005C3043">
        <w:rPr>
          <w:rFonts w:ascii="Times New Roman" w:hAnsi="Times New Roman" w:cs="Times New Roman"/>
        </w:rPr>
        <w:t xml:space="preserve"> a</w:t>
      </w:r>
      <w:r w:rsidR="00526D45" w:rsidRPr="005C3043">
        <w:rPr>
          <w:rFonts w:ascii="Times New Roman" w:hAnsi="Times New Roman" w:cs="Times New Roman"/>
        </w:rPr>
        <w:t>s well as</w:t>
      </w:r>
      <w:r w:rsidR="00771235" w:rsidRPr="005C3043">
        <w:rPr>
          <w:rFonts w:ascii="Times New Roman" w:hAnsi="Times New Roman" w:cs="Times New Roman"/>
        </w:rPr>
        <w:t xml:space="preserve"> early </w:t>
      </w:r>
      <w:r w:rsidR="00C00ECC" w:rsidRPr="005C3043">
        <w:rPr>
          <w:rFonts w:ascii="Times New Roman" w:hAnsi="Times New Roman" w:cs="Times New Roman"/>
        </w:rPr>
        <w:t>em</w:t>
      </w:r>
      <w:r w:rsidR="00771235" w:rsidRPr="005C3043">
        <w:rPr>
          <w:rFonts w:ascii="Times New Roman" w:hAnsi="Times New Roman" w:cs="Times New Roman"/>
        </w:rPr>
        <w:t>bryo</w:t>
      </w:r>
      <w:r w:rsidR="00526D45" w:rsidRPr="005C3043">
        <w:rPr>
          <w:rFonts w:ascii="Times New Roman" w:hAnsi="Times New Roman" w:cs="Times New Roman"/>
        </w:rPr>
        <w:t xml:space="preserve"> cell division</w:t>
      </w:r>
      <w:r w:rsidRPr="005C3043">
        <w:rPr>
          <w:rFonts w:ascii="Times New Roman" w:hAnsi="Times New Roman" w:cs="Times New Roman"/>
        </w:rPr>
        <w:t xml:space="preserve">. Multiple studies </w:t>
      </w:r>
      <w:r w:rsidR="00C72B76" w:rsidRPr="005C3043">
        <w:rPr>
          <w:rFonts w:ascii="Times New Roman" w:hAnsi="Times New Roman" w:cs="Times New Roman"/>
        </w:rPr>
        <w:t>reported</w:t>
      </w:r>
      <w:r w:rsidRPr="005C3043">
        <w:rPr>
          <w:rFonts w:ascii="Times New Roman" w:hAnsi="Times New Roman" w:cs="Times New Roman"/>
        </w:rPr>
        <w:t xml:space="preserve"> that ATP levels within the oocyte and embryo are indicative of developmental competence </w:t>
      </w:r>
      <w:r w:rsidR="00C55223" w:rsidRPr="005C3043">
        <w:rPr>
          <w:rFonts w:ascii="Times New Roman" w:hAnsi="Times New Roman" w:cs="Times New Roman"/>
          <w:noProof/>
        </w:rPr>
        <w:t>(Quinn and Wales, 1973; Calarco, 1995; Van Blerkom et al., 2000; Stojkovic et al., 2001; Tamassia et al., 2004; Dalton et al., 2014)</w:t>
      </w:r>
      <w:r w:rsidRPr="005C3043">
        <w:rPr>
          <w:rFonts w:ascii="Times New Roman" w:hAnsi="Times New Roman" w:cs="Times New Roman"/>
        </w:rPr>
        <w:t>.</w:t>
      </w:r>
    </w:p>
    <w:p w14:paraId="3E2CB6DE" w14:textId="1FD0B0E2" w:rsidR="00EE2DD5" w:rsidRPr="005C3043" w:rsidRDefault="00EE2DD5" w:rsidP="00F672B3">
      <w:pPr>
        <w:spacing w:line="480" w:lineRule="auto"/>
        <w:ind w:firstLine="720"/>
        <w:contextualSpacing/>
        <w:jc w:val="both"/>
        <w:rPr>
          <w:rFonts w:ascii="Times New Roman" w:hAnsi="Times New Roman" w:cs="Times New Roman"/>
        </w:rPr>
      </w:pPr>
      <w:r w:rsidRPr="005C3043">
        <w:rPr>
          <w:rFonts w:ascii="Times New Roman" w:hAnsi="Times New Roman" w:cs="Times New Roman"/>
        </w:rPr>
        <w:lastRenderedPageBreak/>
        <w:t xml:space="preserve">Mitochondria are found in high numbers within the oocyte and comprise approximately 30% of the volume of a mature oocyte </w:t>
      </w:r>
      <w:r w:rsidR="00C55223" w:rsidRPr="005C3043">
        <w:rPr>
          <w:rFonts w:ascii="Times New Roman" w:hAnsi="Times New Roman" w:cs="Times New Roman"/>
          <w:noProof/>
        </w:rPr>
        <w:t>(Dumollard et al., 2009; May-Panloup et al., 2021)</w:t>
      </w:r>
      <w:r w:rsidRPr="005C3043">
        <w:rPr>
          <w:rFonts w:ascii="Times New Roman" w:hAnsi="Times New Roman" w:cs="Times New Roman"/>
        </w:rPr>
        <w:t xml:space="preserve">. Human and mouse MII stage oocytes have approximately 100,000 mitochondria </w:t>
      </w:r>
      <w:r w:rsidR="00C55223" w:rsidRPr="005C3043">
        <w:rPr>
          <w:rFonts w:ascii="Times New Roman" w:hAnsi="Times New Roman" w:cs="Times New Roman"/>
          <w:noProof/>
        </w:rPr>
        <w:t>(Monnot et al., 2013; Zhang et al., 2017)</w:t>
      </w:r>
      <w:r w:rsidRPr="005C3043">
        <w:rPr>
          <w:rFonts w:ascii="Times New Roman" w:hAnsi="Times New Roman" w:cs="Times New Roman"/>
        </w:rPr>
        <w:t xml:space="preserve">. These mitochondria are generated from a small population of ~100 mitochondria present in primordial germ cells </w:t>
      </w:r>
      <w:r w:rsidR="00C55223" w:rsidRPr="005C3043">
        <w:rPr>
          <w:rFonts w:ascii="Times New Roman" w:hAnsi="Times New Roman" w:cs="Times New Roman"/>
          <w:noProof/>
        </w:rPr>
        <w:t>(Wai et al., 2008; St John, 2014; Babayev and Seli, 2015; Zhang et al., 2017)</w:t>
      </w:r>
      <w:r w:rsidRPr="005C3043">
        <w:rPr>
          <w:rFonts w:ascii="Times New Roman" w:hAnsi="Times New Roman" w:cs="Times New Roman"/>
        </w:rPr>
        <w:t>. Mitochondrial DNA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is present within the mitochondria and encodes for 13 proteins that are components of the electron transport chain </w:t>
      </w:r>
      <w:r w:rsidR="00C55223" w:rsidRPr="005C3043">
        <w:rPr>
          <w:rFonts w:ascii="Times New Roman" w:hAnsi="Times New Roman" w:cs="Times New Roman"/>
          <w:noProof/>
        </w:rPr>
        <w:t>(Spikings et al., 2006; Zhang et al., 2017)</w:t>
      </w:r>
      <w:r w:rsidRPr="005C3043">
        <w:rPr>
          <w:rFonts w:ascii="Times New Roman" w:hAnsi="Times New Roman" w:cs="Times New Roman"/>
        </w:rPr>
        <w:t xml:space="preserve">. Within the oocyte, each mitochondrion is reported to possess anywhere from 1 to 15 copies of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w:t>
      </w:r>
      <w:r w:rsidR="00C55223" w:rsidRPr="005C3043">
        <w:rPr>
          <w:rFonts w:ascii="Times New Roman" w:hAnsi="Times New Roman" w:cs="Times New Roman"/>
          <w:noProof/>
        </w:rPr>
        <w:t>(Pikó and Taylor, 1987; Spikings et al., 2006; May-Panloup et al., 2007; Zhang et al., 2017)</w:t>
      </w:r>
      <w:r w:rsidRPr="005C3043">
        <w:rPr>
          <w:rFonts w:ascii="Times New Roman" w:hAnsi="Times New Roman" w:cs="Times New Roman"/>
        </w:rPr>
        <w:t xml:space="preserve">. In the bovine,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can range from 13,000 to 3,600,000 copies per oocyte </w:t>
      </w:r>
      <w:r w:rsidR="00C55223" w:rsidRPr="005C3043">
        <w:rPr>
          <w:rFonts w:ascii="Times New Roman" w:hAnsi="Times New Roman" w:cs="Times New Roman"/>
          <w:noProof/>
        </w:rPr>
        <w:t>(Dumollard et al., 2007; Jiao et al., 2007; Iwata et al., 2011; Roth, 2018; Hashimoto et al., 2019; Nagano, 2019)</w:t>
      </w:r>
      <w:r w:rsidRPr="005C3043">
        <w:rPr>
          <w:rFonts w:ascii="Times New Roman" w:hAnsi="Times New Roman" w:cs="Times New Roman"/>
        </w:rPr>
        <w:t xml:space="preserve">. </w:t>
      </w:r>
    </w:p>
    <w:p w14:paraId="5470319F" w14:textId="0BAF7336" w:rsidR="00EE2DD5" w:rsidRPr="005C3043" w:rsidRDefault="00EE2DD5" w:rsidP="00F672B3">
      <w:pPr>
        <w:spacing w:line="480" w:lineRule="auto"/>
        <w:ind w:firstLine="720"/>
        <w:contextualSpacing/>
        <w:jc w:val="both"/>
        <w:rPr>
          <w:rFonts w:ascii="Times New Roman" w:hAnsi="Times New Roman" w:cs="Times New Roman"/>
        </w:rPr>
      </w:pPr>
      <w:r w:rsidRPr="005C3043">
        <w:rPr>
          <w:rFonts w:ascii="Times New Roman" w:hAnsi="Times New Roman" w:cs="Times New Roman"/>
        </w:rPr>
        <w:t xml:space="preserve">Mitochondrial number and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both increase throughout oogenesis </w:t>
      </w:r>
      <w:r w:rsidR="00C55223" w:rsidRPr="005C3043">
        <w:rPr>
          <w:rFonts w:ascii="Times New Roman" w:hAnsi="Times New Roman" w:cs="Times New Roman"/>
          <w:noProof/>
        </w:rPr>
        <w:t>(Smith and Alcivar, 1993; Hyttel et al., 1997; Tamassia et al., 2004; Chappel, 2013; St John, 2014; Babayev and Seli, 2015)</w:t>
      </w:r>
      <w:r w:rsidRPr="005C3043">
        <w:rPr>
          <w:rFonts w:ascii="Times New Roman" w:hAnsi="Times New Roman" w:cs="Times New Roman"/>
        </w:rPr>
        <w:t xml:space="preserve">. </w:t>
      </w:r>
      <w:r w:rsidR="00973001" w:rsidRPr="005C3043">
        <w:rPr>
          <w:rFonts w:ascii="Times New Roman" w:hAnsi="Times New Roman" w:cs="Times New Roman"/>
        </w:rPr>
        <w:t>Mitochondrial DNA</w:t>
      </w:r>
      <w:r w:rsidRPr="005C3043">
        <w:rPr>
          <w:rFonts w:ascii="Times New Roman" w:hAnsi="Times New Roman" w:cs="Times New Roman"/>
        </w:rPr>
        <w:t xml:space="preserve"> copy number is frequently used to estimate the quantity of mitochondria within the </w:t>
      </w:r>
      <w:r w:rsidR="005C5C0F" w:rsidRPr="005C3043">
        <w:rPr>
          <w:rFonts w:ascii="Times New Roman" w:hAnsi="Times New Roman" w:cs="Times New Roman"/>
        </w:rPr>
        <w:t>oocyte</w:t>
      </w:r>
      <w:r w:rsidRPr="005C3043">
        <w:rPr>
          <w:rFonts w:ascii="Times New Roman" w:hAnsi="Times New Roman" w:cs="Times New Roman"/>
        </w:rPr>
        <w:t xml:space="preserve"> </w:t>
      </w:r>
      <w:r w:rsidR="00C55223" w:rsidRPr="005C3043">
        <w:rPr>
          <w:rFonts w:ascii="Times New Roman" w:hAnsi="Times New Roman" w:cs="Times New Roman"/>
          <w:noProof/>
        </w:rPr>
        <w:t>(Michaels et al., 1982; Tamassia et al., 2004; Iwata et al., 2011; Archer, 2013; Babayev and Seli, 2015; May-Panloup et al., 2021)</w:t>
      </w:r>
      <w:r w:rsidRPr="005C3043">
        <w:rPr>
          <w:rFonts w:ascii="Times New Roman" w:hAnsi="Times New Roman" w:cs="Times New Roman"/>
        </w:rPr>
        <w:t xml:space="preserve">. Increased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is associated with highly metabolically active somatic cells like neurons, muscle cells, and oocytes </w:t>
      </w:r>
      <w:r w:rsidR="00C55223" w:rsidRPr="005C3043">
        <w:rPr>
          <w:rFonts w:ascii="Times New Roman" w:hAnsi="Times New Roman" w:cs="Times New Roman"/>
          <w:noProof/>
        </w:rPr>
        <w:t>(Archer, 2013; Chappel, 2013)</w:t>
      </w:r>
      <w:r w:rsidRPr="005C3043">
        <w:rPr>
          <w:rFonts w:ascii="Times New Roman" w:hAnsi="Times New Roman" w:cs="Times New Roman"/>
        </w:rPr>
        <w:t xml:space="preserve">. </w:t>
      </w:r>
      <w:r w:rsidR="00771235" w:rsidRPr="005C3043">
        <w:rPr>
          <w:rFonts w:ascii="Times New Roman" w:hAnsi="Times New Roman" w:cs="Times New Roman"/>
        </w:rPr>
        <w:t>However, t</w:t>
      </w:r>
      <w:r w:rsidRPr="005C3043">
        <w:rPr>
          <w:rFonts w:ascii="Times New Roman" w:hAnsi="Times New Roman" w:cs="Times New Roman"/>
        </w:rPr>
        <w:t xml:space="preserve">he relationship between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and oocyte developmental competence </w:t>
      </w:r>
      <w:r w:rsidR="00EC7D3E" w:rsidRPr="005C3043">
        <w:rPr>
          <w:rFonts w:ascii="Times New Roman" w:hAnsi="Times New Roman" w:cs="Times New Roman"/>
        </w:rPr>
        <w:t>is debated</w:t>
      </w:r>
      <w:r w:rsidR="00771235" w:rsidRPr="005C3043">
        <w:rPr>
          <w:rFonts w:ascii="Times New Roman" w:hAnsi="Times New Roman" w:cs="Times New Roman"/>
        </w:rPr>
        <w:t xml:space="preserve">. </w:t>
      </w:r>
      <w:r w:rsidRPr="005C3043">
        <w:rPr>
          <w:rFonts w:ascii="Times New Roman" w:hAnsi="Times New Roman" w:cs="Times New Roman"/>
        </w:rPr>
        <w:t xml:space="preserve"> Multiple studies have shown oocytes with </w:t>
      </w:r>
      <w:r w:rsidRPr="005C3043">
        <w:rPr>
          <w:rFonts w:ascii="Times New Roman" w:hAnsi="Times New Roman" w:cs="Times New Roman"/>
        </w:rPr>
        <w:lastRenderedPageBreak/>
        <w:t xml:space="preserve">increased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w:t>
      </w:r>
      <w:r w:rsidR="00771235" w:rsidRPr="005C3043">
        <w:rPr>
          <w:rFonts w:ascii="Times New Roman" w:hAnsi="Times New Roman" w:cs="Times New Roman"/>
        </w:rPr>
        <w:t xml:space="preserve">copy number </w:t>
      </w:r>
      <w:r w:rsidRPr="005C3043">
        <w:rPr>
          <w:rFonts w:ascii="Times New Roman" w:hAnsi="Times New Roman" w:cs="Times New Roman"/>
        </w:rPr>
        <w:t xml:space="preserve">have improved developmental competence while others show no relationship </w:t>
      </w:r>
      <w:r w:rsidR="00C55223" w:rsidRPr="005C3043">
        <w:rPr>
          <w:rFonts w:ascii="Times New Roman" w:hAnsi="Times New Roman" w:cs="Times New Roman"/>
          <w:noProof/>
        </w:rPr>
        <w:t>(Van Blerkom et al., 1998; Perez et al., 2000; Reynier et al., 2001; Tamassia et al., 2004; Jiao et al., 2007; May-Panloup et al., 2007; Iwata et al., 2011; Srirattana and St John, 2018)</w:t>
      </w:r>
      <w:r w:rsidRPr="005C3043">
        <w:rPr>
          <w:rFonts w:ascii="Times New Roman" w:hAnsi="Times New Roman" w:cs="Times New Roman"/>
        </w:rPr>
        <w:t xml:space="preserve">. This could be due to differences in </w:t>
      </w:r>
      <w:r w:rsidR="00AF47B0" w:rsidRPr="005C3043">
        <w:rPr>
          <w:rFonts w:ascii="Times New Roman" w:hAnsi="Times New Roman" w:cs="Times New Roman"/>
        </w:rPr>
        <w:t xml:space="preserve">study design and measurement of </w:t>
      </w:r>
      <w:proofErr w:type="spellStart"/>
      <w:r w:rsidR="00AF47B0" w:rsidRPr="005C3043">
        <w:rPr>
          <w:rFonts w:ascii="Times New Roman" w:hAnsi="Times New Roman" w:cs="Times New Roman"/>
        </w:rPr>
        <w:t>mtDNA</w:t>
      </w:r>
      <w:proofErr w:type="spellEnd"/>
      <w:r w:rsidR="00AF47B0" w:rsidRPr="005C3043">
        <w:rPr>
          <w:rFonts w:ascii="Times New Roman" w:hAnsi="Times New Roman" w:cs="Times New Roman"/>
        </w:rPr>
        <w:t xml:space="preserve"> copy number</w:t>
      </w:r>
      <w:r w:rsidR="003834C0" w:rsidRPr="005C3043">
        <w:rPr>
          <w:rFonts w:ascii="Times New Roman" w:hAnsi="Times New Roman" w:cs="Times New Roman"/>
        </w:rPr>
        <w:t>.</w:t>
      </w:r>
    </w:p>
    <w:p w14:paraId="6F2C8BD5" w14:textId="0962B4A7" w:rsidR="00EE2DD5" w:rsidRPr="005C3043" w:rsidRDefault="00EE2DD5" w:rsidP="00F672B3">
      <w:pPr>
        <w:spacing w:line="480" w:lineRule="auto"/>
        <w:ind w:firstLine="720"/>
        <w:contextualSpacing/>
        <w:jc w:val="both"/>
        <w:rPr>
          <w:rFonts w:ascii="Times New Roman" w:hAnsi="Times New Roman" w:cs="Times New Roman"/>
        </w:rPr>
      </w:pPr>
      <w:r w:rsidRPr="005C3043">
        <w:rPr>
          <w:rFonts w:ascii="Times New Roman" w:hAnsi="Times New Roman" w:cs="Times New Roman"/>
        </w:rPr>
        <w:t>Within oocyte</w:t>
      </w:r>
      <w:r w:rsidR="00EC7D3E" w:rsidRPr="005C3043">
        <w:rPr>
          <w:rFonts w:ascii="Times New Roman" w:hAnsi="Times New Roman" w:cs="Times New Roman"/>
        </w:rPr>
        <w:t>s that have resumed meiosis after exposure to the LH surge</w:t>
      </w:r>
      <w:r w:rsidRPr="005C3043">
        <w:rPr>
          <w:rFonts w:ascii="Times New Roman" w:hAnsi="Times New Roman" w:cs="Times New Roman"/>
        </w:rPr>
        <w:t xml:space="preserve">, the mitochondria are in a conformation suggestive of low energy production </w:t>
      </w:r>
      <w:r w:rsidR="00C55223" w:rsidRPr="005C3043">
        <w:rPr>
          <w:rFonts w:ascii="Times New Roman" w:hAnsi="Times New Roman" w:cs="Times New Roman"/>
          <w:noProof/>
        </w:rPr>
        <w:t>(Hyttel et al., 1986; May-Panloup et al., 2021)</w:t>
      </w:r>
      <w:r w:rsidRPr="005C3043">
        <w:rPr>
          <w:rFonts w:ascii="Times New Roman" w:hAnsi="Times New Roman" w:cs="Times New Roman"/>
        </w:rPr>
        <w:t xml:space="preserve">. They are small, round, and have decreased cristae </w:t>
      </w:r>
      <w:r w:rsidR="00C55223" w:rsidRPr="005C3043">
        <w:rPr>
          <w:rFonts w:ascii="Times New Roman" w:hAnsi="Times New Roman" w:cs="Times New Roman"/>
          <w:noProof/>
        </w:rPr>
        <w:t>(Hyttel et al., 1986; Hyttel et al., 1989; Fair et al., 1997; Reader et al., 2017)</w:t>
      </w:r>
      <w:r w:rsidRPr="005C3043">
        <w:rPr>
          <w:rFonts w:ascii="Times New Roman" w:hAnsi="Times New Roman" w:cs="Times New Roman"/>
        </w:rPr>
        <w:t xml:space="preserve">. This suggests that the large mitochondrial mass established within the oocyte prior to maturation </w:t>
      </w:r>
      <w:r w:rsidR="00AF47B0" w:rsidRPr="005C3043">
        <w:rPr>
          <w:rFonts w:ascii="Times New Roman" w:hAnsi="Times New Roman" w:cs="Times New Roman"/>
        </w:rPr>
        <w:t>is needed to produce the amount of ATP necessary to meet the energy needs of the oocyte</w:t>
      </w:r>
      <w:r w:rsidRPr="005C3043">
        <w:rPr>
          <w:rFonts w:ascii="Times New Roman" w:hAnsi="Times New Roman" w:cs="Times New Roman"/>
        </w:rPr>
        <w:t xml:space="preserve"> </w:t>
      </w:r>
      <w:r w:rsidR="00C55223" w:rsidRPr="005C3043">
        <w:rPr>
          <w:rFonts w:ascii="Times New Roman" w:hAnsi="Times New Roman" w:cs="Times New Roman"/>
          <w:noProof/>
        </w:rPr>
        <w:t>(Van Blerkom et al., 1998; Tamassia et al., 2004)</w:t>
      </w:r>
      <w:r w:rsidRPr="005C3043">
        <w:rPr>
          <w:rFonts w:ascii="Times New Roman" w:hAnsi="Times New Roman" w:cs="Times New Roman"/>
        </w:rPr>
        <w:t xml:space="preserve">. Because the number of mitochondria present in the embryo does not increase until after the embryo develops to the blastocyst stage, the early embryo must meet its metabolic needs with the mitochondria it obtained during </w:t>
      </w:r>
      <w:r w:rsidR="004D0927" w:rsidRPr="005C3043">
        <w:rPr>
          <w:rFonts w:ascii="Times New Roman" w:hAnsi="Times New Roman" w:cs="Times New Roman"/>
        </w:rPr>
        <w:t xml:space="preserve">antral follicle development </w:t>
      </w:r>
      <w:r w:rsidR="006521DC" w:rsidRPr="005C3043">
        <w:rPr>
          <w:rFonts w:ascii="Times New Roman" w:hAnsi="Times New Roman" w:cs="Times New Roman"/>
          <w:noProof/>
        </w:rPr>
        <w:t>(</w:t>
      </w:r>
      <w:r w:rsidR="00C55223" w:rsidRPr="005C3043">
        <w:rPr>
          <w:rFonts w:ascii="Times New Roman" w:hAnsi="Times New Roman" w:cs="Times New Roman"/>
          <w:noProof/>
        </w:rPr>
        <w:t>Chappel, 2013; St John, 2014; Babayev and Seli, 2015)</w:t>
      </w:r>
      <w:r w:rsidRPr="005C3043">
        <w:rPr>
          <w:rFonts w:ascii="Times New Roman" w:hAnsi="Times New Roman" w:cs="Times New Roman"/>
        </w:rPr>
        <w:t xml:space="preserve">. As the embryo cleaves, the mitochondrial complement is divided amongst the blastomeres and the mitochondria take on a conformation indicative of increased metabolic activity </w:t>
      </w:r>
      <w:r w:rsidR="00C55223" w:rsidRPr="005C3043">
        <w:rPr>
          <w:rFonts w:ascii="Times New Roman" w:hAnsi="Times New Roman" w:cs="Times New Roman"/>
          <w:noProof/>
        </w:rPr>
        <w:t>(Motta et al., 2000)</w:t>
      </w:r>
      <w:r w:rsidRPr="005C3043">
        <w:rPr>
          <w:rFonts w:ascii="Times New Roman" w:hAnsi="Times New Roman" w:cs="Times New Roman"/>
        </w:rPr>
        <w:t>. This results in a decrease in the mitochondrial mass per cell and an increase in the ATP produced per mitochondrion</w:t>
      </w:r>
      <w:r w:rsidR="00A9730A" w:rsidRPr="005C3043">
        <w:rPr>
          <w:rFonts w:ascii="Times New Roman" w:hAnsi="Times New Roman" w:cs="Times New Roman"/>
        </w:rPr>
        <w:t xml:space="preserve"> (</w:t>
      </w:r>
      <w:proofErr w:type="spellStart"/>
      <w:r w:rsidR="00A9730A" w:rsidRPr="005C3043">
        <w:rPr>
          <w:rFonts w:ascii="Times New Roman" w:hAnsi="Times New Roman" w:cs="Times New Roman"/>
        </w:rPr>
        <w:t>Chappel</w:t>
      </w:r>
      <w:proofErr w:type="spellEnd"/>
      <w:r w:rsidR="00A9730A" w:rsidRPr="005C3043">
        <w:rPr>
          <w:rFonts w:ascii="Times New Roman" w:hAnsi="Times New Roman" w:cs="Times New Roman"/>
        </w:rPr>
        <w:t>, 2013)</w:t>
      </w:r>
      <w:r w:rsidRPr="005C3043">
        <w:rPr>
          <w:rFonts w:ascii="Times New Roman" w:hAnsi="Times New Roman" w:cs="Times New Roman"/>
        </w:rPr>
        <w:t xml:space="preserve">. Embryos from oocytes with decreased levels of mitochondria have decreased mitochondria per cell and, consequently, decreased metabolic capacity within the blastomeres </w:t>
      </w:r>
      <w:r w:rsidR="00C55223" w:rsidRPr="005C3043">
        <w:rPr>
          <w:rFonts w:ascii="Times New Roman" w:hAnsi="Times New Roman" w:cs="Times New Roman"/>
          <w:noProof/>
        </w:rPr>
        <w:t>(Van Blerkom et al., 2000; Van Blerkom, 2004; May-Panloup et al., 2021)</w:t>
      </w:r>
      <w:r w:rsidR="00534D96" w:rsidRPr="005C3043">
        <w:rPr>
          <w:rFonts w:ascii="Times New Roman" w:hAnsi="Times New Roman" w:cs="Times New Roman"/>
        </w:rPr>
        <w:t>.</w:t>
      </w:r>
      <w:r w:rsidRPr="005C3043">
        <w:rPr>
          <w:rFonts w:ascii="Times New Roman" w:hAnsi="Times New Roman" w:cs="Times New Roman"/>
        </w:rPr>
        <w:t xml:space="preserve"> Interestingly, transcript abundance for 3 </w:t>
      </w:r>
      <w:r w:rsidRPr="005C3043">
        <w:rPr>
          <w:rFonts w:ascii="Times New Roman" w:hAnsi="Times New Roman" w:cs="Times New Roman"/>
        </w:rPr>
        <w:lastRenderedPageBreak/>
        <w:t>mitochondrial genes (mt</w:t>
      </w:r>
      <w:r w:rsidRPr="005C3043">
        <w:rPr>
          <w:rFonts w:ascii="Times New Roman" w:hAnsi="Times New Roman" w:cs="Times New Roman"/>
          <w:i/>
          <w:iCs/>
        </w:rPr>
        <w:t>ND1</w:t>
      </w:r>
      <w:r w:rsidRPr="005C3043">
        <w:rPr>
          <w:rFonts w:ascii="Times New Roman" w:hAnsi="Times New Roman" w:cs="Times New Roman"/>
        </w:rPr>
        <w:t>, mt</w:t>
      </w:r>
      <w:r w:rsidRPr="005C3043">
        <w:rPr>
          <w:rFonts w:ascii="Times New Roman" w:hAnsi="Times New Roman" w:cs="Times New Roman"/>
          <w:i/>
          <w:iCs/>
        </w:rPr>
        <w:t>ND5</w:t>
      </w:r>
      <w:r w:rsidRPr="005C3043">
        <w:rPr>
          <w:rFonts w:ascii="Times New Roman" w:hAnsi="Times New Roman" w:cs="Times New Roman"/>
        </w:rPr>
        <w:t>, mt</w:t>
      </w:r>
      <w:r w:rsidRPr="005C3043">
        <w:rPr>
          <w:rFonts w:ascii="Times New Roman" w:hAnsi="Times New Roman" w:cs="Times New Roman"/>
          <w:i/>
          <w:iCs/>
        </w:rPr>
        <w:t>COX1</w:t>
      </w:r>
      <w:r w:rsidRPr="005C3043">
        <w:rPr>
          <w:rFonts w:ascii="Times New Roman" w:hAnsi="Times New Roman" w:cs="Times New Roman"/>
        </w:rPr>
        <w:t>) was increased in the oocytes of small</w:t>
      </w:r>
      <w:r w:rsidR="004D0927" w:rsidRPr="005C3043">
        <w:rPr>
          <w:rFonts w:ascii="Times New Roman" w:hAnsi="Times New Roman" w:cs="Times New Roman"/>
        </w:rPr>
        <w:t xml:space="preserve">er </w:t>
      </w:r>
      <w:r w:rsidR="00751FF5" w:rsidRPr="005C3043">
        <w:rPr>
          <w:rFonts w:ascii="Times New Roman" w:hAnsi="Times New Roman" w:cs="Times New Roman"/>
        </w:rPr>
        <w:t>pre-ovulatory</w:t>
      </w:r>
      <w:r w:rsidRPr="005C3043">
        <w:rPr>
          <w:rFonts w:ascii="Times New Roman" w:hAnsi="Times New Roman" w:cs="Times New Roman"/>
        </w:rPr>
        <w:t xml:space="preserve"> follicles (≤ 11.7 mm) that underwent an induced gonadotropin surge compared to oocytes collected from follicles of cows that had exhibited estrus </w:t>
      </w:r>
      <w:r w:rsidR="00C55223" w:rsidRPr="005C3043">
        <w:rPr>
          <w:rFonts w:ascii="Times New Roman" w:hAnsi="Times New Roman" w:cs="Times New Roman"/>
          <w:noProof/>
        </w:rPr>
        <w:t>(Moorey et al., 2021)</w:t>
      </w:r>
      <w:r w:rsidRPr="005C3043">
        <w:rPr>
          <w:rFonts w:ascii="Times New Roman" w:hAnsi="Times New Roman" w:cs="Times New Roman"/>
        </w:rPr>
        <w:t>. However, an additional 5 nuclear genes (</w:t>
      </w:r>
      <w:r w:rsidRPr="005C3043">
        <w:rPr>
          <w:rFonts w:ascii="Times New Roman" w:hAnsi="Times New Roman" w:cs="Times New Roman"/>
          <w:i/>
          <w:iCs/>
        </w:rPr>
        <w:t>ATP6V0D1</w:t>
      </w:r>
      <w:r w:rsidRPr="005C3043">
        <w:rPr>
          <w:rFonts w:ascii="Times New Roman" w:hAnsi="Times New Roman" w:cs="Times New Roman"/>
        </w:rPr>
        <w:t xml:space="preserve">, </w:t>
      </w:r>
      <w:r w:rsidRPr="005C3043">
        <w:rPr>
          <w:rFonts w:ascii="Times New Roman" w:hAnsi="Times New Roman" w:cs="Times New Roman"/>
          <w:i/>
          <w:iCs/>
        </w:rPr>
        <w:t>NDUFA7</w:t>
      </w:r>
      <w:r w:rsidRPr="005C3043">
        <w:rPr>
          <w:rFonts w:ascii="Times New Roman" w:hAnsi="Times New Roman" w:cs="Times New Roman"/>
        </w:rPr>
        <w:t xml:space="preserve">, </w:t>
      </w:r>
      <w:r w:rsidRPr="005C3043">
        <w:rPr>
          <w:rFonts w:ascii="Times New Roman" w:hAnsi="Times New Roman" w:cs="Times New Roman"/>
          <w:i/>
          <w:iCs/>
        </w:rPr>
        <w:t>NDUFA8</w:t>
      </w:r>
      <w:r w:rsidRPr="005C3043">
        <w:rPr>
          <w:rFonts w:ascii="Times New Roman" w:hAnsi="Times New Roman" w:cs="Times New Roman"/>
        </w:rPr>
        <w:t xml:space="preserve">, </w:t>
      </w:r>
      <w:r w:rsidRPr="005C3043">
        <w:rPr>
          <w:rFonts w:ascii="Times New Roman" w:hAnsi="Times New Roman" w:cs="Times New Roman"/>
          <w:i/>
          <w:iCs/>
        </w:rPr>
        <w:t>COX6A1</w:t>
      </w:r>
      <w:r w:rsidRPr="005C3043">
        <w:rPr>
          <w:rFonts w:ascii="Times New Roman" w:hAnsi="Times New Roman" w:cs="Times New Roman"/>
        </w:rPr>
        <w:t xml:space="preserve">, </w:t>
      </w:r>
      <w:r w:rsidRPr="005C3043">
        <w:rPr>
          <w:rFonts w:ascii="Times New Roman" w:hAnsi="Times New Roman" w:cs="Times New Roman"/>
          <w:i/>
          <w:iCs/>
        </w:rPr>
        <w:t>COX5B</w:t>
      </w:r>
      <w:r w:rsidRPr="005C3043">
        <w:rPr>
          <w:rFonts w:ascii="Times New Roman" w:hAnsi="Times New Roman" w:cs="Times New Roman"/>
        </w:rPr>
        <w:t xml:space="preserve">) had reduced expression in the oocytes </w:t>
      </w:r>
      <w:r w:rsidR="005B484A" w:rsidRPr="005C3043">
        <w:rPr>
          <w:rFonts w:ascii="Times New Roman" w:hAnsi="Times New Roman" w:cs="Times New Roman"/>
        </w:rPr>
        <w:t>from</w:t>
      </w:r>
      <w:r w:rsidRPr="005C3043">
        <w:rPr>
          <w:rFonts w:ascii="Times New Roman" w:hAnsi="Times New Roman" w:cs="Times New Roman"/>
        </w:rPr>
        <w:t xml:space="preserve"> small</w:t>
      </w:r>
      <w:r w:rsidR="004D0927" w:rsidRPr="005C3043">
        <w:rPr>
          <w:rFonts w:ascii="Times New Roman" w:hAnsi="Times New Roman" w:cs="Times New Roman"/>
        </w:rPr>
        <w:t xml:space="preserve">er </w:t>
      </w:r>
      <w:r w:rsidR="00751FF5" w:rsidRPr="005C3043">
        <w:rPr>
          <w:rFonts w:ascii="Times New Roman" w:hAnsi="Times New Roman" w:cs="Times New Roman"/>
        </w:rPr>
        <w:t>pre-ovulatory</w:t>
      </w:r>
      <w:r w:rsidRPr="005C3043">
        <w:rPr>
          <w:rFonts w:ascii="Times New Roman" w:hAnsi="Times New Roman" w:cs="Times New Roman"/>
        </w:rPr>
        <w:t xml:space="preserve"> </w:t>
      </w:r>
      <w:r w:rsidR="003834C0" w:rsidRPr="005C3043">
        <w:rPr>
          <w:rFonts w:ascii="Times New Roman" w:hAnsi="Times New Roman" w:cs="Times New Roman"/>
        </w:rPr>
        <w:t xml:space="preserve">follicles of cattle that did not display estrus </w:t>
      </w:r>
      <w:r w:rsidRPr="005C3043">
        <w:rPr>
          <w:rFonts w:ascii="Times New Roman" w:hAnsi="Times New Roman" w:cs="Times New Roman"/>
        </w:rPr>
        <w:t xml:space="preserve">versus </w:t>
      </w:r>
      <w:r w:rsidR="003834C0" w:rsidRPr="005C3043">
        <w:rPr>
          <w:rFonts w:ascii="Times New Roman" w:hAnsi="Times New Roman" w:cs="Times New Roman"/>
        </w:rPr>
        <w:t xml:space="preserve">oocytes from </w:t>
      </w:r>
      <w:r w:rsidRPr="005C3043">
        <w:rPr>
          <w:rFonts w:ascii="Times New Roman" w:hAnsi="Times New Roman" w:cs="Times New Roman"/>
        </w:rPr>
        <w:t>follicles</w:t>
      </w:r>
      <w:r w:rsidR="005B484A" w:rsidRPr="005C3043">
        <w:rPr>
          <w:rFonts w:ascii="Times New Roman" w:hAnsi="Times New Roman" w:cs="Times New Roman"/>
        </w:rPr>
        <w:t xml:space="preserve"> of cattle that did display estrus</w:t>
      </w:r>
      <w:r w:rsidRPr="005C3043">
        <w:rPr>
          <w:rFonts w:ascii="Times New Roman" w:hAnsi="Times New Roman" w:cs="Times New Roman"/>
        </w:rPr>
        <w:t xml:space="preserve">. Therefore, the impact of pre-ovulatory follicle status on mitochondrial number or function is uncertain. </w:t>
      </w:r>
    </w:p>
    <w:p w14:paraId="59924878" w14:textId="32AFCD7C" w:rsidR="005E1EB2" w:rsidRPr="005C3043" w:rsidRDefault="00EE2DD5" w:rsidP="00F672B3">
      <w:pPr>
        <w:spacing w:line="480" w:lineRule="auto"/>
        <w:ind w:firstLine="720"/>
        <w:contextualSpacing/>
        <w:jc w:val="both"/>
        <w:rPr>
          <w:rFonts w:ascii="Times New Roman" w:hAnsi="Times New Roman" w:cs="Times New Roman"/>
        </w:rPr>
      </w:pPr>
      <w:r w:rsidRPr="005C3043">
        <w:rPr>
          <w:rFonts w:ascii="Times New Roman" w:hAnsi="Times New Roman" w:cs="Times New Roman"/>
        </w:rPr>
        <w:t>In addition to needing adequate levels of mitochondri</w:t>
      </w:r>
      <w:r w:rsidR="00534D96" w:rsidRPr="005C3043">
        <w:rPr>
          <w:rFonts w:ascii="Times New Roman" w:hAnsi="Times New Roman" w:cs="Times New Roman"/>
        </w:rPr>
        <w:t>a,</w:t>
      </w:r>
      <w:r w:rsidRPr="005C3043">
        <w:rPr>
          <w:rFonts w:ascii="Times New Roman" w:hAnsi="Times New Roman" w:cs="Times New Roman"/>
        </w:rPr>
        <w:t xml:space="preserve"> the oocyte </w:t>
      </w:r>
      <w:r w:rsidR="005E1EB2" w:rsidRPr="005C3043">
        <w:rPr>
          <w:rFonts w:ascii="Times New Roman" w:hAnsi="Times New Roman" w:cs="Times New Roman"/>
        </w:rPr>
        <w:t>must</w:t>
      </w:r>
      <w:r w:rsidRPr="005C3043">
        <w:rPr>
          <w:rFonts w:ascii="Times New Roman" w:hAnsi="Times New Roman" w:cs="Times New Roman"/>
        </w:rPr>
        <w:t xml:space="preserve"> have obtained stockpiles of the metabolic substrates utilized by the mitochondria to perform oxidative phosphorylation. During oocyte capacitation, which is a critical component of </w:t>
      </w:r>
      <w:r w:rsidR="004D0927" w:rsidRPr="005C3043">
        <w:rPr>
          <w:rFonts w:ascii="Times New Roman" w:hAnsi="Times New Roman" w:cs="Times New Roman"/>
        </w:rPr>
        <w:t>oocyte development occurring during</w:t>
      </w:r>
      <w:r w:rsidRPr="005C3043">
        <w:rPr>
          <w:rFonts w:ascii="Times New Roman" w:hAnsi="Times New Roman" w:cs="Times New Roman"/>
        </w:rPr>
        <w:t xml:space="preserve"> LH</w:t>
      </w:r>
      <w:r w:rsidR="004D0927" w:rsidRPr="005C3043">
        <w:rPr>
          <w:rFonts w:ascii="Times New Roman" w:hAnsi="Times New Roman" w:cs="Times New Roman"/>
        </w:rPr>
        <w:t>-</w:t>
      </w:r>
      <w:r w:rsidRPr="005C3043">
        <w:rPr>
          <w:rFonts w:ascii="Times New Roman" w:hAnsi="Times New Roman" w:cs="Times New Roman"/>
        </w:rPr>
        <w:t>dependent</w:t>
      </w:r>
      <w:r w:rsidR="004D0927" w:rsidRPr="005C3043">
        <w:rPr>
          <w:rFonts w:ascii="Times New Roman" w:hAnsi="Times New Roman" w:cs="Times New Roman"/>
        </w:rPr>
        <w:t xml:space="preserve"> antral follicle growth</w:t>
      </w:r>
      <w:r w:rsidRPr="005C3043">
        <w:rPr>
          <w:rFonts w:ascii="Times New Roman" w:hAnsi="Times New Roman" w:cs="Times New Roman"/>
        </w:rPr>
        <w:t>, the oocyte is increasing the size and number of lipid droplets within the cytoplasm. These lipids are used by the mitochondria to produce energy via beta oxidation</w:t>
      </w:r>
      <w:r w:rsidR="0049177F" w:rsidRPr="005C3043">
        <w:rPr>
          <w:rFonts w:ascii="Times New Roman" w:hAnsi="Times New Roman" w:cs="Times New Roman"/>
        </w:rPr>
        <w:t xml:space="preserve"> </w:t>
      </w:r>
      <w:bookmarkStart w:id="15" w:name="_Hlk94376396"/>
      <w:r w:rsidR="00C55223" w:rsidRPr="005C3043">
        <w:rPr>
          <w:rFonts w:ascii="Times New Roman" w:hAnsi="Times New Roman" w:cs="Times New Roman"/>
          <w:noProof/>
        </w:rPr>
        <w:t>(Dunning et al., 2014; Dalbies-Tran et al., 2020)</w:t>
      </w:r>
      <w:bookmarkEnd w:id="15"/>
      <w:r w:rsidRPr="005C3043">
        <w:rPr>
          <w:rFonts w:ascii="Times New Roman" w:hAnsi="Times New Roman" w:cs="Times New Roman"/>
        </w:rPr>
        <w:t xml:space="preserve">. This is evidenced by the clustering of mitochondria around lipid droplets during maturation, the lipid droplets taking on a conformation that indicates their use, and </w:t>
      </w:r>
      <w:r w:rsidR="00534D96" w:rsidRPr="005C3043">
        <w:rPr>
          <w:rFonts w:ascii="Times New Roman" w:hAnsi="Times New Roman" w:cs="Times New Roman"/>
        </w:rPr>
        <w:t xml:space="preserve">an inhibition of the mitochondrial enzymes important for the oxidation of lipids </w:t>
      </w:r>
      <w:r w:rsidRPr="005C3043">
        <w:rPr>
          <w:rFonts w:ascii="Times New Roman" w:hAnsi="Times New Roman" w:cs="Times New Roman"/>
        </w:rPr>
        <w:t>negatively impacting developmental competence</w:t>
      </w:r>
      <w:r w:rsidR="00D76E27" w:rsidRPr="005C3043">
        <w:rPr>
          <w:rFonts w:ascii="Times New Roman" w:hAnsi="Times New Roman" w:cs="Times New Roman"/>
        </w:rPr>
        <w:t xml:space="preserve"> </w:t>
      </w:r>
      <w:bookmarkStart w:id="16" w:name="_Hlk94376354"/>
      <w:r w:rsidR="00C55223" w:rsidRPr="005C3043">
        <w:rPr>
          <w:rFonts w:ascii="Times New Roman" w:hAnsi="Times New Roman" w:cs="Times New Roman"/>
          <w:noProof/>
        </w:rPr>
        <w:t>(Hyttel et al., 1986; Sturmey et al., 2009; Paczkowski et al., 2013; Dalbies-Tran et al., 2020)</w:t>
      </w:r>
      <w:bookmarkEnd w:id="16"/>
      <w:r w:rsidRPr="005C3043">
        <w:rPr>
          <w:rFonts w:ascii="Times New Roman" w:hAnsi="Times New Roman" w:cs="Times New Roman"/>
        </w:rPr>
        <w:t xml:space="preserve">. Further, oocyte lipid content has been associated with improved developmental competence </w:t>
      </w:r>
      <w:r w:rsidR="00C55223" w:rsidRPr="005C3043">
        <w:rPr>
          <w:rFonts w:ascii="Times New Roman" w:hAnsi="Times New Roman" w:cs="Times New Roman"/>
          <w:noProof/>
        </w:rPr>
        <w:t>(Jeong et al., 2009; Aguila et al., 2020)</w:t>
      </w:r>
      <w:r w:rsidRPr="005C3043">
        <w:rPr>
          <w:rFonts w:ascii="Times New Roman" w:hAnsi="Times New Roman" w:cs="Times New Roman"/>
        </w:rPr>
        <w:t xml:space="preserve">. Premature maturation of the oocyte could interrupt accumulation of lipids and result in decreased energy availability during development. </w:t>
      </w:r>
    </w:p>
    <w:p w14:paraId="1AFD59E0" w14:textId="79E64968" w:rsidR="00EE2DD5" w:rsidRPr="005C3043" w:rsidRDefault="00EE2DD5" w:rsidP="00F672B3">
      <w:pPr>
        <w:spacing w:line="480" w:lineRule="auto"/>
        <w:ind w:firstLine="720"/>
        <w:contextualSpacing/>
        <w:jc w:val="both"/>
        <w:rPr>
          <w:rFonts w:ascii="Times New Roman" w:hAnsi="Times New Roman" w:cs="Times New Roman"/>
        </w:rPr>
      </w:pPr>
      <w:r w:rsidRPr="005C3043">
        <w:rPr>
          <w:rFonts w:ascii="Times New Roman" w:hAnsi="Times New Roman" w:cs="Times New Roman"/>
        </w:rPr>
        <w:lastRenderedPageBreak/>
        <w:t>Additionally, bovine oocytes and early embryos are unable to conduct glycolysis and rely on cumulus cells to provide substrates for oxidative phosphorylation</w:t>
      </w:r>
      <w:r w:rsidR="00D76E27" w:rsidRPr="005C3043">
        <w:rPr>
          <w:rFonts w:ascii="Times New Roman" w:hAnsi="Times New Roman" w:cs="Times New Roman"/>
        </w:rPr>
        <w:t xml:space="preserve"> </w:t>
      </w:r>
      <w:r w:rsidR="00C55223" w:rsidRPr="005C3043">
        <w:rPr>
          <w:rFonts w:ascii="Times New Roman" w:hAnsi="Times New Roman" w:cs="Times New Roman"/>
          <w:noProof/>
        </w:rPr>
        <w:t>(Biggers et al., 1967; Sutton-McDowall et al., 2010; Paczkowski et al., 2013; Dalbies-Tran et al., 2020)</w:t>
      </w:r>
      <w:r w:rsidRPr="005C3043">
        <w:rPr>
          <w:rFonts w:ascii="Times New Roman" w:hAnsi="Times New Roman" w:cs="Times New Roman"/>
        </w:rPr>
        <w:t xml:space="preserve">. During </w:t>
      </w:r>
      <w:r w:rsidR="00646F0F" w:rsidRPr="005C3043">
        <w:rPr>
          <w:rFonts w:ascii="Times New Roman" w:hAnsi="Times New Roman" w:cs="Times New Roman"/>
        </w:rPr>
        <w:t>antral follicle growth</w:t>
      </w:r>
      <w:r w:rsidRPr="005C3043">
        <w:rPr>
          <w:rFonts w:ascii="Times New Roman" w:hAnsi="Times New Roman" w:cs="Times New Roman"/>
        </w:rPr>
        <w:t xml:space="preserve">, cumulus cell glycolytic activity results in the production of metabolites such as pyruvate, lactate, NADH, and FADH2 </w:t>
      </w:r>
      <w:r w:rsidR="00C55223" w:rsidRPr="005C3043">
        <w:rPr>
          <w:rFonts w:ascii="Times New Roman" w:hAnsi="Times New Roman" w:cs="Times New Roman"/>
          <w:noProof/>
        </w:rPr>
        <w:t>(Sutton-McDowall et al., 2010; Winterhager and Kidder, 2015; Richani et al., 2021)</w:t>
      </w:r>
      <w:r w:rsidRPr="005C3043">
        <w:rPr>
          <w:rFonts w:ascii="Times New Roman" w:hAnsi="Times New Roman" w:cs="Times New Roman"/>
        </w:rPr>
        <w:t xml:space="preserve">. These metabolic substrates are transported to the oocyte via gap junctions where they are stockpiled for use during oocyte maturation and embryo development </w:t>
      </w:r>
      <w:r w:rsidR="00C55223" w:rsidRPr="005C3043">
        <w:rPr>
          <w:rFonts w:ascii="Times New Roman" w:hAnsi="Times New Roman" w:cs="Times New Roman"/>
          <w:noProof/>
        </w:rPr>
        <w:t>(Swain and Pool, 2008; Sutton-McDowall et al., 2010; Seli et al., 2014; Dumesic et al., 2015; Winterhager and Kidder, 2015; May-Panloup et al., 2021; Richani et al., 2021)</w:t>
      </w:r>
      <w:r w:rsidRPr="005C3043">
        <w:rPr>
          <w:rFonts w:ascii="Times New Roman" w:hAnsi="Times New Roman" w:cs="Times New Roman"/>
        </w:rPr>
        <w:t xml:space="preserve">. The importance of these substrates to the oocyte are evidenced by the oocyte control of </w:t>
      </w:r>
      <w:r w:rsidR="00C72B76" w:rsidRPr="005C3043">
        <w:rPr>
          <w:rFonts w:ascii="Times New Roman" w:hAnsi="Times New Roman" w:cs="Times New Roman"/>
        </w:rPr>
        <w:t>cumulus cell</w:t>
      </w:r>
      <w:r w:rsidRPr="005C3043">
        <w:rPr>
          <w:rFonts w:ascii="Times New Roman" w:hAnsi="Times New Roman" w:cs="Times New Roman"/>
        </w:rPr>
        <w:t xml:space="preserve"> glycolysis. BMP15, GDF9, and FGF8 produced by the oocyte increase the expression of glycolytic genes within the </w:t>
      </w:r>
      <w:r w:rsidR="00C72B76" w:rsidRPr="005C3043">
        <w:rPr>
          <w:rFonts w:ascii="Times New Roman" w:hAnsi="Times New Roman" w:cs="Times New Roman"/>
        </w:rPr>
        <w:t>cumulus cell</w:t>
      </w:r>
      <w:r w:rsidRPr="005C3043">
        <w:rPr>
          <w:rFonts w:ascii="Times New Roman" w:hAnsi="Times New Roman" w:cs="Times New Roman"/>
        </w:rPr>
        <w:t xml:space="preserve">s </w:t>
      </w:r>
      <w:r w:rsidR="00C55223" w:rsidRPr="005C3043">
        <w:rPr>
          <w:rFonts w:ascii="Times New Roman" w:hAnsi="Times New Roman" w:cs="Times New Roman"/>
          <w:noProof/>
        </w:rPr>
        <w:t>(Emori and Sugiura, 2014; Moorey et al., 2021)</w:t>
      </w:r>
      <w:r w:rsidRPr="005C3043">
        <w:rPr>
          <w:rFonts w:ascii="Times New Roman" w:hAnsi="Times New Roman" w:cs="Times New Roman"/>
        </w:rPr>
        <w:t xml:space="preserve">. </w:t>
      </w:r>
      <w:proofErr w:type="spellStart"/>
      <w:r w:rsidRPr="005C3043">
        <w:rPr>
          <w:rFonts w:ascii="Times New Roman" w:hAnsi="Times New Roman" w:cs="Times New Roman"/>
        </w:rPr>
        <w:t>Moorey</w:t>
      </w:r>
      <w:proofErr w:type="spellEnd"/>
      <w:r w:rsidRPr="005C3043">
        <w:rPr>
          <w:rFonts w:ascii="Times New Roman" w:hAnsi="Times New Roman" w:cs="Times New Roman"/>
        </w:rPr>
        <w:t xml:space="preserve"> et al</w:t>
      </w:r>
      <w:r w:rsidR="00646F0F" w:rsidRPr="005C3043">
        <w:rPr>
          <w:rFonts w:ascii="Times New Roman" w:hAnsi="Times New Roman" w:cs="Times New Roman"/>
        </w:rPr>
        <w:t>.</w:t>
      </w:r>
      <w:r w:rsidRPr="005C3043">
        <w:rPr>
          <w:rFonts w:ascii="Times New Roman" w:hAnsi="Times New Roman" w:cs="Times New Roman"/>
        </w:rPr>
        <w:t xml:space="preserve"> </w:t>
      </w:r>
      <w:r w:rsidR="005B484A" w:rsidRPr="005C3043">
        <w:rPr>
          <w:rFonts w:ascii="Times New Roman" w:hAnsi="Times New Roman" w:cs="Times New Roman"/>
        </w:rPr>
        <w:t xml:space="preserve">(2021) </w:t>
      </w:r>
      <w:r w:rsidRPr="005C3043">
        <w:rPr>
          <w:rFonts w:ascii="Times New Roman" w:hAnsi="Times New Roman" w:cs="Times New Roman"/>
        </w:rPr>
        <w:t xml:space="preserve">previously </w:t>
      </w:r>
      <w:r w:rsidR="00C72B76" w:rsidRPr="005C3043">
        <w:rPr>
          <w:rFonts w:ascii="Times New Roman" w:hAnsi="Times New Roman" w:cs="Times New Roman"/>
        </w:rPr>
        <w:t xml:space="preserve">reported </w:t>
      </w:r>
      <w:r w:rsidRPr="005C3043">
        <w:rPr>
          <w:rFonts w:ascii="Times New Roman" w:hAnsi="Times New Roman" w:cs="Times New Roman"/>
        </w:rPr>
        <w:t>a decrease in gene expression for key enzymes in the glycolytic pathway (</w:t>
      </w:r>
      <w:r w:rsidRPr="005C3043">
        <w:rPr>
          <w:rFonts w:ascii="Times New Roman" w:hAnsi="Times New Roman" w:cs="Times New Roman"/>
          <w:i/>
          <w:iCs/>
        </w:rPr>
        <w:t>ALDOC</w:t>
      </w:r>
      <w:r w:rsidRPr="005C3043">
        <w:rPr>
          <w:rFonts w:ascii="Times New Roman" w:hAnsi="Times New Roman" w:cs="Times New Roman"/>
        </w:rPr>
        <w:t xml:space="preserve">, </w:t>
      </w:r>
      <w:r w:rsidRPr="005C3043">
        <w:rPr>
          <w:rFonts w:ascii="Times New Roman" w:hAnsi="Times New Roman" w:cs="Times New Roman"/>
          <w:i/>
          <w:iCs/>
        </w:rPr>
        <w:t>GPI</w:t>
      </w:r>
      <w:r w:rsidRPr="005C3043">
        <w:rPr>
          <w:rFonts w:ascii="Times New Roman" w:hAnsi="Times New Roman" w:cs="Times New Roman"/>
        </w:rPr>
        <w:t xml:space="preserve">, </w:t>
      </w:r>
      <w:r w:rsidRPr="005C3043">
        <w:rPr>
          <w:rFonts w:ascii="Times New Roman" w:hAnsi="Times New Roman" w:cs="Times New Roman"/>
          <w:i/>
          <w:iCs/>
        </w:rPr>
        <w:t>HK2</w:t>
      </w:r>
      <w:r w:rsidRPr="005C3043">
        <w:rPr>
          <w:rFonts w:ascii="Times New Roman" w:hAnsi="Times New Roman" w:cs="Times New Roman"/>
        </w:rPr>
        <w:t xml:space="preserve">, </w:t>
      </w:r>
      <w:r w:rsidRPr="005C3043">
        <w:rPr>
          <w:rFonts w:ascii="Times New Roman" w:hAnsi="Times New Roman" w:cs="Times New Roman"/>
          <w:i/>
          <w:iCs/>
        </w:rPr>
        <w:t>LDHA</w:t>
      </w:r>
      <w:r w:rsidRPr="005C3043">
        <w:rPr>
          <w:rFonts w:ascii="Times New Roman" w:hAnsi="Times New Roman" w:cs="Times New Roman"/>
        </w:rPr>
        <w:t xml:space="preserve">, </w:t>
      </w:r>
      <w:r w:rsidRPr="005C3043">
        <w:rPr>
          <w:rFonts w:ascii="Times New Roman" w:hAnsi="Times New Roman" w:cs="Times New Roman"/>
          <w:i/>
          <w:iCs/>
        </w:rPr>
        <w:t>PFKP</w:t>
      </w:r>
      <w:r w:rsidRPr="005C3043">
        <w:rPr>
          <w:rFonts w:ascii="Times New Roman" w:hAnsi="Times New Roman" w:cs="Times New Roman"/>
        </w:rPr>
        <w:t xml:space="preserve">, </w:t>
      </w:r>
      <w:r w:rsidRPr="005C3043">
        <w:rPr>
          <w:rFonts w:ascii="Times New Roman" w:hAnsi="Times New Roman" w:cs="Times New Roman"/>
          <w:i/>
          <w:iCs/>
        </w:rPr>
        <w:t>TRI1</w:t>
      </w:r>
      <w:r w:rsidRPr="005C3043">
        <w:rPr>
          <w:rFonts w:ascii="Times New Roman" w:hAnsi="Times New Roman" w:cs="Times New Roman"/>
        </w:rPr>
        <w:t xml:space="preserve">; FDR&lt;0.01) in the </w:t>
      </w:r>
      <w:r w:rsidR="00C72B76" w:rsidRPr="005C3043">
        <w:rPr>
          <w:rFonts w:ascii="Times New Roman" w:hAnsi="Times New Roman" w:cs="Times New Roman"/>
        </w:rPr>
        <w:t>cumulus cell</w:t>
      </w:r>
      <w:r w:rsidRPr="005C3043">
        <w:rPr>
          <w:rFonts w:ascii="Times New Roman" w:hAnsi="Times New Roman" w:cs="Times New Roman"/>
        </w:rPr>
        <w:t>s of COCs obtained from small (≤ 11.7 mm) compared to large (≥</w:t>
      </w:r>
      <w:r w:rsidR="007957A4" w:rsidRPr="005C3043">
        <w:rPr>
          <w:rFonts w:ascii="Times New Roman" w:hAnsi="Times New Roman" w:cs="Times New Roman"/>
        </w:rPr>
        <w:t xml:space="preserve"> </w:t>
      </w:r>
      <w:r w:rsidRPr="005C3043">
        <w:rPr>
          <w:rFonts w:ascii="Times New Roman" w:hAnsi="Times New Roman" w:cs="Times New Roman"/>
        </w:rPr>
        <w:t xml:space="preserve">12.7 mm) follicles that received pharmacological injection to induce the gonadotropin surge </w:t>
      </w:r>
      <w:r w:rsidR="00C55223" w:rsidRPr="005C3043">
        <w:rPr>
          <w:rFonts w:ascii="Times New Roman" w:hAnsi="Times New Roman" w:cs="Times New Roman"/>
          <w:noProof/>
        </w:rPr>
        <w:t>(Moorey et al., 2021)</w:t>
      </w:r>
      <w:r w:rsidRPr="005C3043">
        <w:rPr>
          <w:rFonts w:ascii="Times New Roman" w:hAnsi="Times New Roman" w:cs="Times New Roman"/>
        </w:rPr>
        <w:t xml:space="preserve">. The lower expression of such genes suggests decreased glycolytic activity in the </w:t>
      </w:r>
      <w:r w:rsidR="00C72B76" w:rsidRPr="005C3043">
        <w:rPr>
          <w:rFonts w:ascii="Times New Roman" w:hAnsi="Times New Roman" w:cs="Times New Roman"/>
        </w:rPr>
        <w:t>cumulus cell</w:t>
      </w:r>
      <w:r w:rsidRPr="005C3043">
        <w:rPr>
          <w:rFonts w:ascii="Times New Roman" w:hAnsi="Times New Roman" w:cs="Times New Roman"/>
        </w:rPr>
        <w:t>s and decreased metabolic substrate transported to the oocyte</w:t>
      </w:r>
      <w:r w:rsidR="005E1EB2" w:rsidRPr="005C3043">
        <w:rPr>
          <w:rFonts w:ascii="Times New Roman" w:hAnsi="Times New Roman" w:cs="Times New Roman"/>
        </w:rPr>
        <w:t>s of small follicles</w:t>
      </w:r>
      <w:r w:rsidRPr="005C3043">
        <w:rPr>
          <w:rFonts w:ascii="Times New Roman" w:hAnsi="Times New Roman" w:cs="Times New Roman"/>
        </w:rPr>
        <w:t xml:space="preserve">. A potential decrease in the lipid content and glycolytic metabolite availability in the oocyte removed prematurely could be responsible for the decreased developmental competence of these oocytes. </w:t>
      </w:r>
    </w:p>
    <w:p w14:paraId="046DA4A5" w14:textId="77777777" w:rsidR="00EE2DD5" w:rsidRPr="005C3043" w:rsidRDefault="00EE2DD5" w:rsidP="00F672B3">
      <w:pPr>
        <w:spacing w:line="480" w:lineRule="auto"/>
        <w:contextualSpacing/>
        <w:jc w:val="both"/>
        <w:rPr>
          <w:rFonts w:ascii="Times New Roman" w:hAnsi="Times New Roman" w:cs="Times New Roman"/>
          <w:b/>
        </w:rPr>
      </w:pPr>
      <w:r w:rsidRPr="005C3043">
        <w:rPr>
          <w:rFonts w:ascii="Times New Roman" w:hAnsi="Times New Roman" w:cs="Times New Roman"/>
        </w:rPr>
        <w:lastRenderedPageBreak/>
        <w:softHyphen/>
      </w:r>
      <w:r w:rsidRPr="005C3043">
        <w:rPr>
          <w:rFonts w:ascii="Times New Roman" w:hAnsi="Times New Roman" w:cs="Times New Roman"/>
        </w:rPr>
        <w:softHyphen/>
      </w:r>
      <w:r w:rsidRPr="005C3043">
        <w:rPr>
          <w:rFonts w:ascii="Times New Roman" w:hAnsi="Times New Roman" w:cs="Times New Roman"/>
        </w:rPr>
        <w:softHyphen/>
      </w:r>
      <w:r w:rsidRPr="005C3043">
        <w:rPr>
          <w:rFonts w:ascii="Times New Roman" w:hAnsi="Times New Roman" w:cs="Times New Roman"/>
        </w:rPr>
        <w:softHyphen/>
      </w:r>
      <w:r w:rsidRPr="005C3043">
        <w:rPr>
          <w:rFonts w:ascii="Times New Roman" w:hAnsi="Times New Roman" w:cs="Times New Roman"/>
        </w:rPr>
        <w:softHyphen/>
      </w:r>
      <w:r w:rsidRPr="005C3043">
        <w:rPr>
          <w:rFonts w:ascii="Times New Roman" w:hAnsi="Times New Roman" w:cs="Times New Roman"/>
        </w:rPr>
        <w:softHyphen/>
      </w:r>
      <w:r w:rsidRPr="005C3043">
        <w:rPr>
          <w:rFonts w:ascii="Times New Roman" w:hAnsi="Times New Roman" w:cs="Times New Roman"/>
        </w:rPr>
        <w:softHyphen/>
      </w:r>
      <w:r w:rsidRPr="005C3043">
        <w:rPr>
          <w:rFonts w:ascii="Times New Roman" w:hAnsi="Times New Roman" w:cs="Times New Roman"/>
        </w:rPr>
        <w:softHyphen/>
      </w:r>
      <w:r w:rsidRPr="005C3043">
        <w:rPr>
          <w:rFonts w:ascii="Times New Roman" w:hAnsi="Times New Roman" w:cs="Times New Roman"/>
        </w:rPr>
        <w:softHyphen/>
      </w:r>
      <w:r w:rsidRPr="005C3043">
        <w:rPr>
          <w:rFonts w:ascii="Times New Roman" w:hAnsi="Times New Roman" w:cs="Times New Roman"/>
        </w:rPr>
        <w:softHyphen/>
      </w:r>
      <w:r w:rsidRPr="005C3043">
        <w:rPr>
          <w:rFonts w:ascii="Times New Roman" w:hAnsi="Times New Roman" w:cs="Times New Roman"/>
        </w:rPr>
        <w:softHyphen/>
      </w:r>
      <w:r w:rsidRPr="005C3043">
        <w:rPr>
          <w:rFonts w:ascii="Times New Roman" w:hAnsi="Times New Roman" w:cs="Times New Roman"/>
        </w:rPr>
        <w:softHyphen/>
      </w:r>
      <w:r w:rsidRPr="005C3043">
        <w:rPr>
          <w:rFonts w:ascii="Times New Roman" w:hAnsi="Times New Roman" w:cs="Times New Roman"/>
        </w:rPr>
        <w:softHyphen/>
      </w:r>
      <w:r w:rsidRPr="005C3043">
        <w:rPr>
          <w:rFonts w:ascii="Times New Roman" w:hAnsi="Times New Roman" w:cs="Times New Roman"/>
        </w:rPr>
        <w:tab/>
        <w:t>A combination of the mitochondrial content and metabolic substrate levels within the oocyte result in the metabolic capacity of the oocyte and early embryo to produce ATP. Metabolic capacity of the oocyte is accumulated throughout antral development and relies on exposure to the follicular microenvironment.</w:t>
      </w:r>
    </w:p>
    <w:p w14:paraId="7D51FF3E" w14:textId="77777777" w:rsidR="00EE2DD5" w:rsidRPr="005C3043" w:rsidRDefault="00EE2DD5" w:rsidP="00154DC0">
      <w:pPr>
        <w:spacing w:line="480" w:lineRule="auto"/>
        <w:contextualSpacing/>
        <w:rPr>
          <w:rFonts w:ascii="Times New Roman" w:hAnsi="Times New Roman" w:cs="Times New Roman"/>
          <w:b/>
          <w:i/>
        </w:rPr>
      </w:pPr>
      <w:r w:rsidRPr="005C3043">
        <w:rPr>
          <w:rFonts w:ascii="Times New Roman" w:hAnsi="Times New Roman" w:cs="Times New Roman"/>
          <w:b/>
          <w:i/>
        </w:rPr>
        <w:t>3.1 Effects of the follicular fluid microenvironment on oocyte developmental competence</w:t>
      </w:r>
    </w:p>
    <w:p w14:paraId="4DB9DB4B" w14:textId="65A3B969" w:rsidR="00EE2DD5" w:rsidRPr="005C3043" w:rsidRDefault="00EE2DD5" w:rsidP="00F672B3">
      <w:pPr>
        <w:pStyle w:val="BodyText"/>
        <w:ind w:firstLine="720"/>
        <w:contextualSpacing/>
        <w:jc w:val="both"/>
        <w:rPr>
          <w:szCs w:val="24"/>
        </w:rPr>
      </w:pPr>
      <w:r w:rsidRPr="005C3043">
        <w:rPr>
          <w:szCs w:val="24"/>
        </w:rPr>
        <w:t xml:space="preserve">Follicular fluid present during the antral stages of </w:t>
      </w:r>
      <w:proofErr w:type="spellStart"/>
      <w:r w:rsidRPr="005C3043">
        <w:rPr>
          <w:szCs w:val="24"/>
        </w:rPr>
        <w:t>folliculogenesis</w:t>
      </w:r>
      <w:proofErr w:type="spellEnd"/>
      <w:r w:rsidRPr="005C3043">
        <w:rPr>
          <w:szCs w:val="24"/>
        </w:rPr>
        <w:t xml:space="preserve"> is a product of </w:t>
      </w:r>
      <w:r w:rsidR="00646F0F" w:rsidRPr="005C3043">
        <w:rPr>
          <w:szCs w:val="24"/>
        </w:rPr>
        <w:t>serum</w:t>
      </w:r>
      <w:r w:rsidRPr="005C3043">
        <w:rPr>
          <w:szCs w:val="24"/>
        </w:rPr>
        <w:t xml:space="preserve"> and follicular cell secretions </w:t>
      </w:r>
      <w:r w:rsidR="00C55223" w:rsidRPr="005C3043">
        <w:rPr>
          <w:noProof/>
          <w:szCs w:val="24"/>
        </w:rPr>
        <w:t>(Edwards, 1974; Gosden et al., 1988; Clarke et al., 2006; Fahiminiya and Gérard, 2010b; Kidder and Vanderhyden, 2010; Rodgers and Irving-Rodgers, 2010; Hennet and Combelles, 2012; Winterhager and Kidder, 2015; Read et al., 2018)</w:t>
      </w:r>
      <w:r w:rsidRPr="005C3043">
        <w:rPr>
          <w:szCs w:val="24"/>
        </w:rPr>
        <w:t xml:space="preserve">. It provides many of the nutrients, metabolic substrates, and signaling molecules required to support the metabolism of the COC and accumulation of stockpiles of metabolic substrates within the oocyte </w:t>
      </w:r>
      <w:r w:rsidR="00C55223" w:rsidRPr="005C3043">
        <w:rPr>
          <w:noProof/>
          <w:szCs w:val="24"/>
        </w:rPr>
        <w:t>(Edwards, 1974; Gosden et al., 1988; Clarke et al., 2006; Fahiminiya and Gérard, 2010b; Kidder and Vanderhyden, 2010; Rodgers and Irving-Rodgers, 2010; Hennet and Combelles, 2012; Winterhager and Kidder, 2015; Read et al., 2018)</w:t>
      </w:r>
      <w:r w:rsidRPr="005C3043">
        <w:rPr>
          <w:szCs w:val="24"/>
        </w:rPr>
        <w:t xml:space="preserve">. Multiple studies have shown that the follicular fluid composition changes throughout </w:t>
      </w:r>
      <w:r w:rsidR="00646F0F" w:rsidRPr="005C3043">
        <w:rPr>
          <w:szCs w:val="24"/>
        </w:rPr>
        <w:t>antral follicle development</w:t>
      </w:r>
      <w:r w:rsidRPr="005C3043">
        <w:rPr>
          <w:szCs w:val="24"/>
        </w:rPr>
        <w:t xml:space="preserve"> and is related to stage of </w:t>
      </w:r>
      <w:r w:rsidR="00646F0F" w:rsidRPr="005C3043">
        <w:rPr>
          <w:szCs w:val="24"/>
        </w:rPr>
        <w:t>development</w:t>
      </w:r>
      <w:r w:rsidRPr="005C3043">
        <w:rPr>
          <w:szCs w:val="24"/>
        </w:rPr>
        <w:t xml:space="preserve"> and stage of the estrous cycle </w:t>
      </w:r>
      <w:r w:rsidR="00C55223" w:rsidRPr="005C3043">
        <w:rPr>
          <w:noProof/>
          <w:szCs w:val="24"/>
        </w:rPr>
        <w:t>(Orsi et al., 2005a; Moreno et al., 2015)</w:t>
      </w:r>
      <w:r w:rsidRPr="005C3043">
        <w:rPr>
          <w:szCs w:val="24"/>
        </w:rPr>
        <w:t xml:space="preserve">. For example, during the LH-dependent and </w:t>
      </w:r>
      <w:r w:rsidR="008C4D22" w:rsidRPr="005C3043">
        <w:rPr>
          <w:szCs w:val="24"/>
        </w:rPr>
        <w:t>post LH surge</w:t>
      </w:r>
      <w:r w:rsidRPr="005C3043">
        <w:rPr>
          <w:szCs w:val="24"/>
        </w:rPr>
        <w:t xml:space="preserve"> phases, steroid hormone profiles change dramatically. During the beginning of the LH dependent phase of a follicular wave, the follicle is exposed to a high progesterone environment. Following </w:t>
      </w:r>
      <w:proofErr w:type="spellStart"/>
      <w:r w:rsidRPr="005C3043">
        <w:rPr>
          <w:szCs w:val="24"/>
        </w:rPr>
        <w:t>luteolysis</w:t>
      </w:r>
      <w:proofErr w:type="spellEnd"/>
      <w:r w:rsidRPr="005C3043">
        <w:rPr>
          <w:szCs w:val="24"/>
        </w:rPr>
        <w:t xml:space="preserve">, and the subsequent decrease in circulating progesterone, the follicular cells increase estradiol </w:t>
      </w:r>
      <w:proofErr w:type="gramStart"/>
      <w:r w:rsidRPr="005C3043">
        <w:rPr>
          <w:szCs w:val="24"/>
        </w:rPr>
        <w:t>production</w:t>
      </w:r>
      <w:proofErr w:type="gramEnd"/>
      <w:r w:rsidRPr="005C3043">
        <w:rPr>
          <w:szCs w:val="24"/>
        </w:rPr>
        <w:t xml:space="preserve"> and the follicular </w:t>
      </w:r>
      <w:r w:rsidRPr="005C3043">
        <w:rPr>
          <w:szCs w:val="24"/>
        </w:rPr>
        <w:lastRenderedPageBreak/>
        <w:t xml:space="preserve">fluid contains increasing levels of estradiol until the pre-ovulatory gonadotropin surge </w:t>
      </w:r>
      <w:r w:rsidR="00C55223" w:rsidRPr="005C3043">
        <w:rPr>
          <w:noProof/>
          <w:szCs w:val="24"/>
        </w:rPr>
        <w:t>(Fortune and Hansel, 1985; Ginther et al., 2000; De los Reyes et al., 2006; Perry et al., 2014)</w:t>
      </w:r>
      <w:r w:rsidRPr="005C3043">
        <w:rPr>
          <w:szCs w:val="24"/>
        </w:rPr>
        <w:t>. Once this occurs, the follicular fluid composition decreases in estradiol levels and increases in progesterone. This fluctuation in endocrine profiles is important for the acquisition of oocyte developmental competence.</w:t>
      </w:r>
    </w:p>
    <w:p w14:paraId="6E1EAA21" w14:textId="7E66CA4C" w:rsidR="00EE2DD5" w:rsidRPr="005C3043" w:rsidRDefault="00EE2DD5" w:rsidP="00F672B3">
      <w:pPr>
        <w:pStyle w:val="BodyText"/>
        <w:ind w:firstLine="720"/>
        <w:contextualSpacing/>
        <w:jc w:val="both"/>
        <w:rPr>
          <w:szCs w:val="24"/>
        </w:rPr>
      </w:pPr>
      <w:r w:rsidRPr="005C3043">
        <w:rPr>
          <w:szCs w:val="24"/>
        </w:rPr>
        <w:t xml:space="preserve">In addition to preparation of the uterine environment for pregnancy, progesterone is also thought to play an important role in oocyte developmental competence </w:t>
      </w:r>
      <w:r w:rsidR="00C55223" w:rsidRPr="005C3043">
        <w:rPr>
          <w:noProof/>
          <w:szCs w:val="24"/>
        </w:rPr>
        <w:t>(Bazer et al., 2011; Fair and Lonergan, 2012)</w:t>
      </w:r>
      <w:r w:rsidRPr="005C3043">
        <w:rPr>
          <w:szCs w:val="24"/>
        </w:rPr>
        <w:t xml:space="preserve">. This is because the follicle is exposed to systemic progesterone during </w:t>
      </w:r>
      <w:proofErr w:type="gramStart"/>
      <w:r w:rsidRPr="005C3043">
        <w:rPr>
          <w:szCs w:val="24"/>
        </w:rPr>
        <w:t>the majority of</w:t>
      </w:r>
      <w:proofErr w:type="gramEnd"/>
      <w:r w:rsidRPr="005C3043">
        <w:rPr>
          <w:szCs w:val="24"/>
        </w:rPr>
        <w:t xml:space="preserve"> antral development, intrafollicular progesterone levels increase after exposure to the pre-ovulatory gonadotropin surge, and cumulus cells express progesterone receptors</w:t>
      </w:r>
      <w:r w:rsidR="001D5AD5">
        <w:rPr>
          <w:szCs w:val="24"/>
        </w:rPr>
        <w:t xml:space="preserve"> as well as produce progesterone</w:t>
      </w:r>
      <w:r w:rsidRPr="005C3043">
        <w:rPr>
          <w:szCs w:val="24"/>
        </w:rPr>
        <w:t xml:space="preserve"> </w:t>
      </w:r>
      <w:r w:rsidR="00C55223" w:rsidRPr="005C3043">
        <w:rPr>
          <w:noProof/>
          <w:szCs w:val="24"/>
        </w:rPr>
        <w:t>(Dieleman et al., 1983; Fortune and Hansel, 1985; Alvarez et al., 2000; Lamb et al., 2010; Aparicio et al., 2011; Wiltbank et al., 2011; Fair and Lonergan, 2012</w:t>
      </w:r>
      <w:r w:rsidR="001D5AD5">
        <w:rPr>
          <w:noProof/>
          <w:szCs w:val="24"/>
        </w:rPr>
        <w:t>; Rispoli et al., 2020</w:t>
      </w:r>
      <w:r w:rsidR="00C55223" w:rsidRPr="005C3043">
        <w:rPr>
          <w:noProof/>
          <w:szCs w:val="24"/>
        </w:rPr>
        <w:t>)</w:t>
      </w:r>
      <w:r w:rsidRPr="005C3043">
        <w:rPr>
          <w:szCs w:val="24"/>
        </w:rPr>
        <w:t xml:space="preserve">. During the LH-dependent growth phase, progesterone levels must decrease </w:t>
      </w:r>
      <w:proofErr w:type="gramStart"/>
      <w:r w:rsidRPr="005C3043">
        <w:rPr>
          <w:szCs w:val="24"/>
        </w:rPr>
        <w:t>in order for</w:t>
      </w:r>
      <w:proofErr w:type="gramEnd"/>
      <w:r w:rsidRPr="005C3043">
        <w:rPr>
          <w:szCs w:val="24"/>
        </w:rPr>
        <w:t xml:space="preserve"> the follicle to continue development towards the pre-ovulatory phase </w:t>
      </w:r>
      <w:r w:rsidR="00C55223" w:rsidRPr="005C3043">
        <w:rPr>
          <w:noProof/>
          <w:szCs w:val="24"/>
        </w:rPr>
        <w:t>(Skinner et al., 1998; Fair and Lonergan, 2012)</w:t>
      </w:r>
      <w:r w:rsidRPr="005C3043">
        <w:rPr>
          <w:szCs w:val="24"/>
        </w:rPr>
        <w:t>. After the pre-ovulatory gonadotropin surge, progesterone levels within the follicular fluid increase.</w:t>
      </w:r>
      <w:r w:rsidR="00A16821" w:rsidRPr="005C3043">
        <w:rPr>
          <w:szCs w:val="24"/>
        </w:rPr>
        <w:t xml:space="preserve"> Increased follicular progesterone levels after the LH surge are associated with increased probability of retrieving an oocyte at the MI or MII stage of meiotic maturation</w:t>
      </w:r>
      <w:r w:rsidR="00F9008A" w:rsidRPr="005C3043">
        <w:rPr>
          <w:szCs w:val="24"/>
        </w:rPr>
        <w:t xml:space="preserve"> as well as increased blastocyst rate</w:t>
      </w:r>
      <w:r w:rsidR="00A16821" w:rsidRPr="005C3043">
        <w:rPr>
          <w:szCs w:val="24"/>
        </w:rPr>
        <w:t xml:space="preserve"> </w:t>
      </w:r>
      <w:r w:rsidR="00C55223" w:rsidRPr="005C3043">
        <w:rPr>
          <w:noProof/>
          <w:szCs w:val="24"/>
        </w:rPr>
        <w:t>(Seibel et al., 1989; Aardema et al., 2013; Da Broi et al., 2018)</w:t>
      </w:r>
      <w:r w:rsidR="00A16821" w:rsidRPr="005C3043">
        <w:rPr>
          <w:szCs w:val="24"/>
        </w:rPr>
        <w:t>.</w:t>
      </w:r>
      <w:r w:rsidRPr="005C3043">
        <w:rPr>
          <w:szCs w:val="24"/>
        </w:rPr>
        <w:t xml:space="preserve"> Progesterone receptors are present within the COC during this </w:t>
      </w:r>
      <w:proofErr w:type="gramStart"/>
      <w:r w:rsidRPr="005C3043">
        <w:rPr>
          <w:szCs w:val="24"/>
        </w:rPr>
        <w:t>time period</w:t>
      </w:r>
      <w:proofErr w:type="gramEnd"/>
      <w:r w:rsidRPr="005C3043">
        <w:rPr>
          <w:szCs w:val="24"/>
        </w:rPr>
        <w:t xml:space="preserve">. </w:t>
      </w:r>
      <w:r w:rsidRPr="005C3043">
        <w:rPr>
          <w:i/>
          <w:szCs w:val="24"/>
        </w:rPr>
        <w:t xml:space="preserve">In vitro </w:t>
      </w:r>
      <w:r w:rsidRPr="005C3043">
        <w:rPr>
          <w:szCs w:val="24"/>
        </w:rPr>
        <w:t xml:space="preserve">experiments that utilized progesterone receptor antagonists showed a </w:t>
      </w:r>
      <w:r w:rsidRPr="005C3043">
        <w:rPr>
          <w:szCs w:val="24"/>
        </w:rPr>
        <w:lastRenderedPageBreak/>
        <w:t xml:space="preserve">reduction in cumulus cell expansion, decreased chromosome segregation during meiotic maturation, and decreased blastocyst rates </w:t>
      </w:r>
      <w:r w:rsidR="00C55223" w:rsidRPr="005C3043">
        <w:rPr>
          <w:noProof/>
          <w:szCs w:val="24"/>
        </w:rPr>
        <w:t>(Luciano et al., 2010; Aparicio et al., 2011)</w:t>
      </w:r>
      <w:r w:rsidRPr="005C3043">
        <w:rPr>
          <w:szCs w:val="24"/>
        </w:rPr>
        <w:t xml:space="preserve">. </w:t>
      </w:r>
    </w:p>
    <w:p w14:paraId="2971A4AF" w14:textId="23864DA2" w:rsidR="00EE2DD5" w:rsidRPr="005C3043" w:rsidRDefault="00685509" w:rsidP="00F672B3">
      <w:pPr>
        <w:pStyle w:val="BodyText"/>
        <w:ind w:firstLine="720"/>
        <w:contextualSpacing/>
        <w:jc w:val="both"/>
        <w:rPr>
          <w:szCs w:val="24"/>
        </w:rPr>
      </w:pPr>
      <w:r w:rsidRPr="005C3043">
        <w:rPr>
          <w:szCs w:val="24"/>
        </w:rPr>
        <w:t xml:space="preserve">Estradiol has been </w:t>
      </w:r>
      <w:r w:rsidR="00C72B76" w:rsidRPr="005C3043">
        <w:rPr>
          <w:szCs w:val="24"/>
        </w:rPr>
        <w:t>reported</w:t>
      </w:r>
      <w:r w:rsidRPr="005C3043">
        <w:rPr>
          <w:szCs w:val="24"/>
        </w:rPr>
        <w:t xml:space="preserve"> to </w:t>
      </w:r>
      <w:r w:rsidR="00EE2DD5" w:rsidRPr="005C3043">
        <w:rPr>
          <w:szCs w:val="24"/>
        </w:rPr>
        <w:t>promote oocyte developmental competence</w:t>
      </w:r>
      <w:r w:rsidRPr="005C3043">
        <w:rPr>
          <w:szCs w:val="24"/>
        </w:rPr>
        <w:t xml:space="preserve"> in multiple studies</w:t>
      </w:r>
      <w:r w:rsidR="00EE2DD5" w:rsidRPr="005C3043">
        <w:rPr>
          <w:szCs w:val="24"/>
        </w:rPr>
        <w:t xml:space="preserve"> </w:t>
      </w:r>
      <w:r w:rsidR="00C55223" w:rsidRPr="005C3043">
        <w:rPr>
          <w:noProof/>
          <w:szCs w:val="24"/>
        </w:rPr>
        <w:t>(Ginther et al., 2000; Ginther et al., 2001; De los Reyes et al., 2006)</w:t>
      </w:r>
      <w:r w:rsidR="00EE2DD5" w:rsidRPr="005C3043">
        <w:rPr>
          <w:szCs w:val="24"/>
        </w:rPr>
        <w:t>.</w:t>
      </w:r>
      <w:r w:rsidR="00A16821" w:rsidRPr="005C3043">
        <w:rPr>
          <w:szCs w:val="24"/>
        </w:rPr>
        <w:t xml:space="preserve"> </w:t>
      </w:r>
      <w:r w:rsidR="00EE2DD5" w:rsidRPr="005C3043">
        <w:rPr>
          <w:szCs w:val="24"/>
        </w:rPr>
        <w:t xml:space="preserve">Estradiol produced by the granulosa cells stimulates the expression of both </w:t>
      </w:r>
      <w:r w:rsidR="00646F0F" w:rsidRPr="005C3043">
        <w:rPr>
          <w:szCs w:val="24"/>
        </w:rPr>
        <w:t>C-type natriuretic peptide</w:t>
      </w:r>
      <w:r w:rsidR="00EE2DD5" w:rsidRPr="005C3043">
        <w:rPr>
          <w:szCs w:val="24"/>
        </w:rPr>
        <w:t xml:space="preserve"> (</w:t>
      </w:r>
      <w:r w:rsidR="00646F0F" w:rsidRPr="005C3043">
        <w:rPr>
          <w:szCs w:val="24"/>
        </w:rPr>
        <w:t>CNP</w:t>
      </w:r>
      <w:r w:rsidR="00EE2DD5" w:rsidRPr="005C3043">
        <w:rPr>
          <w:szCs w:val="24"/>
        </w:rPr>
        <w:t xml:space="preserve">) and its receptor (NPR2). This system acts to maintain meiotic arrest within the oocyte by increasing the transport of cGMP to the oocyte from the cumulus cells. Increased cGMP inhibits phosphodiesterase 3A (PDE3A) breakdown of cAMP within the oocyte, maintaining high levels of cAMP within the oocyte </w:t>
      </w:r>
      <w:r w:rsidR="00C55223" w:rsidRPr="005C3043">
        <w:rPr>
          <w:noProof/>
          <w:szCs w:val="24"/>
        </w:rPr>
        <w:t>(Zhang et al., 2010; Liu et al., 2017)</w:t>
      </w:r>
      <w:r w:rsidR="00EE2DD5" w:rsidRPr="005C3043">
        <w:rPr>
          <w:szCs w:val="24"/>
        </w:rPr>
        <w:t xml:space="preserve">. </w:t>
      </w:r>
      <w:bookmarkStart w:id="17" w:name="_Hlk94363294"/>
      <w:r w:rsidR="00EE2DD5" w:rsidRPr="005C3043">
        <w:rPr>
          <w:szCs w:val="24"/>
        </w:rPr>
        <w:t xml:space="preserve">The exposure of the COC to </w:t>
      </w:r>
      <w:r w:rsidR="00805692" w:rsidRPr="005C3043">
        <w:rPr>
          <w:szCs w:val="24"/>
        </w:rPr>
        <w:t>estradiol</w:t>
      </w:r>
      <w:r w:rsidR="00EE2DD5" w:rsidRPr="005C3043">
        <w:rPr>
          <w:szCs w:val="24"/>
        </w:rPr>
        <w:t xml:space="preserve"> also increases the expression of gap junctional proteins and increases their localization to the plasma membrane </w:t>
      </w:r>
      <w:r w:rsidR="00C55223" w:rsidRPr="005C3043">
        <w:rPr>
          <w:noProof/>
          <w:szCs w:val="24"/>
        </w:rPr>
        <w:t>(Firestone and Kapadia, 2012)</w:t>
      </w:r>
      <w:r w:rsidR="00EE2DD5" w:rsidRPr="005C3043">
        <w:rPr>
          <w:szCs w:val="24"/>
        </w:rPr>
        <w:t xml:space="preserve">. This increase in functional gap junctions increases the ability of the cumulus cells to transport cGMP to the oocyte as well as the metabolic substrates needed to support oocyte and embryo development. </w:t>
      </w:r>
      <w:r w:rsidR="00A440D1" w:rsidRPr="005C3043">
        <w:rPr>
          <w:szCs w:val="24"/>
        </w:rPr>
        <w:t>Because the oocyte relies on gap junction transport to store pyruvate, lipids, and other metabolic substrates, increased functional gap junctions could contribute to an increase in oocyte stockpiles.</w:t>
      </w:r>
    </w:p>
    <w:bookmarkEnd w:id="17"/>
    <w:p w14:paraId="488DF664" w14:textId="734AF814" w:rsidR="00BE2271" w:rsidRPr="005C3043" w:rsidRDefault="00EE2DD5" w:rsidP="00F672B3">
      <w:pPr>
        <w:spacing w:line="480" w:lineRule="auto"/>
        <w:ind w:firstLine="720"/>
        <w:contextualSpacing/>
        <w:jc w:val="both"/>
        <w:rPr>
          <w:rFonts w:ascii="Times New Roman" w:hAnsi="Times New Roman" w:cs="Times New Roman"/>
        </w:rPr>
      </w:pPr>
      <w:r w:rsidRPr="005C3043">
        <w:rPr>
          <w:rFonts w:ascii="Times New Roman" w:hAnsi="Times New Roman" w:cs="Times New Roman"/>
        </w:rPr>
        <w:t>In addition to the changes in hormone levels the oocyte experiences during the LH dependent growth phase, the metabolite</w:t>
      </w:r>
      <w:r w:rsidR="00F9008A" w:rsidRPr="005C3043">
        <w:rPr>
          <w:rFonts w:ascii="Times New Roman" w:hAnsi="Times New Roman" w:cs="Times New Roman"/>
        </w:rPr>
        <w:t>, protein, and electrolyte</w:t>
      </w:r>
      <w:r w:rsidRPr="005C3043">
        <w:rPr>
          <w:rFonts w:ascii="Times New Roman" w:hAnsi="Times New Roman" w:cs="Times New Roman"/>
        </w:rPr>
        <w:t xml:space="preserve"> profile of the follicular fluid also changes</w:t>
      </w:r>
      <w:r w:rsidRPr="005C3043">
        <w:rPr>
          <w:rFonts w:ascii="Times New Roman" w:hAnsi="Times New Roman" w:cs="Times New Roman"/>
          <w:i/>
        </w:rPr>
        <w:t xml:space="preserve">. </w:t>
      </w:r>
      <w:r w:rsidRPr="005C3043">
        <w:rPr>
          <w:rFonts w:ascii="Times New Roman" w:hAnsi="Times New Roman" w:cs="Times New Roman"/>
        </w:rPr>
        <w:t>Components found within bovine follicular fluid include amino acids, glucose derivatives, and fatty acids</w:t>
      </w:r>
      <w:r w:rsidR="003E0538" w:rsidRPr="005C3043">
        <w:rPr>
          <w:rFonts w:ascii="Times New Roman" w:hAnsi="Times New Roman" w:cs="Times New Roman"/>
        </w:rPr>
        <w:t xml:space="preserve"> that are important for proteinogenesis, energy metabolism, and the regulation of reactive oxygen species</w:t>
      </w:r>
      <w:r w:rsidRPr="005C3043">
        <w:rPr>
          <w:rFonts w:ascii="Times New Roman" w:hAnsi="Times New Roman" w:cs="Times New Roman"/>
        </w:rPr>
        <w:t xml:space="preserve"> </w:t>
      </w:r>
      <w:r w:rsidR="00C55223" w:rsidRPr="005C3043">
        <w:rPr>
          <w:rFonts w:ascii="Times New Roman" w:hAnsi="Times New Roman" w:cs="Times New Roman"/>
          <w:noProof/>
        </w:rPr>
        <w:t xml:space="preserve">(Orsi et al., 2005a; Bender et al., 2010; Renaville et al., 2010; Leroy et al., 2011; Alves et al., 2014; O'Doherty et al., </w:t>
      </w:r>
      <w:r w:rsidR="00C55223" w:rsidRPr="005C3043">
        <w:rPr>
          <w:rFonts w:ascii="Times New Roman" w:hAnsi="Times New Roman" w:cs="Times New Roman"/>
          <w:noProof/>
        </w:rPr>
        <w:lastRenderedPageBreak/>
        <w:t>2014; Forde et al., 2016a; Guerreiro et al., 2018)</w:t>
      </w:r>
      <w:r w:rsidRPr="005C3043">
        <w:rPr>
          <w:rFonts w:ascii="Times New Roman" w:hAnsi="Times New Roman" w:cs="Times New Roman"/>
        </w:rPr>
        <w:t>.</w:t>
      </w:r>
      <w:r w:rsidR="00472C48" w:rsidRPr="005C3043">
        <w:rPr>
          <w:rFonts w:ascii="Times New Roman" w:hAnsi="Times New Roman" w:cs="Times New Roman"/>
        </w:rPr>
        <w:t xml:space="preserve"> </w:t>
      </w:r>
      <w:r w:rsidR="00E94E19" w:rsidRPr="005C3043">
        <w:rPr>
          <w:rFonts w:ascii="Times New Roman" w:hAnsi="Times New Roman" w:cs="Times New Roman"/>
        </w:rPr>
        <w:t xml:space="preserve">Glucose concentrations within the follicular fluid increase </w:t>
      </w:r>
      <w:r w:rsidR="00F6794F" w:rsidRPr="005C3043">
        <w:rPr>
          <w:rFonts w:ascii="Times New Roman" w:hAnsi="Times New Roman" w:cs="Times New Roman"/>
        </w:rPr>
        <w:t xml:space="preserve">throughout antral follicle development before plateauing in </w:t>
      </w:r>
      <w:r w:rsidR="0081670A" w:rsidRPr="005C3043">
        <w:rPr>
          <w:rFonts w:ascii="Times New Roman" w:hAnsi="Times New Roman" w:cs="Times New Roman"/>
        </w:rPr>
        <w:t>pre-ovulatory</w:t>
      </w:r>
      <w:r w:rsidR="00F6794F" w:rsidRPr="005C3043">
        <w:rPr>
          <w:rFonts w:ascii="Times New Roman" w:hAnsi="Times New Roman" w:cs="Times New Roman"/>
        </w:rPr>
        <w:t xml:space="preserve"> and post LH surge follicular fluid </w:t>
      </w:r>
      <w:r w:rsidR="00C55223" w:rsidRPr="005C3043">
        <w:rPr>
          <w:rFonts w:ascii="Times New Roman" w:hAnsi="Times New Roman" w:cs="Times New Roman"/>
          <w:noProof/>
        </w:rPr>
        <w:t>(Iwata et al., 2004; Orsi et al., 2005a; Bender et al., 2010)</w:t>
      </w:r>
      <w:r w:rsidR="00F6794F" w:rsidRPr="005C3043">
        <w:rPr>
          <w:rFonts w:ascii="Times New Roman" w:hAnsi="Times New Roman" w:cs="Times New Roman"/>
        </w:rPr>
        <w:t xml:space="preserve">. </w:t>
      </w:r>
      <w:r w:rsidR="00FC2825" w:rsidRPr="005C3043">
        <w:rPr>
          <w:rFonts w:ascii="Times New Roman" w:hAnsi="Times New Roman" w:cs="Times New Roman"/>
          <w:i/>
        </w:rPr>
        <w:t xml:space="preserve">In vivo, </w:t>
      </w:r>
      <w:r w:rsidR="00FC2825" w:rsidRPr="005C3043">
        <w:rPr>
          <w:rFonts w:ascii="Times New Roman" w:hAnsi="Times New Roman" w:cs="Times New Roman"/>
        </w:rPr>
        <w:t xml:space="preserve">follicular fluid glucose is metabolized by the cumulus cells to support nucleic acid synthesis and the acquisition of stores of metabolic substrates within the oocyte </w:t>
      </w:r>
      <w:r w:rsidR="00C55223" w:rsidRPr="005C3043">
        <w:rPr>
          <w:rFonts w:ascii="Times New Roman" w:hAnsi="Times New Roman" w:cs="Times New Roman"/>
          <w:noProof/>
        </w:rPr>
        <w:t>(Biggers et al., 1967; Sutton et al., 2003)</w:t>
      </w:r>
      <w:r w:rsidR="00FC2825" w:rsidRPr="005C3043">
        <w:rPr>
          <w:rFonts w:ascii="Times New Roman" w:hAnsi="Times New Roman" w:cs="Times New Roman"/>
        </w:rPr>
        <w:t xml:space="preserve">. Once the pre-ovulatory LH surge occurs, cumulus cells utilize glucose to support their own expansion as well as progression of the oocyte through meiosis </w:t>
      </w:r>
      <w:r w:rsidR="00C55223" w:rsidRPr="005C3043">
        <w:rPr>
          <w:rFonts w:ascii="Times New Roman" w:hAnsi="Times New Roman" w:cs="Times New Roman"/>
          <w:noProof/>
        </w:rPr>
        <w:t>(Leroy et al., 2004; Bilodeau-Goeseels, 2006; Leroy et al., 2006; Sutton-McDowall et al., 2010; Leroy et al., 2011; Brown et al., 2017)</w:t>
      </w:r>
      <w:r w:rsidR="00FC2825" w:rsidRPr="005C3043">
        <w:rPr>
          <w:rFonts w:ascii="Times New Roman" w:hAnsi="Times New Roman" w:cs="Times New Roman"/>
        </w:rPr>
        <w:t xml:space="preserve">. </w:t>
      </w:r>
      <w:r w:rsidR="00F6794F" w:rsidRPr="005C3043">
        <w:rPr>
          <w:rFonts w:ascii="Times New Roman" w:hAnsi="Times New Roman" w:cs="Times New Roman"/>
        </w:rPr>
        <w:t xml:space="preserve">Increased glucose levels in follicular fluid and maturation media were associated with improved </w:t>
      </w:r>
      <w:r w:rsidR="00900C55" w:rsidRPr="005C3043">
        <w:rPr>
          <w:rFonts w:ascii="Times New Roman" w:hAnsi="Times New Roman" w:cs="Times New Roman"/>
        </w:rPr>
        <w:t xml:space="preserve">oocyte </w:t>
      </w:r>
      <w:r w:rsidR="00F6794F" w:rsidRPr="005C3043">
        <w:rPr>
          <w:rFonts w:ascii="Times New Roman" w:hAnsi="Times New Roman" w:cs="Times New Roman"/>
        </w:rPr>
        <w:t>developmental competence</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Rose-Hellekant et al., 1998; Downs and Hudson, 2000; Iwata et al., 2004; Bilodeau-Goeseels, 2006; Leroy et al., 2006)</w:t>
      </w:r>
      <w:r w:rsidR="00F6794F" w:rsidRPr="005C3043">
        <w:rPr>
          <w:rFonts w:ascii="Times New Roman" w:hAnsi="Times New Roman" w:cs="Times New Roman"/>
        </w:rPr>
        <w:t>.</w:t>
      </w:r>
      <w:r w:rsidR="00900C55" w:rsidRPr="005C3043">
        <w:rPr>
          <w:rFonts w:ascii="Times New Roman" w:hAnsi="Times New Roman" w:cs="Times New Roman"/>
        </w:rPr>
        <w:t xml:space="preserve"> Pyruvate concentration within the follicular fluid also increases with increasing follicle diameter</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Orsi et al., 2005a)</w:t>
      </w:r>
      <w:r w:rsidR="00900C55" w:rsidRPr="005C3043">
        <w:rPr>
          <w:rFonts w:ascii="Times New Roman" w:hAnsi="Times New Roman" w:cs="Times New Roman"/>
        </w:rPr>
        <w:t xml:space="preserve">. As cumulus cells convert glucose to pyruvate via glycolysis, they are transporting it through their gap junctions </w:t>
      </w:r>
      <w:r w:rsidR="00C72B76" w:rsidRPr="005C3043">
        <w:rPr>
          <w:rFonts w:ascii="Times New Roman" w:hAnsi="Times New Roman" w:cs="Times New Roman"/>
        </w:rPr>
        <w:t>to</w:t>
      </w:r>
      <w:r w:rsidR="00900C55" w:rsidRPr="005C3043">
        <w:rPr>
          <w:rFonts w:ascii="Times New Roman" w:hAnsi="Times New Roman" w:cs="Times New Roman"/>
        </w:rPr>
        <w:t xml:space="preserve"> deposit</w:t>
      </w:r>
      <w:r w:rsidR="00C72B76" w:rsidRPr="005C3043">
        <w:rPr>
          <w:rFonts w:ascii="Times New Roman" w:hAnsi="Times New Roman" w:cs="Times New Roman"/>
        </w:rPr>
        <w:t xml:space="preserve"> </w:t>
      </w:r>
      <w:r w:rsidR="00900C55" w:rsidRPr="005C3043">
        <w:rPr>
          <w:rFonts w:ascii="Times New Roman" w:hAnsi="Times New Roman" w:cs="Times New Roman"/>
        </w:rPr>
        <w:t xml:space="preserve">pyruvate into both the oocyte and the surrounding environment </w:t>
      </w:r>
      <w:r w:rsidR="00C55223" w:rsidRPr="005C3043">
        <w:rPr>
          <w:rFonts w:ascii="Times New Roman" w:hAnsi="Times New Roman" w:cs="Times New Roman"/>
          <w:noProof/>
        </w:rPr>
        <w:t>(Uhde et al., 2018a)</w:t>
      </w:r>
      <w:r w:rsidR="00900C55" w:rsidRPr="005C3043">
        <w:rPr>
          <w:rFonts w:ascii="Times New Roman" w:hAnsi="Times New Roman" w:cs="Times New Roman"/>
        </w:rPr>
        <w:t>. Increased pyruvate presence within the follicular fluid of larger follicles could be indicative of increased cumulus cell glycolysis during this timepoint</w:t>
      </w:r>
      <w:r w:rsidR="00BE2271" w:rsidRPr="005C3043">
        <w:rPr>
          <w:rFonts w:ascii="Times New Roman" w:hAnsi="Times New Roman" w:cs="Times New Roman"/>
        </w:rPr>
        <w:t xml:space="preserve">. This is further confirmed by the decrease in the glycolytic genes expressed in the cumulus cells from small follicles </w:t>
      </w:r>
      <w:r w:rsidR="00C55223" w:rsidRPr="005C3043">
        <w:rPr>
          <w:rFonts w:ascii="Times New Roman" w:hAnsi="Times New Roman" w:cs="Times New Roman"/>
          <w:noProof/>
        </w:rPr>
        <w:t>(Moorey et al., 2021)</w:t>
      </w:r>
      <w:r w:rsidR="00BE2271" w:rsidRPr="005C3043">
        <w:rPr>
          <w:rFonts w:ascii="Times New Roman" w:hAnsi="Times New Roman" w:cs="Times New Roman"/>
        </w:rPr>
        <w:t xml:space="preserve">. </w:t>
      </w:r>
    </w:p>
    <w:p w14:paraId="62689FF7" w14:textId="73284C62" w:rsidR="00B74DAF" w:rsidRPr="005C3043" w:rsidRDefault="00C9218D" w:rsidP="00F672B3">
      <w:pPr>
        <w:spacing w:line="480" w:lineRule="auto"/>
        <w:ind w:firstLine="720"/>
        <w:contextualSpacing/>
        <w:jc w:val="both"/>
        <w:rPr>
          <w:rFonts w:ascii="Times New Roman" w:hAnsi="Times New Roman" w:cs="Times New Roman"/>
        </w:rPr>
      </w:pPr>
      <w:r w:rsidRPr="005C3043">
        <w:rPr>
          <w:rFonts w:ascii="Times New Roman" w:hAnsi="Times New Roman" w:cs="Times New Roman"/>
          <w:i/>
        </w:rPr>
        <w:t>In vitro</w:t>
      </w:r>
      <w:r w:rsidRPr="005C3043">
        <w:rPr>
          <w:rFonts w:ascii="Times New Roman" w:hAnsi="Times New Roman" w:cs="Times New Roman"/>
        </w:rPr>
        <w:t xml:space="preserve">, the presence of pyruvate, glucose, and glutamine in the culture media is essential for progression of the oocyte through MII </w:t>
      </w:r>
      <w:r w:rsidR="00C55223" w:rsidRPr="005C3043">
        <w:rPr>
          <w:rFonts w:ascii="Times New Roman" w:hAnsi="Times New Roman" w:cs="Times New Roman"/>
          <w:noProof/>
        </w:rPr>
        <w:t>(Rieger and Loskutoff, 1994; Rose-Hellekant et al., 1998; Downs and Hudson, 2000)</w:t>
      </w:r>
      <w:r w:rsidRPr="005C3043">
        <w:rPr>
          <w:rFonts w:ascii="Times New Roman" w:hAnsi="Times New Roman" w:cs="Times New Roman"/>
        </w:rPr>
        <w:t>.</w:t>
      </w:r>
      <w:r w:rsidR="00B3565C" w:rsidRPr="005C3043">
        <w:rPr>
          <w:rFonts w:ascii="Times New Roman" w:hAnsi="Times New Roman" w:cs="Times New Roman"/>
        </w:rPr>
        <w:t xml:space="preserve"> </w:t>
      </w:r>
      <w:r w:rsidR="00A76104" w:rsidRPr="005C3043">
        <w:rPr>
          <w:rFonts w:ascii="Times New Roman" w:hAnsi="Times New Roman" w:cs="Times New Roman"/>
        </w:rPr>
        <w:t xml:space="preserve">Glutamine is thought to act as both a </w:t>
      </w:r>
      <w:r w:rsidR="00A76104" w:rsidRPr="005C3043">
        <w:rPr>
          <w:rFonts w:ascii="Times New Roman" w:hAnsi="Times New Roman" w:cs="Times New Roman"/>
        </w:rPr>
        <w:lastRenderedPageBreak/>
        <w:t xml:space="preserve">source of energy as well as provide substrates for nucleic acid synthesis as only oocytes exposed to glutamine were able to achieve MII </w:t>
      </w:r>
      <w:r w:rsidR="00C55223" w:rsidRPr="005C3043">
        <w:rPr>
          <w:rFonts w:ascii="Times New Roman" w:hAnsi="Times New Roman" w:cs="Times New Roman"/>
          <w:noProof/>
        </w:rPr>
        <w:t>(Bilodeau-Goeseels, 2006; Hennet and Combelles, 2012)</w:t>
      </w:r>
      <w:r w:rsidR="00A76104" w:rsidRPr="005C3043">
        <w:rPr>
          <w:rFonts w:ascii="Times New Roman" w:hAnsi="Times New Roman" w:cs="Times New Roman"/>
        </w:rPr>
        <w:t>. Additionally, d</w:t>
      </w:r>
      <w:r w:rsidR="002765D0" w:rsidRPr="005C3043">
        <w:rPr>
          <w:rFonts w:ascii="Times New Roman" w:hAnsi="Times New Roman" w:cs="Times New Roman"/>
        </w:rPr>
        <w:t xml:space="preserve">ecreased levels of glucose in the culture media results in an increase in the amount of time required for the oocyte to reach MII as well as a decrease in blastocyst rate </w:t>
      </w:r>
      <w:r w:rsidR="00C55223" w:rsidRPr="005C3043">
        <w:rPr>
          <w:rFonts w:ascii="Times New Roman" w:hAnsi="Times New Roman" w:cs="Times New Roman"/>
          <w:noProof/>
        </w:rPr>
        <w:t>(Iwata et al., 2004)</w:t>
      </w:r>
      <w:r w:rsidR="002765D0" w:rsidRPr="005C3043">
        <w:rPr>
          <w:rFonts w:ascii="Times New Roman" w:hAnsi="Times New Roman" w:cs="Times New Roman"/>
        </w:rPr>
        <w:t xml:space="preserve">.  </w:t>
      </w:r>
      <w:r w:rsidR="006D35D0" w:rsidRPr="005C3043">
        <w:rPr>
          <w:rFonts w:ascii="Times New Roman" w:hAnsi="Times New Roman" w:cs="Times New Roman"/>
        </w:rPr>
        <w:t>Pyruvate, glucose, and glutamine metabolism by the COC reach a peak around 18 hours after initiation of meiotic maturation</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Rieger and Loskutoff, 1994; Roberts et al., 2002)</w:t>
      </w:r>
      <w:r w:rsidR="006D35D0" w:rsidRPr="005C3043">
        <w:rPr>
          <w:rFonts w:ascii="Times New Roman" w:hAnsi="Times New Roman" w:cs="Times New Roman"/>
        </w:rPr>
        <w:t xml:space="preserve">. Interestingly, this is the approximate time the oocytes were collected in the study by </w:t>
      </w:r>
      <w:proofErr w:type="spellStart"/>
      <w:r w:rsidR="006D35D0" w:rsidRPr="005C3043">
        <w:rPr>
          <w:rFonts w:ascii="Times New Roman" w:hAnsi="Times New Roman" w:cs="Times New Roman"/>
        </w:rPr>
        <w:t>Moorey</w:t>
      </w:r>
      <w:proofErr w:type="spellEnd"/>
      <w:r w:rsidR="006D35D0" w:rsidRPr="005C3043">
        <w:rPr>
          <w:rFonts w:ascii="Times New Roman" w:hAnsi="Times New Roman" w:cs="Times New Roman"/>
        </w:rPr>
        <w:t xml:space="preserve"> et al </w:t>
      </w:r>
      <w:r w:rsidR="00C55223" w:rsidRPr="005C3043">
        <w:rPr>
          <w:rFonts w:ascii="Times New Roman" w:hAnsi="Times New Roman" w:cs="Times New Roman"/>
          <w:noProof/>
        </w:rPr>
        <w:t>(2021)</w:t>
      </w:r>
      <w:r w:rsidR="006D35D0" w:rsidRPr="005C3043">
        <w:rPr>
          <w:rFonts w:ascii="Times New Roman" w:hAnsi="Times New Roman" w:cs="Times New Roman"/>
        </w:rPr>
        <w:t xml:space="preserve">. In this study, cumulus cells </w:t>
      </w:r>
      <w:r w:rsidR="00751FF5" w:rsidRPr="005C3043">
        <w:rPr>
          <w:rFonts w:ascii="Times New Roman" w:hAnsi="Times New Roman" w:cs="Times New Roman"/>
        </w:rPr>
        <w:t>collected ~2</w:t>
      </w:r>
      <w:r w:rsidR="00C87A3E">
        <w:rPr>
          <w:rFonts w:ascii="Times New Roman" w:hAnsi="Times New Roman" w:cs="Times New Roman"/>
        </w:rPr>
        <w:t>3</w:t>
      </w:r>
      <w:r w:rsidR="00751FF5" w:rsidRPr="00A42976">
        <w:rPr>
          <w:rFonts w:ascii="Times New Roman" w:hAnsi="Times New Roman" w:cs="Times New Roman"/>
        </w:rPr>
        <w:t xml:space="preserve"> hours after</w:t>
      </w:r>
      <w:r w:rsidR="006D35D0" w:rsidRPr="00A42976">
        <w:rPr>
          <w:rFonts w:ascii="Times New Roman" w:hAnsi="Times New Roman" w:cs="Times New Roman"/>
        </w:rPr>
        <w:t xml:space="preserve"> </w:t>
      </w:r>
      <w:r w:rsidR="00751FF5" w:rsidRPr="00A42976">
        <w:rPr>
          <w:rFonts w:ascii="Times New Roman" w:hAnsi="Times New Roman" w:cs="Times New Roman"/>
        </w:rPr>
        <w:t xml:space="preserve">the </w:t>
      </w:r>
      <w:r w:rsidR="006D35D0" w:rsidRPr="00A42976">
        <w:rPr>
          <w:rFonts w:ascii="Times New Roman" w:hAnsi="Times New Roman" w:cs="Times New Roman"/>
        </w:rPr>
        <w:t>small</w:t>
      </w:r>
      <w:r w:rsidR="00646F0F" w:rsidRPr="00A42976">
        <w:rPr>
          <w:rFonts w:ascii="Times New Roman" w:hAnsi="Times New Roman" w:cs="Times New Roman"/>
        </w:rPr>
        <w:t xml:space="preserve">er </w:t>
      </w:r>
      <w:r w:rsidR="00751FF5" w:rsidRPr="00A42976">
        <w:rPr>
          <w:rFonts w:ascii="Times New Roman" w:hAnsi="Times New Roman" w:cs="Times New Roman"/>
        </w:rPr>
        <w:t>pre-ovulatory</w:t>
      </w:r>
      <w:r w:rsidR="006D35D0" w:rsidRPr="000B5F79">
        <w:rPr>
          <w:rFonts w:ascii="Times New Roman" w:hAnsi="Times New Roman" w:cs="Times New Roman"/>
        </w:rPr>
        <w:t xml:space="preserve"> follicles</w:t>
      </w:r>
      <w:r w:rsidR="00751FF5" w:rsidRPr="005C3043">
        <w:rPr>
          <w:rFonts w:ascii="Times New Roman" w:hAnsi="Times New Roman" w:cs="Times New Roman"/>
        </w:rPr>
        <w:t xml:space="preserve"> were</w:t>
      </w:r>
      <w:r w:rsidR="006D35D0" w:rsidRPr="00C87A3E">
        <w:rPr>
          <w:rFonts w:ascii="Times New Roman" w:hAnsi="Times New Roman" w:cs="Times New Roman"/>
        </w:rPr>
        <w:t xml:space="preserve"> prematurely exposed to the LH surge had decreased expression of glycolytic genes as well as genes for the glucose transporters </w:t>
      </w:r>
      <w:r w:rsidR="006D35D0" w:rsidRPr="003B6B38">
        <w:rPr>
          <w:rFonts w:ascii="Times New Roman" w:hAnsi="Times New Roman" w:cs="Times New Roman"/>
          <w:i/>
        </w:rPr>
        <w:t xml:space="preserve">SLC2A1 </w:t>
      </w:r>
      <w:r w:rsidR="006D35D0" w:rsidRPr="005C3043">
        <w:rPr>
          <w:rFonts w:ascii="Times New Roman" w:hAnsi="Times New Roman" w:cs="Times New Roman"/>
        </w:rPr>
        <w:t>and</w:t>
      </w:r>
      <w:r w:rsidR="006D35D0" w:rsidRPr="005C3043">
        <w:rPr>
          <w:rFonts w:ascii="Times New Roman" w:hAnsi="Times New Roman" w:cs="Times New Roman"/>
          <w:i/>
        </w:rPr>
        <w:t xml:space="preserve"> SLC2A10. </w:t>
      </w:r>
      <w:r w:rsidR="006D35D0" w:rsidRPr="005C3043">
        <w:rPr>
          <w:rFonts w:ascii="Times New Roman" w:hAnsi="Times New Roman" w:cs="Times New Roman"/>
        </w:rPr>
        <w:t xml:space="preserve">The decreased ability to transport metabolic substrates into the cumulus cells as well </w:t>
      </w:r>
      <w:r w:rsidR="004C238A" w:rsidRPr="005C3043">
        <w:rPr>
          <w:rFonts w:ascii="Times New Roman" w:hAnsi="Times New Roman" w:cs="Times New Roman"/>
        </w:rPr>
        <w:t>as a</w:t>
      </w:r>
      <w:r w:rsidR="006D35D0" w:rsidRPr="005C3043">
        <w:rPr>
          <w:rFonts w:ascii="Times New Roman" w:hAnsi="Times New Roman" w:cs="Times New Roman"/>
        </w:rPr>
        <w:t xml:space="preserve"> decreased ability to metabolize these substrates could result in a decreased availabil</w:t>
      </w:r>
      <w:r w:rsidR="00264C6A" w:rsidRPr="005C3043">
        <w:rPr>
          <w:rFonts w:ascii="Times New Roman" w:hAnsi="Times New Roman" w:cs="Times New Roman"/>
        </w:rPr>
        <w:t>ity of these metabolites during meiotic maturation</w:t>
      </w:r>
      <w:r w:rsidR="00BC55C2" w:rsidRPr="005C3043">
        <w:rPr>
          <w:rFonts w:ascii="Times New Roman" w:hAnsi="Times New Roman" w:cs="Times New Roman"/>
        </w:rPr>
        <w:t>.</w:t>
      </w:r>
      <w:r w:rsidR="00D42EE4" w:rsidRPr="005C3043">
        <w:rPr>
          <w:rFonts w:ascii="Times New Roman" w:hAnsi="Times New Roman" w:cs="Times New Roman"/>
        </w:rPr>
        <w:t xml:space="preserve"> </w:t>
      </w:r>
    </w:p>
    <w:p w14:paraId="66C1711B" w14:textId="6B1AADF6" w:rsidR="00E65B3B" w:rsidRPr="005C3043" w:rsidRDefault="00855A3D" w:rsidP="00AC6DC1">
      <w:pPr>
        <w:spacing w:line="480" w:lineRule="auto"/>
        <w:ind w:firstLine="720"/>
        <w:contextualSpacing/>
        <w:jc w:val="both"/>
        <w:rPr>
          <w:rFonts w:ascii="Times New Roman" w:hAnsi="Times New Roman" w:cs="Times New Roman"/>
        </w:rPr>
      </w:pPr>
      <w:r w:rsidRPr="005C3043">
        <w:rPr>
          <w:rFonts w:ascii="Times New Roman" w:hAnsi="Times New Roman" w:cs="Times New Roman"/>
        </w:rPr>
        <w:t xml:space="preserve">In addition to progression through </w:t>
      </w:r>
      <w:r w:rsidR="002D15F1" w:rsidRPr="005C3043">
        <w:rPr>
          <w:rFonts w:ascii="Times New Roman" w:hAnsi="Times New Roman" w:cs="Times New Roman"/>
        </w:rPr>
        <w:t>latter stages of antral follicle growth</w:t>
      </w:r>
      <w:r w:rsidRPr="005C3043">
        <w:rPr>
          <w:rFonts w:ascii="Times New Roman" w:hAnsi="Times New Roman" w:cs="Times New Roman"/>
        </w:rPr>
        <w:t xml:space="preserve">, the follicular fluid microenvironment can be impacted by extraovarian factors. In </w:t>
      </w:r>
      <w:r w:rsidR="00C50F14" w:rsidRPr="005C3043">
        <w:rPr>
          <w:rFonts w:ascii="Times New Roman" w:hAnsi="Times New Roman" w:cs="Times New Roman"/>
        </w:rPr>
        <w:t>ruminants</w:t>
      </w:r>
      <w:r w:rsidRPr="005C3043">
        <w:rPr>
          <w:rFonts w:ascii="Times New Roman" w:hAnsi="Times New Roman" w:cs="Times New Roman"/>
        </w:rPr>
        <w:t xml:space="preserve"> and humans, follicular fluid composition can be impacted by the environment, diet, metabolic status, </w:t>
      </w:r>
      <w:r w:rsidR="00EF2A2C" w:rsidRPr="005C3043">
        <w:rPr>
          <w:rFonts w:ascii="Times New Roman" w:hAnsi="Times New Roman" w:cs="Times New Roman"/>
        </w:rPr>
        <w:t xml:space="preserve">age, </w:t>
      </w:r>
      <w:r w:rsidRPr="005C3043">
        <w:rPr>
          <w:rFonts w:ascii="Times New Roman" w:hAnsi="Times New Roman" w:cs="Times New Roman"/>
        </w:rPr>
        <w:t>and ovarian stimulation protocol</w:t>
      </w:r>
      <w:r w:rsidR="00EF2A2C" w:rsidRPr="005C3043">
        <w:rPr>
          <w:rFonts w:ascii="Times New Roman" w:hAnsi="Times New Roman" w:cs="Times New Roman"/>
        </w:rPr>
        <w:t xml:space="preserve"> </w:t>
      </w:r>
      <w:bookmarkStart w:id="18" w:name="_Hlk94369958"/>
      <w:r w:rsidR="00C55223" w:rsidRPr="005C3043">
        <w:rPr>
          <w:rFonts w:ascii="Times New Roman" w:hAnsi="Times New Roman" w:cs="Times New Roman"/>
          <w:noProof/>
        </w:rPr>
        <w:t>(Fortune and Hansel, 1985; Assey et al., 1994; Ambrose et al., 2006; Leroy et al., 2006; Bender et al., 2010; Von Wald et al., 2010; Wonnacott et al., 2010; Zachut et al., 2010; Leroy et al., 2011; Liu et al., 2012; Alves et al., 2014; O'Doherty et al., 2014; Palini et al., 2014; Moreno et al., 2015; Forde et al., 2016a; Takeo et al., 2017)</w:t>
      </w:r>
      <w:bookmarkEnd w:id="18"/>
      <w:r w:rsidRPr="005C3043">
        <w:rPr>
          <w:rFonts w:ascii="Times New Roman" w:hAnsi="Times New Roman" w:cs="Times New Roman"/>
        </w:rPr>
        <w:t>.</w:t>
      </w:r>
      <w:r w:rsidR="00537F83" w:rsidRPr="005C3043">
        <w:rPr>
          <w:rFonts w:ascii="Times New Roman" w:hAnsi="Times New Roman" w:cs="Times New Roman"/>
        </w:rPr>
        <w:t xml:space="preserve"> Changes in the environment an oocyte is exposed to both </w:t>
      </w:r>
      <w:r w:rsidR="00537F83" w:rsidRPr="005C3043">
        <w:rPr>
          <w:rFonts w:ascii="Times New Roman" w:hAnsi="Times New Roman" w:cs="Times New Roman"/>
          <w:i/>
        </w:rPr>
        <w:t xml:space="preserve">in vivo </w:t>
      </w:r>
      <w:r w:rsidR="00537F83" w:rsidRPr="005C3043">
        <w:rPr>
          <w:rFonts w:ascii="Times New Roman" w:hAnsi="Times New Roman" w:cs="Times New Roman"/>
        </w:rPr>
        <w:t xml:space="preserve">and </w:t>
      </w:r>
      <w:r w:rsidR="00537F83" w:rsidRPr="005C3043">
        <w:rPr>
          <w:rFonts w:ascii="Times New Roman" w:hAnsi="Times New Roman" w:cs="Times New Roman"/>
          <w:i/>
        </w:rPr>
        <w:t xml:space="preserve">in vitro </w:t>
      </w:r>
      <w:r w:rsidR="00537F83" w:rsidRPr="005C3043">
        <w:rPr>
          <w:rFonts w:ascii="Times New Roman" w:hAnsi="Times New Roman" w:cs="Times New Roman"/>
        </w:rPr>
        <w:t xml:space="preserve">have been shown to impact oocyte developmental competence as well as </w:t>
      </w:r>
      <w:r w:rsidR="00537F83" w:rsidRPr="005C3043">
        <w:rPr>
          <w:rFonts w:ascii="Times New Roman" w:hAnsi="Times New Roman" w:cs="Times New Roman"/>
        </w:rPr>
        <w:lastRenderedPageBreak/>
        <w:t xml:space="preserve">COC metabolism </w:t>
      </w:r>
      <w:r w:rsidR="00C55223" w:rsidRPr="005C3043">
        <w:rPr>
          <w:rFonts w:ascii="Times New Roman" w:hAnsi="Times New Roman" w:cs="Times New Roman"/>
          <w:noProof/>
        </w:rPr>
        <w:t>(Downs and Hudson, 2000; Sutton et al., 2003; Leroy et al., 2011; Krisher, 2013; Matoba et al., 2014; Dumesic et al., 2015)</w:t>
      </w:r>
      <w:r w:rsidR="00537F83" w:rsidRPr="005C3043">
        <w:rPr>
          <w:rFonts w:ascii="Times New Roman" w:hAnsi="Times New Roman" w:cs="Times New Roman"/>
        </w:rPr>
        <w:t>.</w:t>
      </w:r>
      <w:r w:rsidR="002019FA" w:rsidRPr="005C3043">
        <w:rPr>
          <w:rFonts w:ascii="Times New Roman" w:hAnsi="Times New Roman" w:cs="Times New Roman"/>
        </w:rPr>
        <w:t xml:space="preserve"> A primary example is the effect of negative energy balance in dairy cattle on follicular fluid composition and oocyte developmental competence </w:t>
      </w:r>
      <w:r w:rsidR="00C55223" w:rsidRPr="005C3043">
        <w:rPr>
          <w:rFonts w:ascii="Times New Roman" w:hAnsi="Times New Roman" w:cs="Times New Roman"/>
          <w:noProof/>
        </w:rPr>
        <w:t>(Leroy et al., 2005; Bender et al., 2010; Renaville et al., 2010; Leroy et al., 2011; O'Doherty et al., 2014; Forde et al., 2016a)</w:t>
      </w:r>
      <w:r w:rsidR="002019FA" w:rsidRPr="005C3043">
        <w:rPr>
          <w:rFonts w:ascii="Times New Roman" w:hAnsi="Times New Roman" w:cs="Times New Roman"/>
        </w:rPr>
        <w:t xml:space="preserve">. Lactating dairy cattle have higher concentrations of saturated fatty acids and decreased concentrations of unsaturated fatty acids than heifers and nonlactating cattle </w:t>
      </w:r>
      <w:r w:rsidR="00C55223" w:rsidRPr="005C3043">
        <w:rPr>
          <w:rFonts w:ascii="Times New Roman" w:hAnsi="Times New Roman" w:cs="Times New Roman"/>
          <w:noProof/>
        </w:rPr>
        <w:t>(Bender et al., 2010; Forde et al., 2016a)</w:t>
      </w:r>
      <w:r w:rsidR="002019FA" w:rsidRPr="005C3043">
        <w:rPr>
          <w:rFonts w:ascii="Times New Roman" w:hAnsi="Times New Roman" w:cs="Times New Roman"/>
        </w:rPr>
        <w:t>. Increased saturated fatty acids</w:t>
      </w:r>
      <w:r w:rsidR="0017520B" w:rsidRPr="005C3043">
        <w:rPr>
          <w:rFonts w:ascii="Times New Roman" w:hAnsi="Times New Roman" w:cs="Times New Roman"/>
        </w:rPr>
        <w:t xml:space="preserve"> in the follicular fluid are associated with impaired meiosis, cleavage, and blastocyst formation while increased unsaturated fatty acids are associated with increased blastocyst rate and decreased pregnancy loss </w:t>
      </w:r>
      <w:r w:rsidR="00C55223" w:rsidRPr="005C3043">
        <w:rPr>
          <w:rFonts w:ascii="Times New Roman" w:hAnsi="Times New Roman" w:cs="Times New Roman"/>
          <w:noProof/>
        </w:rPr>
        <w:t>(Leroy et al., 2005; Ambrose et al., 2006; Wonnacott et al., 2010; Matoba et al., 2014)</w:t>
      </w:r>
      <w:r w:rsidR="0017520B" w:rsidRPr="005C3043">
        <w:rPr>
          <w:rFonts w:ascii="Times New Roman" w:hAnsi="Times New Roman" w:cs="Times New Roman"/>
        </w:rPr>
        <w:t xml:space="preserve">. </w:t>
      </w:r>
      <w:r w:rsidR="00651713" w:rsidRPr="005C3043">
        <w:rPr>
          <w:rFonts w:ascii="Times New Roman" w:hAnsi="Times New Roman" w:cs="Times New Roman"/>
          <w:i/>
        </w:rPr>
        <w:t xml:space="preserve">In vitro, </w:t>
      </w:r>
      <w:r w:rsidR="00651713" w:rsidRPr="005C3043">
        <w:rPr>
          <w:rFonts w:ascii="Times New Roman" w:hAnsi="Times New Roman" w:cs="Times New Roman"/>
        </w:rPr>
        <w:t>supplementation with saturated fatty acids induces granulosa cell apoptosis while unsaturated fatty acid supplementation increases the percent of oocytes that achieve MII</w:t>
      </w:r>
      <w:r w:rsidR="00E84E8F" w:rsidRPr="005C3043">
        <w:rPr>
          <w:rFonts w:ascii="Times New Roman" w:hAnsi="Times New Roman" w:cs="Times New Roman"/>
        </w:rPr>
        <w:t xml:space="preserve"> </w:t>
      </w:r>
      <w:r w:rsidR="00C55223" w:rsidRPr="005C3043">
        <w:rPr>
          <w:rFonts w:ascii="Times New Roman" w:hAnsi="Times New Roman" w:cs="Times New Roman"/>
          <w:noProof/>
        </w:rPr>
        <w:t>(Mu et al., 2001; Matoba et al., 2014)</w:t>
      </w:r>
      <w:r w:rsidR="00651713" w:rsidRPr="005C3043">
        <w:rPr>
          <w:rFonts w:ascii="Times New Roman" w:hAnsi="Times New Roman" w:cs="Times New Roman"/>
        </w:rPr>
        <w:t>.</w:t>
      </w:r>
      <w:r w:rsidR="00E84E8F" w:rsidRPr="005C3043">
        <w:rPr>
          <w:rFonts w:ascii="Times New Roman" w:hAnsi="Times New Roman" w:cs="Times New Roman"/>
        </w:rPr>
        <w:t xml:space="preserve"> There are few studies that investigate</w:t>
      </w:r>
      <w:r w:rsidR="00C72B76" w:rsidRPr="005C3043">
        <w:rPr>
          <w:rFonts w:ascii="Times New Roman" w:hAnsi="Times New Roman" w:cs="Times New Roman"/>
        </w:rPr>
        <w:t>d</w:t>
      </w:r>
      <w:r w:rsidR="00E84E8F" w:rsidRPr="005C3043">
        <w:rPr>
          <w:rFonts w:ascii="Times New Roman" w:hAnsi="Times New Roman" w:cs="Times New Roman"/>
        </w:rPr>
        <w:t xml:space="preserve"> the metabolite and nutrient composition of the follicular fluid</w:t>
      </w:r>
      <w:r w:rsidR="00851953" w:rsidRPr="005C3043">
        <w:rPr>
          <w:rFonts w:ascii="Times New Roman" w:hAnsi="Times New Roman" w:cs="Times New Roman"/>
        </w:rPr>
        <w:t xml:space="preserve"> in beef cattle</w:t>
      </w:r>
      <w:r w:rsidR="00E84E8F" w:rsidRPr="005C3043">
        <w:rPr>
          <w:rFonts w:ascii="Times New Roman" w:hAnsi="Times New Roman" w:cs="Times New Roman"/>
        </w:rPr>
        <w:t>.</w:t>
      </w:r>
      <w:r w:rsidR="00A7476B" w:rsidRPr="005C3043">
        <w:rPr>
          <w:rFonts w:ascii="Times New Roman" w:hAnsi="Times New Roman" w:cs="Times New Roman"/>
        </w:rPr>
        <w:t xml:space="preserve"> </w:t>
      </w:r>
      <w:r w:rsidR="00851953" w:rsidRPr="005C3043">
        <w:rPr>
          <w:rFonts w:ascii="Times New Roman" w:hAnsi="Times New Roman" w:cs="Times New Roman"/>
        </w:rPr>
        <w:t>However</w:t>
      </w:r>
      <w:r w:rsidR="00E84E8F" w:rsidRPr="005C3043">
        <w:rPr>
          <w:rFonts w:ascii="Times New Roman" w:hAnsi="Times New Roman" w:cs="Times New Roman"/>
        </w:rPr>
        <w:t xml:space="preserve">, </w:t>
      </w:r>
      <w:r w:rsidR="00A7476B" w:rsidRPr="005C3043">
        <w:rPr>
          <w:rFonts w:ascii="Times New Roman" w:hAnsi="Times New Roman" w:cs="Times New Roman"/>
        </w:rPr>
        <w:t xml:space="preserve">multiple studies have highlighted how manipulating the estrous cycle can result in altered hormone levels and impact oocyte developmental competence </w:t>
      </w:r>
      <w:r w:rsidR="00C55223" w:rsidRPr="005C3043">
        <w:rPr>
          <w:rFonts w:ascii="Times New Roman" w:hAnsi="Times New Roman" w:cs="Times New Roman"/>
          <w:noProof/>
        </w:rPr>
        <w:t>(Fortune and Hansel, 1985; Stock and Fortune, 1993; Assey et al., 1994; Perry et al., 2005; Perry et al., 2007; Bisinotto and Santos, 2011; Perry et al., 2014)</w:t>
      </w:r>
      <w:r w:rsidR="00E84E8F" w:rsidRPr="005C3043">
        <w:rPr>
          <w:rFonts w:ascii="Times New Roman" w:hAnsi="Times New Roman" w:cs="Times New Roman"/>
        </w:rPr>
        <w:t>.</w:t>
      </w:r>
      <w:r w:rsidR="00CC25D2" w:rsidRPr="005C3043">
        <w:rPr>
          <w:rFonts w:ascii="Times New Roman" w:hAnsi="Times New Roman" w:cs="Times New Roman"/>
        </w:rPr>
        <w:t xml:space="preserve"> </w:t>
      </w:r>
      <w:r w:rsidR="00EE2DD5" w:rsidRPr="005C3043">
        <w:rPr>
          <w:rFonts w:ascii="Times New Roman" w:hAnsi="Times New Roman" w:cs="Times New Roman"/>
        </w:rPr>
        <w:t xml:space="preserve">Because the follicular fluid changes throughout </w:t>
      </w:r>
      <w:proofErr w:type="spellStart"/>
      <w:r w:rsidR="00EE2DD5" w:rsidRPr="005C3043">
        <w:rPr>
          <w:rFonts w:ascii="Times New Roman" w:hAnsi="Times New Roman" w:cs="Times New Roman"/>
        </w:rPr>
        <w:t>folliculogenesis</w:t>
      </w:r>
      <w:proofErr w:type="spellEnd"/>
      <w:r w:rsidR="00EE2DD5" w:rsidRPr="005C3043">
        <w:rPr>
          <w:rFonts w:ascii="Times New Roman" w:hAnsi="Times New Roman" w:cs="Times New Roman"/>
        </w:rPr>
        <w:t xml:space="preserve"> and </w:t>
      </w:r>
      <w:r w:rsidR="00A7476B" w:rsidRPr="005C3043">
        <w:rPr>
          <w:rFonts w:ascii="Times New Roman" w:hAnsi="Times New Roman" w:cs="Times New Roman"/>
        </w:rPr>
        <w:t xml:space="preserve">is easily impacted by extraovarian factors, </w:t>
      </w:r>
      <w:r w:rsidR="00EE2DD5" w:rsidRPr="005C3043">
        <w:rPr>
          <w:rFonts w:ascii="Times New Roman" w:hAnsi="Times New Roman" w:cs="Times New Roman"/>
        </w:rPr>
        <w:t xml:space="preserve">by inducing premature ovulation, the </w:t>
      </w:r>
      <w:r w:rsidR="008C4D22" w:rsidRPr="005C3043">
        <w:rPr>
          <w:rFonts w:ascii="Times New Roman" w:hAnsi="Times New Roman" w:cs="Times New Roman"/>
        </w:rPr>
        <w:t>post LH surge</w:t>
      </w:r>
      <w:r w:rsidR="00EE2DD5" w:rsidRPr="005C3043">
        <w:rPr>
          <w:rFonts w:ascii="Times New Roman" w:hAnsi="Times New Roman" w:cs="Times New Roman"/>
        </w:rPr>
        <w:t xml:space="preserve"> follicular fluid microenvironment could be altered</w:t>
      </w:r>
      <w:r w:rsidR="00A7476B" w:rsidRPr="005C3043">
        <w:rPr>
          <w:rFonts w:ascii="Times New Roman" w:hAnsi="Times New Roman" w:cs="Times New Roman"/>
        </w:rPr>
        <w:t xml:space="preserve"> in beef cattle. </w:t>
      </w:r>
      <w:r w:rsidR="00CC25D2" w:rsidRPr="005C3043">
        <w:rPr>
          <w:rFonts w:ascii="Times New Roman" w:hAnsi="Times New Roman" w:cs="Times New Roman"/>
        </w:rPr>
        <w:t xml:space="preserve">As mentioned in previous sections, an oocyte that is exposed to each </w:t>
      </w:r>
      <w:r w:rsidR="002D15F1" w:rsidRPr="005C3043">
        <w:rPr>
          <w:rFonts w:ascii="Times New Roman" w:hAnsi="Times New Roman" w:cs="Times New Roman"/>
        </w:rPr>
        <w:t>intra</w:t>
      </w:r>
      <w:r w:rsidR="00CC25D2" w:rsidRPr="005C3043">
        <w:rPr>
          <w:rFonts w:ascii="Times New Roman" w:hAnsi="Times New Roman" w:cs="Times New Roman"/>
        </w:rPr>
        <w:t xml:space="preserve">follicular microenvironment has </w:t>
      </w:r>
      <w:r w:rsidR="00CC25D2" w:rsidRPr="005C3043">
        <w:rPr>
          <w:rFonts w:ascii="Times New Roman" w:hAnsi="Times New Roman" w:cs="Times New Roman"/>
        </w:rPr>
        <w:lastRenderedPageBreak/>
        <w:t xml:space="preserve">obtained maximal developmental competence as evidenced by increased blastocyst rate and embryo quality compared to oocytes removed from follicles prior to the LH-dependent and </w:t>
      </w:r>
      <w:r w:rsidR="008C4D22" w:rsidRPr="005C3043">
        <w:rPr>
          <w:rFonts w:ascii="Times New Roman" w:hAnsi="Times New Roman" w:cs="Times New Roman"/>
        </w:rPr>
        <w:t>post LH surge</w:t>
      </w:r>
      <w:r w:rsidR="00CC25D2" w:rsidRPr="005C3043">
        <w:rPr>
          <w:rFonts w:ascii="Times New Roman" w:hAnsi="Times New Roman" w:cs="Times New Roman"/>
        </w:rPr>
        <w:t xml:space="preserve"> phases. </w:t>
      </w:r>
      <w:r w:rsidR="00A7476B" w:rsidRPr="005C3043">
        <w:rPr>
          <w:rFonts w:ascii="Times New Roman" w:hAnsi="Times New Roman" w:cs="Times New Roman"/>
        </w:rPr>
        <w:t xml:space="preserve">As oocyte developmental competence is linked to follicular fluid composition, </w:t>
      </w:r>
      <w:r w:rsidR="00EE2DD5" w:rsidRPr="005C3043">
        <w:rPr>
          <w:rFonts w:ascii="Times New Roman" w:hAnsi="Times New Roman" w:cs="Times New Roman"/>
        </w:rPr>
        <w:t>alterations</w:t>
      </w:r>
      <w:r w:rsidR="00CC25D2" w:rsidRPr="005C3043">
        <w:rPr>
          <w:rFonts w:ascii="Times New Roman" w:hAnsi="Times New Roman" w:cs="Times New Roman"/>
        </w:rPr>
        <w:t xml:space="preserve"> due to premature exposure to an LH surge</w:t>
      </w:r>
      <w:r w:rsidR="00EE2DD5" w:rsidRPr="005C3043">
        <w:rPr>
          <w:rFonts w:ascii="Times New Roman" w:hAnsi="Times New Roman" w:cs="Times New Roman"/>
        </w:rPr>
        <w:t xml:space="preserve"> could have negative impacts on the </w:t>
      </w:r>
      <w:r w:rsidR="00CC25D2" w:rsidRPr="005C3043">
        <w:rPr>
          <w:rFonts w:ascii="Times New Roman" w:hAnsi="Times New Roman" w:cs="Times New Roman"/>
        </w:rPr>
        <w:t xml:space="preserve">developmental competence and metabolic capacity of the </w:t>
      </w:r>
      <w:r w:rsidR="00EE2DD5" w:rsidRPr="005C3043">
        <w:rPr>
          <w:rFonts w:ascii="Times New Roman" w:hAnsi="Times New Roman" w:cs="Times New Roman"/>
        </w:rPr>
        <w:t xml:space="preserve">oocyte. </w:t>
      </w:r>
    </w:p>
    <w:p w14:paraId="799097C5" w14:textId="15E3A665" w:rsidR="00EC7D3E" w:rsidRPr="005C3043" w:rsidRDefault="00EC7D3E" w:rsidP="00AC6DC1">
      <w:pPr>
        <w:spacing w:line="480" w:lineRule="auto"/>
        <w:ind w:firstLine="720"/>
        <w:contextualSpacing/>
        <w:jc w:val="both"/>
        <w:rPr>
          <w:rFonts w:ascii="Times New Roman" w:hAnsi="Times New Roman" w:cs="Times New Roman"/>
        </w:rPr>
      </w:pPr>
      <w:r w:rsidRPr="005C3043">
        <w:rPr>
          <w:rFonts w:ascii="Times New Roman" w:hAnsi="Times New Roman" w:cs="Times New Roman"/>
        </w:rPr>
        <w:t xml:space="preserve">Taken together, the overarching hypothesis of this dissertation is to investigate the relationship between follicle physiological status at the time of administration of GnRH to induce the LH surge on oocyte metabolic capacity and </w:t>
      </w:r>
      <w:r w:rsidR="00BF279A" w:rsidRPr="005C3043">
        <w:rPr>
          <w:rFonts w:ascii="Times New Roman" w:hAnsi="Times New Roman" w:cs="Times New Roman"/>
        </w:rPr>
        <w:t xml:space="preserve">the ovulatory follicle microenvironment approximately 19 hours after GnRH administration. </w:t>
      </w:r>
    </w:p>
    <w:p w14:paraId="57DB2FC9" w14:textId="19EB72CE" w:rsidR="00AC6DC1" w:rsidRDefault="00AC6DC1" w:rsidP="00AC6DC1">
      <w:pPr>
        <w:spacing w:line="480" w:lineRule="auto"/>
        <w:ind w:firstLine="720"/>
        <w:contextualSpacing/>
        <w:jc w:val="both"/>
        <w:rPr>
          <w:rFonts w:ascii="Times New Roman" w:hAnsi="Times New Roman" w:cs="Times New Roman"/>
        </w:rPr>
      </w:pPr>
    </w:p>
    <w:p w14:paraId="78A00E5E" w14:textId="2F541B91" w:rsidR="00AF5AA1" w:rsidRDefault="00AF5AA1" w:rsidP="00AC6DC1">
      <w:pPr>
        <w:spacing w:line="480" w:lineRule="auto"/>
        <w:ind w:firstLine="720"/>
        <w:contextualSpacing/>
        <w:jc w:val="both"/>
        <w:rPr>
          <w:rFonts w:ascii="Times New Roman" w:hAnsi="Times New Roman" w:cs="Times New Roman"/>
        </w:rPr>
      </w:pPr>
    </w:p>
    <w:p w14:paraId="48B26769" w14:textId="7F3609E6" w:rsidR="00AF5AA1" w:rsidRDefault="00AF5AA1" w:rsidP="00AC6DC1">
      <w:pPr>
        <w:spacing w:line="480" w:lineRule="auto"/>
        <w:ind w:firstLine="720"/>
        <w:contextualSpacing/>
        <w:jc w:val="both"/>
        <w:rPr>
          <w:rFonts w:ascii="Times New Roman" w:hAnsi="Times New Roman" w:cs="Times New Roman"/>
        </w:rPr>
      </w:pPr>
    </w:p>
    <w:p w14:paraId="5726A5D4" w14:textId="00B497CD" w:rsidR="00AF5AA1" w:rsidRDefault="00AF5AA1" w:rsidP="00AC6DC1">
      <w:pPr>
        <w:spacing w:line="480" w:lineRule="auto"/>
        <w:ind w:firstLine="720"/>
        <w:contextualSpacing/>
        <w:jc w:val="both"/>
        <w:rPr>
          <w:rFonts w:ascii="Times New Roman" w:hAnsi="Times New Roman" w:cs="Times New Roman"/>
        </w:rPr>
      </w:pPr>
    </w:p>
    <w:p w14:paraId="2B304886" w14:textId="765B073B" w:rsidR="00AF5AA1" w:rsidRDefault="00AF5AA1" w:rsidP="00AC6DC1">
      <w:pPr>
        <w:spacing w:line="480" w:lineRule="auto"/>
        <w:ind w:firstLine="720"/>
        <w:contextualSpacing/>
        <w:jc w:val="both"/>
        <w:rPr>
          <w:rFonts w:ascii="Times New Roman" w:hAnsi="Times New Roman" w:cs="Times New Roman"/>
        </w:rPr>
      </w:pPr>
    </w:p>
    <w:p w14:paraId="1D3163E0" w14:textId="0AD146CB" w:rsidR="00AF5AA1" w:rsidRDefault="00AF5AA1" w:rsidP="00AC6DC1">
      <w:pPr>
        <w:spacing w:line="480" w:lineRule="auto"/>
        <w:ind w:firstLine="720"/>
        <w:contextualSpacing/>
        <w:jc w:val="both"/>
        <w:rPr>
          <w:rFonts w:ascii="Times New Roman" w:hAnsi="Times New Roman" w:cs="Times New Roman"/>
        </w:rPr>
      </w:pPr>
    </w:p>
    <w:p w14:paraId="199598FD" w14:textId="1B1AE114" w:rsidR="00AF5AA1" w:rsidRDefault="00AF5AA1" w:rsidP="00AC6DC1">
      <w:pPr>
        <w:spacing w:line="480" w:lineRule="auto"/>
        <w:ind w:firstLine="720"/>
        <w:contextualSpacing/>
        <w:jc w:val="both"/>
        <w:rPr>
          <w:rFonts w:ascii="Times New Roman" w:hAnsi="Times New Roman" w:cs="Times New Roman"/>
        </w:rPr>
      </w:pPr>
    </w:p>
    <w:p w14:paraId="71397476" w14:textId="4435B58C" w:rsidR="00AF5AA1" w:rsidRDefault="00AF5AA1" w:rsidP="00AC6DC1">
      <w:pPr>
        <w:spacing w:line="480" w:lineRule="auto"/>
        <w:ind w:firstLine="720"/>
        <w:contextualSpacing/>
        <w:jc w:val="both"/>
        <w:rPr>
          <w:rFonts w:ascii="Times New Roman" w:hAnsi="Times New Roman" w:cs="Times New Roman"/>
        </w:rPr>
      </w:pPr>
    </w:p>
    <w:p w14:paraId="5B829E3D" w14:textId="77777777" w:rsidR="00AF5AA1" w:rsidRDefault="00AF5AA1" w:rsidP="00AC6DC1">
      <w:pPr>
        <w:spacing w:line="480" w:lineRule="auto"/>
        <w:ind w:firstLine="720"/>
        <w:contextualSpacing/>
        <w:jc w:val="both"/>
        <w:rPr>
          <w:rFonts w:ascii="Times New Roman" w:hAnsi="Times New Roman" w:cs="Times New Roman"/>
        </w:rPr>
      </w:pPr>
    </w:p>
    <w:p w14:paraId="66CE5402" w14:textId="1479BBCD" w:rsidR="00DF5C47" w:rsidRDefault="00DF5C47" w:rsidP="00AC6DC1">
      <w:pPr>
        <w:spacing w:line="480" w:lineRule="auto"/>
        <w:ind w:firstLine="720"/>
        <w:contextualSpacing/>
        <w:jc w:val="both"/>
        <w:rPr>
          <w:rFonts w:ascii="Times New Roman" w:hAnsi="Times New Roman" w:cs="Times New Roman"/>
        </w:rPr>
      </w:pPr>
    </w:p>
    <w:p w14:paraId="1D26709B" w14:textId="66BAA892" w:rsidR="00DF5C47" w:rsidRDefault="00DF5C47" w:rsidP="00AC6DC1">
      <w:pPr>
        <w:spacing w:line="480" w:lineRule="auto"/>
        <w:ind w:firstLine="720"/>
        <w:contextualSpacing/>
        <w:jc w:val="both"/>
        <w:rPr>
          <w:rFonts w:ascii="Times New Roman" w:hAnsi="Times New Roman" w:cs="Times New Roman"/>
        </w:rPr>
      </w:pPr>
    </w:p>
    <w:p w14:paraId="21E1E712" w14:textId="58964B76" w:rsidR="00DF5C47" w:rsidRDefault="00DF5C47" w:rsidP="00AC6DC1">
      <w:pPr>
        <w:spacing w:line="480" w:lineRule="auto"/>
        <w:ind w:firstLine="720"/>
        <w:contextualSpacing/>
        <w:jc w:val="both"/>
        <w:rPr>
          <w:rFonts w:ascii="Times New Roman" w:hAnsi="Times New Roman" w:cs="Times New Roman"/>
        </w:rPr>
      </w:pPr>
    </w:p>
    <w:p w14:paraId="18D9C4A3" w14:textId="77777777" w:rsidR="00EF0C37" w:rsidRPr="005C3043" w:rsidRDefault="00EF0C37" w:rsidP="00AC6DC1">
      <w:pPr>
        <w:spacing w:line="480" w:lineRule="auto"/>
        <w:ind w:firstLine="720"/>
        <w:contextualSpacing/>
        <w:jc w:val="both"/>
        <w:rPr>
          <w:rFonts w:ascii="Times New Roman" w:hAnsi="Times New Roman" w:cs="Times New Roman"/>
        </w:rPr>
      </w:pPr>
    </w:p>
    <w:p w14:paraId="797A1BC2" w14:textId="1DF0186C" w:rsidR="00C745F0" w:rsidRPr="005C3043" w:rsidRDefault="003C7FC5" w:rsidP="002F0A5C">
      <w:pPr>
        <w:pStyle w:val="Heading1"/>
        <w:rPr>
          <w:rFonts w:ascii="Times New Roman" w:hAnsi="Times New Roman" w:cs="Times New Roman"/>
        </w:rPr>
      </w:pPr>
      <w:bookmarkStart w:id="19" w:name="_Toc100072153"/>
      <w:r w:rsidRPr="005C3043">
        <w:rPr>
          <w:rFonts w:ascii="Times New Roman" w:hAnsi="Times New Roman" w:cs="Times New Roman"/>
        </w:rPr>
        <w:lastRenderedPageBreak/>
        <w:t>CHAPTER I</w:t>
      </w:r>
      <w:bookmarkEnd w:id="6"/>
      <w:bookmarkEnd w:id="7"/>
      <w:r w:rsidR="00C47D94" w:rsidRPr="005C3043">
        <w:rPr>
          <w:rFonts w:ascii="Times New Roman" w:hAnsi="Times New Roman" w:cs="Times New Roman"/>
        </w:rPr>
        <w:t>I</w:t>
      </w:r>
      <w:bookmarkEnd w:id="19"/>
    </w:p>
    <w:p w14:paraId="025176A6" w14:textId="40E7D680" w:rsidR="00C745F0" w:rsidRPr="005C3043" w:rsidRDefault="00412E33" w:rsidP="002F0A5C">
      <w:pPr>
        <w:jc w:val="center"/>
        <w:rPr>
          <w:rFonts w:ascii="Times New Roman" w:hAnsi="Times New Roman" w:cs="Times New Roman"/>
          <w:b/>
          <w:sz w:val="28"/>
        </w:rPr>
      </w:pPr>
      <w:r w:rsidRPr="005C3043">
        <w:rPr>
          <w:rFonts w:ascii="Times New Roman" w:hAnsi="Times New Roman" w:cs="Times New Roman"/>
          <w:b/>
          <w:sz w:val="28"/>
        </w:rPr>
        <w:t>CORRELATION BETWEEN PRE-OVULATORY FOLLICLE DIAMETER AND FOLLICULAR FLUID METABOLOME PROFILES IN LACTATING BEEF COWS</w:t>
      </w:r>
    </w:p>
    <w:p w14:paraId="668B76B4" w14:textId="77777777" w:rsidR="00C745F0" w:rsidRPr="005C3043" w:rsidRDefault="00C745F0" w:rsidP="00154DC0">
      <w:pPr>
        <w:spacing w:line="480" w:lineRule="auto"/>
        <w:rPr>
          <w:rFonts w:ascii="Times New Roman" w:hAnsi="Times New Roman" w:cs="Times New Roman"/>
          <w:b/>
        </w:rPr>
      </w:pPr>
      <w:r w:rsidRPr="005C3043">
        <w:rPr>
          <w:rFonts w:ascii="Times New Roman" w:hAnsi="Times New Roman" w:cs="Times New Roman"/>
          <w:b/>
        </w:rPr>
        <w:br w:type="page"/>
      </w:r>
    </w:p>
    <w:p w14:paraId="6ED01BE9" w14:textId="17B1367C" w:rsidR="00C745F0" w:rsidRPr="005C3043" w:rsidRDefault="00FA75A5" w:rsidP="00A42976">
      <w:pPr>
        <w:jc w:val="both"/>
        <w:rPr>
          <w:rFonts w:ascii="Times New Roman" w:hAnsi="Times New Roman" w:cs="Times New Roman"/>
        </w:rPr>
      </w:pPr>
      <w:r w:rsidRPr="005C3043">
        <w:rPr>
          <w:rFonts w:ascii="Times New Roman" w:hAnsi="Times New Roman" w:cs="Times New Roman"/>
        </w:rPr>
        <w:lastRenderedPageBreak/>
        <w:t xml:space="preserve">A version of this chapter was originally published by </w:t>
      </w:r>
      <w:r w:rsidR="00C745F0" w:rsidRPr="005C3043">
        <w:rPr>
          <w:rFonts w:ascii="Times New Roman" w:hAnsi="Times New Roman" w:cs="Times New Roman"/>
        </w:rPr>
        <w:t xml:space="preserve">Casey Read and Sarah </w:t>
      </w:r>
      <w:proofErr w:type="spellStart"/>
      <w:r w:rsidR="00C745F0" w:rsidRPr="005C3043">
        <w:rPr>
          <w:rFonts w:ascii="Times New Roman" w:hAnsi="Times New Roman" w:cs="Times New Roman"/>
        </w:rPr>
        <w:t>Moorey</w:t>
      </w:r>
      <w:proofErr w:type="spellEnd"/>
      <w:r w:rsidR="00C745F0" w:rsidRPr="005C3043">
        <w:rPr>
          <w:rFonts w:ascii="Times New Roman" w:hAnsi="Times New Roman" w:cs="Times New Roman"/>
        </w:rPr>
        <w:t>:</w:t>
      </w:r>
    </w:p>
    <w:p w14:paraId="61D0D526" w14:textId="7E797A23" w:rsidR="00C745F0" w:rsidRPr="005C3043" w:rsidRDefault="00C745F0" w:rsidP="000B5F79">
      <w:pPr>
        <w:jc w:val="both"/>
        <w:rPr>
          <w:rFonts w:ascii="Times New Roman" w:hAnsi="Times New Roman" w:cs="Times New Roman"/>
        </w:rPr>
      </w:pPr>
      <w:r w:rsidRPr="005C3043">
        <w:rPr>
          <w:rFonts w:ascii="Times New Roman" w:hAnsi="Times New Roman" w:cs="Times New Roman"/>
        </w:rPr>
        <w:t xml:space="preserve">Casey C. Read, J. </w:t>
      </w:r>
      <w:proofErr w:type="spellStart"/>
      <w:r w:rsidRPr="005C3043">
        <w:rPr>
          <w:rFonts w:ascii="Times New Roman" w:hAnsi="Times New Roman" w:cs="Times New Roman"/>
        </w:rPr>
        <w:t>Lannett</w:t>
      </w:r>
      <w:proofErr w:type="spellEnd"/>
      <w:r w:rsidRPr="005C3043">
        <w:rPr>
          <w:rFonts w:ascii="Times New Roman" w:hAnsi="Times New Roman" w:cs="Times New Roman"/>
        </w:rPr>
        <w:t xml:space="preserve"> Edwards, F. </w:t>
      </w:r>
      <w:r w:rsidR="002D15F1" w:rsidRPr="005C3043">
        <w:rPr>
          <w:rFonts w:ascii="Times New Roman" w:hAnsi="Times New Roman" w:cs="Times New Roman"/>
        </w:rPr>
        <w:t>Neal</w:t>
      </w:r>
      <w:r w:rsidRPr="005C3043">
        <w:rPr>
          <w:rFonts w:ascii="Times New Roman" w:hAnsi="Times New Roman" w:cs="Times New Roman"/>
        </w:rPr>
        <w:t xml:space="preserve"> </w:t>
      </w:r>
      <w:proofErr w:type="spellStart"/>
      <w:r w:rsidRPr="005C3043">
        <w:rPr>
          <w:rFonts w:ascii="Times New Roman" w:hAnsi="Times New Roman" w:cs="Times New Roman"/>
        </w:rPr>
        <w:t>Schrick</w:t>
      </w:r>
      <w:proofErr w:type="spellEnd"/>
      <w:r w:rsidRPr="005C3043">
        <w:rPr>
          <w:rFonts w:ascii="Times New Roman" w:hAnsi="Times New Roman" w:cs="Times New Roman"/>
        </w:rPr>
        <w:t xml:space="preserve">, Justin D. Rhinehart, Rebecca R. Payton, Shawn R. Campagna, Hector F. Castro, Jessica L. </w:t>
      </w:r>
      <w:proofErr w:type="spellStart"/>
      <w:r w:rsidRPr="005C3043">
        <w:rPr>
          <w:rFonts w:ascii="Times New Roman" w:hAnsi="Times New Roman" w:cs="Times New Roman"/>
        </w:rPr>
        <w:t>Klabnik</w:t>
      </w:r>
      <w:proofErr w:type="spellEnd"/>
      <w:r w:rsidRPr="005C3043">
        <w:rPr>
          <w:rFonts w:ascii="Times New Roman" w:hAnsi="Times New Roman" w:cs="Times New Roman"/>
        </w:rPr>
        <w:t xml:space="preserve">, Emma J. Horn, and Sarah E. </w:t>
      </w:r>
      <w:proofErr w:type="spellStart"/>
      <w:r w:rsidRPr="005C3043">
        <w:rPr>
          <w:rFonts w:ascii="Times New Roman" w:hAnsi="Times New Roman" w:cs="Times New Roman"/>
        </w:rPr>
        <w:t>Moorey</w:t>
      </w:r>
      <w:proofErr w:type="spellEnd"/>
      <w:r w:rsidRPr="005C3043">
        <w:rPr>
          <w:rFonts w:ascii="Times New Roman" w:hAnsi="Times New Roman" w:cs="Times New Roman"/>
        </w:rPr>
        <w:t xml:space="preserve">. “Correlation </w:t>
      </w:r>
      <w:r w:rsidR="00736F28" w:rsidRPr="005C3043">
        <w:rPr>
          <w:rFonts w:ascii="Times New Roman" w:hAnsi="Times New Roman" w:cs="Times New Roman"/>
        </w:rPr>
        <w:t>Between Pre-</w:t>
      </w:r>
      <w:proofErr w:type="gramStart"/>
      <w:r w:rsidR="00736F28" w:rsidRPr="005C3043">
        <w:rPr>
          <w:rFonts w:ascii="Times New Roman" w:hAnsi="Times New Roman" w:cs="Times New Roman"/>
        </w:rPr>
        <w:t>ovulatory</w:t>
      </w:r>
      <w:proofErr w:type="gramEnd"/>
      <w:r w:rsidR="00736F28" w:rsidRPr="005C3043">
        <w:rPr>
          <w:rFonts w:ascii="Times New Roman" w:hAnsi="Times New Roman" w:cs="Times New Roman"/>
        </w:rPr>
        <w:t xml:space="preserve"> Follicle Diameter and Follicular Fluid Metabolome Profiles in Lactating Beef Cows.” </w:t>
      </w:r>
      <w:r w:rsidR="00736F28" w:rsidRPr="005C3043">
        <w:rPr>
          <w:rFonts w:ascii="Times New Roman" w:hAnsi="Times New Roman" w:cs="Times New Roman"/>
          <w:i/>
        </w:rPr>
        <w:t>Metabolites</w:t>
      </w:r>
      <w:r w:rsidR="00736F28" w:rsidRPr="005C3043">
        <w:rPr>
          <w:rFonts w:ascii="Times New Roman" w:hAnsi="Times New Roman" w:cs="Times New Roman"/>
        </w:rPr>
        <w:t xml:space="preserve"> 11 (2021): 623.</w:t>
      </w:r>
    </w:p>
    <w:p w14:paraId="02876C88" w14:textId="77777777" w:rsidR="00387656" w:rsidRPr="005C3043" w:rsidRDefault="00387656" w:rsidP="005C3043">
      <w:pPr>
        <w:jc w:val="both"/>
        <w:rPr>
          <w:rFonts w:ascii="Times New Roman" w:hAnsi="Times New Roman" w:cs="Times New Roman"/>
        </w:rPr>
      </w:pPr>
    </w:p>
    <w:p w14:paraId="7996E75D" w14:textId="6BC025D7" w:rsidR="00736F28" w:rsidRDefault="00736F28" w:rsidP="00C87A3E">
      <w:pPr>
        <w:jc w:val="both"/>
        <w:rPr>
          <w:rFonts w:ascii="Times New Roman" w:hAnsi="Times New Roman" w:cs="Times New Roman"/>
          <w:lang w:bidi="en-US"/>
        </w:rPr>
      </w:pPr>
      <w:r w:rsidRPr="005C3043">
        <w:rPr>
          <w:rFonts w:ascii="Times New Roman" w:hAnsi="Times New Roman" w:cs="Times New Roman"/>
          <w:lang w:bidi="en-US"/>
        </w:rPr>
        <w:t xml:space="preserve">Conceptualization, Sarah </w:t>
      </w:r>
      <w:proofErr w:type="spellStart"/>
      <w:r w:rsidRPr="005C3043">
        <w:rPr>
          <w:rFonts w:ascii="Times New Roman" w:hAnsi="Times New Roman" w:cs="Times New Roman"/>
          <w:lang w:bidi="en-US"/>
        </w:rPr>
        <w:t>Moorey</w:t>
      </w:r>
      <w:proofErr w:type="spellEnd"/>
      <w:r w:rsidRPr="005C3043">
        <w:rPr>
          <w:rFonts w:ascii="Times New Roman" w:hAnsi="Times New Roman" w:cs="Times New Roman"/>
          <w:lang w:bidi="en-US"/>
        </w:rPr>
        <w:t xml:space="preserve">; Data curation, Casey Read, Shawn Campagna, Hector Castro and Sarah </w:t>
      </w:r>
      <w:proofErr w:type="spellStart"/>
      <w:r w:rsidRPr="005C3043">
        <w:rPr>
          <w:rFonts w:ascii="Times New Roman" w:hAnsi="Times New Roman" w:cs="Times New Roman"/>
          <w:lang w:bidi="en-US"/>
        </w:rPr>
        <w:t>Moorey</w:t>
      </w:r>
      <w:proofErr w:type="spellEnd"/>
      <w:r w:rsidRPr="005C3043">
        <w:rPr>
          <w:rFonts w:ascii="Times New Roman" w:hAnsi="Times New Roman" w:cs="Times New Roman"/>
          <w:lang w:bidi="en-US"/>
        </w:rPr>
        <w:t xml:space="preserve">; Formal analysis, Casey Read and Sarah </w:t>
      </w:r>
      <w:proofErr w:type="spellStart"/>
      <w:r w:rsidRPr="005C3043">
        <w:rPr>
          <w:rFonts w:ascii="Times New Roman" w:hAnsi="Times New Roman" w:cs="Times New Roman"/>
          <w:lang w:bidi="en-US"/>
        </w:rPr>
        <w:t>Moorey</w:t>
      </w:r>
      <w:proofErr w:type="spellEnd"/>
      <w:r w:rsidRPr="005C3043">
        <w:rPr>
          <w:rFonts w:ascii="Times New Roman" w:hAnsi="Times New Roman" w:cs="Times New Roman"/>
          <w:lang w:bidi="en-US"/>
        </w:rPr>
        <w:t xml:space="preserve">; Investigation, Casey Read, F. </w:t>
      </w:r>
      <w:proofErr w:type="spellStart"/>
      <w:r w:rsidRPr="005C3043">
        <w:rPr>
          <w:rFonts w:ascii="Times New Roman" w:hAnsi="Times New Roman" w:cs="Times New Roman"/>
          <w:lang w:bidi="en-US"/>
        </w:rPr>
        <w:t>Schrick</w:t>
      </w:r>
      <w:proofErr w:type="spellEnd"/>
      <w:r w:rsidRPr="005C3043">
        <w:rPr>
          <w:rFonts w:ascii="Times New Roman" w:hAnsi="Times New Roman" w:cs="Times New Roman"/>
          <w:lang w:bidi="en-US"/>
        </w:rPr>
        <w:t xml:space="preserve">, Justin Rhinehart, Rebecca Payton, Jessica </w:t>
      </w:r>
      <w:proofErr w:type="spellStart"/>
      <w:r w:rsidRPr="005C3043">
        <w:rPr>
          <w:rFonts w:ascii="Times New Roman" w:hAnsi="Times New Roman" w:cs="Times New Roman"/>
          <w:lang w:bidi="en-US"/>
        </w:rPr>
        <w:t>Klabnik</w:t>
      </w:r>
      <w:proofErr w:type="spellEnd"/>
      <w:r w:rsidRPr="005C3043">
        <w:rPr>
          <w:rFonts w:ascii="Times New Roman" w:hAnsi="Times New Roman" w:cs="Times New Roman"/>
          <w:lang w:bidi="en-US"/>
        </w:rPr>
        <w:t xml:space="preserve">, Emma Horn and Sarah </w:t>
      </w:r>
      <w:proofErr w:type="spellStart"/>
      <w:r w:rsidRPr="005C3043">
        <w:rPr>
          <w:rFonts w:ascii="Times New Roman" w:hAnsi="Times New Roman" w:cs="Times New Roman"/>
          <w:lang w:bidi="en-US"/>
        </w:rPr>
        <w:t>Moorey</w:t>
      </w:r>
      <w:proofErr w:type="spellEnd"/>
      <w:r w:rsidRPr="005C3043">
        <w:rPr>
          <w:rFonts w:ascii="Times New Roman" w:hAnsi="Times New Roman" w:cs="Times New Roman"/>
          <w:lang w:bidi="en-US"/>
        </w:rPr>
        <w:t xml:space="preserve">; Methodology, J. Edwards, F. </w:t>
      </w:r>
      <w:proofErr w:type="spellStart"/>
      <w:r w:rsidRPr="005C3043">
        <w:rPr>
          <w:rFonts w:ascii="Times New Roman" w:hAnsi="Times New Roman" w:cs="Times New Roman"/>
          <w:lang w:bidi="en-US"/>
        </w:rPr>
        <w:t>Schrick</w:t>
      </w:r>
      <w:proofErr w:type="spellEnd"/>
      <w:r w:rsidRPr="005C3043">
        <w:rPr>
          <w:rFonts w:ascii="Times New Roman" w:hAnsi="Times New Roman" w:cs="Times New Roman"/>
          <w:lang w:bidi="en-US"/>
        </w:rPr>
        <w:t xml:space="preserve"> and Sarah </w:t>
      </w:r>
      <w:proofErr w:type="spellStart"/>
      <w:r w:rsidRPr="005C3043">
        <w:rPr>
          <w:rFonts w:ascii="Times New Roman" w:hAnsi="Times New Roman" w:cs="Times New Roman"/>
          <w:lang w:bidi="en-US"/>
        </w:rPr>
        <w:t>Moorey</w:t>
      </w:r>
      <w:proofErr w:type="spellEnd"/>
      <w:r w:rsidRPr="005C3043">
        <w:rPr>
          <w:rFonts w:ascii="Times New Roman" w:hAnsi="Times New Roman" w:cs="Times New Roman"/>
          <w:lang w:bidi="en-US"/>
        </w:rPr>
        <w:t xml:space="preserve">; Project administration, Sarah </w:t>
      </w:r>
      <w:proofErr w:type="spellStart"/>
      <w:r w:rsidRPr="005C3043">
        <w:rPr>
          <w:rFonts w:ascii="Times New Roman" w:hAnsi="Times New Roman" w:cs="Times New Roman"/>
          <w:lang w:bidi="en-US"/>
        </w:rPr>
        <w:t>Moorey</w:t>
      </w:r>
      <w:proofErr w:type="spellEnd"/>
      <w:r w:rsidRPr="005C3043">
        <w:rPr>
          <w:rFonts w:ascii="Times New Roman" w:hAnsi="Times New Roman" w:cs="Times New Roman"/>
          <w:lang w:bidi="en-US"/>
        </w:rPr>
        <w:t xml:space="preserve">; Resources, Shawn Campagna, Hector Castro and Sarah </w:t>
      </w:r>
      <w:proofErr w:type="spellStart"/>
      <w:r w:rsidRPr="005C3043">
        <w:rPr>
          <w:rFonts w:ascii="Times New Roman" w:hAnsi="Times New Roman" w:cs="Times New Roman"/>
          <w:lang w:bidi="en-US"/>
        </w:rPr>
        <w:t>Moorey</w:t>
      </w:r>
      <w:proofErr w:type="spellEnd"/>
      <w:r w:rsidRPr="005C3043">
        <w:rPr>
          <w:rFonts w:ascii="Times New Roman" w:hAnsi="Times New Roman" w:cs="Times New Roman"/>
          <w:lang w:bidi="en-US"/>
        </w:rPr>
        <w:t xml:space="preserve">; Software, Casey Read and Sarah </w:t>
      </w:r>
      <w:proofErr w:type="spellStart"/>
      <w:r w:rsidRPr="005C3043">
        <w:rPr>
          <w:rFonts w:ascii="Times New Roman" w:hAnsi="Times New Roman" w:cs="Times New Roman"/>
          <w:lang w:bidi="en-US"/>
        </w:rPr>
        <w:t>Moorey</w:t>
      </w:r>
      <w:proofErr w:type="spellEnd"/>
      <w:r w:rsidRPr="005C3043">
        <w:rPr>
          <w:rFonts w:ascii="Times New Roman" w:hAnsi="Times New Roman" w:cs="Times New Roman"/>
          <w:lang w:bidi="en-US"/>
        </w:rPr>
        <w:t xml:space="preserve">; Supervision, Sarah </w:t>
      </w:r>
      <w:proofErr w:type="spellStart"/>
      <w:r w:rsidRPr="005C3043">
        <w:rPr>
          <w:rFonts w:ascii="Times New Roman" w:hAnsi="Times New Roman" w:cs="Times New Roman"/>
          <w:lang w:bidi="en-US"/>
        </w:rPr>
        <w:t>Moorey</w:t>
      </w:r>
      <w:proofErr w:type="spellEnd"/>
      <w:r w:rsidRPr="005C3043">
        <w:rPr>
          <w:rFonts w:ascii="Times New Roman" w:hAnsi="Times New Roman" w:cs="Times New Roman"/>
          <w:lang w:bidi="en-US"/>
        </w:rPr>
        <w:t xml:space="preserve">; Visualization, Casey Read and Sarah </w:t>
      </w:r>
      <w:proofErr w:type="spellStart"/>
      <w:r w:rsidRPr="005C3043">
        <w:rPr>
          <w:rFonts w:ascii="Times New Roman" w:hAnsi="Times New Roman" w:cs="Times New Roman"/>
          <w:lang w:bidi="en-US"/>
        </w:rPr>
        <w:t>Moorey</w:t>
      </w:r>
      <w:proofErr w:type="spellEnd"/>
      <w:r w:rsidRPr="005C3043">
        <w:rPr>
          <w:rFonts w:ascii="Times New Roman" w:hAnsi="Times New Roman" w:cs="Times New Roman"/>
          <w:lang w:bidi="en-US"/>
        </w:rPr>
        <w:t xml:space="preserve">; Writing – original draft, Casey Read, Emma Horn and Sarah </w:t>
      </w:r>
      <w:proofErr w:type="spellStart"/>
      <w:r w:rsidRPr="005C3043">
        <w:rPr>
          <w:rFonts w:ascii="Times New Roman" w:hAnsi="Times New Roman" w:cs="Times New Roman"/>
          <w:lang w:bidi="en-US"/>
        </w:rPr>
        <w:t>Moorey</w:t>
      </w:r>
      <w:proofErr w:type="spellEnd"/>
      <w:r w:rsidRPr="005C3043">
        <w:rPr>
          <w:rFonts w:ascii="Times New Roman" w:hAnsi="Times New Roman" w:cs="Times New Roman"/>
          <w:lang w:bidi="en-US"/>
        </w:rPr>
        <w:t xml:space="preserve">; Writing – review &amp; editing, J. Edwards, F. </w:t>
      </w:r>
      <w:proofErr w:type="spellStart"/>
      <w:r w:rsidRPr="005C3043">
        <w:rPr>
          <w:rFonts w:ascii="Times New Roman" w:hAnsi="Times New Roman" w:cs="Times New Roman"/>
          <w:lang w:bidi="en-US"/>
        </w:rPr>
        <w:t>Schrick</w:t>
      </w:r>
      <w:proofErr w:type="spellEnd"/>
      <w:r w:rsidRPr="005C3043">
        <w:rPr>
          <w:rFonts w:ascii="Times New Roman" w:hAnsi="Times New Roman" w:cs="Times New Roman"/>
          <w:lang w:bidi="en-US"/>
        </w:rPr>
        <w:t xml:space="preserve">, Justin Rhinehart, Rebecca Payton, Shawn Campagna, Hector Castro and Jessica </w:t>
      </w:r>
      <w:proofErr w:type="spellStart"/>
      <w:r w:rsidRPr="005C3043">
        <w:rPr>
          <w:rFonts w:ascii="Times New Roman" w:hAnsi="Times New Roman" w:cs="Times New Roman"/>
          <w:lang w:bidi="en-US"/>
        </w:rPr>
        <w:t>Klabnik</w:t>
      </w:r>
      <w:proofErr w:type="spellEnd"/>
      <w:r w:rsidRPr="005C3043">
        <w:rPr>
          <w:rFonts w:ascii="Times New Roman" w:hAnsi="Times New Roman" w:cs="Times New Roman"/>
          <w:lang w:bidi="en-US"/>
        </w:rPr>
        <w:t>.</w:t>
      </w:r>
    </w:p>
    <w:p w14:paraId="45789680" w14:textId="77777777" w:rsidR="003A22D1" w:rsidRPr="005C3043" w:rsidRDefault="003A22D1" w:rsidP="00C87A3E">
      <w:pPr>
        <w:jc w:val="both"/>
        <w:rPr>
          <w:rFonts w:ascii="Times New Roman" w:hAnsi="Times New Roman" w:cs="Times New Roman"/>
          <w:lang w:bidi="en-US"/>
        </w:rPr>
      </w:pPr>
    </w:p>
    <w:p w14:paraId="3DA76C37" w14:textId="3E328DD5" w:rsidR="00297C9A" w:rsidRDefault="00297C9A" w:rsidP="003A22D1">
      <w:pPr>
        <w:rPr>
          <w:rFonts w:ascii="Times New Roman" w:hAnsi="Times New Roman" w:cs="Times New Roman"/>
          <w:lang w:bidi="en-US"/>
        </w:rPr>
      </w:pPr>
      <w:bookmarkStart w:id="20" w:name="_Toc289175826"/>
      <w:bookmarkStart w:id="21" w:name="_Toc428279012"/>
      <w:r w:rsidRPr="003A22D1">
        <w:rPr>
          <w:rFonts w:ascii="Times New Roman" w:hAnsi="Times New Roman" w:cs="Times New Roman"/>
          <w:lang w:bidi="en-US"/>
        </w:rPr>
        <w:t xml:space="preserve">Funding: This research was supported by the USDA NIFA Hatch project 1022068, the University of Tennessee </w:t>
      </w:r>
      <w:proofErr w:type="spellStart"/>
      <w:r w:rsidRPr="003A22D1">
        <w:rPr>
          <w:rFonts w:ascii="Times New Roman" w:hAnsi="Times New Roman" w:cs="Times New Roman"/>
          <w:lang w:bidi="en-US"/>
        </w:rPr>
        <w:t>AgResearch</w:t>
      </w:r>
      <w:proofErr w:type="spellEnd"/>
      <w:r w:rsidRPr="003A22D1">
        <w:rPr>
          <w:rFonts w:ascii="Times New Roman" w:hAnsi="Times New Roman" w:cs="Times New Roman"/>
          <w:lang w:bidi="en-US"/>
        </w:rPr>
        <w:t>, and the University of Tennessee Department of Animal Science.</w:t>
      </w:r>
    </w:p>
    <w:p w14:paraId="3477FC59" w14:textId="77777777" w:rsidR="003A22D1" w:rsidRPr="003A22D1" w:rsidRDefault="003A22D1" w:rsidP="003A22D1">
      <w:pPr>
        <w:rPr>
          <w:rFonts w:ascii="Times New Roman" w:hAnsi="Times New Roman" w:cs="Times New Roman"/>
          <w:b/>
          <w:lang w:bidi="en-US"/>
        </w:rPr>
      </w:pPr>
    </w:p>
    <w:p w14:paraId="4F625345" w14:textId="052346B1" w:rsidR="00C61C4F" w:rsidRPr="003A22D1" w:rsidRDefault="00297C9A" w:rsidP="003A22D1">
      <w:pPr>
        <w:rPr>
          <w:rFonts w:ascii="Times New Roman" w:hAnsi="Times New Roman" w:cs="Times New Roman"/>
          <w:b/>
          <w:lang w:bidi="en-US"/>
        </w:rPr>
      </w:pPr>
      <w:r w:rsidRPr="003A22D1">
        <w:rPr>
          <w:rFonts w:ascii="Times New Roman" w:hAnsi="Times New Roman" w:cs="Times New Roman"/>
          <w:lang w:bidi="en-US"/>
        </w:rPr>
        <w:t xml:space="preserve">Acknowledgments: The authors would like to thank Dr. Liesel Schneider for her statistical analyses consulting, Courtney Christopher and Sara Howard for their assistance with the UHPLC-HRMS metabolomics processing, Emma </w:t>
      </w:r>
      <w:proofErr w:type="spellStart"/>
      <w:r w:rsidRPr="003A22D1">
        <w:rPr>
          <w:rFonts w:ascii="Times New Roman" w:hAnsi="Times New Roman" w:cs="Times New Roman"/>
          <w:lang w:bidi="en-US"/>
        </w:rPr>
        <w:t>Hessock</w:t>
      </w:r>
      <w:proofErr w:type="spellEnd"/>
      <w:r w:rsidRPr="003A22D1">
        <w:rPr>
          <w:rFonts w:ascii="Times New Roman" w:hAnsi="Times New Roman" w:cs="Times New Roman"/>
          <w:lang w:bidi="en-US"/>
        </w:rPr>
        <w:t xml:space="preserve"> for her assistance in researching enriched pathways, Boyd Dingus for the donation of the </w:t>
      </w:r>
      <w:proofErr w:type="spellStart"/>
      <w:r w:rsidRPr="003A22D1">
        <w:rPr>
          <w:rFonts w:ascii="Times New Roman" w:hAnsi="Times New Roman" w:cs="Times New Roman"/>
          <w:lang w:bidi="en-US"/>
        </w:rPr>
        <w:t>Estrotect</w:t>
      </w:r>
      <w:proofErr w:type="spellEnd"/>
      <w:r w:rsidRPr="003A22D1">
        <w:rPr>
          <w:rFonts w:ascii="Times New Roman" w:hAnsi="Times New Roman" w:cs="Times New Roman"/>
          <w:lang w:bidi="en-US"/>
        </w:rPr>
        <w:t xml:space="preserve"> ® patches, and Walt Hitch and the staff of the Plateau </w:t>
      </w:r>
      <w:proofErr w:type="spellStart"/>
      <w:r w:rsidRPr="003A22D1">
        <w:rPr>
          <w:rFonts w:ascii="Times New Roman" w:hAnsi="Times New Roman" w:cs="Times New Roman"/>
          <w:lang w:bidi="en-US"/>
        </w:rPr>
        <w:t>AgResearch</w:t>
      </w:r>
      <w:proofErr w:type="spellEnd"/>
      <w:r w:rsidRPr="003A22D1">
        <w:rPr>
          <w:rFonts w:ascii="Times New Roman" w:hAnsi="Times New Roman" w:cs="Times New Roman"/>
          <w:lang w:bidi="en-US"/>
        </w:rPr>
        <w:t xml:space="preserve"> and Education Center for providing the cattle and their assistance in processing the cattle for this study.</w:t>
      </w:r>
    </w:p>
    <w:p w14:paraId="355BB6FD" w14:textId="77777777" w:rsidR="00DF5C47" w:rsidRPr="00DF5C47" w:rsidRDefault="00DF5C47" w:rsidP="00DF5C47">
      <w:pPr>
        <w:rPr>
          <w:lang w:bidi="en-US"/>
        </w:rPr>
      </w:pPr>
    </w:p>
    <w:p w14:paraId="674817E7" w14:textId="77777777" w:rsidR="00EF0C37" w:rsidRDefault="00FA75A5" w:rsidP="000D2CCE">
      <w:pPr>
        <w:pStyle w:val="Diss2"/>
      </w:pPr>
      <w:bookmarkStart w:id="22" w:name="_Toc100072154"/>
      <w:r w:rsidRPr="005C3043">
        <w:t>A</w:t>
      </w:r>
      <w:r w:rsidR="00FF1665" w:rsidRPr="005C3043">
        <w:t>bstract</w:t>
      </w:r>
      <w:bookmarkStart w:id="23" w:name="_Toc289175827"/>
      <w:bookmarkStart w:id="24" w:name="_Toc428279013"/>
      <w:bookmarkEnd w:id="20"/>
      <w:bookmarkEnd w:id="21"/>
      <w:bookmarkEnd w:id="22"/>
    </w:p>
    <w:p w14:paraId="6AF5C17C" w14:textId="42D7AE57" w:rsidR="00736F28" w:rsidRPr="003A22D1" w:rsidRDefault="00736F28" w:rsidP="003A22D1">
      <w:pPr>
        <w:spacing w:line="480" w:lineRule="auto"/>
        <w:rPr>
          <w:rFonts w:ascii="Times New Roman" w:hAnsi="Times New Roman" w:cs="Times New Roman"/>
          <w:b/>
          <w:bCs/>
          <w:iCs/>
        </w:rPr>
      </w:pPr>
      <w:r w:rsidRPr="003A22D1">
        <w:rPr>
          <w:rFonts w:ascii="Times New Roman" w:hAnsi="Times New Roman" w:cs="Times New Roman"/>
        </w:rPr>
        <w:t>I</w:t>
      </w:r>
      <w:r w:rsidR="00EF0C37" w:rsidRPr="003A22D1">
        <w:rPr>
          <w:rFonts w:ascii="Times New Roman" w:hAnsi="Times New Roman" w:cs="Times New Roman"/>
          <w:b/>
          <w:bCs/>
          <w:iCs/>
        </w:rPr>
        <w:t>n</w:t>
      </w:r>
      <w:r w:rsidRPr="003A22D1">
        <w:rPr>
          <w:rFonts w:ascii="Times New Roman" w:hAnsi="Times New Roman" w:cs="Times New Roman"/>
        </w:rPr>
        <w:t>duced ovulation of small pre-ovulatory</w:t>
      </w:r>
      <w:r w:rsidR="002D15F1" w:rsidRPr="003A22D1">
        <w:rPr>
          <w:rFonts w:ascii="Times New Roman" w:hAnsi="Times New Roman" w:cs="Times New Roman"/>
        </w:rPr>
        <w:t xml:space="preserve"> </w:t>
      </w:r>
      <w:r w:rsidRPr="003A22D1">
        <w:rPr>
          <w:rFonts w:ascii="Times New Roman" w:hAnsi="Times New Roman" w:cs="Times New Roman"/>
        </w:rPr>
        <w:t>follicles reduced pregnancy rates, embryo survival, day seven embryo quality, and successful embryo cleavage in beef cows undergoing fixed-time artificial insemination. RNA-sequencing of oocytes and associated cumulus cells collected from pre-ovulatory follicles 23 hours after gonadotropin releasing hormone (GnRH) administration to induce the pre-ovulatory gonadotropin surge suggested reduced capacity for glucose metabolism in cumulus cells of follicles ≤</w:t>
      </w:r>
      <w:r w:rsidR="007957A4" w:rsidRPr="003A22D1">
        <w:rPr>
          <w:rFonts w:ascii="Times New Roman" w:hAnsi="Times New Roman" w:cs="Times New Roman"/>
        </w:rPr>
        <w:t xml:space="preserve"> </w:t>
      </w:r>
      <w:r w:rsidRPr="003A22D1">
        <w:rPr>
          <w:rFonts w:ascii="Times New Roman" w:hAnsi="Times New Roman" w:cs="Times New Roman"/>
        </w:rPr>
        <w:t xml:space="preserve">11.7 mm. We hypothesized that the follicular fluid metabolome influences metabolic capacity </w:t>
      </w:r>
      <w:r w:rsidRPr="003A22D1">
        <w:rPr>
          <w:rFonts w:ascii="Times New Roman" w:hAnsi="Times New Roman" w:cs="Times New Roman"/>
        </w:rPr>
        <w:lastRenderedPageBreak/>
        <w:t xml:space="preserve">of the cumulus-oocyte complex and contributes to reduced embryo cleavage and quality grade observed following induced ovulation of small follicles. Therefore, we performed a study to determine the correlation between pre-ovulatory follicle diameter and follicular fluid metabolome profiles in lactating beef cows (Angus, n=130). We synchronized the development of a pre-ovulatory follicle and collected the follicular contents approximately 20 hours after GnRH administration. We then performed UHPLC-HRMS metabolomic studies on 43 follicular fluid samples and identified 38 metabolites within pre-ovulatory follicles of increasing size. We detected 18 metabolites with a significant, positive correlation to follicle diameter. Individual and pathway enrichment analysis of significantly correlated metabolites suggest that altered glucose and amino acid metabolism likely contribute to reduced developmental competence of oocytes when small pre-ovulatory follicles undergo induced ovulation. </w:t>
      </w:r>
    </w:p>
    <w:p w14:paraId="01DBE078" w14:textId="77777777" w:rsidR="00DF5C47" w:rsidRPr="00DF5C47" w:rsidRDefault="00DF5C47" w:rsidP="00DF5C47"/>
    <w:p w14:paraId="0A0001AC" w14:textId="07791849" w:rsidR="003C7FC5" w:rsidRPr="005C3043" w:rsidRDefault="00736F28" w:rsidP="000D2CCE">
      <w:pPr>
        <w:pStyle w:val="Diss2"/>
      </w:pPr>
      <w:bookmarkStart w:id="25" w:name="_Toc100072155"/>
      <w:bookmarkEnd w:id="23"/>
      <w:bookmarkEnd w:id="24"/>
      <w:r w:rsidRPr="005C3043">
        <w:t>Introduction</w:t>
      </w:r>
      <w:bookmarkEnd w:id="25"/>
    </w:p>
    <w:p w14:paraId="421893DD" w14:textId="44669666" w:rsidR="00EC1BB5" w:rsidRPr="005C3043" w:rsidRDefault="00736F28" w:rsidP="00021AAA">
      <w:pPr>
        <w:spacing w:line="480" w:lineRule="auto"/>
        <w:ind w:firstLine="720"/>
        <w:jc w:val="both"/>
        <w:rPr>
          <w:rFonts w:ascii="Times New Roman" w:hAnsi="Times New Roman" w:cs="Times New Roman"/>
          <w:lang w:bidi="en-US"/>
        </w:rPr>
      </w:pPr>
      <w:r w:rsidRPr="005C3043">
        <w:rPr>
          <w:rFonts w:ascii="Times New Roman" w:hAnsi="Times New Roman" w:cs="Times New Roman"/>
        </w:rPr>
        <w:t>Decreased pre-ovulatory follicle diameter at the time of pharmacological induction of ovulation was associated with lower pregnancy rates and/or reduced embryo survival in beef cattle undergoing fixed-time artificial insemination (FTAI</w:t>
      </w:r>
      <w:r w:rsidR="006521DC" w:rsidRPr="005C3043">
        <w:rPr>
          <w:rFonts w:ascii="Times New Roman" w:hAnsi="Times New Roman" w:cs="Times New Roman"/>
        </w:rPr>
        <w:t xml:space="preserve">; </w:t>
      </w:r>
      <w:r w:rsidR="00C55223" w:rsidRPr="005C3043">
        <w:rPr>
          <w:rFonts w:ascii="Times New Roman" w:hAnsi="Times New Roman" w:cs="Times New Roman"/>
          <w:noProof/>
        </w:rPr>
        <w:t>Lamb et al., 2001; Perry et al., 2005; Perry et al., 2007; Sá Filho et al., 2010)</w:t>
      </w:r>
      <w:r w:rsidRPr="005C3043">
        <w:rPr>
          <w:rFonts w:ascii="Times New Roman" w:hAnsi="Times New Roman" w:cs="Times New Roman"/>
        </w:rPr>
        <w:t xml:space="preserve">. Such reductions in fertility were likely the result of poor preparation of the maternal environment for pregnancy establishment and the ovulation of an oocyte with reduced developmental competency </w:t>
      </w:r>
      <w:r w:rsidR="00C55223" w:rsidRPr="005C3043">
        <w:rPr>
          <w:rFonts w:ascii="Times New Roman" w:hAnsi="Times New Roman" w:cs="Times New Roman"/>
          <w:noProof/>
        </w:rPr>
        <w:t xml:space="preserve">(Perry et al., 2005; Atkins et al., </w:t>
      </w:r>
      <w:r w:rsidR="00937F46" w:rsidRPr="005C3043">
        <w:rPr>
          <w:rFonts w:ascii="Times New Roman" w:hAnsi="Times New Roman" w:cs="Times New Roman"/>
          <w:noProof/>
        </w:rPr>
        <w:t>2013</w:t>
      </w:r>
      <w:r w:rsidR="00C55223" w:rsidRPr="005C3043">
        <w:rPr>
          <w:rFonts w:ascii="Times New Roman" w:hAnsi="Times New Roman" w:cs="Times New Roman"/>
          <w:noProof/>
        </w:rPr>
        <w:t xml:space="preserve">; Jinks et al., </w:t>
      </w:r>
      <w:r w:rsidR="00937F46" w:rsidRPr="005C3043">
        <w:rPr>
          <w:rFonts w:ascii="Times New Roman" w:hAnsi="Times New Roman" w:cs="Times New Roman"/>
          <w:noProof/>
        </w:rPr>
        <w:t>2013</w:t>
      </w:r>
      <w:r w:rsidR="00C55223" w:rsidRPr="005C3043">
        <w:rPr>
          <w:rFonts w:ascii="Times New Roman" w:hAnsi="Times New Roman" w:cs="Times New Roman"/>
          <w:noProof/>
        </w:rPr>
        <w:t>; Ciernia et al., 2021)</w:t>
      </w:r>
      <w:r w:rsidR="00EC1BB5" w:rsidRPr="005C3043">
        <w:rPr>
          <w:rFonts w:ascii="Times New Roman" w:hAnsi="Times New Roman" w:cs="Times New Roman"/>
        </w:rPr>
        <w:t>. When beef cows were induced to ovulate a pre-ovulatory follicle &lt;</w:t>
      </w:r>
      <w:r w:rsidR="007957A4" w:rsidRPr="005C3043">
        <w:rPr>
          <w:rFonts w:ascii="Times New Roman" w:hAnsi="Times New Roman" w:cs="Times New Roman"/>
        </w:rPr>
        <w:t xml:space="preserve"> </w:t>
      </w:r>
      <w:r w:rsidR="00EC1BB5" w:rsidRPr="005C3043">
        <w:rPr>
          <w:rFonts w:ascii="Times New Roman" w:hAnsi="Times New Roman" w:cs="Times New Roman"/>
        </w:rPr>
        <w:t>12.5 mm (small</w:t>
      </w:r>
      <w:r w:rsidR="00044360" w:rsidRPr="005C3043">
        <w:rPr>
          <w:rFonts w:ascii="Times New Roman" w:hAnsi="Times New Roman" w:cs="Times New Roman"/>
        </w:rPr>
        <w:t>er</w:t>
      </w:r>
      <w:r w:rsidR="00EC1BB5" w:rsidRPr="005C3043">
        <w:rPr>
          <w:rFonts w:ascii="Times New Roman" w:hAnsi="Times New Roman" w:cs="Times New Roman"/>
        </w:rPr>
        <w:t xml:space="preserve">) versus a follicle </w:t>
      </w:r>
      <w:r w:rsidR="00EC1BB5" w:rsidRPr="005C3043">
        <w:rPr>
          <w:rFonts w:ascii="Times New Roman" w:hAnsi="Times New Roman" w:cs="Times New Roman"/>
          <w:u w:val="single"/>
        </w:rPr>
        <w:t>&gt;</w:t>
      </w:r>
      <w:r w:rsidR="00EC1BB5" w:rsidRPr="005C3043">
        <w:rPr>
          <w:rFonts w:ascii="Times New Roman" w:hAnsi="Times New Roman" w:cs="Times New Roman"/>
        </w:rPr>
        <w:t xml:space="preserve"> 12.5 mm (large</w:t>
      </w:r>
      <w:r w:rsidR="00044360" w:rsidRPr="005C3043">
        <w:rPr>
          <w:rFonts w:ascii="Times New Roman" w:hAnsi="Times New Roman" w:cs="Times New Roman"/>
        </w:rPr>
        <w:t>r</w:t>
      </w:r>
      <w:r w:rsidR="00EC1BB5" w:rsidRPr="005C3043">
        <w:rPr>
          <w:rFonts w:ascii="Times New Roman" w:hAnsi="Times New Roman" w:cs="Times New Roman"/>
        </w:rPr>
        <w:t xml:space="preserve">) </w:t>
      </w:r>
      <w:r w:rsidR="00EC1BB5" w:rsidRPr="005C3043">
        <w:rPr>
          <w:rFonts w:ascii="Times New Roman" w:hAnsi="Times New Roman" w:cs="Times New Roman"/>
        </w:rPr>
        <w:lastRenderedPageBreak/>
        <w:t xml:space="preserve">in diameter, embryo quality grade and the probability of recovering a </w:t>
      </w:r>
      <w:r w:rsidR="00C72B76" w:rsidRPr="005C3043">
        <w:rPr>
          <w:rFonts w:ascii="Times New Roman" w:hAnsi="Times New Roman" w:cs="Times New Roman"/>
        </w:rPr>
        <w:t>fertilized</w:t>
      </w:r>
      <w:r w:rsidR="00EC1BB5" w:rsidRPr="005C3043">
        <w:rPr>
          <w:rFonts w:ascii="Times New Roman" w:hAnsi="Times New Roman" w:cs="Times New Roman"/>
        </w:rPr>
        <w:t xml:space="preserve"> embryo seven days after FTAI were decreased </w:t>
      </w:r>
      <w:r w:rsidR="00C55223" w:rsidRPr="005C3043">
        <w:rPr>
          <w:rFonts w:ascii="Times New Roman" w:hAnsi="Times New Roman" w:cs="Times New Roman"/>
          <w:noProof/>
        </w:rPr>
        <w:t xml:space="preserve">(Atkins et al., </w:t>
      </w:r>
      <w:r w:rsidR="00937F46" w:rsidRPr="005C3043">
        <w:rPr>
          <w:rFonts w:ascii="Times New Roman" w:hAnsi="Times New Roman" w:cs="Times New Roman"/>
          <w:noProof/>
        </w:rPr>
        <w:t>2013</w:t>
      </w:r>
      <w:r w:rsidR="00C55223" w:rsidRPr="005C3043">
        <w:rPr>
          <w:rFonts w:ascii="Times New Roman" w:hAnsi="Times New Roman" w:cs="Times New Roman"/>
          <w:noProof/>
        </w:rPr>
        <w:t>)</w:t>
      </w:r>
      <w:r w:rsidR="00EC1BB5" w:rsidRPr="005C3043">
        <w:rPr>
          <w:rFonts w:ascii="Times New Roman" w:hAnsi="Times New Roman" w:cs="Times New Roman"/>
        </w:rPr>
        <w:t xml:space="preserve">. </w:t>
      </w:r>
      <w:r w:rsidR="00EC1BB5" w:rsidRPr="005C3043">
        <w:rPr>
          <w:rFonts w:ascii="Times New Roman" w:hAnsi="Times New Roman" w:cs="Times New Roman"/>
          <w:lang w:bidi="en-US"/>
        </w:rPr>
        <w:t>RNA-sequencing of pools of four oocytes or associated cumulus cells recovered</w:t>
      </w:r>
      <w:r w:rsidR="00743ADF" w:rsidRPr="005C3043">
        <w:rPr>
          <w:rFonts w:ascii="Times New Roman" w:hAnsi="Times New Roman" w:cs="Times New Roman"/>
          <w:lang w:bidi="en-US"/>
        </w:rPr>
        <w:t xml:space="preserve"> ~23 hours after administration of gonadotropin releasing hormone (GnRH) to stimulate the pre-ovulatory gonadotropin surge in</w:t>
      </w:r>
      <w:r w:rsidR="00EC1BB5" w:rsidRPr="005C3043">
        <w:rPr>
          <w:rFonts w:ascii="Times New Roman" w:hAnsi="Times New Roman" w:cs="Times New Roman"/>
          <w:lang w:bidi="en-US"/>
        </w:rPr>
        <w:t xml:space="preserve"> small</w:t>
      </w:r>
      <w:r w:rsidR="00044360" w:rsidRPr="005C3043">
        <w:rPr>
          <w:rFonts w:ascii="Times New Roman" w:hAnsi="Times New Roman" w:cs="Times New Roman"/>
          <w:lang w:bidi="en-US"/>
        </w:rPr>
        <w:t>er</w:t>
      </w:r>
      <w:r w:rsidR="00EC1BB5" w:rsidRPr="005C3043">
        <w:rPr>
          <w:rFonts w:ascii="Times New Roman" w:hAnsi="Times New Roman" w:cs="Times New Roman"/>
          <w:lang w:bidi="en-US"/>
        </w:rPr>
        <w:t xml:space="preserve"> (≤</w:t>
      </w:r>
      <w:r w:rsidR="007957A4" w:rsidRPr="005C3043">
        <w:rPr>
          <w:rFonts w:ascii="Times New Roman" w:hAnsi="Times New Roman" w:cs="Times New Roman"/>
          <w:lang w:bidi="en-US"/>
        </w:rPr>
        <w:t xml:space="preserve"> </w:t>
      </w:r>
      <w:r w:rsidR="00EC1BB5" w:rsidRPr="005C3043">
        <w:rPr>
          <w:rFonts w:ascii="Times New Roman" w:hAnsi="Times New Roman" w:cs="Times New Roman"/>
          <w:lang w:bidi="en-US"/>
        </w:rPr>
        <w:t xml:space="preserve">11.7 mm) </w:t>
      </w:r>
      <w:r w:rsidR="00044360" w:rsidRPr="005C3043">
        <w:rPr>
          <w:rFonts w:ascii="Times New Roman" w:hAnsi="Times New Roman" w:cs="Times New Roman"/>
          <w:lang w:bidi="en-US"/>
        </w:rPr>
        <w:t>versus</w:t>
      </w:r>
      <w:r w:rsidR="00EC1BB5" w:rsidRPr="005C3043">
        <w:rPr>
          <w:rFonts w:ascii="Times New Roman" w:hAnsi="Times New Roman" w:cs="Times New Roman"/>
          <w:lang w:bidi="en-US"/>
        </w:rPr>
        <w:t xml:space="preserve"> large</w:t>
      </w:r>
      <w:r w:rsidR="00044360" w:rsidRPr="005C3043">
        <w:rPr>
          <w:rFonts w:ascii="Times New Roman" w:hAnsi="Times New Roman" w:cs="Times New Roman"/>
          <w:lang w:bidi="en-US"/>
        </w:rPr>
        <w:t>r</w:t>
      </w:r>
      <w:r w:rsidR="00EC1BB5" w:rsidRPr="005C3043">
        <w:rPr>
          <w:rFonts w:ascii="Times New Roman" w:hAnsi="Times New Roman" w:cs="Times New Roman"/>
          <w:lang w:bidi="en-US"/>
        </w:rPr>
        <w:t xml:space="preserve"> (</w:t>
      </w:r>
      <w:r w:rsidR="00EC1BB5" w:rsidRPr="005C3043">
        <w:rPr>
          <w:rFonts w:ascii="Times New Roman" w:hAnsi="Times New Roman" w:cs="Times New Roman"/>
          <w:u w:val="single"/>
          <w:lang w:bidi="en-US"/>
        </w:rPr>
        <w:t>&gt;</w:t>
      </w:r>
      <w:r w:rsidR="007957A4" w:rsidRPr="005C3043">
        <w:rPr>
          <w:rFonts w:ascii="Times New Roman" w:hAnsi="Times New Roman" w:cs="Times New Roman"/>
          <w:lang w:bidi="en-US"/>
        </w:rPr>
        <w:t xml:space="preserve"> </w:t>
      </w:r>
      <w:r w:rsidR="00EC1BB5" w:rsidRPr="005C3043">
        <w:rPr>
          <w:rFonts w:ascii="Times New Roman" w:hAnsi="Times New Roman" w:cs="Times New Roman"/>
          <w:lang w:bidi="en-US"/>
        </w:rPr>
        <w:t xml:space="preserve">12.7 mm) </w:t>
      </w:r>
      <w:r w:rsidR="00751FF5" w:rsidRPr="005C3043">
        <w:rPr>
          <w:rFonts w:ascii="Times New Roman" w:hAnsi="Times New Roman" w:cs="Times New Roman"/>
          <w:lang w:bidi="en-US"/>
        </w:rPr>
        <w:t>pre-ovulatory</w:t>
      </w:r>
      <w:r w:rsidR="00044360" w:rsidRPr="005C3043">
        <w:rPr>
          <w:rFonts w:ascii="Times New Roman" w:hAnsi="Times New Roman" w:cs="Times New Roman"/>
          <w:lang w:bidi="en-US"/>
        </w:rPr>
        <w:t xml:space="preserve"> </w:t>
      </w:r>
      <w:r w:rsidR="00EC1BB5" w:rsidRPr="005C3043">
        <w:rPr>
          <w:rFonts w:ascii="Times New Roman" w:hAnsi="Times New Roman" w:cs="Times New Roman"/>
          <w:lang w:bidi="en-US"/>
        </w:rPr>
        <w:t>suggested decreased metabolic capacity of cumulus cells from small</w:t>
      </w:r>
      <w:r w:rsidR="00044360" w:rsidRPr="005C3043">
        <w:rPr>
          <w:rFonts w:ascii="Times New Roman" w:hAnsi="Times New Roman" w:cs="Times New Roman"/>
          <w:lang w:bidi="en-US"/>
        </w:rPr>
        <w:t xml:space="preserve">er </w:t>
      </w:r>
      <w:r w:rsidR="00743ADF" w:rsidRPr="005C3043">
        <w:rPr>
          <w:rFonts w:ascii="Times New Roman" w:hAnsi="Times New Roman" w:cs="Times New Roman"/>
          <w:lang w:bidi="en-US"/>
        </w:rPr>
        <w:t>pre-ovulatory</w:t>
      </w:r>
      <w:r w:rsidR="00EC1BB5" w:rsidRPr="005C3043">
        <w:rPr>
          <w:rFonts w:ascii="Times New Roman" w:hAnsi="Times New Roman" w:cs="Times New Roman"/>
          <w:lang w:bidi="en-US"/>
        </w:rPr>
        <w:t xml:space="preserve"> follicles </w:t>
      </w:r>
      <w:r w:rsidR="00C55223" w:rsidRPr="005C3043">
        <w:rPr>
          <w:rFonts w:ascii="Times New Roman" w:hAnsi="Times New Roman" w:cs="Times New Roman"/>
          <w:noProof/>
          <w:lang w:bidi="en-US"/>
        </w:rPr>
        <w:t>(Moorey et al., 2021)</w:t>
      </w:r>
      <w:r w:rsidR="00EC1BB5" w:rsidRPr="005C3043">
        <w:rPr>
          <w:rFonts w:ascii="Times New Roman" w:hAnsi="Times New Roman" w:cs="Times New Roman"/>
          <w:lang w:bidi="en-US"/>
        </w:rPr>
        <w:t>.</w:t>
      </w:r>
    </w:p>
    <w:p w14:paraId="2B3DF108" w14:textId="466EB5C8" w:rsidR="00EC1BB5" w:rsidRPr="005C3043" w:rsidRDefault="00EC1BB5" w:rsidP="00021AAA">
      <w:pPr>
        <w:spacing w:line="480" w:lineRule="auto"/>
        <w:ind w:firstLine="720"/>
        <w:jc w:val="both"/>
        <w:rPr>
          <w:rFonts w:ascii="Times New Roman" w:hAnsi="Times New Roman" w:cs="Times New Roman"/>
        </w:rPr>
      </w:pPr>
      <w:r w:rsidRPr="005C3043">
        <w:rPr>
          <w:rFonts w:ascii="Times New Roman" w:hAnsi="Times New Roman" w:cs="Times New Roman"/>
        </w:rPr>
        <w:t xml:space="preserve">Cumulus cells possess high glycolytic activity and are responsible for producing and transporting metabolites such as pyruvate, lactate, NADH, and FADH2 to the oocyte via gap junctions </w:t>
      </w:r>
      <w:r w:rsidR="00C55223" w:rsidRPr="005C3043">
        <w:rPr>
          <w:rFonts w:ascii="Times New Roman" w:hAnsi="Times New Roman" w:cs="Times New Roman"/>
          <w:noProof/>
        </w:rPr>
        <w:t>(Winterhager and Kidder, 2015)</w:t>
      </w:r>
      <w:r w:rsidRPr="005C3043">
        <w:rPr>
          <w:rFonts w:ascii="Times New Roman" w:hAnsi="Times New Roman" w:cs="Times New Roman"/>
        </w:rPr>
        <w:t>.</w:t>
      </w:r>
      <w:r w:rsidRPr="005C3043">
        <w:rPr>
          <w:rFonts w:ascii="Times New Roman" w:hAnsi="Times New Roman" w:cs="Times New Roman"/>
          <w:lang w:bidi="en-US"/>
        </w:rPr>
        <w:t xml:space="preserve"> </w:t>
      </w:r>
      <w:r w:rsidRPr="005C3043">
        <w:rPr>
          <w:rFonts w:ascii="Times New Roman" w:hAnsi="Times New Roman" w:cs="Times New Roman"/>
        </w:rPr>
        <w:t>These metabolites are then utilized as substrates or electron carriers to maintain production of adenosine triphosphate (ATP) via oxidative phosphorylation in the maturing oocyte and pre-blastocyst stage embryo</w:t>
      </w:r>
      <w:bookmarkStart w:id="26" w:name="_Hlk94376749"/>
      <w:r w:rsidRPr="005C3043">
        <w:rPr>
          <w:rFonts w:ascii="Times New Roman" w:hAnsi="Times New Roman" w:cs="Times New Roman"/>
        </w:rPr>
        <w:t xml:space="preserve"> </w:t>
      </w:r>
      <w:r w:rsidR="00C55223" w:rsidRPr="005C3043">
        <w:rPr>
          <w:rFonts w:ascii="Times New Roman" w:hAnsi="Times New Roman" w:cs="Times New Roman"/>
          <w:noProof/>
        </w:rPr>
        <w:t>(Babayev and Seli, 2015; Coticchio et al., 2015; Brown et al., 2017)</w:t>
      </w:r>
      <w:bookmarkEnd w:id="26"/>
      <w:r w:rsidRPr="005C3043">
        <w:rPr>
          <w:rFonts w:ascii="Times New Roman" w:hAnsi="Times New Roman" w:cs="Times New Roman"/>
        </w:rPr>
        <w:t xml:space="preserve">. The oocyte and early embryo rely on stores of pyruvate, ATP, and other metabolites to support the metabolic requirements of oocyte maturation, fertilization, and sustained development through the blastocyst stage </w:t>
      </w:r>
      <w:r w:rsidR="00C55223" w:rsidRPr="005C3043">
        <w:rPr>
          <w:rFonts w:ascii="Times New Roman" w:hAnsi="Times New Roman" w:cs="Times New Roman"/>
          <w:noProof/>
        </w:rPr>
        <w:t>(Biggers et al., 1967; Cetica et al., 2002; Johnson et al., 2007; Chappel, 2013)</w:t>
      </w:r>
      <w:r w:rsidRPr="005C3043">
        <w:rPr>
          <w:rFonts w:ascii="Times New Roman" w:hAnsi="Times New Roman" w:cs="Times New Roman"/>
        </w:rPr>
        <w:t>. During the antral stages of follic</w:t>
      </w:r>
      <w:r w:rsidR="00044360" w:rsidRPr="005C3043">
        <w:rPr>
          <w:rFonts w:ascii="Times New Roman" w:hAnsi="Times New Roman" w:cs="Times New Roman"/>
        </w:rPr>
        <w:t>le development</w:t>
      </w:r>
      <w:r w:rsidRPr="005C3043">
        <w:rPr>
          <w:rFonts w:ascii="Times New Roman" w:hAnsi="Times New Roman" w:cs="Times New Roman"/>
        </w:rPr>
        <w:t xml:space="preserve">, the follicular fluid provides many of the nutrients, metabolic compounds, and signaling molecules that are essential for the accumulation of stockpiles of metabolic substrates within the oocyte </w:t>
      </w:r>
      <w:r w:rsidR="00C55223" w:rsidRPr="005C3043">
        <w:rPr>
          <w:rFonts w:ascii="Times New Roman" w:hAnsi="Times New Roman" w:cs="Times New Roman"/>
          <w:noProof/>
        </w:rPr>
        <w:t>(Winterhager and Kidder, 2015; Read et al., 2018)</w:t>
      </w:r>
      <w:r w:rsidRPr="005C3043">
        <w:rPr>
          <w:rFonts w:ascii="Times New Roman" w:hAnsi="Times New Roman" w:cs="Times New Roman"/>
        </w:rPr>
        <w:t xml:space="preserve">. Follicular fluid, which is derived from </w:t>
      </w:r>
      <w:r w:rsidR="00044360" w:rsidRPr="005C3043">
        <w:rPr>
          <w:rFonts w:ascii="Times New Roman" w:hAnsi="Times New Roman" w:cs="Times New Roman"/>
        </w:rPr>
        <w:t>serum</w:t>
      </w:r>
      <w:r w:rsidRPr="005C3043">
        <w:rPr>
          <w:rFonts w:ascii="Times New Roman" w:hAnsi="Times New Roman" w:cs="Times New Roman"/>
        </w:rPr>
        <w:t xml:space="preserve"> and the secretions of intrafollicular cells, both influences and is the result of varied metabolic activities within the follicular cells </w:t>
      </w:r>
      <w:r w:rsidR="00C55223" w:rsidRPr="005C3043">
        <w:rPr>
          <w:rFonts w:ascii="Times New Roman" w:hAnsi="Times New Roman" w:cs="Times New Roman"/>
          <w:noProof/>
        </w:rPr>
        <w:t xml:space="preserve">(Edwards, 1974; Gosden et al., 1988; Clarke et al., </w:t>
      </w:r>
      <w:r w:rsidR="00C55223" w:rsidRPr="005C3043">
        <w:rPr>
          <w:rFonts w:ascii="Times New Roman" w:hAnsi="Times New Roman" w:cs="Times New Roman"/>
          <w:noProof/>
        </w:rPr>
        <w:lastRenderedPageBreak/>
        <w:t>2006; Kidder and Vanderhyden, 2010; Rodgers and Irving-Rodgers, 2010; Hennet and Combelles, 2012)</w:t>
      </w:r>
      <w:r w:rsidR="00956CEB" w:rsidRPr="005C3043">
        <w:rPr>
          <w:rFonts w:ascii="Times New Roman" w:hAnsi="Times New Roman" w:cs="Times New Roman"/>
        </w:rPr>
        <w:t xml:space="preserve">. Therefore, exploration of the follicular fluid milieu provides insight into follicular cell function. The follicular fluid metabolome is dependent on the stage of </w:t>
      </w:r>
      <w:r w:rsidR="00044360" w:rsidRPr="005C3043">
        <w:rPr>
          <w:rFonts w:ascii="Times New Roman" w:hAnsi="Times New Roman" w:cs="Times New Roman"/>
        </w:rPr>
        <w:t>antral follicle development</w:t>
      </w:r>
      <w:r w:rsidR="00956CEB" w:rsidRPr="005C3043">
        <w:rPr>
          <w:rFonts w:ascii="Times New Roman" w:hAnsi="Times New Roman" w:cs="Times New Roman"/>
        </w:rPr>
        <w:t xml:space="preserve">, the developmental stage of the oocyte, and stage of the estrous cycle </w:t>
      </w:r>
      <w:r w:rsidR="00C55223" w:rsidRPr="005C3043">
        <w:rPr>
          <w:rFonts w:ascii="Times New Roman" w:hAnsi="Times New Roman" w:cs="Times New Roman"/>
          <w:noProof/>
        </w:rPr>
        <w:t>(Orsi et al., 2005a; Moreno et al., 2015)</w:t>
      </w:r>
      <w:r w:rsidR="00956CEB" w:rsidRPr="005C3043">
        <w:rPr>
          <w:rFonts w:ascii="Times New Roman" w:hAnsi="Times New Roman" w:cs="Times New Roman"/>
        </w:rPr>
        <w:t xml:space="preserve">. Follicular fluid metabolome profiles have been linked to fertility in multiple species, and multiple follicular fluid components have been identified as biomarkers of oocyte developmental competence </w:t>
      </w:r>
      <w:r w:rsidR="00C55223" w:rsidRPr="005C3043">
        <w:rPr>
          <w:rFonts w:ascii="Times New Roman" w:hAnsi="Times New Roman" w:cs="Times New Roman"/>
          <w:noProof/>
        </w:rPr>
        <w:t>(Sinclair et al., 2008; Bender et al., 2010; Kafi et al., 2017)</w:t>
      </w:r>
      <w:r w:rsidR="00074130" w:rsidRPr="005C3043">
        <w:rPr>
          <w:rFonts w:ascii="Times New Roman" w:hAnsi="Times New Roman" w:cs="Times New Roman"/>
        </w:rPr>
        <w:t xml:space="preserve">. </w:t>
      </w:r>
    </w:p>
    <w:p w14:paraId="67F82AEC" w14:textId="7A5A192A" w:rsidR="00DF5C47" w:rsidRPr="005C3043" w:rsidRDefault="00074130" w:rsidP="00E458D1">
      <w:pPr>
        <w:spacing w:line="480" w:lineRule="auto"/>
        <w:ind w:firstLine="720"/>
        <w:jc w:val="both"/>
        <w:rPr>
          <w:rFonts w:ascii="Times New Roman" w:hAnsi="Times New Roman" w:cs="Times New Roman"/>
          <w:lang w:bidi="en-US"/>
        </w:rPr>
      </w:pPr>
      <w:r w:rsidRPr="005C3043">
        <w:rPr>
          <w:rFonts w:ascii="Times New Roman" w:hAnsi="Times New Roman" w:cs="Times New Roman"/>
          <w:lang w:bidi="en-US"/>
        </w:rPr>
        <w:t xml:space="preserve">Though studies of the follicular fluid metabolome have been performed in humans and dairy cows, little focus has been placed on the impact of follicle diameter at </w:t>
      </w:r>
      <w:r w:rsidR="00BF279A" w:rsidRPr="005C3043">
        <w:rPr>
          <w:rFonts w:ascii="Times New Roman" w:hAnsi="Times New Roman" w:cs="Times New Roman"/>
          <w:lang w:bidi="en-US"/>
        </w:rPr>
        <w:t xml:space="preserve">GnRH administration to </w:t>
      </w:r>
      <w:r w:rsidRPr="005C3043">
        <w:rPr>
          <w:rFonts w:ascii="Times New Roman" w:hAnsi="Times New Roman" w:cs="Times New Roman"/>
          <w:lang w:bidi="en-US"/>
        </w:rPr>
        <w:t>induce ovulation on the follicular fluid and resulting cellular functions of the granulosa cells or cumulus-oocyte complex in beef cows. Studies that investigate the relationship between pre-ovulatory follicle size and the follicular fluid milieu are essential to further understanding reduced oocyte developmental competence and subsequent fertility when beef cows are induced to ovulate a small pre-ovulatory follicle. We hypothesized that size</w:t>
      </w:r>
      <w:r w:rsidR="00BF279A" w:rsidRPr="005C3043">
        <w:rPr>
          <w:rFonts w:ascii="Times New Roman" w:hAnsi="Times New Roman" w:cs="Times New Roman"/>
          <w:lang w:bidi="en-US"/>
        </w:rPr>
        <w:t xml:space="preserve"> of the pre-ovulatory follicle prior to the LH surge</w:t>
      </w:r>
      <w:r w:rsidRPr="005C3043">
        <w:rPr>
          <w:rFonts w:ascii="Times New Roman" w:hAnsi="Times New Roman" w:cs="Times New Roman"/>
          <w:lang w:bidi="en-US"/>
        </w:rPr>
        <w:t xml:space="preserve"> </w:t>
      </w:r>
      <w:r w:rsidR="00BF279A" w:rsidRPr="005C3043">
        <w:rPr>
          <w:rFonts w:ascii="Times New Roman" w:hAnsi="Times New Roman" w:cs="Times New Roman"/>
          <w:lang w:bidi="en-US"/>
        </w:rPr>
        <w:t>impacted</w:t>
      </w:r>
      <w:r w:rsidRPr="005C3043">
        <w:rPr>
          <w:rFonts w:ascii="Times New Roman" w:hAnsi="Times New Roman" w:cs="Times New Roman"/>
          <w:lang w:bidi="en-US"/>
        </w:rPr>
        <w:t xml:space="preserve"> the follicular fluid’s metabolome</w:t>
      </w:r>
      <w:r w:rsidR="00BF279A" w:rsidRPr="005C3043">
        <w:rPr>
          <w:rFonts w:ascii="Times New Roman" w:hAnsi="Times New Roman" w:cs="Times New Roman"/>
          <w:lang w:bidi="en-US"/>
        </w:rPr>
        <w:t xml:space="preserve"> and</w:t>
      </w:r>
      <w:r w:rsidRPr="005C3043">
        <w:rPr>
          <w:rFonts w:ascii="Times New Roman" w:hAnsi="Times New Roman" w:cs="Times New Roman"/>
          <w:lang w:bidi="en-US"/>
        </w:rPr>
        <w:t xml:space="preserve"> metabolic capacity of the cumulus-oocyte complex that contribute to reduced embryo cleavage and quality grade observed following induced ovulation of small pre-ovulatory follicles. Therefore, we designed a study with the objective to profile the metabolome of follicular fluid collected from pre-ovulatory follicles ~20 hours after GnRH administration to induce the pre-ovulatory gonadotropin surge and determine the correlation between pre-ovulatory follicle diameter at GnRH administration </w:t>
      </w:r>
      <w:r w:rsidRPr="005C3043">
        <w:rPr>
          <w:rFonts w:ascii="Times New Roman" w:hAnsi="Times New Roman" w:cs="Times New Roman"/>
          <w:lang w:bidi="en-US"/>
        </w:rPr>
        <w:lastRenderedPageBreak/>
        <w:t>and follicular fluid metabolite concentrations. We utilized ultra-high</w:t>
      </w:r>
      <w:r w:rsidR="0005500E" w:rsidRPr="005C3043">
        <w:rPr>
          <w:rFonts w:ascii="Times New Roman" w:hAnsi="Times New Roman" w:cs="Times New Roman"/>
          <w:lang w:bidi="en-US"/>
        </w:rPr>
        <w:t xml:space="preserve"> - </w:t>
      </w:r>
      <w:r w:rsidRPr="005C3043">
        <w:rPr>
          <w:rFonts w:ascii="Times New Roman" w:hAnsi="Times New Roman" w:cs="Times New Roman"/>
          <w:lang w:bidi="en-US"/>
        </w:rPr>
        <w:t xml:space="preserve">performance liquid chromatography – high resolution mass spectrometry (UHPLC-HRMS) to identify metabolites within pre-ovulatory follicles of increasing size and determined metabolites with a significant correlation to follicle diameter. </w:t>
      </w:r>
    </w:p>
    <w:p w14:paraId="7055865B" w14:textId="77777777" w:rsidR="00647FA2" w:rsidRPr="005C3043" w:rsidRDefault="00647FA2" w:rsidP="000D2CCE">
      <w:pPr>
        <w:pStyle w:val="Diss2"/>
      </w:pPr>
      <w:bookmarkStart w:id="27" w:name="_Toc100072156"/>
      <w:r w:rsidRPr="005C3043">
        <w:t>Materials and Methods</w:t>
      </w:r>
      <w:bookmarkEnd w:id="27"/>
    </w:p>
    <w:p w14:paraId="1C103F48" w14:textId="77777777" w:rsidR="00647FA2" w:rsidRPr="005C3043" w:rsidRDefault="00647FA2" w:rsidP="000D2CCE">
      <w:pPr>
        <w:pStyle w:val="Diss3"/>
      </w:pPr>
      <w:bookmarkStart w:id="28" w:name="_Toc100072157"/>
      <w:r w:rsidRPr="005C3043">
        <w:t>Animal handling and synchronization of pre-ovulatory follicle development</w:t>
      </w:r>
      <w:bookmarkEnd w:id="28"/>
    </w:p>
    <w:p w14:paraId="36586820" w14:textId="2249FE16" w:rsidR="00647FA2" w:rsidRPr="005C3043" w:rsidRDefault="00044360" w:rsidP="00021AAA">
      <w:pPr>
        <w:spacing w:line="480" w:lineRule="auto"/>
        <w:ind w:firstLine="720"/>
        <w:jc w:val="both"/>
        <w:rPr>
          <w:rFonts w:ascii="Times New Roman" w:hAnsi="Times New Roman" w:cs="Times New Roman"/>
        </w:rPr>
      </w:pPr>
      <w:r w:rsidRPr="005C3043">
        <w:rPr>
          <w:rFonts w:ascii="Times New Roman" w:hAnsi="Times New Roman" w:cs="Times New Roman"/>
        </w:rPr>
        <w:t xml:space="preserve">All animal protocols and procedures were approved by the University of Tennessee Knoxville Institutional Animal Care and Use Committee. </w:t>
      </w:r>
      <w:r w:rsidR="00647FA2" w:rsidRPr="005C3043">
        <w:rPr>
          <w:rFonts w:ascii="Times New Roman" w:hAnsi="Times New Roman" w:cs="Times New Roman"/>
        </w:rPr>
        <w:t xml:space="preserve">Development of pre-ovulatory follicles were synchronized in postpartum, suckled beef cattle (Angus; n=130) according to procedures outlined in Figure </w:t>
      </w:r>
      <w:r w:rsidR="00624151" w:rsidRPr="005C3043">
        <w:rPr>
          <w:rFonts w:ascii="Times New Roman" w:hAnsi="Times New Roman" w:cs="Times New Roman"/>
        </w:rPr>
        <w:t>1</w:t>
      </w:r>
      <w:r w:rsidR="00647FA2" w:rsidRPr="005C3043">
        <w:rPr>
          <w:rFonts w:ascii="Times New Roman" w:hAnsi="Times New Roman" w:cs="Times New Roman"/>
        </w:rPr>
        <w:t xml:space="preserve">. Estrous cycles were pre-synchronized by administration of gonadotropin-releasing hormone (GnRH; </w:t>
      </w:r>
      <w:proofErr w:type="spellStart"/>
      <w:r w:rsidR="00647FA2" w:rsidRPr="005C3043">
        <w:rPr>
          <w:rFonts w:ascii="Times New Roman" w:hAnsi="Times New Roman" w:cs="Times New Roman"/>
        </w:rPr>
        <w:t>i.m.</w:t>
      </w:r>
      <w:proofErr w:type="spellEnd"/>
      <w:r w:rsidR="00647FA2" w:rsidRPr="005C3043">
        <w:rPr>
          <w:rFonts w:ascii="Times New Roman" w:hAnsi="Times New Roman" w:cs="Times New Roman"/>
        </w:rPr>
        <w:t xml:space="preserve">; 100 </w:t>
      </w:r>
      <w:proofErr w:type="spellStart"/>
      <w:r w:rsidR="00647FA2" w:rsidRPr="005C3043">
        <w:rPr>
          <w:rFonts w:ascii="Times New Roman" w:hAnsi="Times New Roman" w:cs="Times New Roman"/>
        </w:rPr>
        <w:t>μg</w:t>
      </w:r>
      <w:proofErr w:type="spellEnd"/>
      <w:r w:rsidR="00647FA2" w:rsidRPr="005C3043">
        <w:rPr>
          <w:rFonts w:ascii="Times New Roman" w:hAnsi="Times New Roman" w:cs="Times New Roman"/>
        </w:rPr>
        <w:t xml:space="preserve">; </w:t>
      </w:r>
      <w:proofErr w:type="spellStart"/>
      <w:r w:rsidR="00647FA2" w:rsidRPr="005C3043">
        <w:rPr>
          <w:rFonts w:ascii="Times New Roman" w:hAnsi="Times New Roman" w:cs="Times New Roman"/>
        </w:rPr>
        <w:t>Cystorelin</w:t>
      </w:r>
      <w:proofErr w:type="spellEnd"/>
      <w:r w:rsidR="00647FA2" w:rsidRPr="005C3043">
        <w:rPr>
          <w:rFonts w:ascii="Times New Roman" w:hAnsi="Times New Roman" w:cs="Times New Roman"/>
        </w:rPr>
        <w:t xml:space="preserve">; Boehringer Ingelheim; </w:t>
      </w:r>
      <w:r w:rsidR="00647FA2" w:rsidRPr="005C3043">
        <w:rPr>
          <w:rFonts w:ascii="Times New Roman" w:hAnsi="Times New Roman" w:cs="Times New Roman"/>
          <w:shd w:val="clear" w:color="auto" w:fill="FFFFFF"/>
        </w:rPr>
        <w:t>Ingelheim am Rhein, Germany</w:t>
      </w:r>
      <w:r w:rsidR="00647FA2" w:rsidRPr="005C3043">
        <w:rPr>
          <w:rFonts w:ascii="Times New Roman" w:hAnsi="Times New Roman" w:cs="Times New Roman"/>
        </w:rPr>
        <w:t xml:space="preserve">) and placement of a controlled internal drug release (CIDR; intravaginal; 1.38 g progesterone; </w:t>
      </w:r>
      <w:proofErr w:type="spellStart"/>
      <w:r w:rsidR="00647FA2" w:rsidRPr="005C3043">
        <w:rPr>
          <w:rFonts w:ascii="Times New Roman" w:hAnsi="Times New Roman" w:cs="Times New Roman"/>
        </w:rPr>
        <w:t>Eazi</w:t>
      </w:r>
      <w:proofErr w:type="spellEnd"/>
      <w:r w:rsidR="00647FA2" w:rsidRPr="005C3043">
        <w:rPr>
          <w:rFonts w:ascii="Times New Roman" w:hAnsi="Times New Roman" w:cs="Times New Roman"/>
        </w:rPr>
        <w:t xml:space="preserve">-Breed CIDR®; Zoetis Animal Health, Kalamazoo, MI, USA). After seven days, the CIDR was removed and cows were administered prostaglandin F2α (PGF; </w:t>
      </w:r>
      <w:proofErr w:type="spellStart"/>
      <w:r w:rsidR="00647FA2" w:rsidRPr="005C3043">
        <w:rPr>
          <w:rFonts w:ascii="Times New Roman" w:hAnsi="Times New Roman" w:cs="Times New Roman"/>
        </w:rPr>
        <w:t>i.m.</w:t>
      </w:r>
      <w:proofErr w:type="spellEnd"/>
      <w:r w:rsidR="00647FA2" w:rsidRPr="005C3043">
        <w:rPr>
          <w:rFonts w:ascii="Times New Roman" w:hAnsi="Times New Roman" w:cs="Times New Roman"/>
        </w:rPr>
        <w:t xml:space="preserve">; 25mg; </w:t>
      </w:r>
      <w:proofErr w:type="spellStart"/>
      <w:r w:rsidR="00647FA2" w:rsidRPr="005C3043">
        <w:rPr>
          <w:rFonts w:ascii="Times New Roman" w:hAnsi="Times New Roman" w:cs="Times New Roman"/>
        </w:rPr>
        <w:t>Lutalyse</w:t>
      </w:r>
      <w:proofErr w:type="spellEnd"/>
      <w:r w:rsidR="00647FA2" w:rsidRPr="005C3043">
        <w:rPr>
          <w:rFonts w:ascii="Times New Roman" w:hAnsi="Times New Roman" w:cs="Times New Roman"/>
        </w:rPr>
        <w:t xml:space="preserve"> ® </w:t>
      </w:r>
      <w:proofErr w:type="spellStart"/>
      <w:r w:rsidR="00647FA2" w:rsidRPr="005C3043">
        <w:rPr>
          <w:rFonts w:ascii="Times New Roman" w:hAnsi="Times New Roman" w:cs="Times New Roman"/>
        </w:rPr>
        <w:t>HighCon</w:t>
      </w:r>
      <w:proofErr w:type="spellEnd"/>
      <w:r w:rsidR="00647FA2" w:rsidRPr="005C3043">
        <w:rPr>
          <w:rFonts w:ascii="Times New Roman" w:hAnsi="Times New Roman" w:cs="Times New Roman"/>
        </w:rPr>
        <w:t>; Zoetis Animal Health, Kalamazoo, MI, USA). Approximately 66 hours later, cows were administered a second dosage of GnRH (</w:t>
      </w:r>
      <w:proofErr w:type="spellStart"/>
      <w:r w:rsidR="00647FA2" w:rsidRPr="005C3043">
        <w:rPr>
          <w:rFonts w:ascii="Times New Roman" w:hAnsi="Times New Roman" w:cs="Times New Roman"/>
        </w:rPr>
        <w:t>i.m.</w:t>
      </w:r>
      <w:proofErr w:type="spellEnd"/>
      <w:r w:rsidR="00647FA2" w:rsidRPr="005C3043">
        <w:rPr>
          <w:rFonts w:ascii="Times New Roman" w:hAnsi="Times New Roman" w:cs="Times New Roman"/>
        </w:rPr>
        <w:t xml:space="preserve">; 100 </w:t>
      </w:r>
      <w:proofErr w:type="spellStart"/>
      <w:r w:rsidR="00647FA2" w:rsidRPr="005C3043">
        <w:rPr>
          <w:rFonts w:ascii="Times New Roman" w:hAnsi="Times New Roman" w:cs="Times New Roman"/>
        </w:rPr>
        <w:t>μg</w:t>
      </w:r>
      <w:proofErr w:type="spellEnd"/>
      <w:r w:rsidR="00647FA2" w:rsidRPr="005C3043">
        <w:rPr>
          <w:rFonts w:ascii="Times New Roman" w:hAnsi="Times New Roman" w:cs="Times New Roman"/>
        </w:rPr>
        <w:t xml:space="preserve">; </w:t>
      </w:r>
      <w:proofErr w:type="spellStart"/>
      <w:r w:rsidR="00647FA2" w:rsidRPr="005C3043">
        <w:rPr>
          <w:rFonts w:ascii="Times New Roman" w:hAnsi="Times New Roman" w:cs="Times New Roman"/>
        </w:rPr>
        <w:t>Cystorelin</w:t>
      </w:r>
      <w:proofErr w:type="spellEnd"/>
      <w:r w:rsidR="00647FA2" w:rsidRPr="005C3043">
        <w:rPr>
          <w:rFonts w:ascii="Times New Roman" w:hAnsi="Times New Roman" w:cs="Times New Roman"/>
        </w:rPr>
        <w:t xml:space="preserve">). Cows were then divided into 3 groups to facilitate transvaginal aspiration with 42-44 cows per group. </w:t>
      </w:r>
    </w:p>
    <w:p w14:paraId="1A78EF85" w14:textId="72A909D1" w:rsidR="00647FA2" w:rsidRPr="00C87A3E" w:rsidRDefault="00647FA2" w:rsidP="00DF5C47">
      <w:pPr>
        <w:spacing w:line="480" w:lineRule="auto"/>
        <w:ind w:firstLine="720"/>
        <w:jc w:val="both"/>
        <w:rPr>
          <w:rFonts w:ascii="Times New Roman" w:hAnsi="Times New Roman" w:cs="Times New Roman"/>
        </w:rPr>
      </w:pPr>
      <w:r w:rsidRPr="005C3043">
        <w:rPr>
          <w:rFonts w:ascii="Times New Roman" w:hAnsi="Times New Roman" w:cs="Times New Roman"/>
        </w:rPr>
        <w:t xml:space="preserve">Eight to ten days after pre-synchronization, cows were administered GnRH (GnRH1; </w:t>
      </w:r>
      <w:proofErr w:type="spellStart"/>
      <w:r w:rsidRPr="005C3043">
        <w:rPr>
          <w:rFonts w:ascii="Times New Roman" w:hAnsi="Times New Roman" w:cs="Times New Roman"/>
        </w:rPr>
        <w:t>i.m.</w:t>
      </w:r>
      <w:proofErr w:type="spellEnd"/>
      <w:r w:rsidRPr="005C3043">
        <w:rPr>
          <w:rFonts w:ascii="Times New Roman" w:hAnsi="Times New Roman" w:cs="Times New Roman"/>
        </w:rPr>
        <w:t xml:space="preserve">; 100 </w:t>
      </w:r>
      <w:proofErr w:type="spellStart"/>
      <w:r w:rsidRPr="005C3043">
        <w:rPr>
          <w:rFonts w:ascii="Times New Roman" w:hAnsi="Times New Roman" w:cs="Times New Roman"/>
        </w:rPr>
        <w:t>μg</w:t>
      </w:r>
      <w:proofErr w:type="spellEnd"/>
      <w:r w:rsidRPr="005C3043">
        <w:rPr>
          <w:rFonts w:ascii="Times New Roman" w:hAnsi="Times New Roman" w:cs="Times New Roman"/>
        </w:rPr>
        <w:t xml:space="preserve">; </w:t>
      </w:r>
      <w:proofErr w:type="spellStart"/>
      <w:r w:rsidRPr="005C3043">
        <w:rPr>
          <w:rFonts w:ascii="Times New Roman" w:hAnsi="Times New Roman" w:cs="Times New Roman"/>
        </w:rPr>
        <w:t>Cystorelin</w:t>
      </w:r>
      <w:proofErr w:type="spellEnd"/>
      <w:r w:rsidRPr="005C3043">
        <w:rPr>
          <w:rFonts w:ascii="Times New Roman" w:hAnsi="Times New Roman" w:cs="Times New Roman"/>
        </w:rPr>
        <w:t>) on day -9 to start a new follicular wave. On day -2, PGF (</w:t>
      </w:r>
      <w:proofErr w:type="spellStart"/>
      <w:r w:rsidRPr="005C3043">
        <w:rPr>
          <w:rFonts w:ascii="Times New Roman" w:hAnsi="Times New Roman" w:cs="Times New Roman"/>
        </w:rPr>
        <w:t>i.m.</w:t>
      </w:r>
      <w:proofErr w:type="spellEnd"/>
      <w:r w:rsidRPr="005C3043">
        <w:rPr>
          <w:rFonts w:ascii="Times New Roman" w:hAnsi="Times New Roman" w:cs="Times New Roman"/>
        </w:rPr>
        <w:t xml:space="preserve">; 25mg </w:t>
      </w:r>
      <w:proofErr w:type="spellStart"/>
      <w:r w:rsidRPr="005C3043">
        <w:rPr>
          <w:rFonts w:ascii="Times New Roman" w:hAnsi="Times New Roman" w:cs="Times New Roman"/>
        </w:rPr>
        <w:t>Lutalyse</w:t>
      </w:r>
      <w:proofErr w:type="spellEnd"/>
      <w:r w:rsidRPr="005C3043">
        <w:rPr>
          <w:rFonts w:ascii="Times New Roman" w:hAnsi="Times New Roman" w:cs="Times New Roman"/>
        </w:rPr>
        <w:t xml:space="preserve"> ® </w:t>
      </w:r>
      <w:proofErr w:type="spellStart"/>
      <w:r w:rsidRPr="005C3043">
        <w:rPr>
          <w:rFonts w:ascii="Times New Roman" w:hAnsi="Times New Roman" w:cs="Times New Roman"/>
        </w:rPr>
        <w:t>HighCon</w:t>
      </w:r>
      <w:proofErr w:type="spellEnd"/>
      <w:r w:rsidRPr="005C3043">
        <w:rPr>
          <w:rFonts w:ascii="Times New Roman" w:hAnsi="Times New Roman" w:cs="Times New Roman"/>
        </w:rPr>
        <w:t xml:space="preserve">) was administered to lyse corpora lutea. On day 0, cows </w:t>
      </w:r>
      <w:r w:rsidRPr="005C3043">
        <w:rPr>
          <w:rFonts w:ascii="Times New Roman" w:hAnsi="Times New Roman" w:cs="Times New Roman"/>
        </w:rPr>
        <w:lastRenderedPageBreak/>
        <w:t xml:space="preserve">received a second dosage of GnRH (GnRH2; </w:t>
      </w:r>
      <w:proofErr w:type="spellStart"/>
      <w:r w:rsidRPr="005C3043">
        <w:rPr>
          <w:rFonts w:ascii="Times New Roman" w:hAnsi="Times New Roman" w:cs="Times New Roman"/>
        </w:rPr>
        <w:t>i.m.</w:t>
      </w:r>
      <w:proofErr w:type="spellEnd"/>
      <w:r w:rsidRPr="005C3043">
        <w:rPr>
          <w:rFonts w:ascii="Times New Roman" w:hAnsi="Times New Roman" w:cs="Times New Roman"/>
        </w:rPr>
        <w:t xml:space="preserve">; 100 </w:t>
      </w:r>
      <w:proofErr w:type="spellStart"/>
      <w:r w:rsidRPr="005C3043">
        <w:rPr>
          <w:rFonts w:ascii="Times New Roman" w:hAnsi="Times New Roman" w:cs="Times New Roman"/>
        </w:rPr>
        <w:t>μg</w:t>
      </w:r>
      <w:proofErr w:type="spellEnd"/>
      <w:r w:rsidRPr="005C3043">
        <w:rPr>
          <w:rFonts w:ascii="Times New Roman" w:hAnsi="Times New Roman" w:cs="Times New Roman"/>
        </w:rPr>
        <w:t xml:space="preserve">; </w:t>
      </w:r>
      <w:proofErr w:type="spellStart"/>
      <w:r w:rsidRPr="005C3043">
        <w:rPr>
          <w:rFonts w:ascii="Times New Roman" w:hAnsi="Times New Roman" w:cs="Times New Roman"/>
        </w:rPr>
        <w:t>Cystorelin</w:t>
      </w:r>
      <w:proofErr w:type="spellEnd"/>
      <w:r w:rsidRPr="005C3043">
        <w:rPr>
          <w:rFonts w:ascii="Times New Roman" w:hAnsi="Times New Roman" w:cs="Times New Roman"/>
        </w:rPr>
        <w:t>) to induce a pre-ovulatory gonadotropin surge.</w:t>
      </w:r>
    </w:p>
    <w:p w14:paraId="2C8977B7" w14:textId="77777777" w:rsidR="00647FA2" w:rsidRPr="005C3043" w:rsidRDefault="00647FA2" w:rsidP="00021AAA">
      <w:pPr>
        <w:spacing w:line="480" w:lineRule="auto"/>
        <w:ind w:firstLine="720"/>
        <w:jc w:val="both"/>
        <w:rPr>
          <w:rFonts w:ascii="Times New Roman" w:hAnsi="Times New Roman" w:cs="Times New Roman"/>
        </w:rPr>
      </w:pPr>
      <w:r w:rsidRPr="003B6B38">
        <w:rPr>
          <w:rFonts w:ascii="Times New Roman" w:hAnsi="Times New Roman" w:cs="Times New Roman"/>
        </w:rPr>
        <w:t>Estrous detection patches (</w:t>
      </w:r>
      <w:proofErr w:type="spellStart"/>
      <w:r w:rsidRPr="003B6B38">
        <w:rPr>
          <w:rFonts w:ascii="Times New Roman" w:hAnsi="Times New Roman" w:cs="Times New Roman"/>
        </w:rPr>
        <w:t>Estrotect</w:t>
      </w:r>
      <w:proofErr w:type="spellEnd"/>
      <w:r w:rsidRPr="003B6B38">
        <w:rPr>
          <w:rFonts w:ascii="Times New Roman" w:hAnsi="Times New Roman" w:cs="Times New Roman"/>
        </w:rPr>
        <w:t>®; Rockway Inc; Spring Valley, WI, USA) were placed on all cows at the time of PGF administration during pre-synchronization and on day -9. Patches we</w:t>
      </w:r>
      <w:r w:rsidRPr="005C3043">
        <w:rPr>
          <w:rFonts w:ascii="Times New Roman" w:hAnsi="Times New Roman" w:cs="Times New Roman"/>
        </w:rPr>
        <w:t xml:space="preserve">re visually assessed 66 hours after pre-synchronization PGF administration to determine estrous expression during pre-synchronization and on days -2 and 0 of synchronization to detect any animals that displayed estrus between GnRH1 and PGF (removed from study because of failed synchronization, n=0) or between PGF and GnRH2 (endogenous gonadotropin surge, not included in study, n=2). Patches were scored on a scale of 0-4 with 0 being missing, and 1-4 equating to &lt;25% rubbed (patch=1), 25-50% rubbed (patch=2), 50-75% rubbed (patch=3), and &gt;75% rubbed (patch=4). Estrous expression was recorded if patch score equaled 3 or 4. </w:t>
      </w:r>
    </w:p>
    <w:p w14:paraId="30C27C60" w14:textId="59EA9AF3" w:rsidR="00647FA2" w:rsidRDefault="00647FA2" w:rsidP="00021AAA">
      <w:pPr>
        <w:spacing w:line="480" w:lineRule="auto"/>
        <w:ind w:firstLine="720"/>
        <w:jc w:val="both"/>
        <w:rPr>
          <w:rFonts w:ascii="Times New Roman" w:hAnsi="Times New Roman" w:cs="Times New Roman"/>
        </w:rPr>
      </w:pPr>
      <w:r w:rsidRPr="005C3043">
        <w:rPr>
          <w:rFonts w:ascii="Times New Roman" w:hAnsi="Times New Roman" w:cs="Times New Roman"/>
        </w:rPr>
        <w:t xml:space="preserve">On days -9, -2, 0, and 1, ovaries of all cattle were examined by an experienced technician using trans-rectal ultrasonography with a Samsung HM70A ultrasound and CF4-9 convex probe. All follicles &gt; 7 mm in diameter and all corpora lutea were recorded. Follicle size was calculated for all recorded follicles by averaging the measures of the largest diameter and the diameter perpendicular to it. Body weights of all animals were collected and body condition score </w:t>
      </w:r>
      <w:r w:rsidR="008D698F" w:rsidRPr="005C3043">
        <w:rPr>
          <w:rFonts w:ascii="Times New Roman" w:hAnsi="Times New Roman" w:cs="Times New Roman"/>
          <w:noProof/>
        </w:rPr>
        <w:t>[</w:t>
      </w:r>
      <w:r w:rsidR="00C55223" w:rsidRPr="005C3043">
        <w:rPr>
          <w:rFonts w:ascii="Times New Roman" w:hAnsi="Times New Roman" w:cs="Times New Roman"/>
          <w:noProof/>
        </w:rPr>
        <w:t>Whitman, 1975</w:t>
      </w:r>
      <w:r w:rsidR="006521DC" w:rsidRPr="005C3043">
        <w:rPr>
          <w:rFonts w:ascii="Times New Roman" w:hAnsi="Times New Roman" w:cs="Times New Roman"/>
          <w:noProof/>
        </w:rPr>
        <w:t xml:space="preserve">; </w:t>
      </w:r>
      <w:r w:rsidRPr="005C3043">
        <w:rPr>
          <w:rFonts w:ascii="Times New Roman" w:hAnsi="Times New Roman" w:cs="Times New Roman"/>
        </w:rPr>
        <w:t>scale of 1, emaciated-9, obese</w:t>
      </w:r>
      <w:r w:rsidR="008D698F" w:rsidRPr="005C3043">
        <w:rPr>
          <w:rFonts w:ascii="Times New Roman" w:hAnsi="Times New Roman" w:cs="Times New Roman"/>
        </w:rPr>
        <w:t>]</w:t>
      </w:r>
      <w:r w:rsidRPr="005C3043">
        <w:rPr>
          <w:rFonts w:ascii="Times New Roman" w:hAnsi="Times New Roman" w:cs="Times New Roman"/>
        </w:rPr>
        <w:t xml:space="preserve"> was assigned on day -9.</w:t>
      </w:r>
    </w:p>
    <w:p w14:paraId="0DFBE269" w14:textId="303EC357" w:rsidR="00EF0C37" w:rsidRDefault="00EF0C37" w:rsidP="000D2CCE">
      <w:pPr>
        <w:pStyle w:val="Diss3"/>
      </w:pPr>
      <w:bookmarkStart w:id="29" w:name="_Toc100072158"/>
      <w:r w:rsidRPr="005C3043">
        <w:t>Transvaginal aspiration for collection of follicular fluid from the pre-ovulatory follicle</w:t>
      </w:r>
      <w:bookmarkEnd w:id="29"/>
    </w:p>
    <w:p w14:paraId="6A5FC0DD" w14:textId="7676C023" w:rsidR="00EF0C37" w:rsidRDefault="00EF0C37" w:rsidP="00EF0C37">
      <w:pPr>
        <w:spacing w:line="480" w:lineRule="auto"/>
        <w:ind w:firstLine="720"/>
        <w:jc w:val="both"/>
        <w:rPr>
          <w:rFonts w:ascii="Times New Roman" w:hAnsi="Times New Roman" w:cs="Times New Roman"/>
        </w:rPr>
      </w:pPr>
      <w:r w:rsidRPr="005C3043">
        <w:rPr>
          <w:rFonts w:ascii="Times New Roman" w:hAnsi="Times New Roman" w:cs="Times New Roman"/>
        </w:rPr>
        <w:t>On day 1, approximately 20 hours after GnRH2 administration, each cow’s largest</w:t>
      </w:r>
      <w:r>
        <w:rPr>
          <w:rFonts w:ascii="Times New Roman" w:hAnsi="Times New Roman" w:cs="Times New Roman"/>
        </w:rPr>
        <w:t xml:space="preserve"> </w:t>
      </w:r>
      <w:r w:rsidRPr="005C3043">
        <w:rPr>
          <w:rFonts w:ascii="Times New Roman" w:hAnsi="Times New Roman" w:cs="Times New Roman"/>
        </w:rPr>
        <w:t>follicle underwent transvaginal aspiration by 1 of 4 experienced technicians to</w:t>
      </w:r>
      <w:r>
        <w:rPr>
          <w:rFonts w:ascii="Times New Roman" w:hAnsi="Times New Roman" w:cs="Times New Roman"/>
        </w:rPr>
        <w:t xml:space="preserve"> </w:t>
      </w:r>
      <w:r w:rsidRPr="005C3043">
        <w:rPr>
          <w:rFonts w:ascii="Times New Roman" w:hAnsi="Times New Roman" w:cs="Times New Roman"/>
        </w:rPr>
        <w:t xml:space="preserve">collect the </w:t>
      </w:r>
    </w:p>
    <w:p w14:paraId="512A9FE0" w14:textId="0FF5D34B" w:rsidR="00EF0C37" w:rsidRPr="00EF0C37" w:rsidRDefault="002A2CEC" w:rsidP="002A2CEC">
      <w:pPr>
        <w:spacing w:line="480" w:lineRule="auto"/>
        <w:jc w:val="both"/>
        <w:rPr>
          <w:rFonts w:ascii="Times New Roman" w:hAnsi="Times New Roman" w:cs="Times New Roman"/>
        </w:rPr>
      </w:pPr>
      <w:r w:rsidRPr="00A42976">
        <w:rPr>
          <w:rFonts w:ascii="Times New Roman" w:hAnsi="Times New Roman" w:cs="Times New Roman"/>
          <w:noProof/>
        </w:rPr>
        <w:lastRenderedPageBreak/>
        <w:drawing>
          <wp:anchor distT="0" distB="0" distL="114300" distR="114300" simplePos="0" relativeHeight="251676672" behindDoc="0" locked="0" layoutInCell="1" allowOverlap="1" wp14:anchorId="542D6F98" wp14:editId="64B797A5">
            <wp:simplePos x="0" y="0"/>
            <wp:positionH relativeFrom="margin">
              <wp:align>center</wp:align>
            </wp:positionH>
            <wp:positionV relativeFrom="paragraph">
              <wp:posOffset>355600</wp:posOffset>
            </wp:positionV>
            <wp:extent cx="5943600" cy="898525"/>
            <wp:effectExtent l="0" t="0" r="0" b="0"/>
            <wp:wrapSquare wrapText="bothSides"/>
            <wp:docPr id="21" name="Picture 5">
              <a:extLst xmlns:a="http://schemas.openxmlformats.org/drawingml/2006/main">
                <a:ext uri="{FF2B5EF4-FFF2-40B4-BE49-F238E27FC236}">
                  <a16:creationId xmlns:a16="http://schemas.microsoft.com/office/drawing/2014/main" id="{3A47C8C4-6E08-3A40-877E-9941EC2852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3A47C8C4-6E08-3A40-877E-9941EC285285}"/>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943600" cy="898525"/>
                    </a:xfrm>
                    <a:prstGeom prst="rect">
                      <a:avLst/>
                    </a:prstGeom>
                  </pic:spPr>
                </pic:pic>
              </a:graphicData>
            </a:graphic>
            <wp14:sizeRelH relativeFrom="page">
              <wp14:pctWidth>0</wp14:pctWidth>
            </wp14:sizeRelH>
            <wp14:sizeRelV relativeFrom="page">
              <wp14:pctHeight>0</wp14:pctHeight>
            </wp14:sizeRelV>
          </wp:anchor>
        </w:drawing>
      </w:r>
    </w:p>
    <w:p w14:paraId="62E3B1EB" w14:textId="4EAC1311" w:rsidR="00DF5C47" w:rsidRPr="005C3043" w:rsidRDefault="00DF5C47" w:rsidP="00DF5C47">
      <w:pPr>
        <w:jc w:val="both"/>
        <w:rPr>
          <w:rFonts w:ascii="Times New Roman" w:hAnsi="Times New Roman" w:cs="Times New Roman"/>
        </w:rPr>
      </w:pPr>
      <w:r w:rsidRPr="00A42976">
        <w:rPr>
          <w:rFonts w:ascii="Times New Roman" w:hAnsi="Times New Roman" w:cs="Times New Roman"/>
          <w:b/>
        </w:rPr>
        <w:t>Figure 1.</w:t>
      </w:r>
      <w:r w:rsidRPr="00A42976">
        <w:rPr>
          <w:rFonts w:ascii="Times New Roman" w:hAnsi="Times New Roman" w:cs="Times New Roman"/>
        </w:rPr>
        <w:t xml:space="preserve"> Timeline for synchronization of pre-ovulatory follicle development. GnRH1, gonadotropin releasing hormone administration to turn over a new follicular wave at the onset of synchronization; PGF, prostaglandin F2α; GnRH2, gonadotropin rele</w:t>
      </w:r>
      <w:r w:rsidRPr="000B5F79">
        <w:rPr>
          <w:rFonts w:ascii="Times New Roman" w:hAnsi="Times New Roman" w:cs="Times New Roman"/>
        </w:rPr>
        <w:t>asing h</w:t>
      </w:r>
      <w:r w:rsidRPr="005C3043">
        <w:rPr>
          <w:rFonts w:ascii="Times New Roman" w:hAnsi="Times New Roman" w:cs="Times New Roman"/>
        </w:rPr>
        <w:t>ormone administration to induce the pre-ovulatory gonadotropin surge</w:t>
      </w:r>
    </w:p>
    <w:p w14:paraId="7597FD77" w14:textId="341B59E8" w:rsidR="00DF5C47" w:rsidRDefault="00DF5C47" w:rsidP="00021AAA">
      <w:pPr>
        <w:spacing w:line="480" w:lineRule="auto"/>
        <w:ind w:firstLine="720"/>
        <w:jc w:val="both"/>
        <w:rPr>
          <w:rFonts w:ascii="Times New Roman" w:hAnsi="Times New Roman" w:cs="Times New Roman"/>
        </w:rPr>
      </w:pPr>
    </w:p>
    <w:p w14:paraId="1854F1C6" w14:textId="0DCC0044" w:rsidR="00DF5C47" w:rsidRDefault="00DF5C47" w:rsidP="00021AAA">
      <w:pPr>
        <w:spacing w:line="480" w:lineRule="auto"/>
        <w:ind w:firstLine="720"/>
        <w:jc w:val="both"/>
        <w:rPr>
          <w:rFonts w:ascii="Times New Roman" w:hAnsi="Times New Roman" w:cs="Times New Roman"/>
        </w:rPr>
      </w:pPr>
    </w:p>
    <w:p w14:paraId="6632E12E" w14:textId="48F58F8E" w:rsidR="00DF5C47" w:rsidRDefault="00DF5C47" w:rsidP="00021AAA">
      <w:pPr>
        <w:spacing w:line="480" w:lineRule="auto"/>
        <w:ind w:firstLine="720"/>
        <w:jc w:val="both"/>
        <w:rPr>
          <w:rFonts w:ascii="Times New Roman" w:hAnsi="Times New Roman" w:cs="Times New Roman"/>
        </w:rPr>
      </w:pPr>
    </w:p>
    <w:p w14:paraId="0F911F5E" w14:textId="4D6D1863" w:rsidR="00DF5C47" w:rsidRDefault="00DF5C47" w:rsidP="00021AAA">
      <w:pPr>
        <w:spacing w:line="480" w:lineRule="auto"/>
        <w:ind w:firstLine="720"/>
        <w:jc w:val="both"/>
        <w:rPr>
          <w:rFonts w:ascii="Times New Roman" w:hAnsi="Times New Roman" w:cs="Times New Roman"/>
        </w:rPr>
      </w:pPr>
    </w:p>
    <w:p w14:paraId="6D4D737E" w14:textId="5ED043F9" w:rsidR="00DF5C47" w:rsidRDefault="00DF5C47" w:rsidP="00021AAA">
      <w:pPr>
        <w:spacing w:line="480" w:lineRule="auto"/>
        <w:ind w:firstLine="720"/>
        <w:jc w:val="both"/>
        <w:rPr>
          <w:rFonts w:ascii="Times New Roman" w:hAnsi="Times New Roman" w:cs="Times New Roman"/>
        </w:rPr>
      </w:pPr>
    </w:p>
    <w:p w14:paraId="76CC8437" w14:textId="1EF92D3D" w:rsidR="00DF5C47" w:rsidRDefault="00DF5C47" w:rsidP="00021AAA">
      <w:pPr>
        <w:spacing w:line="480" w:lineRule="auto"/>
        <w:ind w:firstLine="720"/>
        <w:jc w:val="both"/>
        <w:rPr>
          <w:rFonts w:ascii="Times New Roman" w:hAnsi="Times New Roman" w:cs="Times New Roman"/>
        </w:rPr>
      </w:pPr>
    </w:p>
    <w:p w14:paraId="58494F5B" w14:textId="0F7639DE" w:rsidR="00DF5C47" w:rsidRDefault="00DF5C47" w:rsidP="00021AAA">
      <w:pPr>
        <w:spacing w:line="480" w:lineRule="auto"/>
        <w:ind w:firstLine="720"/>
        <w:jc w:val="both"/>
        <w:rPr>
          <w:rFonts w:ascii="Times New Roman" w:hAnsi="Times New Roman" w:cs="Times New Roman"/>
        </w:rPr>
      </w:pPr>
    </w:p>
    <w:p w14:paraId="4596AB07" w14:textId="402BF9EB" w:rsidR="00DF5C47" w:rsidRDefault="00DF5C47" w:rsidP="00021AAA">
      <w:pPr>
        <w:spacing w:line="480" w:lineRule="auto"/>
        <w:ind w:firstLine="720"/>
        <w:jc w:val="both"/>
        <w:rPr>
          <w:rFonts w:ascii="Times New Roman" w:hAnsi="Times New Roman" w:cs="Times New Roman"/>
        </w:rPr>
      </w:pPr>
    </w:p>
    <w:p w14:paraId="721F860F" w14:textId="3E66D78C" w:rsidR="00DF5C47" w:rsidRDefault="00DF5C47" w:rsidP="00021AAA">
      <w:pPr>
        <w:spacing w:line="480" w:lineRule="auto"/>
        <w:ind w:firstLine="720"/>
        <w:jc w:val="both"/>
        <w:rPr>
          <w:rFonts w:ascii="Times New Roman" w:hAnsi="Times New Roman" w:cs="Times New Roman"/>
        </w:rPr>
      </w:pPr>
    </w:p>
    <w:p w14:paraId="0A67F77F" w14:textId="518E6A40" w:rsidR="00DF5C47" w:rsidRDefault="00DF5C47" w:rsidP="00021AAA">
      <w:pPr>
        <w:spacing w:line="480" w:lineRule="auto"/>
        <w:ind w:firstLine="720"/>
        <w:jc w:val="both"/>
        <w:rPr>
          <w:rFonts w:ascii="Times New Roman" w:hAnsi="Times New Roman" w:cs="Times New Roman"/>
        </w:rPr>
      </w:pPr>
    </w:p>
    <w:p w14:paraId="5F8EEC0B" w14:textId="09025730" w:rsidR="00DF5C47" w:rsidRDefault="00DF5C47" w:rsidP="00021AAA">
      <w:pPr>
        <w:spacing w:line="480" w:lineRule="auto"/>
        <w:ind w:firstLine="720"/>
        <w:jc w:val="both"/>
        <w:rPr>
          <w:rFonts w:ascii="Times New Roman" w:hAnsi="Times New Roman" w:cs="Times New Roman"/>
        </w:rPr>
      </w:pPr>
    </w:p>
    <w:p w14:paraId="39D78336" w14:textId="1BD17FFE" w:rsidR="00DF5C47" w:rsidRDefault="00DF5C47" w:rsidP="00021AAA">
      <w:pPr>
        <w:spacing w:line="480" w:lineRule="auto"/>
        <w:ind w:firstLine="720"/>
        <w:jc w:val="both"/>
        <w:rPr>
          <w:rFonts w:ascii="Times New Roman" w:hAnsi="Times New Roman" w:cs="Times New Roman"/>
        </w:rPr>
      </w:pPr>
    </w:p>
    <w:p w14:paraId="4F27F0CA" w14:textId="4A4D5418" w:rsidR="00DF5C47" w:rsidRDefault="00DF5C47" w:rsidP="00021AAA">
      <w:pPr>
        <w:spacing w:line="480" w:lineRule="auto"/>
        <w:ind w:firstLine="720"/>
        <w:jc w:val="both"/>
        <w:rPr>
          <w:rFonts w:ascii="Times New Roman" w:hAnsi="Times New Roman" w:cs="Times New Roman"/>
        </w:rPr>
      </w:pPr>
    </w:p>
    <w:p w14:paraId="139FE6FA" w14:textId="786CB885" w:rsidR="00DF5C47" w:rsidRDefault="00DF5C47" w:rsidP="00021AAA">
      <w:pPr>
        <w:spacing w:line="480" w:lineRule="auto"/>
        <w:ind w:firstLine="720"/>
        <w:jc w:val="both"/>
        <w:rPr>
          <w:rFonts w:ascii="Times New Roman" w:hAnsi="Times New Roman" w:cs="Times New Roman"/>
        </w:rPr>
      </w:pPr>
    </w:p>
    <w:p w14:paraId="7DEFACE4" w14:textId="77777777" w:rsidR="00DF5C47" w:rsidRDefault="00DF5C47" w:rsidP="00021AAA">
      <w:pPr>
        <w:spacing w:line="480" w:lineRule="auto"/>
        <w:ind w:firstLine="720"/>
        <w:jc w:val="both"/>
        <w:rPr>
          <w:rFonts w:ascii="Times New Roman" w:hAnsi="Times New Roman" w:cs="Times New Roman"/>
        </w:rPr>
      </w:pPr>
    </w:p>
    <w:p w14:paraId="78D8AAB5" w14:textId="2B19D200" w:rsidR="00DF5C47" w:rsidRDefault="00DF5C47" w:rsidP="00021AAA">
      <w:pPr>
        <w:spacing w:line="480" w:lineRule="auto"/>
        <w:ind w:firstLine="720"/>
        <w:jc w:val="both"/>
        <w:rPr>
          <w:rFonts w:ascii="Times New Roman" w:hAnsi="Times New Roman" w:cs="Times New Roman"/>
        </w:rPr>
      </w:pPr>
    </w:p>
    <w:p w14:paraId="189A0160" w14:textId="67337C44" w:rsidR="00DF5C47" w:rsidRDefault="00DF5C47" w:rsidP="00021AAA">
      <w:pPr>
        <w:spacing w:line="480" w:lineRule="auto"/>
        <w:ind w:firstLine="720"/>
        <w:jc w:val="both"/>
        <w:rPr>
          <w:rFonts w:ascii="Times New Roman" w:hAnsi="Times New Roman" w:cs="Times New Roman"/>
        </w:rPr>
      </w:pPr>
    </w:p>
    <w:p w14:paraId="3D3325FA" w14:textId="77777777" w:rsidR="00DF5C47" w:rsidRPr="005C3043" w:rsidRDefault="00DF5C47" w:rsidP="00021AAA">
      <w:pPr>
        <w:spacing w:line="480" w:lineRule="auto"/>
        <w:ind w:firstLine="720"/>
        <w:jc w:val="both"/>
        <w:rPr>
          <w:rFonts w:ascii="Times New Roman" w:hAnsi="Times New Roman" w:cs="Times New Roman"/>
        </w:rPr>
      </w:pPr>
    </w:p>
    <w:p w14:paraId="600C5379" w14:textId="16490061" w:rsidR="00647FA2" w:rsidRPr="005C3043" w:rsidRDefault="00EF0C37" w:rsidP="00EF0C37">
      <w:pPr>
        <w:spacing w:line="480" w:lineRule="auto"/>
        <w:jc w:val="both"/>
        <w:rPr>
          <w:rFonts w:ascii="Times New Roman" w:hAnsi="Times New Roman" w:cs="Times New Roman"/>
        </w:rPr>
      </w:pPr>
      <w:r w:rsidRPr="005C3043">
        <w:rPr>
          <w:rFonts w:ascii="Times New Roman" w:hAnsi="Times New Roman" w:cs="Times New Roman"/>
        </w:rPr>
        <w:t>pre-ovulatory follicle contents (</w:t>
      </w:r>
      <w:proofErr w:type="spellStart"/>
      <w:r w:rsidRPr="005C3043">
        <w:rPr>
          <w:rFonts w:ascii="Times New Roman" w:hAnsi="Times New Roman" w:cs="Times New Roman"/>
        </w:rPr>
        <w:t>Rispoli</w:t>
      </w:r>
      <w:proofErr w:type="spellEnd"/>
      <w:r w:rsidRPr="005C3043">
        <w:rPr>
          <w:rFonts w:ascii="Times New Roman" w:hAnsi="Times New Roman" w:cs="Times New Roman"/>
        </w:rPr>
        <w:t xml:space="preserve"> et al., 2020). Prior to aspiration, all cows received </w:t>
      </w:r>
      <w:r w:rsidR="00647FA2" w:rsidRPr="005C3043">
        <w:rPr>
          <w:rFonts w:ascii="Times New Roman" w:hAnsi="Times New Roman" w:cs="Times New Roman"/>
        </w:rPr>
        <w:t xml:space="preserve">a spinal block via administration of lidocaine (2% lidocaine, 5ml). The perineal area of each cow was then cleaned of all contaminants and an ultrasound guided aspiration device attached to a Samsung HM70A ultrasound and CF4-9 convex probe was inserted into the anterior vagina. The ultrasound device consisted of an 18-gauge needle and a series of tubing to facilitate removal of follicular contents. The ovary containing the pre-ovulatory follicle was located and positioned for follicle aspiration before the needle was gently pushed through the vaginal wall and guided through the ovarian cortex into the antrum of the pre-ovulatory follicle. Follicular fluid was withdrawn into a clean 12 ml syringe before the syringe was removed, replaced, and the follicle </w:t>
      </w:r>
      <w:proofErr w:type="spellStart"/>
      <w:r w:rsidR="00647FA2" w:rsidRPr="005C3043">
        <w:rPr>
          <w:rFonts w:ascii="Times New Roman" w:hAnsi="Times New Roman" w:cs="Times New Roman"/>
        </w:rPr>
        <w:t>lavaged</w:t>
      </w:r>
      <w:proofErr w:type="spellEnd"/>
      <w:r w:rsidR="00647FA2" w:rsidRPr="005C3043">
        <w:rPr>
          <w:rFonts w:ascii="Times New Roman" w:hAnsi="Times New Roman" w:cs="Times New Roman"/>
        </w:rPr>
        <w:t xml:space="preserve"> with PVA TL-HEPES media multiple times to collect remaining follicular cells.</w:t>
      </w:r>
    </w:p>
    <w:p w14:paraId="53EB24D1" w14:textId="77777777" w:rsidR="00647FA2" w:rsidRPr="005C3043" w:rsidRDefault="00647FA2" w:rsidP="000D2CCE">
      <w:pPr>
        <w:pStyle w:val="Diss3"/>
      </w:pPr>
      <w:bookmarkStart w:id="30" w:name="_Toc100072159"/>
      <w:r w:rsidRPr="005C3043">
        <w:t>Follicular fluid processing</w:t>
      </w:r>
      <w:bookmarkEnd w:id="30"/>
    </w:p>
    <w:p w14:paraId="20D405A4" w14:textId="0F5A57D4" w:rsidR="00DF5C47" w:rsidRPr="005C3043" w:rsidRDefault="00647FA2" w:rsidP="002A2CEC">
      <w:pPr>
        <w:spacing w:line="480" w:lineRule="auto"/>
        <w:ind w:firstLine="720"/>
        <w:jc w:val="both"/>
        <w:rPr>
          <w:rFonts w:ascii="Times New Roman" w:hAnsi="Times New Roman" w:cs="Times New Roman"/>
        </w:rPr>
      </w:pPr>
      <w:r w:rsidRPr="005C3043">
        <w:rPr>
          <w:rFonts w:ascii="Times New Roman" w:hAnsi="Times New Roman" w:cs="Times New Roman"/>
        </w:rPr>
        <w:t>Follicular fluid was deposited into a 4-well petri plate and searched to find the cumulus-oocyte-complex which was removed and snap frozen for a subsequent study. The follicular fluid was then collected into 1.7ml tubes and centrifuged at 4</w:t>
      </w:r>
      <w:r w:rsidRPr="005C3043">
        <w:rPr>
          <w:rFonts w:ascii="Times New Roman" w:hAnsi="Times New Roman" w:cs="Times New Roman"/>
          <w:vertAlign w:val="superscript"/>
        </w:rPr>
        <w:t>o</w:t>
      </w:r>
      <w:r w:rsidRPr="005C3043">
        <w:rPr>
          <w:rFonts w:ascii="Times New Roman" w:hAnsi="Times New Roman" w:cs="Times New Roman"/>
        </w:rPr>
        <w:t>C for 5 minutes at 500 x g to remove the remaining cellular debris. The follicular fluid supernatant was distributed amongst 2 ml cryovials and snap frozen in liquid nitrogen for storage at -80</w:t>
      </w:r>
      <w:r w:rsidRPr="005C3043">
        <w:rPr>
          <w:rFonts w:ascii="Times New Roman" w:hAnsi="Times New Roman" w:cs="Times New Roman"/>
          <w:vertAlign w:val="superscript"/>
        </w:rPr>
        <w:t xml:space="preserve"> </w:t>
      </w:r>
      <w:proofErr w:type="spellStart"/>
      <w:r w:rsidRPr="005C3043">
        <w:rPr>
          <w:rFonts w:ascii="Times New Roman" w:hAnsi="Times New Roman" w:cs="Times New Roman"/>
          <w:vertAlign w:val="superscript"/>
        </w:rPr>
        <w:t>o</w:t>
      </w:r>
      <w:r w:rsidRPr="005C3043">
        <w:rPr>
          <w:rFonts w:ascii="Times New Roman" w:hAnsi="Times New Roman" w:cs="Times New Roman"/>
        </w:rPr>
        <w:t>C</w:t>
      </w:r>
      <w:proofErr w:type="spellEnd"/>
      <w:r w:rsidRPr="005C3043">
        <w:rPr>
          <w:rFonts w:ascii="Times New Roman" w:hAnsi="Times New Roman" w:cs="Times New Roman"/>
        </w:rPr>
        <w:t xml:space="preserve"> until further processing. </w:t>
      </w:r>
      <w:bookmarkStart w:id="31" w:name="_Hlk80101924"/>
    </w:p>
    <w:p w14:paraId="65C4A617" w14:textId="77777777" w:rsidR="00647FA2" w:rsidRPr="005C3043" w:rsidRDefault="00647FA2" w:rsidP="000D2CCE">
      <w:pPr>
        <w:pStyle w:val="Diss3"/>
      </w:pPr>
      <w:bookmarkStart w:id="32" w:name="_Toc100072160"/>
      <w:bookmarkEnd w:id="31"/>
      <w:r w:rsidRPr="005C3043">
        <w:lastRenderedPageBreak/>
        <w:t>UHPLC-HRMS metabolomics</w:t>
      </w:r>
      <w:bookmarkEnd w:id="32"/>
    </w:p>
    <w:p w14:paraId="0E13FBF4" w14:textId="17E81E5C" w:rsidR="00DF5C47" w:rsidRPr="005C3043" w:rsidRDefault="00647FA2" w:rsidP="002A2CEC">
      <w:pPr>
        <w:spacing w:line="480" w:lineRule="auto"/>
        <w:ind w:firstLine="720"/>
        <w:jc w:val="both"/>
        <w:rPr>
          <w:rFonts w:ascii="Times New Roman" w:hAnsi="Times New Roman" w:cs="Times New Roman"/>
        </w:rPr>
      </w:pPr>
      <w:r w:rsidRPr="005C3043">
        <w:rPr>
          <w:rFonts w:ascii="Times New Roman" w:hAnsi="Times New Roman" w:cs="Times New Roman"/>
        </w:rPr>
        <w:t>Forty-three follicular fluid samples were selected for metabolomics processing. Follicular fluid samples were thawed on ice, and 60µl aliquots of each sample were placed into individual 2 ml tubes. Each sample was analyzed by ultra-high performance liquid chromatography – high resolution mass spectrometry (UHPLC-HRMS) at the University of Tennessee Biological and Small Molecule Mass Spectrometry Core (RRID: SCR_021368). Briefly, metabolites were extracted from the follicular fluid using a 20:40:40 water/methanol/acetonitrile solution with 0.1M formic acid</w:t>
      </w:r>
      <w:r w:rsidR="006521DC" w:rsidRPr="005C3043">
        <w:rPr>
          <w:rFonts w:ascii="Times New Roman" w:hAnsi="Times New Roman" w:cs="Times New Roman"/>
        </w:rPr>
        <w:t xml:space="preserve"> </w:t>
      </w:r>
      <w:r w:rsidR="00C55223" w:rsidRPr="005C3043">
        <w:rPr>
          <w:rFonts w:ascii="Times New Roman" w:hAnsi="Times New Roman" w:cs="Times New Roman"/>
          <w:noProof/>
        </w:rPr>
        <w:t>(Lu et al., 2010; Greene et al., 2020)</w:t>
      </w:r>
      <w:r w:rsidRPr="005C3043">
        <w:rPr>
          <w:rFonts w:ascii="Times New Roman" w:hAnsi="Times New Roman" w:cs="Times New Roman"/>
        </w:rPr>
        <w:t xml:space="preserve">. The metabolomes of each sample were separated on a Synergy Hydro RP </w:t>
      </w:r>
      <w:r w:rsidR="008D698F" w:rsidRPr="005C3043">
        <w:rPr>
          <w:rFonts w:ascii="Times New Roman" w:hAnsi="Times New Roman" w:cs="Times New Roman"/>
        </w:rPr>
        <w:t>(</w:t>
      </w:r>
      <w:r w:rsidRPr="005C3043">
        <w:rPr>
          <w:rFonts w:ascii="Times New Roman" w:hAnsi="Times New Roman" w:cs="Times New Roman"/>
        </w:rPr>
        <w:t xml:space="preserve">2.5 </w:t>
      </w:r>
      <w:proofErr w:type="spellStart"/>
      <w:r w:rsidRPr="005C3043">
        <w:rPr>
          <w:rFonts w:ascii="Times New Roman" w:hAnsi="Times New Roman" w:cs="Times New Roman"/>
        </w:rPr>
        <w:t>μm</w:t>
      </w:r>
      <w:proofErr w:type="spellEnd"/>
      <w:r w:rsidRPr="005C3043">
        <w:rPr>
          <w:rFonts w:ascii="Times New Roman" w:hAnsi="Times New Roman" w:cs="Times New Roman"/>
        </w:rPr>
        <w:t>, 100</w:t>
      </w:r>
      <w:r w:rsidR="007957A4" w:rsidRPr="005C3043">
        <w:rPr>
          <w:rFonts w:ascii="Times New Roman" w:hAnsi="Times New Roman" w:cs="Times New Roman"/>
        </w:rPr>
        <w:t xml:space="preserve"> </w:t>
      </w:r>
      <w:r w:rsidRPr="005C3043">
        <w:rPr>
          <w:rFonts w:ascii="Times New Roman" w:hAnsi="Times New Roman" w:cs="Times New Roman"/>
        </w:rPr>
        <w:t>mm x 2.0 mm column</w:t>
      </w:r>
      <w:r w:rsidR="008D698F" w:rsidRPr="005C3043">
        <w:rPr>
          <w:rFonts w:ascii="Times New Roman" w:hAnsi="Times New Roman" w:cs="Times New Roman"/>
        </w:rPr>
        <w:t xml:space="preserve">; </w:t>
      </w:r>
      <w:r w:rsidRPr="005C3043">
        <w:rPr>
          <w:rFonts w:ascii="Times New Roman" w:hAnsi="Times New Roman" w:cs="Times New Roman"/>
        </w:rPr>
        <w:t xml:space="preserve">Phenomenex, Torrance, CA) at 25 </w:t>
      </w:r>
      <w:proofErr w:type="spellStart"/>
      <w:r w:rsidRPr="005C3043">
        <w:rPr>
          <w:rFonts w:ascii="Times New Roman" w:hAnsi="Times New Roman" w:cs="Times New Roman"/>
          <w:vertAlign w:val="superscript"/>
        </w:rPr>
        <w:t>o</w:t>
      </w:r>
      <w:r w:rsidRPr="005C3043">
        <w:rPr>
          <w:rFonts w:ascii="Times New Roman" w:hAnsi="Times New Roman" w:cs="Times New Roman"/>
        </w:rPr>
        <w:t>C.</w:t>
      </w:r>
      <w:proofErr w:type="spellEnd"/>
      <w:r w:rsidRPr="005C3043">
        <w:rPr>
          <w:rFonts w:ascii="Times New Roman" w:hAnsi="Times New Roman" w:cs="Times New Roman"/>
        </w:rPr>
        <w:t xml:space="preserve"> The solvents for the elution were: phase A: 97:3 methanol/water with 11</w:t>
      </w:r>
      <w:r w:rsidR="007957A4" w:rsidRPr="005C3043">
        <w:rPr>
          <w:rFonts w:ascii="Times New Roman" w:hAnsi="Times New Roman" w:cs="Times New Roman"/>
        </w:rPr>
        <w:t xml:space="preserve"> </w:t>
      </w:r>
      <w:r w:rsidRPr="005C3043">
        <w:rPr>
          <w:rFonts w:ascii="Times New Roman" w:hAnsi="Times New Roman" w:cs="Times New Roman"/>
        </w:rPr>
        <w:t>mM tributylamine and 15</w:t>
      </w:r>
      <w:r w:rsidR="007957A4" w:rsidRPr="005C3043">
        <w:rPr>
          <w:rFonts w:ascii="Times New Roman" w:hAnsi="Times New Roman" w:cs="Times New Roman"/>
        </w:rPr>
        <w:t xml:space="preserve"> </w:t>
      </w:r>
      <w:r w:rsidRPr="005C3043">
        <w:rPr>
          <w:rFonts w:ascii="Times New Roman" w:hAnsi="Times New Roman" w:cs="Times New Roman"/>
        </w:rPr>
        <w:t xml:space="preserve">mM acetic acid and phase B: 100% methanol. The solvent gradient from 0 to 5 min was 100% A: 0% B, from 5 to 13 min was 80% A: 20% B, from 13 to 15.5 min was 45% A: 55% B, from 15.5 to19 min was 5% A: 95% B, and from 19 to 25 min was 100% A: 0% B with a flow rate of 200 </w:t>
      </w:r>
      <m:oMath>
        <m:r>
          <w:rPr>
            <w:rFonts w:ascii="Cambria Math" w:hAnsi="Cambria Math" w:cs="Times New Roman"/>
          </w:rPr>
          <m:t>μ</m:t>
        </m:r>
      </m:oMath>
      <w:r w:rsidRPr="005C3043">
        <w:rPr>
          <w:rFonts w:ascii="Times New Roman" w:hAnsi="Times New Roman" w:cs="Times New Roman"/>
        </w:rPr>
        <w:t xml:space="preserve">L/min. Detection of the metabolome components was accomplished using an Exactive Plus Orbitrap mass spectrometer (Thermo Fisher Scientific, Waltham, MA) fitted with an electrospray ionization (ESI) probe operated in negative mode. The scan range was 72-1000 </w:t>
      </w:r>
      <w:r w:rsidRPr="005C3043">
        <w:rPr>
          <w:rFonts w:ascii="Times New Roman" w:hAnsi="Times New Roman" w:cs="Times New Roman"/>
          <w:i/>
          <w:iCs/>
        </w:rPr>
        <w:t>m/z</w:t>
      </w:r>
      <w:r w:rsidRPr="005C3043">
        <w:rPr>
          <w:rFonts w:ascii="Times New Roman" w:hAnsi="Times New Roman" w:cs="Times New Roman"/>
        </w:rPr>
        <w:t>, the resolution was set to 140,000, and the acquisition gain control target to 3e6.</w:t>
      </w:r>
    </w:p>
    <w:p w14:paraId="50C28235" w14:textId="77777777" w:rsidR="00647FA2" w:rsidRPr="005C3043" w:rsidRDefault="00647FA2" w:rsidP="000D2CCE">
      <w:pPr>
        <w:pStyle w:val="Diss3"/>
      </w:pPr>
      <w:bookmarkStart w:id="33" w:name="_Toc100072161"/>
      <w:r w:rsidRPr="005C3043">
        <w:t>Primary data analysis</w:t>
      </w:r>
      <w:bookmarkEnd w:id="33"/>
    </w:p>
    <w:p w14:paraId="093B7257" w14:textId="3964E459" w:rsidR="00647FA2" w:rsidRPr="005C3043" w:rsidRDefault="00647FA2" w:rsidP="00021AAA">
      <w:pPr>
        <w:spacing w:line="480" w:lineRule="auto"/>
        <w:ind w:firstLine="720"/>
        <w:jc w:val="both"/>
        <w:rPr>
          <w:rFonts w:ascii="Times New Roman" w:hAnsi="Times New Roman" w:cs="Times New Roman"/>
        </w:rPr>
      </w:pPr>
      <w:r w:rsidRPr="005C3043">
        <w:rPr>
          <w:rFonts w:ascii="Times New Roman" w:hAnsi="Times New Roman" w:cs="Times New Roman"/>
        </w:rPr>
        <w:t xml:space="preserve">Files were generated by the HRMS in the </w:t>
      </w:r>
      <w:proofErr w:type="spellStart"/>
      <w:r w:rsidRPr="005C3043">
        <w:rPr>
          <w:rFonts w:ascii="Times New Roman" w:hAnsi="Times New Roman" w:cs="Times New Roman"/>
        </w:rPr>
        <w:t>Xcalibur</w:t>
      </w:r>
      <w:proofErr w:type="spellEnd"/>
      <w:r w:rsidRPr="005C3043">
        <w:rPr>
          <w:rFonts w:ascii="Times New Roman" w:hAnsi="Times New Roman" w:cs="Times New Roman"/>
        </w:rPr>
        <w:t xml:space="preserve"> (RAW) format and were converted to the open-source </w:t>
      </w:r>
      <w:proofErr w:type="spellStart"/>
      <w:r w:rsidRPr="005C3043">
        <w:rPr>
          <w:rFonts w:ascii="Times New Roman" w:hAnsi="Times New Roman" w:cs="Times New Roman"/>
        </w:rPr>
        <w:t>mzML</w:t>
      </w:r>
      <w:proofErr w:type="spellEnd"/>
      <w:r w:rsidRPr="005C3043">
        <w:rPr>
          <w:rFonts w:ascii="Times New Roman" w:hAnsi="Times New Roman" w:cs="Times New Roman"/>
        </w:rPr>
        <w:t xml:space="preserve"> format </w:t>
      </w:r>
      <w:r w:rsidR="00C55223" w:rsidRPr="005C3043">
        <w:rPr>
          <w:rFonts w:ascii="Times New Roman" w:hAnsi="Times New Roman" w:cs="Times New Roman"/>
          <w:noProof/>
        </w:rPr>
        <w:t>(Martens et al., 2011)</w:t>
      </w:r>
      <w:r w:rsidRPr="005C3043">
        <w:rPr>
          <w:rFonts w:ascii="Times New Roman" w:hAnsi="Times New Roman" w:cs="Times New Roman"/>
        </w:rPr>
        <w:t xml:space="preserve"> via the open-source </w:t>
      </w:r>
      <w:proofErr w:type="spellStart"/>
      <w:r w:rsidRPr="005C3043">
        <w:rPr>
          <w:rFonts w:ascii="Times New Roman" w:hAnsi="Times New Roman" w:cs="Times New Roman"/>
        </w:rPr>
        <w:lastRenderedPageBreak/>
        <w:t>msconvert</w:t>
      </w:r>
      <w:proofErr w:type="spellEnd"/>
      <w:r w:rsidRPr="005C3043">
        <w:rPr>
          <w:rFonts w:ascii="Times New Roman" w:hAnsi="Times New Roman" w:cs="Times New Roman"/>
        </w:rPr>
        <w:t xml:space="preserve"> software, which is part of the </w:t>
      </w:r>
      <w:proofErr w:type="spellStart"/>
      <w:r w:rsidRPr="005C3043">
        <w:rPr>
          <w:rFonts w:ascii="Times New Roman" w:hAnsi="Times New Roman" w:cs="Times New Roman"/>
        </w:rPr>
        <w:t>ProteoWizard</w:t>
      </w:r>
      <w:proofErr w:type="spellEnd"/>
      <w:r w:rsidRPr="005C3043">
        <w:rPr>
          <w:rFonts w:ascii="Times New Roman" w:hAnsi="Times New Roman" w:cs="Times New Roman"/>
        </w:rPr>
        <w:t xml:space="preserve"> package </w:t>
      </w:r>
      <w:r w:rsidR="00C55223" w:rsidRPr="005C3043">
        <w:rPr>
          <w:rFonts w:ascii="Times New Roman" w:hAnsi="Times New Roman" w:cs="Times New Roman"/>
          <w:noProof/>
        </w:rPr>
        <w:t>(Chambers et al., 2012)</w:t>
      </w:r>
      <w:r w:rsidRPr="005C3043">
        <w:rPr>
          <w:rFonts w:ascii="Times New Roman" w:hAnsi="Times New Roman" w:cs="Times New Roman"/>
        </w:rPr>
        <w:t>. MAVEN (</w:t>
      </w:r>
      <w:proofErr w:type="spellStart"/>
      <w:r w:rsidRPr="005C3043">
        <w:rPr>
          <w:rFonts w:ascii="Times New Roman" w:hAnsi="Times New Roman" w:cs="Times New Roman"/>
        </w:rPr>
        <w:t>mzroll</w:t>
      </w:r>
      <w:proofErr w:type="spellEnd"/>
      <w:r w:rsidRPr="005C3043">
        <w:rPr>
          <w:rFonts w:ascii="Times New Roman" w:hAnsi="Times New Roman" w:cs="Times New Roman"/>
        </w:rPr>
        <w:t xml:space="preserve">) software, Princeton University </w:t>
      </w:r>
      <w:r w:rsidR="00C55223" w:rsidRPr="005C3043">
        <w:rPr>
          <w:rFonts w:ascii="Times New Roman" w:hAnsi="Times New Roman" w:cs="Times New Roman"/>
          <w:noProof/>
        </w:rPr>
        <w:t>(Melamud et al., 2010; Clasquin et al., 2012)</w:t>
      </w:r>
      <w:r w:rsidRPr="005C3043">
        <w:rPr>
          <w:rFonts w:ascii="Times New Roman" w:hAnsi="Times New Roman" w:cs="Times New Roman"/>
        </w:rPr>
        <w:t>, which uses a grouping algorithm for non-linear retention time alignment, was used to pick peaks, integrate intensities, and visualize the data and extracted ion chromatograms. Pre-processed data from MAVEN was used to conduct all further biological and statistical analyses.</w:t>
      </w:r>
      <w:r w:rsidR="00021AAA" w:rsidRPr="005C3043">
        <w:rPr>
          <w:rFonts w:ascii="Times New Roman" w:hAnsi="Times New Roman" w:cs="Times New Roman"/>
        </w:rPr>
        <w:tab/>
      </w:r>
    </w:p>
    <w:p w14:paraId="489E3910" w14:textId="77777777" w:rsidR="00647FA2" w:rsidRPr="005C3043" w:rsidRDefault="00647FA2" w:rsidP="000D2CCE">
      <w:pPr>
        <w:pStyle w:val="Diss3"/>
      </w:pPr>
      <w:bookmarkStart w:id="34" w:name="_Toc100072162"/>
      <w:r w:rsidRPr="005C3043">
        <w:t>Statistical analyses</w:t>
      </w:r>
      <w:bookmarkEnd w:id="34"/>
    </w:p>
    <w:p w14:paraId="79000342" w14:textId="4BD40188" w:rsidR="00647FA2" w:rsidRPr="005C3043" w:rsidRDefault="00647FA2" w:rsidP="00021AAA">
      <w:pPr>
        <w:spacing w:line="480" w:lineRule="auto"/>
        <w:ind w:firstLine="720"/>
        <w:jc w:val="both"/>
        <w:rPr>
          <w:rFonts w:ascii="Times New Roman" w:hAnsi="Times New Roman" w:cs="Times New Roman"/>
        </w:rPr>
      </w:pPr>
      <w:r w:rsidRPr="005C3043">
        <w:rPr>
          <w:rFonts w:ascii="Times New Roman" w:hAnsi="Times New Roman" w:cs="Times New Roman"/>
        </w:rPr>
        <w:t xml:space="preserve">All analytical procedures were performed using R software </w:t>
      </w:r>
      <w:r w:rsidR="006D7579" w:rsidRPr="005C3043">
        <w:rPr>
          <w:rFonts w:ascii="Times New Roman" w:hAnsi="Times New Roman" w:cs="Times New Roman"/>
          <w:noProof/>
        </w:rPr>
        <w:t>(R Core Team, 2020</w:t>
      </w:r>
      <w:r w:rsidR="00C55223" w:rsidRPr="005C3043">
        <w:rPr>
          <w:rFonts w:ascii="Times New Roman" w:hAnsi="Times New Roman" w:cs="Times New Roman"/>
          <w:noProof/>
        </w:rPr>
        <w:t>)</w:t>
      </w:r>
      <w:r w:rsidRPr="005C3043">
        <w:rPr>
          <w:rFonts w:ascii="Times New Roman" w:hAnsi="Times New Roman" w:cs="Times New Roman"/>
        </w:rPr>
        <w:t>, and the code is available online (</w:t>
      </w:r>
      <w:r w:rsidRPr="002A2CEC">
        <w:rPr>
          <w:rFonts w:ascii="Times New Roman" w:hAnsi="Times New Roman" w:cs="Times New Roman"/>
          <w:sz w:val="22"/>
          <w:szCs w:val="22"/>
        </w:rPr>
        <w:t>https://github.com/CaseyRead/Read_etal_2021_metabolome</w:t>
      </w:r>
      <w:r w:rsidRPr="005C3043">
        <w:rPr>
          <w:rFonts w:ascii="Times New Roman" w:hAnsi="Times New Roman" w:cs="Times New Roman"/>
        </w:rPr>
        <w:t>). Analysis of variance was used to determine any effects of cow age and BCS on pre-ovulatory follicle diameter at GnRH administration</w:t>
      </w:r>
      <w:r w:rsidR="00BF279A" w:rsidRPr="005C3043">
        <w:rPr>
          <w:rFonts w:ascii="Times New Roman" w:hAnsi="Times New Roman" w:cs="Times New Roman"/>
        </w:rPr>
        <w:t xml:space="preserve"> to induce the pre-ovulatory gonadotropin surge (GnRH2)</w:t>
      </w:r>
      <w:r w:rsidRPr="005C3043">
        <w:rPr>
          <w:rFonts w:ascii="Times New Roman" w:hAnsi="Times New Roman" w:cs="Times New Roman"/>
        </w:rPr>
        <w:t>, and a linear model was used to determine any effects of cow weight, days postpartum at aspiration, days between PGF and GnRH2, and hours between GnRH2 and aspiration on pre-ovulatory follicle diameter at GnRH2.</w:t>
      </w:r>
    </w:p>
    <w:p w14:paraId="56942111" w14:textId="3CD974E3" w:rsidR="00DF5C47" w:rsidRPr="005C3043" w:rsidRDefault="00647FA2" w:rsidP="003A48D1">
      <w:pPr>
        <w:spacing w:line="480" w:lineRule="auto"/>
        <w:ind w:firstLine="720"/>
        <w:jc w:val="both"/>
        <w:rPr>
          <w:rFonts w:ascii="Times New Roman" w:hAnsi="Times New Roman" w:cs="Times New Roman"/>
        </w:rPr>
      </w:pPr>
      <w:r w:rsidRPr="005C3043">
        <w:rPr>
          <w:rFonts w:ascii="Times New Roman" w:hAnsi="Times New Roman" w:cs="Times New Roman"/>
        </w:rPr>
        <w:t xml:space="preserve">A heatmap was constructed to visualize differences in metabolite peak area among metabolites and follicle diameters. Data for each metabolite was tested for normality by performing a Shapiro Wilk test and by plotting the residuals for visual evaluation of normality. Each metabolite was determined to have an approximately normal distribution. A linear model was used to determine the relationship between pre-ovulatory follicle size and follicular fluid metabolite peak area values in the 38 metabolites identified in our samples. Metabolites were considered significantly correlated to pre-ovulatory follicle diameter at GnRH2 administration if FDR &lt; 0.05 was observed. </w:t>
      </w:r>
      <w:proofErr w:type="spellStart"/>
      <w:r w:rsidRPr="005C3043">
        <w:rPr>
          <w:rFonts w:ascii="Times New Roman" w:hAnsi="Times New Roman" w:cs="Times New Roman"/>
        </w:rPr>
        <w:t>Metaboanalyst</w:t>
      </w:r>
      <w:proofErr w:type="spellEnd"/>
      <w:r w:rsidRPr="005C3043">
        <w:rPr>
          <w:rFonts w:ascii="Times New Roman" w:hAnsi="Times New Roman" w:cs="Times New Roman"/>
        </w:rPr>
        <w:t xml:space="preserve"> 5.0 </w:t>
      </w:r>
      <w:r w:rsidR="00C55223" w:rsidRPr="005C3043">
        <w:rPr>
          <w:rFonts w:ascii="Times New Roman" w:hAnsi="Times New Roman" w:cs="Times New Roman"/>
          <w:noProof/>
        </w:rPr>
        <w:t xml:space="preserve">(Pang </w:t>
      </w:r>
      <w:r w:rsidR="00C55223" w:rsidRPr="005C3043">
        <w:rPr>
          <w:rFonts w:ascii="Times New Roman" w:hAnsi="Times New Roman" w:cs="Times New Roman"/>
          <w:noProof/>
        </w:rPr>
        <w:lastRenderedPageBreak/>
        <w:t>et al., 2021)</w:t>
      </w:r>
      <w:r w:rsidRPr="005C3043">
        <w:rPr>
          <w:rFonts w:ascii="Times New Roman" w:hAnsi="Times New Roman" w:cs="Times New Roman"/>
        </w:rPr>
        <w:t xml:space="preserve"> was used to perform KEGG pathway enrichment analysis of the 18 metabolites that were significantly correlated to follicle diameter at GnRH2. Enrichment of pathways was determined to be significant if the FDR was &lt; 0.05. </w:t>
      </w:r>
    </w:p>
    <w:p w14:paraId="3F4B12AE" w14:textId="1BA559FF" w:rsidR="00074130" w:rsidRPr="005C3043" w:rsidRDefault="00074130" w:rsidP="000D2CCE">
      <w:pPr>
        <w:pStyle w:val="Diss2"/>
        <w:rPr>
          <w:lang w:bidi="en-US"/>
        </w:rPr>
      </w:pPr>
      <w:bookmarkStart w:id="35" w:name="_Toc100072163"/>
      <w:r w:rsidRPr="005C3043">
        <w:rPr>
          <w:lang w:bidi="en-US"/>
        </w:rPr>
        <w:t>Results and Discussion</w:t>
      </w:r>
      <w:bookmarkEnd w:id="35"/>
    </w:p>
    <w:p w14:paraId="317A5B5D" w14:textId="5D5C2275" w:rsidR="00074130" w:rsidRPr="005C3043" w:rsidRDefault="00074130" w:rsidP="000D2CCE">
      <w:pPr>
        <w:pStyle w:val="Diss3"/>
        <w:rPr>
          <w:lang w:bidi="en-US"/>
        </w:rPr>
      </w:pPr>
      <w:bookmarkStart w:id="36" w:name="_Toc100072164"/>
      <w:r w:rsidRPr="005C3043">
        <w:rPr>
          <w:lang w:bidi="en-US"/>
        </w:rPr>
        <w:t>Animal Data</w:t>
      </w:r>
      <w:bookmarkEnd w:id="36"/>
    </w:p>
    <w:p w14:paraId="598B6C23" w14:textId="1B6308A9" w:rsidR="00074130" w:rsidRPr="005C3043" w:rsidRDefault="00074130" w:rsidP="00021AAA">
      <w:pPr>
        <w:spacing w:line="480" w:lineRule="auto"/>
        <w:ind w:firstLine="720"/>
        <w:jc w:val="both"/>
        <w:rPr>
          <w:rFonts w:ascii="Times New Roman" w:hAnsi="Times New Roman" w:cs="Times New Roman"/>
          <w:lang w:bidi="en-US"/>
        </w:rPr>
      </w:pPr>
      <w:r w:rsidRPr="005C3043">
        <w:rPr>
          <w:rFonts w:ascii="Times New Roman" w:hAnsi="Times New Roman" w:cs="Times New Roman"/>
        </w:rPr>
        <w:t xml:space="preserve">We utilized follicular fluid that was collected from the pre-ovulatory follicle of 43 lactating beef cows for this study. Follicle size at GnRH administration to induce the pre-ovulatory gonadotropin surge ranged from 9.2-17.7 mm (12.62 </w:t>
      </w:r>
      <w:r w:rsidRPr="005C3043">
        <w:rPr>
          <w:rFonts w:ascii="Times New Roman" w:hAnsi="Times New Roman" w:cs="Times New Roman"/>
          <w:u w:val="single"/>
        </w:rPr>
        <w:t>+</w:t>
      </w:r>
      <w:r w:rsidRPr="005C3043">
        <w:rPr>
          <w:rFonts w:ascii="Times New Roman" w:hAnsi="Times New Roman" w:cs="Times New Roman"/>
        </w:rPr>
        <w:t xml:space="preserve"> 0.28 mm). This measure is consistent with pre-ovulatory</w:t>
      </w:r>
      <w:r w:rsidR="00751FF5" w:rsidRPr="005C3043">
        <w:rPr>
          <w:rFonts w:ascii="Times New Roman" w:hAnsi="Times New Roman" w:cs="Times New Roman"/>
        </w:rPr>
        <w:t xml:space="preserve"> </w:t>
      </w:r>
      <w:r w:rsidRPr="005C3043">
        <w:rPr>
          <w:rFonts w:ascii="Times New Roman" w:hAnsi="Times New Roman" w:cs="Times New Roman"/>
        </w:rPr>
        <w:t xml:space="preserve">follicle diameters observed in multiple studies across varied locations and beef breeds </w:t>
      </w:r>
      <w:r w:rsidR="00C55223" w:rsidRPr="005C3043">
        <w:rPr>
          <w:rFonts w:ascii="Times New Roman" w:hAnsi="Times New Roman" w:cs="Times New Roman"/>
          <w:noProof/>
        </w:rPr>
        <w:t xml:space="preserve">(Geary et al., 2001; Lamb et al., 2001; Perry et al., 2005; MacNeil et al., 2006; Atkins et al., </w:t>
      </w:r>
      <w:r w:rsidR="00937F46" w:rsidRPr="005C3043">
        <w:rPr>
          <w:rFonts w:ascii="Times New Roman" w:hAnsi="Times New Roman" w:cs="Times New Roman"/>
          <w:noProof/>
        </w:rPr>
        <w:t>2013</w:t>
      </w:r>
      <w:r w:rsidR="00C55223" w:rsidRPr="005C3043">
        <w:rPr>
          <w:rFonts w:ascii="Times New Roman" w:hAnsi="Times New Roman" w:cs="Times New Roman"/>
          <w:noProof/>
        </w:rPr>
        <w:t>; Moorey et al., 2021)</w:t>
      </w:r>
      <w:r w:rsidRPr="005C3043">
        <w:rPr>
          <w:rFonts w:ascii="Times New Roman" w:hAnsi="Times New Roman" w:cs="Times New Roman"/>
        </w:rPr>
        <w:t xml:space="preserve">. </w:t>
      </w:r>
      <w:r w:rsidRPr="005C3043">
        <w:rPr>
          <w:rFonts w:ascii="Times New Roman" w:hAnsi="Times New Roman" w:cs="Times New Roman"/>
          <w:lang w:bidi="en-US"/>
        </w:rPr>
        <w:t>To examine the influence of cow phenotype or study timeline on follicle diameter, we utilized analysis of variance or linear regression to quantify relationships between cow descriptive characteristics or study timeline and pre-ovulatory</w:t>
      </w:r>
      <w:r w:rsidR="00DC3078" w:rsidRPr="005C3043">
        <w:rPr>
          <w:rFonts w:ascii="Times New Roman" w:hAnsi="Times New Roman" w:cs="Times New Roman"/>
          <w:lang w:bidi="en-US"/>
        </w:rPr>
        <w:t xml:space="preserve"> </w:t>
      </w:r>
      <w:r w:rsidRPr="005C3043">
        <w:rPr>
          <w:rFonts w:ascii="Times New Roman" w:hAnsi="Times New Roman" w:cs="Times New Roman"/>
          <w:lang w:bidi="en-US"/>
        </w:rPr>
        <w:t>follicle size at GnRH2 administration. There was no relationship between pre-ovulatory follicle diameter at GnRH2 administration and cow age (</w:t>
      </w:r>
      <w:r w:rsidRPr="005C3043">
        <w:rPr>
          <w:rFonts w:ascii="Times New Roman" w:hAnsi="Times New Roman" w:cs="Times New Roman"/>
          <w:i/>
          <w:iCs/>
          <w:lang w:bidi="en-US"/>
        </w:rPr>
        <w:t>p</w:t>
      </w:r>
      <w:r w:rsidRPr="005C3043">
        <w:rPr>
          <w:rFonts w:ascii="Times New Roman" w:hAnsi="Times New Roman" w:cs="Times New Roman"/>
          <w:lang w:bidi="en-US"/>
        </w:rPr>
        <w:t>=0.93), body condition score (BCS; scale of 1 to 9 in which 1 = emaciated and 9 = obese</w:t>
      </w:r>
      <w:r w:rsidR="006521DC" w:rsidRPr="005C3043">
        <w:rPr>
          <w:rFonts w:ascii="Times New Roman" w:hAnsi="Times New Roman" w:cs="Times New Roman"/>
          <w:lang w:bidi="en-US"/>
        </w:rPr>
        <w:t>;</w:t>
      </w:r>
      <w:r w:rsidRPr="005C3043">
        <w:rPr>
          <w:rFonts w:ascii="Times New Roman" w:hAnsi="Times New Roman" w:cs="Times New Roman"/>
          <w:lang w:bidi="en-US"/>
        </w:rPr>
        <w:t xml:space="preserve"> </w:t>
      </w:r>
      <w:r w:rsidRPr="005C3043">
        <w:rPr>
          <w:rFonts w:ascii="Times New Roman" w:hAnsi="Times New Roman" w:cs="Times New Roman"/>
          <w:i/>
          <w:iCs/>
          <w:lang w:bidi="en-US"/>
        </w:rPr>
        <w:t>p</w:t>
      </w:r>
      <w:r w:rsidRPr="005C3043">
        <w:rPr>
          <w:rFonts w:ascii="Times New Roman" w:hAnsi="Times New Roman" w:cs="Times New Roman"/>
          <w:lang w:bidi="en-US"/>
        </w:rPr>
        <w:t>=0.84), weight (</w:t>
      </w:r>
      <w:r w:rsidRPr="005C3043">
        <w:rPr>
          <w:rFonts w:ascii="Times New Roman" w:hAnsi="Times New Roman" w:cs="Times New Roman"/>
          <w:i/>
          <w:iCs/>
          <w:lang w:bidi="en-US"/>
        </w:rPr>
        <w:t>p</w:t>
      </w:r>
      <w:r w:rsidRPr="005C3043">
        <w:rPr>
          <w:rFonts w:ascii="Times New Roman" w:hAnsi="Times New Roman" w:cs="Times New Roman"/>
          <w:lang w:bidi="en-US"/>
        </w:rPr>
        <w:t>=0.54), days postpartum at aspiration (</w:t>
      </w:r>
      <w:r w:rsidRPr="005C3043">
        <w:rPr>
          <w:rFonts w:ascii="Times New Roman" w:hAnsi="Times New Roman" w:cs="Times New Roman"/>
          <w:i/>
          <w:iCs/>
          <w:lang w:bidi="en-US"/>
        </w:rPr>
        <w:t>p</w:t>
      </w:r>
      <w:r w:rsidRPr="005C3043">
        <w:rPr>
          <w:rFonts w:ascii="Times New Roman" w:hAnsi="Times New Roman" w:cs="Times New Roman"/>
          <w:lang w:bidi="en-US"/>
        </w:rPr>
        <w:t xml:space="preserve">=0.51), hours between </w:t>
      </w:r>
    </w:p>
    <w:p w14:paraId="021190B4" w14:textId="77777777" w:rsidR="00F672B3" w:rsidRPr="005C3043" w:rsidRDefault="00F672B3" w:rsidP="00F672B3">
      <w:pPr>
        <w:spacing w:line="480" w:lineRule="auto"/>
        <w:jc w:val="both"/>
        <w:rPr>
          <w:rFonts w:ascii="Times New Roman" w:hAnsi="Times New Roman" w:cs="Times New Roman"/>
          <w:lang w:bidi="en-US"/>
        </w:rPr>
      </w:pPr>
    </w:p>
    <w:p w14:paraId="32A2BE98" w14:textId="0DE9A247" w:rsidR="00074130" w:rsidRPr="00A42976" w:rsidRDefault="00074130" w:rsidP="00154DC0">
      <w:pPr>
        <w:spacing w:line="480" w:lineRule="auto"/>
        <w:rPr>
          <w:rFonts w:ascii="Times New Roman" w:hAnsi="Times New Roman" w:cs="Times New Roman"/>
          <w:lang w:bidi="en-US"/>
        </w:rPr>
      </w:pPr>
      <w:r w:rsidRPr="00A42976">
        <w:rPr>
          <w:rFonts w:ascii="Times New Roman" w:hAnsi="Times New Roman" w:cs="Times New Roman"/>
          <w:noProof/>
        </w:rPr>
        <w:lastRenderedPageBreak/>
        <w:drawing>
          <wp:inline distT="0" distB="0" distL="0" distR="0" wp14:anchorId="57034533" wp14:editId="312D75F9">
            <wp:extent cx="5515428" cy="3676951"/>
            <wp:effectExtent l="0" t="0" r="9525" b="0"/>
            <wp:docPr id="4" name="Picture 3" descr="Diagram&#10;&#10;Description automatically generated">
              <a:extLst xmlns:a="http://schemas.openxmlformats.org/drawingml/2006/main">
                <a:ext uri="{FF2B5EF4-FFF2-40B4-BE49-F238E27FC236}">
                  <a16:creationId xmlns:a16="http://schemas.microsoft.com/office/drawing/2014/main" id="{478A3EF2-5E38-4554-B44B-6CF3866F97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Diagram&#10;&#10;Description automatically generated">
                      <a:extLst>
                        <a:ext uri="{FF2B5EF4-FFF2-40B4-BE49-F238E27FC236}">
                          <a16:creationId xmlns:a16="http://schemas.microsoft.com/office/drawing/2014/main" id="{478A3EF2-5E38-4554-B44B-6CF3866F9749}"/>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32718" cy="3755144"/>
                    </a:xfrm>
                    <a:prstGeom prst="rect">
                      <a:avLst/>
                    </a:prstGeom>
                  </pic:spPr>
                </pic:pic>
              </a:graphicData>
            </a:graphic>
          </wp:inline>
        </w:drawing>
      </w:r>
    </w:p>
    <w:p w14:paraId="3B939112" w14:textId="1288AE21" w:rsidR="00074130" w:rsidRPr="003A22D1" w:rsidRDefault="00074130" w:rsidP="003A22D1">
      <w:pPr>
        <w:rPr>
          <w:rFonts w:ascii="Times New Roman" w:hAnsi="Times New Roman" w:cs="Times New Roman"/>
        </w:rPr>
      </w:pPr>
      <w:r w:rsidRPr="003A22D1">
        <w:rPr>
          <w:rFonts w:ascii="Times New Roman" w:hAnsi="Times New Roman" w:cs="Times New Roman"/>
          <w:b/>
        </w:rPr>
        <w:t xml:space="preserve">Figure </w:t>
      </w:r>
      <w:r w:rsidR="00624151" w:rsidRPr="003A22D1">
        <w:rPr>
          <w:rFonts w:ascii="Times New Roman" w:hAnsi="Times New Roman" w:cs="Times New Roman"/>
          <w:b/>
        </w:rPr>
        <w:t>2</w:t>
      </w:r>
      <w:r w:rsidRPr="003A22D1">
        <w:rPr>
          <w:rFonts w:ascii="Times New Roman" w:hAnsi="Times New Roman" w:cs="Times New Roman"/>
          <w:b/>
        </w:rPr>
        <w:t>.</w:t>
      </w:r>
      <w:r w:rsidRPr="003A22D1">
        <w:rPr>
          <w:rFonts w:ascii="Times New Roman" w:hAnsi="Times New Roman" w:cs="Times New Roman"/>
        </w:rPr>
        <w:t xml:space="preserve"> Relationship between pre-ovulatory follicle diameter and cow phenotype or timeline parameters. Panels A-F depict the relationship between follicle size at gonadotropin releasing hormone administration to induce a pre-ovulatory gonadotropin surge (GnRH2) and cow age, body condition score (BCS), weight, days postpartum, hours from prostaglandin F2α administration (PGF) to GnRH2 administration, and hours from GnRH2 administration to follicle aspiration, respectively. </w:t>
      </w:r>
    </w:p>
    <w:p w14:paraId="40076DD1" w14:textId="323D7559" w:rsidR="00236E6D" w:rsidRDefault="00236E6D" w:rsidP="00154DC0">
      <w:pPr>
        <w:spacing w:line="480" w:lineRule="auto"/>
        <w:rPr>
          <w:rFonts w:ascii="Times New Roman" w:hAnsi="Times New Roman" w:cs="Times New Roman"/>
        </w:rPr>
      </w:pPr>
    </w:p>
    <w:p w14:paraId="7ACBAFF8" w14:textId="4116CE08" w:rsidR="00DF5C47" w:rsidRDefault="00DF5C47" w:rsidP="00154DC0">
      <w:pPr>
        <w:spacing w:line="480" w:lineRule="auto"/>
        <w:rPr>
          <w:rFonts w:ascii="Times New Roman" w:hAnsi="Times New Roman" w:cs="Times New Roman"/>
        </w:rPr>
      </w:pPr>
    </w:p>
    <w:p w14:paraId="22EAE55F" w14:textId="286E2689" w:rsidR="00DF5C47" w:rsidRDefault="00DF5C47" w:rsidP="00154DC0">
      <w:pPr>
        <w:spacing w:line="480" w:lineRule="auto"/>
        <w:rPr>
          <w:rFonts w:ascii="Times New Roman" w:hAnsi="Times New Roman" w:cs="Times New Roman"/>
        </w:rPr>
      </w:pPr>
    </w:p>
    <w:p w14:paraId="24C91204" w14:textId="50C4D86D" w:rsidR="00DF5C47" w:rsidRDefault="00DF5C47" w:rsidP="00154DC0">
      <w:pPr>
        <w:spacing w:line="480" w:lineRule="auto"/>
        <w:rPr>
          <w:rFonts w:ascii="Times New Roman" w:hAnsi="Times New Roman" w:cs="Times New Roman"/>
        </w:rPr>
      </w:pPr>
    </w:p>
    <w:p w14:paraId="2AAFB78C" w14:textId="3221498E" w:rsidR="00DF5C47" w:rsidRDefault="00DF5C47" w:rsidP="00154DC0">
      <w:pPr>
        <w:spacing w:line="480" w:lineRule="auto"/>
        <w:rPr>
          <w:rFonts w:ascii="Times New Roman" w:hAnsi="Times New Roman" w:cs="Times New Roman"/>
        </w:rPr>
      </w:pPr>
    </w:p>
    <w:p w14:paraId="420FA24E" w14:textId="6CD25C61" w:rsidR="00DF5C47" w:rsidRDefault="00DF5C47" w:rsidP="00154DC0">
      <w:pPr>
        <w:spacing w:line="480" w:lineRule="auto"/>
        <w:rPr>
          <w:rFonts w:ascii="Times New Roman" w:hAnsi="Times New Roman" w:cs="Times New Roman"/>
        </w:rPr>
      </w:pPr>
    </w:p>
    <w:p w14:paraId="5D2EF178" w14:textId="77777777" w:rsidR="00DF5C47" w:rsidRPr="00C87A3E" w:rsidRDefault="00DF5C47" w:rsidP="00154DC0">
      <w:pPr>
        <w:spacing w:line="480" w:lineRule="auto"/>
        <w:rPr>
          <w:rFonts w:ascii="Times New Roman" w:hAnsi="Times New Roman" w:cs="Times New Roman"/>
        </w:rPr>
      </w:pPr>
    </w:p>
    <w:p w14:paraId="3582908B" w14:textId="6CEFF019" w:rsidR="00DF5C47" w:rsidRDefault="00DF5C47" w:rsidP="00DF5C47">
      <w:pPr>
        <w:spacing w:line="480" w:lineRule="auto"/>
        <w:jc w:val="both"/>
        <w:rPr>
          <w:rFonts w:ascii="Times New Roman" w:hAnsi="Times New Roman" w:cs="Times New Roman"/>
        </w:rPr>
      </w:pPr>
      <w:r w:rsidRPr="005C3043">
        <w:rPr>
          <w:rFonts w:ascii="Times New Roman" w:hAnsi="Times New Roman" w:cs="Times New Roman"/>
          <w:lang w:bidi="en-US"/>
        </w:rPr>
        <w:lastRenderedPageBreak/>
        <w:t>prostaglandin F2α (PGF) and GnRH2 administration (</w:t>
      </w:r>
      <w:r w:rsidRPr="005C3043">
        <w:rPr>
          <w:rFonts w:ascii="Times New Roman" w:hAnsi="Times New Roman" w:cs="Times New Roman"/>
          <w:i/>
          <w:iCs/>
          <w:lang w:bidi="en-US"/>
        </w:rPr>
        <w:t>p</w:t>
      </w:r>
      <w:r w:rsidRPr="005C3043">
        <w:rPr>
          <w:rFonts w:ascii="Times New Roman" w:hAnsi="Times New Roman" w:cs="Times New Roman"/>
          <w:lang w:bidi="en-US"/>
        </w:rPr>
        <w:t>=0.72), or hours between GnRH2 administration and pre-ovulatory follicle aspiration (</w:t>
      </w:r>
      <w:r w:rsidRPr="005C3043">
        <w:rPr>
          <w:rFonts w:ascii="Times New Roman" w:hAnsi="Times New Roman" w:cs="Times New Roman"/>
          <w:i/>
          <w:iCs/>
          <w:lang w:bidi="en-US"/>
        </w:rPr>
        <w:t>p</w:t>
      </w:r>
      <w:r w:rsidRPr="005C3043">
        <w:rPr>
          <w:rFonts w:ascii="Times New Roman" w:hAnsi="Times New Roman" w:cs="Times New Roman"/>
          <w:lang w:bidi="en-US"/>
        </w:rPr>
        <w:t>=0.44; Figure 2).</w:t>
      </w:r>
    </w:p>
    <w:p w14:paraId="5C75F2BC" w14:textId="415002A7" w:rsidR="00F936B1" w:rsidRPr="005C3043" w:rsidRDefault="00074130" w:rsidP="00DF5C47">
      <w:pPr>
        <w:spacing w:line="480" w:lineRule="auto"/>
        <w:ind w:firstLine="720"/>
        <w:jc w:val="both"/>
        <w:rPr>
          <w:rFonts w:ascii="Times New Roman" w:hAnsi="Times New Roman" w:cs="Times New Roman"/>
        </w:rPr>
      </w:pPr>
      <w:r w:rsidRPr="00C87A3E">
        <w:rPr>
          <w:rFonts w:ascii="Times New Roman" w:hAnsi="Times New Roman" w:cs="Times New Roman"/>
        </w:rPr>
        <w:t>Average cow age (5.75±0.34 years) was consistent with previous reports of mean beef cow longevity of approximately four to eight year</w:t>
      </w:r>
      <w:r w:rsidRPr="003B6B38">
        <w:rPr>
          <w:rFonts w:ascii="Times New Roman" w:hAnsi="Times New Roman" w:cs="Times New Roman"/>
        </w:rPr>
        <w:t xml:space="preserve">s, depending on production and geographical location </w:t>
      </w:r>
      <w:r w:rsidR="00C55223" w:rsidRPr="005C3043">
        <w:rPr>
          <w:rFonts w:ascii="Times New Roman" w:hAnsi="Times New Roman" w:cs="Times New Roman"/>
          <w:noProof/>
        </w:rPr>
        <w:t>(Cushman et al., 2013; Damiran et al., 2018)</w:t>
      </w:r>
      <w:r w:rsidRPr="005C3043">
        <w:rPr>
          <w:rFonts w:ascii="Times New Roman" w:hAnsi="Times New Roman" w:cs="Times New Roman"/>
        </w:rPr>
        <w:t xml:space="preserve">. Average body condition score (6.02±0.26) and weight (623.3±17.1 kg) of animals included in this study were as expected in beef cattle operations; however, the upper BCS range in our cohort extended to beyond the BCS range commonly observed in beef production scenarios </w:t>
      </w:r>
      <w:r w:rsidR="00C55223" w:rsidRPr="005C3043">
        <w:rPr>
          <w:rFonts w:ascii="Times New Roman" w:hAnsi="Times New Roman" w:cs="Times New Roman"/>
          <w:noProof/>
        </w:rPr>
        <w:t>(Bonacker et al., 2020)</w:t>
      </w:r>
      <w:r w:rsidRPr="005C3043">
        <w:rPr>
          <w:rFonts w:ascii="Times New Roman" w:hAnsi="Times New Roman" w:cs="Times New Roman"/>
        </w:rPr>
        <w:t xml:space="preserve">. Cows were 58.7±0.56 days postpartum at the time of follicle aspiration. Though 62.9±2.1 days was reported as the mean postpartum anestrous period of Angus-sired cows </w:t>
      </w:r>
      <w:r w:rsidR="00C55223" w:rsidRPr="005C3043">
        <w:rPr>
          <w:rFonts w:ascii="Times New Roman" w:hAnsi="Times New Roman" w:cs="Times New Roman"/>
          <w:noProof/>
        </w:rPr>
        <w:t>(Cushman et al., 2007)</w:t>
      </w:r>
      <w:r w:rsidRPr="005C3043">
        <w:rPr>
          <w:rFonts w:ascii="Times New Roman" w:hAnsi="Times New Roman" w:cs="Times New Roman"/>
        </w:rPr>
        <w:t xml:space="preserve">, </w:t>
      </w:r>
      <w:r w:rsidRPr="005C3043">
        <w:rPr>
          <w:rFonts w:ascii="Times New Roman" w:eastAsia="Source Sans Pro" w:hAnsi="Times New Roman" w:cs="Times New Roman"/>
        </w:rPr>
        <w:t>all animals in the current study were exposed to a seven</w:t>
      </w:r>
      <w:r w:rsidR="00DC3078" w:rsidRPr="005C3043">
        <w:rPr>
          <w:rFonts w:ascii="Times New Roman" w:eastAsia="Source Sans Pro" w:hAnsi="Times New Roman" w:cs="Times New Roman"/>
        </w:rPr>
        <w:t>-</w:t>
      </w:r>
      <w:r w:rsidRPr="005C3043">
        <w:rPr>
          <w:rFonts w:ascii="Times New Roman" w:eastAsia="Source Sans Pro" w:hAnsi="Times New Roman" w:cs="Times New Roman"/>
        </w:rPr>
        <w:t>day progestin treatment (</w:t>
      </w:r>
      <w:proofErr w:type="spellStart"/>
      <w:r w:rsidRPr="005C3043">
        <w:rPr>
          <w:rFonts w:ascii="Times New Roman" w:hAnsi="Times New Roman" w:cs="Times New Roman"/>
        </w:rPr>
        <w:t>Eazi</w:t>
      </w:r>
      <w:proofErr w:type="spellEnd"/>
      <w:r w:rsidRPr="005C3043">
        <w:rPr>
          <w:rFonts w:ascii="Times New Roman" w:hAnsi="Times New Roman" w:cs="Times New Roman"/>
        </w:rPr>
        <w:t>-Breed CIDR®</w:t>
      </w:r>
      <w:r w:rsidRPr="005C3043">
        <w:rPr>
          <w:rFonts w:ascii="Times New Roman" w:eastAsia="Source Sans Pro" w:hAnsi="Times New Roman" w:cs="Times New Roman"/>
        </w:rPr>
        <w:t xml:space="preserve">) during pre-synchronization procedures. The majority (84%) of the animals in this study had a corpus luteum present on the ovaries at the onset of synchronization, and 47% had displayed estrus by 66 hours post PGF administration and CIDR removal in the pre-synchronization protocol. Neither parameter influenced pre-ovulatory follicle diameter at GnRH2 administration </w:t>
      </w:r>
      <w:r w:rsidRPr="005C3043">
        <w:rPr>
          <w:rFonts w:ascii="Times New Roman" w:hAnsi="Times New Roman" w:cs="Times New Roman"/>
        </w:rPr>
        <w:t>(</w:t>
      </w:r>
      <w:r w:rsidRPr="005C3043">
        <w:rPr>
          <w:rFonts w:ascii="Times New Roman" w:hAnsi="Times New Roman" w:cs="Times New Roman"/>
          <w:i/>
          <w:iCs/>
        </w:rPr>
        <w:t>p</w:t>
      </w:r>
      <w:r w:rsidRPr="005C3043">
        <w:rPr>
          <w:rFonts w:ascii="Times New Roman" w:hAnsi="Times New Roman" w:cs="Times New Roman"/>
        </w:rPr>
        <w:t xml:space="preserve">=0.23 and </w:t>
      </w:r>
      <w:r w:rsidRPr="005C3043">
        <w:rPr>
          <w:rFonts w:ascii="Times New Roman" w:hAnsi="Times New Roman" w:cs="Times New Roman"/>
          <w:i/>
          <w:iCs/>
        </w:rPr>
        <w:t>p</w:t>
      </w:r>
      <w:r w:rsidRPr="005C3043">
        <w:rPr>
          <w:rFonts w:ascii="Times New Roman" w:hAnsi="Times New Roman" w:cs="Times New Roman"/>
        </w:rPr>
        <w:t>=0.53, respectively)</w:t>
      </w:r>
      <w:r w:rsidRPr="005C3043">
        <w:rPr>
          <w:rFonts w:ascii="Times New Roman" w:eastAsia="Source Sans Pro" w:hAnsi="Times New Roman" w:cs="Times New Roman"/>
        </w:rPr>
        <w:t xml:space="preserve">. Time between PGF and </w:t>
      </w:r>
      <w:r w:rsidRPr="005C3043">
        <w:rPr>
          <w:rFonts w:ascii="Times New Roman" w:hAnsi="Times New Roman" w:cs="Times New Roman"/>
        </w:rPr>
        <w:t xml:space="preserve">GnRH2 administration (50.25±0.17 hours) or between GnRH2 administration and aspiration (19.59±0.34 hours) were </w:t>
      </w:r>
      <w:proofErr w:type="gramStart"/>
      <w:r w:rsidRPr="005C3043">
        <w:rPr>
          <w:rFonts w:ascii="Times New Roman" w:hAnsi="Times New Roman" w:cs="Times New Roman"/>
        </w:rPr>
        <w:t>similar to</w:t>
      </w:r>
      <w:proofErr w:type="gramEnd"/>
      <w:r w:rsidRPr="005C3043">
        <w:rPr>
          <w:rFonts w:ascii="Times New Roman" w:hAnsi="Times New Roman" w:cs="Times New Roman"/>
        </w:rPr>
        <w:t xml:space="preserve"> previous studies by our lab and collaborators that determined the impact of pre-ovulatory follicle diameter on beef cow pregnancy rates and cumulus-oocyte complex transcriptome profiles, respectively</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Perry et al., 2005; Moorey et al., 2021)</w:t>
      </w:r>
      <w:r w:rsidRPr="005C3043">
        <w:rPr>
          <w:rFonts w:ascii="Times New Roman" w:hAnsi="Times New Roman" w:cs="Times New Roman"/>
        </w:rPr>
        <w:t xml:space="preserve">. Samples collected at this timepoint represent intrafollicular conditions post gonadotropin surge </w:t>
      </w:r>
      <w:r w:rsidR="00C55223" w:rsidRPr="005C3043">
        <w:rPr>
          <w:rFonts w:ascii="Times New Roman" w:hAnsi="Times New Roman" w:cs="Times New Roman"/>
          <w:noProof/>
        </w:rPr>
        <w:t>(Komar et al., 2001)</w:t>
      </w:r>
      <w:r w:rsidRPr="005C3043">
        <w:rPr>
          <w:rFonts w:ascii="Times New Roman" w:hAnsi="Times New Roman" w:cs="Times New Roman"/>
        </w:rPr>
        <w:t xml:space="preserve">, </w:t>
      </w:r>
      <w:r w:rsidRPr="005C3043">
        <w:rPr>
          <w:rFonts w:ascii="Times New Roman" w:hAnsi="Times New Roman" w:cs="Times New Roman"/>
        </w:rPr>
        <w:lastRenderedPageBreak/>
        <w:t>when somatic follicular cells have begun luteinization, cumulus cells have expanded, and the oocyte’s nuclear maturation has progressed through metaphase one (MI) and has reached or is nearing metaphase two (MII</w:t>
      </w:r>
      <w:r w:rsidR="006521DC" w:rsidRPr="005C3043">
        <w:rPr>
          <w:rFonts w:ascii="Times New Roman" w:hAnsi="Times New Roman" w:cs="Times New Roman"/>
        </w:rPr>
        <w:t xml:space="preserve">; </w:t>
      </w:r>
      <w:r w:rsidR="00C55223" w:rsidRPr="005C3043">
        <w:rPr>
          <w:rFonts w:ascii="Times New Roman" w:hAnsi="Times New Roman" w:cs="Times New Roman"/>
          <w:noProof/>
        </w:rPr>
        <w:t>Hyttel et al., 1986; de Loos et al., 1991; Hyttel et al., 1997; Richards et al., 1998)</w:t>
      </w:r>
      <w:r w:rsidRPr="005C3043">
        <w:rPr>
          <w:rFonts w:ascii="Times New Roman" w:hAnsi="Times New Roman" w:cs="Times New Roman"/>
        </w:rPr>
        <w:t>.  The metabolome of follicular fluid collected at this timepoint should reveal critical cellular processes taking place in the granulosa cells and cumulus-oocyte complex during the final stages of oocyte maturation, while highlighting potential processes that are altered when small</w:t>
      </w:r>
      <w:r w:rsidR="00DC3078" w:rsidRPr="005C3043">
        <w:rPr>
          <w:rFonts w:ascii="Times New Roman" w:hAnsi="Times New Roman" w:cs="Times New Roman"/>
        </w:rPr>
        <w:t>er</w:t>
      </w:r>
      <w:r w:rsidRPr="005C3043">
        <w:rPr>
          <w:rFonts w:ascii="Times New Roman" w:hAnsi="Times New Roman" w:cs="Times New Roman"/>
        </w:rPr>
        <w:t xml:space="preserve"> pre-ovulatory follicles are prematurely exposed to a </w:t>
      </w:r>
      <w:proofErr w:type="gramStart"/>
      <w:r w:rsidRPr="005C3043">
        <w:rPr>
          <w:rFonts w:ascii="Times New Roman" w:hAnsi="Times New Roman" w:cs="Times New Roman"/>
        </w:rPr>
        <w:t>pharmacologically-induced</w:t>
      </w:r>
      <w:proofErr w:type="gramEnd"/>
      <w:r w:rsidRPr="005C3043">
        <w:rPr>
          <w:rFonts w:ascii="Times New Roman" w:hAnsi="Times New Roman" w:cs="Times New Roman"/>
        </w:rPr>
        <w:t xml:space="preserve"> gonadotropin surge.</w:t>
      </w:r>
    </w:p>
    <w:p w14:paraId="563B247B" w14:textId="082222F5" w:rsidR="00F936B1" w:rsidRPr="005C3043" w:rsidRDefault="00F936B1" w:rsidP="000D2CCE">
      <w:pPr>
        <w:pStyle w:val="Diss3"/>
      </w:pPr>
      <w:bookmarkStart w:id="37" w:name="_Toc100072165"/>
      <w:r w:rsidRPr="005C3043">
        <w:t>Metabolome profiles of follicular fluid collected from pre-ovulatory follicles of lactating beef cows</w:t>
      </w:r>
      <w:bookmarkEnd w:id="37"/>
    </w:p>
    <w:p w14:paraId="5CF7F901" w14:textId="473490CC" w:rsidR="00F672B3" w:rsidRDefault="00F936B1" w:rsidP="00021AAA">
      <w:pPr>
        <w:spacing w:line="480" w:lineRule="auto"/>
        <w:ind w:firstLine="720"/>
        <w:jc w:val="both"/>
        <w:rPr>
          <w:rFonts w:ascii="Times New Roman" w:hAnsi="Times New Roman" w:cs="Times New Roman"/>
        </w:rPr>
      </w:pPr>
      <w:r w:rsidRPr="005C3043">
        <w:rPr>
          <w:rFonts w:ascii="Times New Roman" w:hAnsi="Times New Roman" w:cs="Times New Roman"/>
        </w:rPr>
        <w:t xml:space="preserve">To our knowledge, this is the first study that investigates size-related </w:t>
      </w:r>
      <w:r w:rsidR="00DC3078" w:rsidRPr="005C3043">
        <w:rPr>
          <w:rFonts w:ascii="Times New Roman" w:hAnsi="Times New Roman" w:cs="Times New Roman"/>
        </w:rPr>
        <w:t>differences</w:t>
      </w:r>
      <w:r w:rsidRPr="005C3043">
        <w:rPr>
          <w:rFonts w:ascii="Times New Roman" w:hAnsi="Times New Roman" w:cs="Times New Roman"/>
        </w:rPr>
        <w:t xml:space="preserve"> within the follicular fluid metabolome of pre-ovulatory follicles in beef cattle during the peri-ovulatory period of follicular development. The follicular fluid is primarily derived from the circulati</w:t>
      </w:r>
      <w:r w:rsidR="00DC3078" w:rsidRPr="005C3043">
        <w:rPr>
          <w:rFonts w:ascii="Times New Roman" w:hAnsi="Times New Roman" w:cs="Times New Roman"/>
        </w:rPr>
        <w:t>on</w:t>
      </w:r>
      <w:r w:rsidRPr="005C3043">
        <w:rPr>
          <w:rFonts w:ascii="Times New Roman" w:hAnsi="Times New Roman" w:cs="Times New Roman"/>
        </w:rPr>
        <w:t xml:space="preserve"> and its composition is influenced by both the </w:t>
      </w:r>
      <w:r w:rsidR="00DC3078" w:rsidRPr="005C3043">
        <w:rPr>
          <w:rFonts w:ascii="Times New Roman" w:hAnsi="Times New Roman" w:cs="Times New Roman"/>
        </w:rPr>
        <w:t>serum</w:t>
      </w:r>
      <w:r w:rsidRPr="005C3043">
        <w:rPr>
          <w:rFonts w:ascii="Times New Roman" w:hAnsi="Times New Roman" w:cs="Times New Roman"/>
        </w:rPr>
        <w:t xml:space="preserve"> and products excreted by the intrafollicular cells</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Fahiminiya and Gérard, 2010a)</w:t>
      </w:r>
      <w:r w:rsidRPr="005C3043">
        <w:rPr>
          <w:rFonts w:ascii="Times New Roman" w:hAnsi="Times New Roman" w:cs="Times New Roman"/>
        </w:rPr>
        <w:t>, and the abundance of many metabolic substrates present in the follicular fluid is closely correlated to metabolic activity of the follicular cells</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Sinclair et al., 2008)</w:t>
      </w:r>
      <w:r w:rsidRPr="005C3043">
        <w:rPr>
          <w:rFonts w:ascii="Times New Roman" w:hAnsi="Times New Roman" w:cs="Times New Roman"/>
        </w:rPr>
        <w:t xml:space="preserve">. Thirty-eight metabolites were identified in the follicular fluid of bovine pre-ovulatory follicles following UHPLC-HRMS and metabolite identification with metabolic analysis visualization engine (MAVEN; Figure </w:t>
      </w:r>
      <w:r w:rsidR="00624151" w:rsidRPr="005C3043">
        <w:rPr>
          <w:rFonts w:ascii="Times New Roman" w:hAnsi="Times New Roman" w:cs="Times New Roman"/>
        </w:rPr>
        <w:t>3</w:t>
      </w:r>
      <w:r w:rsidRPr="005C3043">
        <w:rPr>
          <w:rFonts w:ascii="Times New Roman" w:hAnsi="Times New Roman" w:cs="Times New Roman"/>
        </w:rPr>
        <w:t xml:space="preserve">). Metabolites identified in the follicular fluid were predominantly amino acids and their derivatives. We also identified </w:t>
      </w:r>
      <w:proofErr w:type="gramStart"/>
      <w:r w:rsidRPr="005C3043">
        <w:rPr>
          <w:rFonts w:ascii="Times New Roman" w:hAnsi="Times New Roman" w:cs="Times New Roman"/>
        </w:rPr>
        <w:t>a number of</w:t>
      </w:r>
      <w:proofErr w:type="gramEnd"/>
      <w:r w:rsidRPr="005C3043">
        <w:rPr>
          <w:rFonts w:ascii="Times New Roman" w:hAnsi="Times New Roman" w:cs="Times New Roman"/>
        </w:rPr>
        <w:t xml:space="preserve"> glucose derivatives and tricarboxylic acid (TCA) cycle intermediates or derivatives as well as fatty acids, the steroid ester cholesterol </w:t>
      </w:r>
      <w:r w:rsidRPr="005C3043">
        <w:rPr>
          <w:rFonts w:ascii="Times New Roman" w:hAnsi="Times New Roman" w:cs="Times New Roman"/>
        </w:rPr>
        <w:lastRenderedPageBreak/>
        <w:t xml:space="preserve">sulfate and the nucleoside uridine. The majority of the metabolites identified in this study have been previously identified in the follicular fluid of cattle, humans, pigs, sheep, or horses </w:t>
      </w:r>
      <w:r w:rsidR="00C55223" w:rsidRPr="005C3043">
        <w:rPr>
          <w:rFonts w:ascii="Times New Roman" w:hAnsi="Times New Roman" w:cs="Times New Roman"/>
          <w:noProof/>
        </w:rPr>
        <w:t>(Chang et al., 1976; Grimek et al., 1984; Gérard et al., 2002; Orsi et al., 2005b; Nandi et al., 2007; Piñero-Sagredo et al., 2010; Tabatabaei et al., 2011; Bertoldo et al., 2013; Xia et al., 2014; Nagy et al., 2015; Zhao et al., 2015; Forde et al., 2016b; Jóźwik et al., 2017; Blaschka et al., 2018; Guo et al., 2018; Bernabé et al., 2019; Song et al., 2019a; Song et al., 2019b; Bódis et al., 2020; Luti et al., 2020; Hou et al., 2021; Mo et al., 2021; Zhang et al., 2021)</w:t>
      </w:r>
      <w:r w:rsidRPr="005C3043">
        <w:rPr>
          <w:rFonts w:ascii="Times New Roman" w:hAnsi="Times New Roman" w:cs="Times New Roman"/>
        </w:rPr>
        <w:t xml:space="preserve">. To our knowledge, the metabolites N-acetyl-beta-alanine, </w:t>
      </w:r>
      <w:r w:rsidRPr="005C3043">
        <w:rPr>
          <w:rFonts w:ascii="Times New Roman" w:hAnsi="Times New Roman" w:cs="Times New Roman"/>
          <w:i/>
          <w:iCs/>
        </w:rPr>
        <w:t>O</w:t>
      </w:r>
      <w:r w:rsidRPr="005C3043">
        <w:rPr>
          <w:rFonts w:ascii="Times New Roman" w:hAnsi="Times New Roman" w:cs="Times New Roman"/>
        </w:rPr>
        <w:t>-acetyl-</w:t>
      </w:r>
      <w:r w:rsidRPr="005C3043">
        <w:rPr>
          <w:rFonts w:ascii="Times New Roman" w:hAnsi="Times New Roman" w:cs="Times New Roman"/>
          <w:smallCaps/>
        </w:rPr>
        <w:t>l</w:t>
      </w:r>
      <w:r w:rsidRPr="005C3043">
        <w:rPr>
          <w:rFonts w:ascii="Times New Roman" w:hAnsi="Times New Roman" w:cs="Times New Roman"/>
        </w:rPr>
        <w:t xml:space="preserve">-serine, 2-oxo-4-methylthiobutanoate, 3-methylphenylacetic acid, </w:t>
      </w:r>
      <w:proofErr w:type="spellStart"/>
      <w:r w:rsidRPr="005C3043">
        <w:rPr>
          <w:rFonts w:ascii="Times New Roman" w:hAnsi="Times New Roman" w:cs="Times New Roman"/>
        </w:rPr>
        <w:t>phenyllactic</w:t>
      </w:r>
      <w:proofErr w:type="spellEnd"/>
      <w:r w:rsidRPr="005C3043">
        <w:rPr>
          <w:rFonts w:ascii="Times New Roman" w:hAnsi="Times New Roman" w:cs="Times New Roman"/>
        </w:rPr>
        <w:t xml:space="preserve"> acid, N-acetylornithine, </w:t>
      </w:r>
      <w:proofErr w:type="spellStart"/>
      <w:r w:rsidRPr="005C3043">
        <w:rPr>
          <w:rFonts w:ascii="Times New Roman" w:hAnsi="Times New Roman" w:cs="Times New Roman"/>
        </w:rPr>
        <w:t>tricarbalylic</w:t>
      </w:r>
      <w:proofErr w:type="spellEnd"/>
      <w:r w:rsidRPr="005C3043">
        <w:rPr>
          <w:rFonts w:ascii="Times New Roman" w:hAnsi="Times New Roman" w:cs="Times New Roman"/>
        </w:rPr>
        <w:t xml:space="preserve"> acid, 2-dehydro-</w:t>
      </w:r>
      <w:r w:rsidRPr="005C3043">
        <w:rPr>
          <w:rFonts w:ascii="Times New Roman" w:hAnsi="Times New Roman" w:cs="Times New Roman"/>
          <w:smallCaps/>
        </w:rPr>
        <w:t>d</w:t>
      </w:r>
      <w:r w:rsidRPr="005C3043">
        <w:rPr>
          <w:rFonts w:ascii="Times New Roman" w:hAnsi="Times New Roman" w:cs="Times New Roman"/>
        </w:rPr>
        <w:t xml:space="preserve">-gluconate, and </w:t>
      </w:r>
      <w:r w:rsidRPr="005C3043">
        <w:rPr>
          <w:rFonts w:ascii="Times New Roman" w:hAnsi="Times New Roman" w:cs="Times New Roman"/>
          <w:smallCaps/>
        </w:rPr>
        <w:t>d</w:t>
      </w:r>
      <w:r w:rsidRPr="005C3043">
        <w:rPr>
          <w:rFonts w:ascii="Times New Roman" w:hAnsi="Times New Roman" w:cs="Times New Roman"/>
        </w:rPr>
        <w:t xml:space="preserve">-gluconate are more novel components of the mammalian follicular fluid metabolome. </w:t>
      </w:r>
    </w:p>
    <w:p w14:paraId="13C43B90" w14:textId="77777777" w:rsidR="00DF5C47" w:rsidRPr="00C87A3E" w:rsidRDefault="00DF5C47" w:rsidP="000D2CCE">
      <w:pPr>
        <w:pStyle w:val="Diss3"/>
      </w:pPr>
      <w:bookmarkStart w:id="38" w:name="_Toc100072166"/>
      <w:r w:rsidRPr="00C87A3E">
        <w:t>The impact of increasing pre-ovulatory follicle diameter on the follicular fluid metabolome</w:t>
      </w:r>
      <w:bookmarkEnd w:id="38"/>
    </w:p>
    <w:p w14:paraId="6A2DBEA7" w14:textId="0B117B80" w:rsidR="00DF5C47" w:rsidRPr="005C3043" w:rsidRDefault="00DF5C47" w:rsidP="00DF5C47">
      <w:pPr>
        <w:spacing w:line="480" w:lineRule="auto"/>
        <w:ind w:firstLine="720"/>
        <w:jc w:val="both"/>
        <w:rPr>
          <w:rFonts w:ascii="Times New Roman" w:hAnsi="Times New Roman" w:cs="Times New Roman"/>
        </w:rPr>
      </w:pPr>
      <w:r w:rsidRPr="003B6B38">
        <w:rPr>
          <w:rFonts w:ascii="Times New Roman" w:hAnsi="Times New Roman" w:cs="Times New Roman"/>
        </w:rPr>
        <w:t xml:space="preserve">Levels of eighteen metabolites </w:t>
      </w:r>
      <w:r w:rsidRPr="005C3043">
        <w:rPr>
          <w:rFonts w:ascii="Times New Roman" w:hAnsi="Times New Roman" w:cs="Times New Roman"/>
        </w:rPr>
        <w:t>within the follicular fluid 19.59±0.34 hours after GnRH2 were impacted by pre-ovulatory follicle diameter at GnRH2 administration. To this end, as follicle size at the time of GnRH2 administration increased, so did the concentration of each of the 18 metabolites (false discovery rate (FDR) &lt; 0.05; Figure 4). Pathway analysis of metabolites present 19.59±0.34 hour after GnRH2 that were significantly correlated with follicle diameter at GnRH2 identified the enrichment of multiple Kyoto Encyclopedia of Genes and Genomes (KEGG) pathways including ‘alanine, aspartate and glutamate metabolism’ (FDR=0.009), ‘arginine biosynthesis’ (FDR=0.011), ‘aminoacyl-tRNA biosynthesis’ (FDR=0.019), and ‘</w:t>
      </w:r>
      <w:r w:rsidRPr="005C3043">
        <w:rPr>
          <w:rFonts w:ascii="Times New Roman" w:hAnsi="Times New Roman" w:cs="Times New Roman"/>
          <w:smallCaps/>
        </w:rPr>
        <w:t>d</w:t>
      </w:r>
      <w:r w:rsidRPr="005C3043">
        <w:rPr>
          <w:rFonts w:ascii="Times New Roman" w:hAnsi="Times New Roman" w:cs="Times New Roman"/>
        </w:rPr>
        <w:t xml:space="preserve">-glutamine and </w:t>
      </w:r>
      <w:r w:rsidRPr="005C3043">
        <w:rPr>
          <w:rFonts w:ascii="Times New Roman" w:hAnsi="Times New Roman" w:cs="Times New Roman"/>
          <w:smallCaps/>
        </w:rPr>
        <w:t>d</w:t>
      </w:r>
      <w:r w:rsidRPr="005C3043">
        <w:rPr>
          <w:rFonts w:ascii="Times New Roman" w:hAnsi="Times New Roman" w:cs="Times New Roman"/>
        </w:rPr>
        <w:t xml:space="preserve">- </w:t>
      </w:r>
    </w:p>
    <w:p w14:paraId="46A3C4DD" w14:textId="77777777" w:rsidR="00DF5C47" w:rsidRPr="005C3043" w:rsidRDefault="00DF5C47" w:rsidP="00021AAA">
      <w:pPr>
        <w:spacing w:line="480" w:lineRule="auto"/>
        <w:ind w:firstLine="720"/>
        <w:jc w:val="both"/>
        <w:rPr>
          <w:rFonts w:ascii="Times New Roman" w:hAnsi="Times New Roman" w:cs="Times New Roman"/>
        </w:rPr>
      </w:pPr>
    </w:p>
    <w:p w14:paraId="20A3B9B1" w14:textId="239E9106" w:rsidR="00F936B1" w:rsidRPr="00A42976" w:rsidRDefault="003B42FF" w:rsidP="00154DC0">
      <w:pPr>
        <w:spacing w:line="480" w:lineRule="auto"/>
        <w:rPr>
          <w:rFonts w:ascii="Times New Roman" w:hAnsi="Times New Roman" w:cs="Times New Roman"/>
        </w:rPr>
      </w:pPr>
      <w:r w:rsidRPr="00A42976">
        <w:rPr>
          <w:rFonts w:ascii="Times New Roman" w:hAnsi="Times New Roman" w:cs="Times New Roman"/>
          <w:noProof/>
        </w:rPr>
        <w:drawing>
          <wp:inline distT="0" distB="0" distL="0" distR="0" wp14:anchorId="152E5E7C" wp14:editId="2E551D32">
            <wp:extent cx="5486400" cy="578294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heatmap5.png"/>
                    <pic:cNvPicPr/>
                  </pic:nvPicPr>
                  <pic:blipFill>
                    <a:blip r:embed="rId14">
                      <a:extLst>
                        <a:ext uri="{28A0092B-C50C-407E-A947-70E740481C1C}">
                          <a14:useLocalDpi xmlns:a14="http://schemas.microsoft.com/office/drawing/2010/main" val="0"/>
                        </a:ext>
                      </a:extLst>
                    </a:blip>
                    <a:stretch>
                      <a:fillRect/>
                    </a:stretch>
                  </pic:blipFill>
                  <pic:spPr>
                    <a:xfrm>
                      <a:off x="0" y="0"/>
                      <a:ext cx="5486400" cy="5782945"/>
                    </a:xfrm>
                    <a:prstGeom prst="rect">
                      <a:avLst/>
                    </a:prstGeom>
                  </pic:spPr>
                </pic:pic>
              </a:graphicData>
            </a:graphic>
          </wp:inline>
        </w:drawing>
      </w:r>
    </w:p>
    <w:p w14:paraId="4D49A6E6" w14:textId="495CF4B7" w:rsidR="00F936B1" w:rsidRPr="005C3043" w:rsidRDefault="00F936B1" w:rsidP="00F672B3">
      <w:pPr>
        <w:jc w:val="both"/>
        <w:rPr>
          <w:rFonts w:ascii="Times New Roman" w:hAnsi="Times New Roman" w:cs="Times New Roman"/>
        </w:rPr>
      </w:pPr>
      <w:r w:rsidRPr="00A42976">
        <w:rPr>
          <w:rFonts w:ascii="Times New Roman" w:hAnsi="Times New Roman" w:cs="Times New Roman"/>
          <w:b/>
        </w:rPr>
        <w:t xml:space="preserve">Figure </w:t>
      </w:r>
      <w:r w:rsidR="00624151" w:rsidRPr="00A42976">
        <w:rPr>
          <w:rFonts w:ascii="Times New Roman" w:hAnsi="Times New Roman" w:cs="Times New Roman"/>
          <w:b/>
        </w:rPr>
        <w:t>3</w:t>
      </w:r>
      <w:r w:rsidRPr="00A42976">
        <w:rPr>
          <w:rFonts w:ascii="Times New Roman" w:hAnsi="Times New Roman" w:cs="Times New Roman"/>
          <w:b/>
        </w:rPr>
        <w:t xml:space="preserve">. </w:t>
      </w:r>
      <w:r w:rsidRPr="00A42976">
        <w:rPr>
          <w:rFonts w:ascii="Times New Roman" w:hAnsi="Times New Roman" w:cs="Times New Roman"/>
        </w:rPr>
        <w:t>Heatmap of 38 metabolites detected in pre-ovulatory follicular fluid. Metabolites are listed as row titles and the pre-ovulatory follicle diameter at the time of gonadotropin releasing hormone administration to induce a pre-ovulatory gonadotropin surge (GnRH2) corresponding to each follicular fluid sample is</w:t>
      </w:r>
      <w:r w:rsidRPr="000B5F79">
        <w:rPr>
          <w:rFonts w:ascii="Times New Roman" w:hAnsi="Times New Roman" w:cs="Times New Roman"/>
        </w:rPr>
        <w:t xml:space="preserve"> listed under each column. Log2(peak area) of each metabolite within each sample is designated by increasing color in</w:t>
      </w:r>
      <w:r w:rsidRPr="005C3043">
        <w:rPr>
          <w:rFonts w:ascii="Times New Roman" w:hAnsi="Times New Roman" w:cs="Times New Roman"/>
        </w:rPr>
        <w:t xml:space="preserve">tensity. The color intensity scale depicts differences in peak area across all metabolites and demonstrates metabolites present in higher (darker color) and lower (lighter color) concentration in the follicular fluid. </w:t>
      </w:r>
    </w:p>
    <w:p w14:paraId="7478DB9A" w14:textId="77777777" w:rsidR="00240E10" w:rsidRPr="005C3043" w:rsidRDefault="00240E10" w:rsidP="00240E10">
      <w:pPr>
        <w:spacing w:line="480" w:lineRule="auto"/>
        <w:jc w:val="both"/>
        <w:rPr>
          <w:rFonts w:ascii="Times New Roman" w:hAnsi="Times New Roman" w:cs="Times New Roman"/>
        </w:rPr>
      </w:pPr>
    </w:p>
    <w:p w14:paraId="223A90E9" w14:textId="4DB0033B" w:rsidR="00F936B1" w:rsidRPr="00A42976" w:rsidRDefault="00F936B1" w:rsidP="00240E10">
      <w:pPr>
        <w:spacing w:line="480" w:lineRule="auto"/>
        <w:jc w:val="both"/>
        <w:rPr>
          <w:rFonts w:ascii="Times New Roman" w:hAnsi="Times New Roman" w:cs="Times New Roman"/>
        </w:rPr>
      </w:pPr>
      <w:r w:rsidRPr="00A42976">
        <w:rPr>
          <w:rFonts w:ascii="Times New Roman" w:hAnsi="Times New Roman" w:cs="Times New Roman"/>
          <w:noProof/>
        </w:rPr>
        <w:drawing>
          <wp:inline distT="0" distB="0" distL="0" distR="0" wp14:anchorId="5DEF9924" wp14:editId="60A8F3AC">
            <wp:extent cx="4455042" cy="5926251"/>
            <wp:effectExtent l="0" t="0" r="3175" b="0"/>
            <wp:docPr id="22"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4512793" cy="6003073"/>
                    </a:xfrm>
                    <a:prstGeom prst="rect">
                      <a:avLst/>
                    </a:prstGeom>
                  </pic:spPr>
                </pic:pic>
              </a:graphicData>
            </a:graphic>
          </wp:inline>
        </w:drawing>
      </w:r>
    </w:p>
    <w:p w14:paraId="74037A76" w14:textId="77777777" w:rsidR="002A2CEC" w:rsidRPr="000B5F79" w:rsidRDefault="002A2CEC" w:rsidP="002A2CEC">
      <w:pPr>
        <w:jc w:val="both"/>
        <w:rPr>
          <w:rFonts w:ascii="Times New Roman" w:hAnsi="Times New Roman" w:cs="Times New Roman"/>
        </w:rPr>
      </w:pPr>
      <w:r w:rsidRPr="00A42976">
        <w:rPr>
          <w:rFonts w:ascii="Times New Roman" w:hAnsi="Times New Roman" w:cs="Times New Roman"/>
          <w:b/>
        </w:rPr>
        <w:t>Figure 4.</w:t>
      </w:r>
      <w:r w:rsidRPr="00A42976">
        <w:rPr>
          <w:rFonts w:ascii="Times New Roman" w:hAnsi="Times New Roman" w:cs="Times New Roman"/>
        </w:rPr>
        <w:t xml:space="preserve"> Scatter plots of the correlation between metabolite peak area and follicle diameter at the time of gonadotropin releasing hormone (GnRH2) administration to induce the pre-ovulatory gonadotropin surge for 18 metabolites that were significantly cor</w:t>
      </w:r>
      <w:r w:rsidRPr="000B5F79">
        <w:rPr>
          <w:rFonts w:ascii="Times New Roman" w:hAnsi="Times New Roman" w:cs="Times New Roman"/>
        </w:rPr>
        <w:t xml:space="preserve">related with increasing follicle diameter at GnRH2 (FDR&lt;0.05). </w:t>
      </w:r>
    </w:p>
    <w:p w14:paraId="61B631A0" w14:textId="447DE712" w:rsidR="00240E10" w:rsidRDefault="00240E10" w:rsidP="00F672B3">
      <w:pPr>
        <w:jc w:val="both"/>
        <w:rPr>
          <w:rFonts w:ascii="Times New Roman" w:hAnsi="Times New Roman" w:cs="Times New Roman"/>
          <w:b/>
        </w:rPr>
      </w:pPr>
    </w:p>
    <w:p w14:paraId="2D166E17" w14:textId="508A25F2" w:rsidR="002A2CEC" w:rsidRDefault="002A2CEC" w:rsidP="00F672B3">
      <w:pPr>
        <w:jc w:val="both"/>
        <w:rPr>
          <w:rFonts w:ascii="Times New Roman" w:hAnsi="Times New Roman" w:cs="Times New Roman"/>
          <w:b/>
        </w:rPr>
      </w:pPr>
    </w:p>
    <w:p w14:paraId="5EDE9A97" w14:textId="1CDD7F5B" w:rsidR="002A2CEC" w:rsidRDefault="002A2CEC" w:rsidP="00F672B3">
      <w:pPr>
        <w:jc w:val="both"/>
        <w:rPr>
          <w:rFonts w:ascii="Times New Roman" w:hAnsi="Times New Roman" w:cs="Times New Roman"/>
          <w:b/>
        </w:rPr>
      </w:pPr>
    </w:p>
    <w:p w14:paraId="0DAED338" w14:textId="5C006091" w:rsidR="00DF5C47" w:rsidRDefault="00784DB7" w:rsidP="00DF5C47">
      <w:pPr>
        <w:spacing w:line="480" w:lineRule="auto"/>
        <w:jc w:val="both"/>
        <w:rPr>
          <w:rFonts w:ascii="Times New Roman" w:hAnsi="Times New Roman" w:cs="Times New Roman"/>
        </w:rPr>
      </w:pPr>
      <w:r w:rsidRPr="005C3043">
        <w:rPr>
          <w:rFonts w:ascii="Times New Roman" w:hAnsi="Times New Roman" w:cs="Times New Roman"/>
        </w:rPr>
        <w:lastRenderedPageBreak/>
        <w:t xml:space="preserve">glutamate metabolism’ (FDR=0.020; Table 1). Significantly enriched pathways and literature review of all metabolites whose abundance was correlated with pre-ovulatory </w:t>
      </w:r>
      <w:r w:rsidR="00DF5C47" w:rsidRPr="005C3043">
        <w:rPr>
          <w:rFonts w:ascii="Times New Roman" w:hAnsi="Times New Roman" w:cs="Times New Roman"/>
        </w:rPr>
        <w:t xml:space="preserve">follicle diameter highlighted key processes related to metabolism, transcription, and translation.  Follicular fluid pyruvate concentration significantly increased with increasing follicle diameter at GnRH2 administration (FDR=0.032; Figure 4J). The intrafollicular cumulus cells that envelop the oocyte have a high capacity to convert glucose to pyruvate via glycolysis, and glucose consumption by cumulus cells increases during the first 18 hours of oocyte maturation </w:t>
      </w:r>
      <w:r w:rsidR="00DF5C47" w:rsidRPr="005C3043">
        <w:rPr>
          <w:rFonts w:ascii="Times New Roman" w:hAnsi="Times New Roman" w:cs="Times New Roman"/>
          <w:noProof/>
        </w:rPr>
        <w:t>(Rieger and Loskutoff, 1994; Sutton-McDowall et al., 2004; Harris et al., 2007; Thompson, 2014)</w:t>
      </w:r>
      <w:r w:rsidR="00DF5C47" w:rsidRPr="005C3043">
        <w:rPr>
          <w:rFonts w:ascii="Times New Roman" w:hAnsi="Times New Roman" w:cs="Times New Roman"/>
        </w:rPr>
        <w:t>. We recently discovered that cumulus cells from small pre-ovulatory follicles had reduced transcript abundance for hexokinase and phosphofructokinase enzymes, which suggests decreased glycolytic capacity for pyruvate production in the cumulus cells of smaller pre-ovulatory follicles</w:t>
      </w:r>
      <w:r w:rsidR="00DF5C47" w:rsidRPr="005C3043">
        <w:rPr>
          <w:rFonts w:ascii="Times New Roman" w:hAnsi="Times New Roman" w:cs="Times New Roman"/>
          <w:noProof/>
        </w:rPr>
        <w:t xml:space="preserve"> (Moorey et al., 2021)</w:t>
      </w:r>
      <w:r w:rsidR="00DF5C47" w:rsidRPr="005C3043">
        <w:rPr>
          <w:rFonts w:ascii="Times New Roman" w:hAnsi="Times New Roman" w:cs="Times New Roman"/>
        </w:rPr>
        <w:t xml:space="preserve">. Cumulus cell-produced pyruvate was effectively transferred to both the enclosed oocyte and surrounding medium during </w:t>
      </w:r>
      <w:r w:rsidR="00DF5C47" w:rsidRPr="005C3043">
        <w:rPr>
          <w:rFonts w:ascii="Times New Roman" w:hAnsi="Times New Roman" w:cs="Times New Roman"/>
          <w:i/>
          <w:iCs/>
        </w:rPr>
        <w:t>in vitro</w:t>
      </w:r>
      <w:r w:rsidR="00DF5C47" w:rsidRPr="005C3043">
        <w:rPr>
          <w:rFonts w:ascii="Times New Roman" w:hAnsi="Times New Roman" w:cs="Times New Roman"/>
        </w:rPr>
        <w:t xml:space="preserve"> studies, with increased pyruvate concentration detected in the medium as maturation progressed </w:t>
      </w:r>
      <w:r w:rsidR="00DF5C47" w:rsidRPr="005C3043">
        <w:rPr>
          <w:rFonts w:ascii="Times New Roman" w:hAnsi="Times New Roman" w:cs="Times New Roman"/>
          <w:noProof/>
        </w:rPr>
        <w:t>(Uhde et al., 2018b)</w:t>
      </w:r>
      <w:r w:rsidR="00DF5C47" w:rsidRPr="005C3043">
        <w:rPr>
          <w:rFonts w:ascii="Times New Roman" w:hAnsi="Times New Roman" w:cs="Times New Roman"/>
        </w:rPr>
        <w:t>.</w:t>
      </w:r>
    </w:p>
    <w:p w14:paraId="76632C38" w14:textId="77777777" w:rsidR="00DF5C47" w:rsidRPr="00C87A3E" w:rsidRDefault="00DF5C47" w:rsidP="00DF5C47">
      <w:pPr>
        <w:spacing w:line="480" w:lineRule="auto"/>
        <w:ind w:firstLine="720"/>
        <w:jc w:val="both"/>
        <w:rPr>
          <w:rFonts w:ascii="Times New Roman" w:hAnsi="Times New Roman" w:cs="Times New Roman"/>
        </w:rPr>
      </w:pPr>
      <w:r w:rsidRPr="00A42976">
        <w:rPr>
          <w:rFonts w:ascii="Times New Roman" w:hAnsi="Times New Roman" w:cs="Times New Roman"/>
        </w:rPr>
        <w:t>Therefore, it is logical that increased concentration of follicular fluid pyruvate in the current study may be the result of increased pyruvate production by the cumulus cells of larger follicles. The oocyte has a poor capacity to metabolize glucose and re</w:t>
      </w:r>
      <w:r w:rsidRPr="000B5F79">
        <w:rPr>
          <w:rFonts w:ascii="Times New Roman" w:hAnsi="Times New Roman" w:cs="Times New Roman"/>
        </w:rPr>
        <w:t>lies on pyruvate transferred from the cumulus cells and surrounding follicular environment to drive oxidative phosphorylation and ATP production for energy demanding processes of maturation, fertilization, cleavage, and early embryonic development</w:t>
      </w:r>
      <w:r w:rsidRPr="005C3043">
        <w:rPr>
          <w:rFonts w:ascii="Times New Roman" w:hAnsi="Times New Roman" w:cs="Times New Roman"/>
          <w:noProof/>
        </w:rPr>
        <w:t xml:space="preserve"> (Biggers et al., 1967; Cetica et al., 2002; Warzych and Lipinska, 2020)</w:t>
      </w:r>
      <w:r w:rsidRPr="00C87A3E">
        <w:rPr>
          <w:rFonts w:ascii="Times New Roman" w:hAnsi="Times New Roman" w:cs="Times New Roman"/>
        </w:rPr>
        <w:t xml:space="preserve">. </w:t>
      </w:r>
    </w:p>
    <w:p w14:paraId="3D8D44AE" w14:textId="77777777" w:rsidR="00F936B1" w:rsidRPr="005C3043" w:rsidRDefault="00F936B1" w:rsidP="00F672B3">
      <w:pPr>
        <w:jc w:val="both"/>
        <w:rPr>
          <w:rFonts w:ascii="Times New Roman" w:hAnsi="Times New Roman" w:cs="Times New Roman"/>
        </w:rPr>
      </w:pPr>
      <w:r w:rsidRPr="003B6B38">
        <w:rPr>
          <w:rFonts w:ascii="Times New Roman" w:hAnsi="Times New Roman" w:cs="Times New Roman"/>
          <w:b/>
        </w:rPr>
        <w:lastRenderedPageBreak/>
        <w:t>Table 1.</w:t>
      </w:r>
      <w:r w:rsidRPr="005C3043">
        <w:rPr>
          <w:rFonts w:ascii="Times New Roman" w:hAnsi="Times New Roman" w:cs="Times New Roman"/>
        </w:rPr>
        <w:t xml:space="preserve"> KEGG pathways significantly enriched with metabolites that were significantly correlated with increasing pre-ovulatory follicle diameter. </w:t>
      </w:r>
    </w:p>
    <w:tbl>
      <w:tblPr>
        <w:tblStyle w:val="TableGrid"/>
        <w:tblW w:w="8545" w:type="dxa"/>
        <w:tblLook w:val="04A0" w:firstRow="1" w:lastRow="0" w:firstColumn="1" w:lastColumn="0" w:noHBand="0" w:noVBand="1"/>
      </w:tblPr>
      <w:tblGrid>
        <w:gridCol w:w="1165"/>
        <w:gridCol w:w="2430"/>
        <w:gridCol w:w="1080"/>
        <w:gridCol w:w="900"/>
        <w:gridCol w:w="2970"/>
      </w:tblGrid>
      <w:tr w:rsidR="00F936B1" w:rsidRPr="005C3043" w14:paraId="0283FEE2" w14:textId="77777777" w:rsidTr="002A2CEC">
        <w:trPr>
          <w:trHeight w:val="890"/>
        </w:trPr>
        <w:tc>
          <w:tcPr>
            <w:tcW w:w="1165" w:type="dxa"/>
            <w:vAlign w:val="center"/>
          </w:tcPr>
          <w:p w14:paraId="6F909954" w14:textId="77777777" w:rsidR="00F936B1" w:rsidRPr="002A2CEC" w:rsidRDefault="00F936B1" w:rsidP="00240E10">
            <w:pPr>
              <w:rPr>
                <w:rFonts w:ascii="Times New Roman" w:hAnsi="Times New Roman" w:cs="Times New Roman"/>
                <w:b/>
                <w:bCs/>
                <w:sz w:val="22"/>
                <w:szCs w:val="22"/>
              </w:rPr>
            </w:pPr>
            <w:r w:rsidRPr="002A2CEC">
              <w:rPr>
                <w:rFonts w:ascii="Times New Roman" w:hAnsi="Times New Roman" w:cs="Times New Roman"/>
                <w:b/>
                <w:bCs/>
                <w:sz w:val="22"/>
                <w:szCs w:val="22"/>
              </w:rPr>
              <w:t>Pathway</w:t>
            </w:r>
          </w:p>
        </w:tc>
        <w:tc>
          <w:tcPr>
            <w:tcW w:w="2430" w:type="dxa"/>
            <w:vAlign w:val="center"/>
          </w:tcPr>
          <w:p w14:paraId="19572EB8" w14:textId="77777777" w:rsidR="00F936B1" w:rsidRPr="002A2CEC" w:rsidRDefault="00F936B1" w:rsidP="00240E10">
            <w:pPr>
              <w:rPr>
                <w:rFonts w:ascii="Times New Roman" w:hAnsi="Times New Roman" w:cs="Times New Roman"/>
                <w:b/>
                <w:bCs/>
                <w:sz w:val="22"/>
                <w:szCs w:val="22"/>
                <w:vertAlign w:val="superscript"/>
              </w:rPr>
            </w:pPr>
            <w:r w:rsidRPr="002A2CEC">
              <w:rPr>
                <w:rFonts w:ascii="Times New Roman" w:hAnsi="Times New Roman" w:cs="Times New Roman"/>
                <w:b/>
                <w:bCs/>
                <w:sz w:val="22"/>
                <w:szCs w:val="22"/>
              </w:rPr>
              <w:t>Pathway Name</w:t>
            </w:r>
          </w:p>
        </w:tc>
        <w:tc>
          <w:tcPr>
            <w:tcW w:w="1080" w:type="dxa"/>
            <w:vAlign w:val="center"/>
          </w:tcPr>
          <w:p w14:paraId="40A7FE6B" w14:textId="49F04338" w:rsidR="00F936B1" w:rsidRPr="002A2CEC" w:rsidRDefault="00F936B1" w:rsidP="00240E10">
            <w:pPr>
              <w:rPr>
                <w:rFonts w:ascii="Times New Roman" w:hAnsi="Times New Roman" w:cs="Times New Roman"/>
                <w:b/>
                <w:bCs/>
                <w:sz w:val="22"/>
                <w:szCs w:val="22"/>
                <w:vertAlign w:val="superscript"/>
              </w:rPr>
            </w:pPr>
            <w:r w:rsidRPr="002A2CEC">
              <w:rPr>
                <w:rFonts w:ascii="Times New Roman" w:hAnsi="Times New Roman" w:cs="Times New Roman"/>
                <w:b/>
                <w:bCs/>
                <w:sz w:val="22"/>
                <w:szCs w:val="22"/>
              </w:rPr>
              <w:t>Match Status</w:t>
            </w:r>
            <w:r w:rsidR="00240E10" w:rsidRPr="002A2CEC">
              <w:rPr>
                <w:rFonts w:ascii="Times New Roman" w:hAnsi="Times New Roman" w:cs="Times New Roman"/>
                <w:b/>
                <w:bCs/>
                <w:sz w:val="22"/>
                <w:szCs w:val="22"/>
                <w:vertAlign w:val="superscript"/>
              </w:rPr>
              <w:t>1</w:t>
            </w:r>
          </w:p>
        </w:tc>
        <w:tc>
          <w:tcPr>
            <w:tcW w:w="900" w:type="dxa"/>
            <w:vAlign w:val="center"/>
          </w:tcPr>
          <w:p w14:paraId="07D823D8" w14:textId="52205115" w:rsidR="00F936B1" w:rsidRPr="002A2CEC" w:rsidRDefault="00F936B1" w:rsidP="00240E10">
            <w:pPr>
              <w:rPr>
                <w:rFonts w:ascii="Times New Roman" w:hAnsi="Times New Roman" w:cs="Times New Roman"/>
                <w:b/>
                <w:bCs/>
                <w:sz w:val="22"/>
                <w:szCs w:val="22"/>
                <w:vertAlign w:val="superscript"/>
              </w:rPr>
            </w:pPr>
            <w:r w:rsidRPr="002A2CEC">
              <w:rPr>
                <w:rFonts w:ascii="Times New Roman" w:hAnsi="Times New Roman" w:cs="Times New Roman"/>
                <w:b/>
                <w:bCs/>
                <w:sz w:val="22"/>
                <w:szCs w:val="22"/>
              </w:rPr>
              <w:t>FDR</w:t>
            </w:r>
            <w:r w:rsidR="00240E10" w:rsidRPr="002A2CEC">
              <w:rPr>
                <w:rFonts w:ascii="Times New Roman" w:hAnsi="Times New Roman" w:cs="Times New Roman"/>
                <w:b/>
                <w:bCs/>
                <w:sz w:val="22"/>
                <w:szCs w:val="22"/>
                <w:vertAlign w:val="superscript"/>
              </w:rPr>
              <w:t>2</w:t>
            </w:r>
          </w:p>
        </w:tc>
        <w:tc>
          <w:tcPr>
            <w:tcW w:w="2970" w:type="dxa"/>
            <w:vAlign w:val="center"/>
          </w:tcPr>
          <w:p w14:paraId="09E3C833" w14:textId="335B798A" w:rsidR="00F936B1" w:rsidRPr="002A2CEC" w:rsidRDefault="00F936B1" w:rsidP="00240E10">
            <w:pPr>
              <w:rPr>
                <w:rFonts w:ascii="Times New Roman" w:hAnsi="Times New Roman" w:cs="Times New Roman"/>
                <w:b/>
                <w:bCs/>
                <w:sz w:val="22"/>
                <w:szCs w:val="22"/>
                <w:vertAlign w:val="superscript"/>
              </w:rPr>
            </w:pPr>
            <w:r w:rsidRPr="002A2CEC">
              <w:rPr>
                <w:rFonts w:ascii="Times New Roman" w:hAnsi="Times New Roman" w:cs="Times New Roman"/>
                <w:b/>
                <w:bCs/>
                <w:sz w:val="22"/>
                <w:szCs w:val="22"/>
              </w:rPr>
              <w:t>Differentially Abundant Metabolites in Pathway</w:t>
            </w:r>
            <w:r w:rsidR="00240E10" w:rsidRPr="002A2CEC">
              <w:rPr>
                <w:rFonts w:ascii="Times New Roman" w:hAnsi="Times New Roman" w:cs="Times New Roman"/>
                <w:b/>
                <w:bCs/>
                <w:sz w:val="22"/>
                <w:szCs w:val="22"/>
                <w:vertAlign w:val="superscript"/>
              </w:rPr>
              <w:t>3</w:t>
            </w:r>
          </w:p>
        </w:tc>
      </w:tr>
      <w:tr w:rsidR="00F936B1" w:rsidRPr="005C3043" w14:paraId="40D05DE3" w14:textId="77777777" w:rsidTr="002A2CEC">
        <w:tc>
          <w:tcPr>
            <w:tcW w:w="1165" w:type="dxa"/>
          </w:tcPr>
          <w:p w14:paraId="1CD5D9FA" w14:textId="77777777" w:rsidR="00F936B1" w:rsidRPr="002A2CEC" w:rsidRDefault="00F936B1" w:rsidP="00240E10">
            <w:pPr>
              <w:rPr>
                <w:rFonts w:ascii="Times New Roman" w:hAnsi="Times New Roman" w:cs="Times New Roman"/>
                <w:sz w:val="22"/>
                <w:szCs w:val="22"/>
              </w:rPr>
            </w:pPr>
            <w:r w:rsidRPr="002A2CEC">
              <w:rPr>
                <w:rFonts w:ascii="Times New Roman" w:hAnsi="Times New Roman" w:cs="Times New Roman"/>
                <w:sz w:val="22"/>
                <w:szCs w:val="22"/>
              </w:rPr>
              <w:t>bta00250</w:t>
            </w:r>
          </w:p>
        </w:tc>
        <w:tc>
          <w:tcPr>
            <w:tcW w:w="2430" w:type="dxa"/>
          </w:tcPr>
          <w:p w14:paraId="5318164D" w14:textId="77777777" w:rsidR="00F936B1" w:rsidRPr="002A2CEC" w:rsidRDefault="00F936B1" w:rsidP="00240E10">
            <w:pPr>
              <w:rPr>
                <w:rFonts w:ascii="Times New Roman" w:hAnsi="Times New Roman" w:cs="Times New Roman"/>
                <w:sz w:val="22"/>
                <w:szCs w:val="22"/>
              </w:rPr>
            </w:pPr>
            <w:r w:rsidRPr="002A2CEC">
              <w:rPr>
                <w:rFonts w:ascii="Times New Roman" w:hAnsi="Times New Roman" w:cs="Times New Roman"/>
                <w:sz w:val="22"/>
                <w:szCs w:val="22"/>
              </w:rPr>
              <w:t xml:space="preserve">alanine, </w:t>
            </w:r>
            <w:proofErr w:type="gramStart"/>
            <w:r w:rsidRPr="002A2CEC">
              <w:rPr>
                <w:rFonts w:ascii="Times New Roman" w:hAnsi="Times New Roman" w:cs="Times New Roman"/>
                <w:sz w:val="22"/>
                <w:szCs w:val="22"/>
              </w:rPr>
              <w:t>aspartate</w:t>
            </w:r>
            <w:proofErr w:type="gramEnd"/>
            <w:r w:rsidRPr="002A2CEC">
              <w:rPr>
                <w:rFonts w:ascii="Times New Roman" w:hAnsi="Times New Roman" w:cs="Times New Roman"/>
                <w:sz w:val="22"/>
                <w:szCs w:val="22"/>
              </w:rPr>
              <w:t xml:space="preserve"> and glutamate metabolism</w:t>
            </w:r>
          </w:p>
        </w:tc>
        <w:tc>
          <w:tcPr>
            <w:tcW w:w="1080" w:type="dxa"/>
          </w:tcPr>
          <w:p w14:paraId="5E1C6794" w14:textId="77777777" w:rsidR="00F936B1" w:rsidRPr="002A2CEC" w:rsidRDefault="00F936B1" w:rsidP="00240E10">
            <w:pPr>
              <w:rPr>
                <w:rFonts w:ascii="Times New Roman" w:hAnsi="Times New Roman" w:cs="Times New Roman"/>
                <w:sz w:val="22"/>
                <w:szCs w:val="22"/>
              </w:rPr>
            </w:pPr>
            <w:r w:rsidRPr="002A2CEC">
              <w:rPr>
                <w:rFonts w:ascii="Times New Roman" w:hAnsi="Times New Roman" w:cs="Times New Roman"/>
                <w:sz w:val="22"/>
                <w:szCs w:val="22"/>
              </w:rPr>
              <w:t>4/28</w:t>
            </w:r>
          </w:p>
        </w:tc>
        <w:tc>
          <w:tcPr>
            <w:tcW w:w="900" w:type="dxa"/>
          </w:tcPr>
          <w:p w14:paraId="02BE9048" w14:textId="77777777" w:rsidR="00F936B1" w:rsidRPr="002A2CEC" w:rsidRDefault="00F936B1" w:rsidP="00240E10">
            <w:pPr>
              <w:rPr>
                <w:rFonts w:ascii="Times New Roman" w:hAnsi="Times New Roman" w:cs="Times New Roman"/>
                <w:sz w:val="22"/>
                <w:szCs w:val="22"/>
              </w:rPr>
            </w:pPr>
            <w:r w:rsidRPr="002A2CEC">
              <w:rPr>
                <w:rFonts w:ascii="Times New Roman" w:hAnsi="Times New Roman" w:cs="Times New Roman"/>
                <w:sz w:val="22"/>
                <w:szCs w:val="22"/>
              </w:rPr>
              <w:t>0.009</w:t>
            </w:r>
          </w:p>
        </w:tc>
        <w:tc>
          <w:tcPr>
            <w:tcW w:w="2970" w:type="dxa"/>
          </w:tcPr>
          <w:p w14:paraId="63B1C2C4" w14:textId="498EFC77" w:rsidR="00F936B1" w:rsidRPr="002A2CEC" w:rsidRDefault="00F936B1" w:rsidP="00240E10">
            <w:pPr>
              <w:rPr>
                <w:rFonts w:ascii="Times New Roman" w:hAnsi="Times New Roman" w:cs="Times New Roman"/>
                <w:sz w:val="22"/>
                <w:szCs w:val="22"/>
              </w:rPr>
            </w:pPr>
            <w:r w:rsidRPr="002A2CEC">
              <w:rPr>
                <w:rFonts w:ascii="Times New Roman" w:hAnsi="Times New Roman" w:cs="Times New Roman"/>
                <w:sz w:val="22"/>
                <w:szCs w:val="22"/>
              </w:rPr>
              <w:t xml:space="preserve">Alpha-Ketoglutarate </w:t>
            </w:r>
            <w:r w:rsidR="00240E10" w:rsidRPr="002A2CEC">
              <w:rPr>
                <w:rFonts w:ascii="Times New Roman" w:hAnsi="Times New Roman" w:cs="Times New Roman"/>
                <w:sz w:val="22"/>
                <w:szCs w:val="22"/>
              </w:rPr>
              <w:t>(C00026)</w:t>
            </w:r>
            <w:r w:rsidRPr="002A2CEC">
              <w:rPr>
                <w:rFonts w:ascii="Times New Roman" w:hAnsi="Times New Roman" w:cs="Times New Roman"/>
                <w:sz w:val="22"/>
                <w:szCs w:val="22"/>
              </w:rPr>
              <w:t xml:space="preserve"> Aspartate</w:t>
            </w:r>
            <w:r w:rsidR="00240E10" w:rsidRPr="002A2CEC">
              <w:rPr>
                <w:rFonts w:ascii="Times New Roman" w:hAnsi="Times New Roman" w:cs="Times New Roman"/>
                <w:sz w:val="22"/>
                <w:szCs w:val="22"/>
              </w:rPr>
              <w:t xml:space="preserve"> (C00049)</w:t>
            </w:r>
          </w:p>
          <w:p w14:paraId="3589C447" w14:textId="21C9D157" w:rsidR="00F936B1" w:rsidRPr="002A2CEC" w:rsidRDefault="00F936B1" w:rsidP="00240E10">
            <w:pPr>
              <w:rPr>
                <w:rFonts w:ascii="Times New Roman" w:hAnsi="Times New Roman" w:cs="Times New Roman"/>
                <w:sz w:val="22"/>
                <w:szCs w:val="22"/>
              </w:rPr>
            </w:pPr>
            <w:r w:rsidRPr="002A2CEC">
              <w:rPr>
                <w:rFonts w:ascii="Times New Roman" w:hAnsi="Times New Roman" w:cs="Times New Roman"/>
                <w:sz w:val="22"/>
                <w:szCs w:val="22"/>
              </w:rPr>
              <w:t>Glutamate</w:t>
            </w:r>
            <w:r w:rsidR="00240E10" w:rsidRPr="002A2CEC">
              <w:rPr>
                <w:rFonts w:ascii="Times New Roman" w:hAnsi="Times New Roman" w:cs="Times New Roman"/>
                <w:sz w:val="22"/>
                <w:szCs w:val="22"/>
              </w:rPr>
              <w:t xml:space="preserve"> (C00025)</w:t>
            </w:r>
          </w:p>
          <w:p w14:paraId="6B0BDAA8" w14:textId="3F904B72" w:rsidR="00F936B1" w:rsidRPr="002A2CEC" w:rsidRDefault="00F936B1" w:rsidP="00240E10">
            <w:pPr>
              <w:rPr>
                <w:rFonts w:ascii="Times New Roman" w:hAnsi="Times New Roman" w:cs="Times New Roman"/>
                <w:sz w:val="22"/>
                <w:szCs w:val="22"/>
              </w:rPr>
            </w:pPr>
            <w:r w:rsidRPr="002A2CEC">
              <w:rPr>
                <w:rFonts w:ascii="Times New Roman" w:hAnsi="Times New Roman" w:cs="Times New Roman"/>
                <w:sz w:val="22"/>
                <w:szCs w:val="22"/>
              </w:rPr>
              <w:t>Pyruvate</w:t>
            </w:r>
            <w:r w:rsidR="00240E10" w:rsidRPr="002A2CEC">
              <w:rPr>
                <w:rFonts w:ascii="Times New Roman" w:hAnsi="Times New Roman" w:cs="Times New Roman"/>
                <w:sz w:val="22"/>
                <w:szCs w:val="22"/>
              </w:rPr>
              <w:t xml:space="preserve"> (C00022)</w:t>
            </w:r>
          </w:p>
        </w:tc>
      </w:tr>
      <w:tr w:rsidR="00F936B1" w:rsidRPr="005C3043" w14:paraId="27C73715" w14:textId="77777777" w:rsidTr="002A2CEC">
        <w:tc>
          <w:tcPr>
            <w:tcW w:w="1165" w:type="dxa"/>
          </w:tcPr>
          <w:p w14:paraId="14AEA06A" w14:textId="77777777" w:rsidR="00F936B1" w:rsidRPr="002A2CEC" w:rsidRDefault="00F936B1" w:rsidP="00240E10">
            <w:pPr>
              <w:rPr>
                <w:rFonts w:ascii="Times New Roman" w:hAnsi="Times New Roman" w:cs="Times New Roman"/>
                <w:sz w:val="22"/>
                <w:szCs w:val="22"/>
              </w:rPr>
            </w:pPr>
            <w:r w:rsidRPr="002A2CEC">
              <w:rPr>
                <w:rFonts w:ascii="Times New Roman" w:hAnsi="Times New Roman" w:cs="Times New Roman"/>
                <w:sz w:val="22"/>
                <w:szCs w:val="22"/>
              </w:rPr>
              <w:t>bta00220</w:t>
            </w:r>
          </w:p>
        </w:tc>
        <w:tc>
          <w:tcPr>
            <w:tcW w:w="2430" w:type="dxa"/>
          </w:tcPr>
          <w:p w14:paraId="0A4CB8E9" w14:textId="77777777" w:rsidR="00F936B1" w:rsidRPr="002A2CEC" w:rsidRDefault="00F936B1" w:rsidP="00240E10">
            <w:pPr>
              <w:rPr>
                <w:rFonts w:ascii="Times New Roman" w:hAnsi="Times New Roman" w:cs="Times New Roman"/>
                <w:sz w:val="22"/>
                <w:szCs w:val="22"/>
              </w:rPr>
            </w:pPr>
            <w:r w:rsidRPr="002A2CEC">
              <w:rPr>
                <w:rFonts w:ascii="Times New Roman" w:hAnsi="Times New Roman" w:cs="Times New Roman"/>
                <w:sz w:val="22"/>
                <w:szCs w:val="22"/>
              </w:rPr>
              <w:t>arginine biosynthesis</w:t>
            </w:r>
          </w:p>
        </w:tc>
        <w:tc>
          <w:tcPr>
            <w:tcW w:w="1080" w:type="dxa"/>
          </w:tcPr>
          <w:p w14:paraId="3C5E712D" w14:textId="77777777" w:rsidR="00F936B1" w:rsidRPr="002A2CEC" w:rsidRDefault="00F936B1" w:rsidP="00240E10">
            <w:pPr>
              <w:rPr>
                <w:rFonts w:ascii="Times New Roman" w:hAnsi="Times New Roman" w:cs="Times New Roman"/>
                <w:sz w:val="22"/>
                <w:szCs w:val="22"/>
              </w:rPr>
            </w:pPr>
            <w:r w:rsidRPr="002A2CEC">
              <w:rPr>
                <w:rFonts w:ascii="Times New Roman" w:hAnsi="Times New Roman" w:cs="Times New Roman"/>
                <w:sz w:val="22"/>
                <w:szCs w:val="22"/>
              </w:rPr>
              <w:t>3/14</w:t>
            </w:r>
          </w:p>
        </w:tc>
        <w:tc>
          <w:tcPr>
            <w:tcW w:w="900" w:type="dxa"/>
          </w:tcPr>
          <w:p w14:paraId="0E289D79" w14:textId="77777777" w:rsidR="00F936B1" w:rsidRPr="002A2CEC" w:rsidRDefault="00F936B1" w:rsidP="00240E10">
            <w:pPr>
              <w:rPr>
                <w:rFonts w:ascii="Times New Roman" w:hAnsi="Times New Roman" w:cs="Times New Roman"/>
                <w:sz w:val="22"/>
                <w:szCs w:val="22"/>
              </w:rPr>
            </w:pPr>
            <w:r w:rsidRPr="002A2CEC">
              <w:rPr>
                <w:rFonts w:ascii="Times New Roman" w:hAnsi="Times New Roman" w:cs="Times New Roman"/>
                <w:sz w:val="22"/>
                <w:szCs w:val="22"/>
              </w:rPr>
              <w:t>0.011</w:t>
            </w:r>
          </w:p>
        </w:tc>
        <w:tc>
          <w:tcPr>
            <w:tcW w:w="2970" w:type="dxa"/>
          </w:tcPr>
          <w:p w14:paraId="7D6345E4" w14:textId="5A3BF766" w:rsidR="00240E10" w:rsidRPr="002A2CEC" w:rsidRDefault="00240E10" w:rsidP="00240E10">
            <w:pPr>
              <w:rPr>
                <w:rFonts w:ascii="Times New Roman" w:hAnsi="Times New Roman" w:cs="Times New Roman"/>
                <w:sz w:val="22"/>
                <w:szCs w:val="22"/>
              </w:rPr>
            </w:pPr>
            <w:r w:rsidRPr="002A2CEC">
              <w:rPr>
                <w:rFonts w:ascii="Times New Roman" w:hAnsi="Times New Roman" w:cs="Times New Roman"/>
                <w:sz w:val="22"/>
                <w:szCs w:val="22"/>
              </w:rPr>
              <w:t>Alpha-Ketoglutarate (C00026) Aspartate (C00049)</w:t>
            </w:r>
          </w:p>
          <w:p w14:paraId="1D42D3E2" w14:textId="7FFE4F7A" w:rsidR="00F936B1" w:rsidRPr="002A2CEC" w:rsidRDefault="00240E10" w:rsidP="00240E10">
            <w:pPr>
              <w:rPr>
                <w:rFonts w:ascii="Times New Roman" w:hAnsi="Times New Roman" w:cs="Times New Roman"/>
                <w:sz w:val="22"/>
                <w:szCs w:val="22"/>
              </w:rPr>
            </w:pPr>
            <w:r w:rsidRPr="002A2CEC">
              <w:rPr>
                <w:rFonts w:ascii="Times New Roman" w:hAnsi="Times New Roman" w:cs="Times New Roman"/>
                <w:sz w:val="22"/>
                <w:szCs w:val="22"/>
              </w:rPr>
              <w:t>Glutamate (C00025)</w:t>
            </w:r>
          </w:p>
        </w:tc>
      </w:tr>
      <w:tr w:rsidR="00F936B1" w:rsidRPr="005C3043" w14:paraId="292CB628" w14:textId="77777777" w:rsidTr="002A2CEC">
        <w:tc>
          <w:tcPr>
            <w:tcW w:w="1165" w:type="dxa"/>
          </w:tcPr>
          <w:p w14:paraId="2098DA07" w14:textId="77777777" w:rsidR="00F936B1" w:rsidRPr="002A2CEC" w:rsidRDefault="00F936B1" w:rsidP="00240E10">
            <w:pPr>
              <w:rPr>
                <w:rFonts w:ascii="Times New Roman" w:hAnsi="Times New Roman" w:cs="Times New Roman"/>
                <w:sz w:val="22"/>
                <w:szCs w:val="22"/>
              </w:rPr>
            </w:pPr>
            <w:r w:rsidRPr="002A2CEC">
              <w:rPr>
                <w:rFonts w:ascii="Times New Roman" w:hAnsi="Times New Roman" w:cs="Times New Roman"/>
                <w:sz w:val="22"/>
                <w:szCs w:val="22"/>
              </w:rPr>
              <w:t>bta00970</w:t>
            </w:r>
          </w:p>
        </w:tc>
        <w:tc>
          <w:tcPr>
            <w:tcW w:w="2430" w:type="dxa"/>
          </w:tcPr>
          <w:p w14:paraId="22F0F744" w14:textId="77777777" w:rsidR="00F936B1" w:rsidRPr="002A2CEC" w:rsidRDefault="00F936B1" w:rsidP="00240E10">
            <w:pPr>
              <w:rPr>
                <w:rFonts w:ascii="Times New Roman" w:hAnsi="Times New Roman" w:cs="Times New Roman"/>
                <w:sz w:val="22"/>
                <w:szCs w:val="22"/>
              </w:rPr>
            </w:pPr>
            <w:r w:rsidRPr="002A2CEC">
              <w:rPr>
                <w:rFonts w:ascii="Times New Roman" w:hAnsi="Times New Roman" w:cs="Times New Roman"/>
                <w:sz w:val="22"/>
                <w:szCs w:val="22"/>
              </w:rPr>
              <w:t xml:space="preserve">aminoacyl-tRNA biosynthesis </w:t>
            </w:r>
          </w:p>
        </w:tc>
        <w:tc>
          <w:tcPr>
            <w:tcW w:w="1080" w:type="dxa"/>
          </w:tcPr>
          <w:p w14:paraId="114AB270" w14:textId="77777777" w:rsidR="00F936B1" w:rsidRPr="002A2CEC" w:rsidRDefault="00F936B1" w:rsidP="00240E10">
            <w:pPr>
              <w:rPr>
                <w:rFonts w:ascii="Times New Roman" w:hAnsi="Times New Roman" w:cs="Times New Roman"/>
                <w:sz w:val="22"/>
                <w:szCs w:val="22"/>
              </w:rPr>
            </w:pPr>
            <w:r w:rsidRPr="002A2CEC">
              <w:rPr>
                <w:rFonts w:ascii="Times New Roman" w:hAnsi="Times New Roman" w:cs="Times New Roman"/>
                <w:sz w:val="22"/>
                <w:szCs w:val="22"/>
              </w:rPr>
              <w:t>4/48</w:t>
            </w:r>
          </w:p>
        </w:tc>
        <w:tc>
          <w:tcPr>
            <w:tcW w:w="900" w:type="dxa"/>
          </w:tcPr>
          <w:p w14:paraId="79AC3825" w14:textId="77777777" w:rsidR="00F936B1" w:rsidRPr="002A2CEC" w:rsidRDefault="00F936B1" w:rsidP="00240E10">
            <w:pPr>
              <w:rPr>
                <w:rFonts w:ascii="Times New Roman" w:hAnsi="Times New Roman" w:cs="Times New Roman"/>
                <w:sz w:val="22"/>
                <w:szCs w:val="22"/>
              </w:rPr>
            </w:pPr>
            <w:r w:rsidRPr="002A2CEC">
              <w:rPr>
                <w:rFonts w:ascii="Times New Roman" w:hAnsi="Times New Roman" w:cs="Times New Roman"/>
                <w:sz w:val="22"/>
                <w:szCs w:val="22"/>
              </w:rPr>
              <w:t>0.019</w:t>
            </w:r>
          </w:p>
        </w:tc>
        <w:tc>
          <w:tcPr>
            <w:tcW w:w="2970" w:type="dxa"/>
          </w:tcPr>
          <w:p w14:paraId="399DA4D1" w14:textId="77777777" w:rsidR="00240E10" w:rsidRPr="002A2CEC" w:rsidRDefault="00240E10" w:rsidP="00240E10">
            <w:pPr>
              <w:rPr>
                <w:rFonts w:ascii="Times New Roman" w:hAnsi="Times New Roman" w:cs="Times New Roman"/>
                <w:sz w:val="22"/>
                <w:szCs w:val="22"/>
              </w:rPr>
            </w:pPr>
            <w:r w:rsidRPr="002A2CEC">
              <w:rPr>
                <w:rFonts w:ascii="Times New Roman" w:hAnsi="Times New Roman" w:cs="Times New Roman"/>
                <w:sz w:val="22"/>
                <w:szCs w:val="22"/>
              </w:rPr>
              <w:t>Aspartate (C00049)</w:t>
            </w:r>
          </w:p>
          <w:p w14:paraId="11AA876C" w14:textId="77777777" w:rsidR="00240E10" w:rsidRPr="002A2CEC" w:rsidRDefault="00240E10" w:rsidP="00240E10">
            <w:pPr>
              <w:rPr>
                <w:rFonts w:ascii="Times New Roman" w:hAnsi="Times New Roman" w:cs="Times New Roman"/>
                <w:sz w:val="22"/>
                <w:szCs w:val="22"/>
              </w:rPr>
            </w:pPr>
            <w:r w:rsidRPr="002A2CEC">
              <w:rPr>
                <w:rFonts w:ascii="Times New Roman" w:hAnsi="Times New Roman" w:cs="Times New Roman"/>
                <w:sz w:val="22"/>
                <w:szCs w:val="22"/>
              </w:rPr>
              <w:t>Glutamate (C00025)</w:t>
            </w:r>
          </w:p>
          <w:p w14:paraId="3889BAD4" w14:textId="31B94D61" w:rsidR="00F936B1" w:rsidRPr="002A2CEC" w:rsidRDefault="00F936B1" w:rsidP="00240E10">
            <w:pPr>
              <w:rPr>
                <w:rFonts w:ascii="Times New Roman" w:hAnsi="Times New Roman" w:cs="Times New Roman"/>
                <w:sz w:val="22"/>
                <w:szCs w:val="22"/>
              </w:rPr>
            </w:pPr>
            <w:r w:rsidRPr="002A2CEC">
              <w:rPr>
                <w:rFonts w:ascii="Times New Roman" w:hAnsi="Times New Roman" w:cs="Times New Roman"/>
                <w:sz w:val="22"/>
                <w:szCs w:val="22"/>
              </w:rPr>
              <w:t>Methionine</w:t>
            </w:r>
            <w:r w:rsidR="00240E10" w:rsidRPr="002A2CEC">
              <w:rPr>
                <w:rFonts w:ascii="Times New Roman" w:hAnsi="Times New Roman" w:cs="Times New Roman"/>
                <w:sz w:val="22"/>
                <w:szCs w:val="22"/>
              </w:rPr>
              <w:t xml:space="preserve"> (C00073)</w:t>
            </w:r>
          </w:p>
          <w:p w14:paraId="6EC57BD6" w14:textId="428A83F7" w:rsidR="00F936B1" w:rsidRPr="002A2CEC" w:rsidRDefault="00F936B1" w:rsidP="00240E10">
            <w:pPr>
              <w:rPr>
                <w:rFonts w:ascii="Times New Roman" w:hAnsi="Times New Roman" w:cs="Times New Roman"/>
                <w:sz w:val="22"/>
                <w:szCs w:val="22"/>
              </w:rPr>
            </w:pPr>
            <w:r w:rsidRPr="002A2CEC">
              <w:rPr>
                <w:rFonts w:ascii="Times New Roman" w:hAnsi="Times New Roman" w:cs="Times New Roman"/>
                <w:sz w:val="22"/>
                <w:szCs w:val="22"/>
              </w:rPr>
              <w:t>Phenylalanine</w:t>
            </w:r>
            <w:r w:rsidR="00240E10" w:rsidRPr="002A2CEC">
              <w:rPr>
                <w:rFonts w:ascii="Times New Roman" w:hAnsi="Times New Roman" w:cs="Times New Roman"/>
                <w:sz w:val="22"/>
                <w:szCs w:val="22"/>
              </w:rPr>
              <w:t xml:space="preserve"> (C00079)</w:t>
            </w:r>
          </w:p>
        </w:tc>
      </w:tr>
      <w:tr w:rsidR="00F936B1" w:rsidRPr="005C3043" w14:paraId="2A281C2E" w14:textId="77777777" w:rsidTr="002A2CEC">
        <w:tc>
          <w:tcPr>
            <w:tcW w:w="1165" w:type="dxa"/>
          </w:tcPr>
          <w:p w14:paraId="3354E849" w14:textId="77777777" w:rsidR="00F936B1" w:rsidRPr="002A2CEC" w:rsidRDefault="00F936B1" w:rsidP="00240E10">
            <w:pPr>
              <w:rPr>
                <w:rFonts w:ascii="Times New Roman" w:hAnsi="Times New Roman" w:cs="Times New Roman"/>
                <w:sz w:val="22"/>
                <w:szCs w:val="22"/>
              </w:rPr>
            </w:pPr>
            <w:r w:rsidRPr="002A2CEC">
              <w:rPr>
                <w:rFonts w:ascii="Times New Roman" w:hAnsi="Times New Roman" w:cs="Times New Roman"/>
                <w:sz w:val="22"/>
                <w:szCs w:val="22"/>
              </w:rPr>
              <w:t>bta00471</w:t>
            </w:r>
          </w:p>
        </w:tc>
        <w:tc>
          <w:tcPr>
            <w:tcW w:w="2430" w:type="dxa"/>
          </w:tcPr>
          <w:p w14:paraId="5B60047F" w14:textId="77777777" w:rsidR="00F936B1" w:rsidRPr="002A2CEC" w:rsidRDefault="00F936B1" w:rsidP="00240E10">
            <w:pPr>
              <w:rPr>
                <w:rFonts w:ascii="Times New Roman" w:hAnsi="Times New Roman" w:cs="Times New Roman"/>
                <w:sz w:val="22"/>
                <w:szCs w:val="22"/>
              </w:rPr>
            </w:pPr>
            <w:r w:rsidRPr="002A2CEC">
              <w:rPr>
                <w:rFonts w:ascii="Times New Roman" w:hAnsi="Times New Roman" w:cs="Times New Roman"/>
                <w:smallCaps/>
                <w:sz w:val="22"/>
                <w:szCs w:val="22"/>
              </w:rPr>
              <w:t>d</w:t>
            </w:r>
            <w:r w:rsidRPr="002A2CEC">
              <w:rPr>
                <w:rFonts w:ascii="Times New Roman" w:hAnsi="Times New Roman" w:cs="Times New Roman"/>
                <w:sz w:val="22"/>
                <w:szCs w:val="22"/>
              </w:rPr>
              <w:t xml:space="preserve">-glutamine and </w:t>
            </w:r>
          </w:p>
          <w:p w14:paraId="0D995D06" w14:textId="77777777" w:rsidR="00F936B1" w:rsidRPr="002A2CEC" w:rsidRDefault="00F936B1" w:rsidP="00240E10">
            <w:pPr>
              <w:rPr>
                <w:rFonts w:ascii="Times New Roman" w:hAnsi="Times New Roman" w:cs="Times New Roman"/>
                <w:sz w:val="22"/>
                <w:szCs w:val="22"/>
              </w:rPr>
            </w:pPr>
            <w:r w:rsidRPr="002A2CEC">
              <w:rPr>
                <w:rFonts w:ascii="Times New Roman" w:hAnsi="Times New Roman" w:cs="Times New Roman"/>
                <w:smallCaps/>
                <w:sz w:val="22"/>
                <w:szCs w:val="22"/>
              </w:rPr>
              <w:t>d</w:t>
            </w:r>
            <w:r w:rsidRPr="002A2CEC">
              <w:rPr>
                <w:rFonts w:ascii="Times New Roman" w:hAnsi="Times New Roman" w:cs="Times New Roman"/>
                <w:sz w:val="22"/>
                <w:szCs w:val="22"/>
              </w:rPr>
              <w:t>-glutamate metabolism</w:t>
            </w:r>
          </w:p>
        </w:tc>
        <w:tc>
          <w:tcPr>
            <w:tcW w:w="1080" w:type="dxa"/>
          </w:tcPr>
          <w:p w14:paraId="4F925D56" w14:textId="77777777" w:rsidR="00F936B1" w:rsidRPr="002A2CEC" w:rsidRDefault="00F936B1" w:rsidP="00240E10">
            <w:pPr>
              <w:rPr>
                <w:rFonts w:ascii="Times New Roman" w:hAnsi="Times New Roman" w:cs="Times New Roman"/>
                <w:sz w:val="22"/>
                <w:szCs w:val="22"/>
              </w:rPr>
            </w:pPr>
            <w:r w:rsidRPr="002A2CEC">
              <w:rPr>
                <w:rFonts w:ascii="Times New Roman" w:hAnsi="Times New Roman" w:cs="Times New Roman"/>
                <w:sz w:val="22"/>
                <w:szCs w:val="22"/>
              </w:rPr>
              <w:t>2/5</w:t>
            </w:r>
          </w:p>
        </w:tc>
        <w:tc>
          <w:tcPr>
            <w:tcW w:w="900" w:type="dxa"/>
          </w:tcPr>
          <w:p w14:paraId="3D1381E3" w14:textId="77777777" w:rsidR="00F936B1" w:rsidRPr="002A2CEC" w:rsidRDefault="00F936B1" w:rsidP="00240E10">
            <w:pPr>
              <w:rPr>
                <w:rFonts w:ascii="Times New Roman" w:hAnsi="Times New Roman" w:cs="Times New Roman"/>
                <w:sz w:val="22"/>
                <w:szCs w:val="22"/>
              </w:rPr>
            </w:pPr>
            <w:r w:rsidRPr="002A2CEC">
              <w:rPr>
                <w:rFonts w:ascii="Times New Roman" w:hAnsi="Times New Roman" w:cs="Times New Roman"/>
                <w:sz w:val="22"/>
                <w:szCs w:val="22"/>
              </w:rPr>
              <w:t>0.020</w:t>
            </w:r>
          </w:p>
        </w:tc>
        <w:tc>
          <w:tcPr>
            <w:tcW w:w="2970" w:type="dxa"/>
          </w:tcPr>
          <w:p w14:paraId="0EECB6A9" w14:textId="771DC1FC" w:rsidR="00F936B1" w:rsidRPr="002A2CEC" w:rsidRDefault="00240E10" w:rsidP="00240E10">
            <w:pPr>
              <w:rPr>
                <w:rFonts w:ascii="Times New Roman" w:hAnsi="Times New Roman" w:cs="Times New Roman"/>
                <w:sz w:val="22"/>
                <w:szCs w:val="22"/>
              </w:rPr>
            </w:pPr>
            <w:r w:rsidRPr="002A2CEC">
              <w:rPr>
                <w:rFonts w:ascii="Times New Roman" w:hAnsi="Times New Roman" w:cs="Times New Roman"/>
                <w:sz w:val="22"/>
                <w:szCs w:val="22"/>
              </w:rPr>
              <w:t>Alpha-Ketoglutarate (C00026) Glutamate (C00025)</w:t>
            </w:r>
          </w:p>
        </w:tc>
      </w:tr>
    </w:tbl>
    <w:tbl>
      <w:tblPr>
        <w:tblW w:w="9360" w:type="dxa"/>
        <w:tblLook w:val="04A0" w:firstRow="1" w:lastRow="0" w:firstColumn="1" w:lastColumn="0" w:noHBand="0" w:noVBand="1"/>
      </w:tblPr>
      <w:tblGrid>
        <w:gridCol w:w="9360"/>
      </w:tblGrid>
      <w:tr w:rsidR="00240E10" w:rsidRPr="005C3043" w14:paraId="440BC27C" w14:textId="77777777" w:rsidTr="00BE378E">
        <w:trPr>
          <w:trHeight w:val="312"/>
        </w:trPr>
        <w:tc>
          <w:tcPr>
            <w:tcW w:w="9360" w:type="dxa"/>
            <w:tcBorders>
              <w:top w:val="nil"/>
              <w:left w:val="nil"/>
              <w:bottom w:val="nil"/>
              <w:right w:val="nil"/>
            </w:tcBorders>
            <w:shd w:val="clear" w:color="auto" w:fill="auto"/>
            <w:noWrap/>
            <w:vAlign w:val="bottom"/>
            <w:hideMark/>
          </w:tcPr>
          <w:p w14:paraId="79C635D2" w14:textId="77777777" w:rsidR="00240E10" w:rsidRPr="00C34188" w:rsidRDefault="00240E10" w:rsidP="00BE378E">
            <w:pPr>
              <w:rPr>
                <w:rFonts w:ascii="Times New Roman" w:hAnsi="Times New Roman" w:cs="Times New Roman"/>
                <w:color w:val="000000"/>
                <w:sz w:val="22"/>
              </w:rPr>
            </w:pPr>
            <w:r w:rsidRPr="00C34188">
              <w:rPr>
                <w:rFonts w:ascii="Times New Roman" w:hAnsi="Times New Roman" w:cs="Times New Roman"/>
                <w:color w:val="000000"/>
                <w:sz w:val="22"/>
              </w:rPr>
              <w:t>¹ Number of differentially abundant metabolites in pathway/total number of metabolites in pathway</w:t>
            </w:r>
          </w:p>
        </w:tc>
      </w:tr>
      <w:tr w:rsidR="00240E10" w:rsidRPr="005C3043" w14:paraId="7701B98D" w14:textId="77777777" w:rsidTr="00BE378E">
        <w:trPr>
          <w:trHeight w:val="312"/>
        </w:trPr>
        <w:tc>
          <w:tcPr>
            <w:tcW w:w="9360" w:type="dxa"/>
            <w:tcBorders>
              <w:top w:val="nil"/>
              <w:left w:val="nil"/>
              <w:bottom w:val="nil"/>
              <w:right w:val="nil"/>
            </w:tcBorders>
            <w:shd w:val="clear" w:color="auto" w:fill="auto"/>
            <w:noWrap/>
            <w:vAlign w:val="bottom"/>
            <w:hideMark/>
          </w:tcPr>
          <w:p w14:paraId="1230D901" w14:textId="77777777" w:rsidR="00240E10" w:rsidRPr="00C34188" w:rsidRDefault="00240E10" w:rsidP="00BE378E">
            <w:pPr>
              <w:rPr>
                <w:rFonts w:ascii="Times New Roman" w:hAnsi="Times New Roman" w:cs="Times New Roman"/>
                <w:color w:val="000000"/>
                <w:sz w:val="22"/>
              </w:rPr>
            </w:pPr>
            <w:r w:rsidRPr="00C34188">
              <w:rPr>
                <w:rFonts w:ascii="Times New Roman" w:hAnsi="Times New Roman" w:cs="Times New Roman"/>
                <w:color w:val="000000"/>
                <w:sz w:val="22"/>
              </w:rPr>
              <w:t>² FDR = False Discovery Rate</w:t>
            </w:r>
          </w:p>
        </w:tc>
      </w:tr>
      <w:tr w:rsidR="00240E10" w:rsidRPr="005C3043" w14:paraId="42F9B51F" w14:textId="77777777" w:rsidTr="00BE378E">
        <w:trPr>
          <w:trHeight w:val="312"/>
        </w:trPr>
        <w:tc>
          <w:tcPr>
            <w:tcW w:w="9360" w:type="dxa"/>
            <w:tcBorders>
              <w:top w:val="nil"/>
              <w:left w:val="nil"/>
              <w:bottom w:val="nil"/>
              <w:right w:val="nil"/>
            </w:tcBorders>
            <w:shd w:val="clear" w:color="auto" w:fill="auto"/>
            <w:noWrap/>
            <w:vAlign w:val="bottom"/>
            <w:hideMark/>
          </w:tcPr>
          <w:p w14:paraId="18384D49" w14:textId="77777777" w:rsidR="00240E10" w:rsidRPr="00C34188" w:rsidRDefault="00240E10" w:rsidP="00BE378E">
            <w:pPr>
              <w:rPr>
                <w:rFonts w:ascii="Times New Roman" w:hAnsi="Times New Roman" w:cs="Times New Roman"/>
                <w:color w:val="000000"/>
                <w:sz w:val="22"/>
              </w:rPr>
            </w:pPr>
            <w:r w:rsidRPr="00C34188">
              <w:rPr>
                <w:rFonts w:ascii="Times New Roman" w:hAnsi="Times New Roman" w:cs="Times New Roman"/>
                <w:color w:val="000000"/>
                <w:sz w:val="22"/>
              </w:rPr>
              <w:t>³ Displayed as Name (KEGG identifier number); KEGG = Kyoto Encyclopedia of Genes and Genomes</w:t>
            </w:r>
          </w:p>
        </w:tc>
      </w:tr>
    </w:tbl>
    <w:p w14:paraId="780B27A5" w14:textId="3DCC64C1" w:rsidR="00F936B1" w:rsidRDefault="00F936B1" w:rsidP="00F672B3">
      <w:pPr>
        <w:spacing w:line="480" w:lineRule="auto"/>
        <w:jc w:val="both"/>
        <w:rPr>
          <w:rFonts w:ascii="Times New Roman" w:hAnsi="Times New Roman" w:cs="Times New Roman"/>
          <w:b/>
          <w:bCs/>
          <w:iCs/>
        </w:rPr>
      </w:pPr>
    </w:p>
    <w:p w14:paraId="654227E3" w14:textId="36011F42" w:rsidR="00DF5C47" w:rsidRDefault="00DF5C47" w:rsidP="00F672B3">
      <w:pPr>
        <w:spacing w:line="480" w:lineRule="auto"/>
        <w:jc w:val="both"/>
        <w:rPr>
          <w:rFonts w:ascii="Times New Roman" w:hAnsi="Times New Roman" w:cs="Times New Roman"/>
          <w:b/>
          <w:bCs/>
          <w:iCs/>
        </w:rPr>
      </w:pPr>
    </w:p>
    <w:p w14:paraId="6419011D" w14:textId="2E4CA315" w:rsidR="00DF5C47" w:rsidRDefault="00DF5C47" w:rsidP="00F672B3">
      <w:pPr>
        <w:spacing w:line="480" w:lineRule="auto"/>
        <w:jc w:val="both"/>
        <w:rPr>
          <w:rFonts w:ascii="Times New Roman" w:hAnsi="Times New Roman" w:cs="Times New Roman"/>
          <w:b/>
          <w:bCs/>
          <w:iCs/>
        </w:rPr>
      </w:pPr>
    </w:p>
    <w:p w14:paraId="4D192589" w14:textId="58C1C87E" w:rsidR="00DF5C47" w:rsidRDefault="00DF5C47" w:rsidP="00F672B3">
      <w:pPr>
        <w:spacing w:line="480" w:lineRule="auto"/>
        <w:jc w:val="both"/>
        <w:rPr>
          <w:rFonts w:ascii="Times New Roman" w:hAnsi="Times New Roman" w:cs="Times New Roman"/>
          <w:b/>
          <w:bCs/>
          <w:iCs/>
        </w:rPr>
      </w:pPr>
    </w:p>
    <w:p w14:paraId="1D356DCE" w14:textId="25C23E1F" w:rsidR="00DF5C47" w:rsidRDefault="00DF5C47" w:rsidP="00F672B3">
      <w:pPr>
        <w:spacing w:line="480" w:lineRule="auto"/>
        <w:jc w:val="both"/>
        <w:rPr>
          <w:rFonts w:ascii="Times New Roman" w:hAnsi="Times New Roman" w:cs="Times New Roman"/>
          <w:b/>
          <w:bCs/>
          <w:iCs/>
        </w:rPr>
      </w:pPr>
    </w:p>
    <w:p w14:paraId="27D5ED46" w14:textId="54FC713E" w:rsidR="00DF5C47" w:rsidRDefault="00DF5C47" w:rsidP="00F672B3">
      <w:pPr>
        <w:spacing w:line="480" w:lineRule="auto"/>
        <w:jc w:val="both"/>
        <w:rPr>
          <w:rFonts w:ascii="Times New Roman" w:hAnsi="Times New Roman" w:cs="Times New Roman"/>
          <w:b/>
          <w:bCs/>
          <w:iCs/>
        </w:rPr>
      </w:pPr>
    </w:p>
    <w:p w14:paraId="7391370E" w14:textId="24FA04A1" w:rsidR="00DF5C47" w:rsidRDefault="00DF5C47" w:rsidP="00F672B3">
      <w:pPr>
        <w:spacing w:line="480" w:lineRule="auto"/>
        <w:jc w:val="both"/>
        <w:rPr>
          <w:rFonts w:ascii="Times New Roman" w:hAnsi="Times New Roman" w:cs="Times New Roman"/>
          <w:b/>
          <w:bCs/>
          <w:iCs/>
        </w:rPr>
      </w:pPr>
    </w:p>
    <w:p w14:paraId="269067BC" w14:textId="0CE86992" w:rsidR="00DF5C47" w:rsidRDefault="00DF5C47" w:rsidP="00F672B3">
      <w:pPr>
        <w:spacing w:line="480" w:lineRule="auto"/>
        <w:jc w:val="both"/>
        <w:rPr>
          <w:rFonts w:ascii="Times New Roman" w:hAnsi="Times New Roman" w:cs="Times New Roman"/>
          <w:b/>
          <w:bCs/>
          <w:iCs/>
        </w:rPr>
      </w:pPr>
    </w:p>
    <w:p w14:paraId="4B26CA73" w14:textId="2A317166" w:rsidR="00DF5C47" w:rsidRDefault="00DF5C47" w:rsidP="00F672B3">
      <w:pPr>
        <w:spacing w:line="480" w:lineRule="auto"/>
        <w:jc w:val="both"/>
        <w:rPr>
          <w:rFonts w:ascii="Times New Roman" w:hAnsi="Times New Roman" w:cs="Times New Roman"/>
          <w:b/>
          <w:bCs/>
          <w:iCs/>
        </w:rPr>
      </w:pPr>
    </w:p>
    <w:p w14:paraId="45D824CE" w14:textId="1008C902" w:rsidR="00DF5C47" w:rsidRDefault="00DF5C47" w:rsidP="00F672B3">
      <w:pPr>
        <w:spacing w:line="480" w:lineRule="auto"/>
        <w:jc w:val="both"/>
        <w:rPr>
          <w:rFonts w:ascii="Times New Roman" w:hAnsi="Times New Roman" w:cs="Times New Roman"/>
          <w:b/>
          <w:bCs/>
          <w:iCs/>
        </w:rPr>
      </w:pPr>
    </w:p>
    <w:p w14:paraId="3C1400DB" w14:textId="77777777" w:rsidR="00DF5C47" w:rsidRDefault="00DF5C47" w:rsidP="00F672B3">
      <w:pPr>
        <w:spacing w:line="480" w:lineRule="auto"/>
        <w:jc w:val="both"/>
        <w:rPr>
          <w:rFonts w:ascii="Times New Roman" w:hAnsi="Times New Roman" w:cs="Times New Roman"/>
          <w:b/>
          <w:bCs/>
          <w:iCs/>
        </w:rPr>
      </w:pPr>
    </w:p>
    <w:p w14:paraId="32CC2087" w14:textId="77777777" w:rsidR="00784DB7" w:rsidRPr="005C3043" w:rsidRDefault="00784DB7" w:rsidP="00784DB7">
      <w:pPr>
        <w:spacing w:line="480" w:lineRule="auto"/>
        <w:ind w:firstLine="720"/>
        <w:jc w:val="both"/>
        <w:rPr>
          <w:rFonts w:ascii="Times New Roman" w:hAnsi="Times New Roman" w:cs="Times New Roman"/>
        </w:rPr>
      </w:pPr>
      <w:r w:rsidRPr="00C87A3E">
        <w:rPr>
          <w:rFonts w:ascii="Times New Roman" w:hAnsi="Times New Roman" w:cs="Times New Roman"/>
        </w:rPr>
        <w:lastRenderedPageBreak/>
        <w:t xml:space="preserve">Interestingly, </w:t>
      </w:r>
      <w:r w:rsidRPr="00DC10CA">
        <w:rPr>
          <w:rFonts w:ascii="Times New Roman" w:hAnsi="Times New Roman" w:cs="Times New Roman"/>
          <w:smallCaps/>
        </w:rPr>
        <w:t>d</w:t>
      </w:r>
      <w:r w:rsidRPr="003B6B38">
        <w:rPr>
          <w:rFonts w:ascii="Times New Roman" w:hAnsi="Times New Roman" w:cs="Times New Roman"/>
        </w:rPr>
        <w:t>-Gluconate, and 2-Dehydro-</w:t>
      </w:r>
      <w:r w:rsidRPr="005C3043">
        <w:rPr>
          <w:rFonts w:ascii="Times New Roman" w:hAnsi="Times New Roman" w:cs="Times New Roman"/>
          <w:smallCaps/>
        </w:rPr>
        <w:t>d</w:t>
      </w:r>
      <w:r w:rsidRPr="005C3043">
        <w:rPr>
          <w:rFonts w:ascii="Times New Roman" w:hAnsi="Times New Roman" w:cs="Times New Roman"/>
        </w:rPr>
        <w:t xml:space="preserve">-gluconate concentration were increased in the follicular fluid of larger follicles (FDR&lt;0.05; Figure 4G, 4Q, respectively). </w:t>
      </w:r>
    </w:p>
    <w:p w14:paraId="100AD588" w14:textId="0AAE80AD" w:rsidR="00DF5C47" w:rsidRPr="00A42976" w:rsidRDefault="00DF5C47" w:rsidP="00F672B3">
      <w:pPr>
        <w:spacing w:line="480" w:lineRule="auto"/>
        <w:jc w:val="both"/>
        <w:rPr>
          <w:rFonts w:ascii="Times New Roman" w:hAnsi="Times New Roman" w:cs="Times New Roman"/>
          <w:b/>
          <w:bCs/>
          <w:iCs/>
        </w:rPr>
      </w:pPr>
      <w:r w:rsidRPr="005C3043">
        <w:rPr>
          <w:rFonts w:ascii="Times New Roman" w:hAnsi="Times New Roman" w:cs="Times New Roman"/>
        </w:rPr>
        <w:t>Gluconate is an alternate carbon source for pyruvate production that can also be converted to 2-Dehydro-</w:t>
      </w:r>
      <w:r w:rsidRPr="005C3043">
        <w:rPr>
          <w:rFonts w:ascii="Times New Roman" w:hAnsi="Times New Roman" w:cs="Times New Roman"/>
          <w:smallCaps/>
        </w:rPr>
        <w:t>d</w:t>
      </w:r>
      <w:r w:rsidRPr="005C3043">
        <w:rPr>
          <w:rFonts w:ascii="Times New Roman" w:hAnsi="Times New Roman" w:cs="Times New Roman"/>
        </w:rPr>
        <w:t xml:space="preserve">-gluconate. Increased concentrations of </w:t>
      </w:r>
      <w:r w:rsidRPr="005C3043">
        <w:rPr>
          <w:rFonts w:ascii="Times New Roman" w:hAnsi="Times New Roman" w:cs="Times New Roman"/>
          <w:smallCaps/>
        </w:rPr>
        <w:t>d</w:t>
      </w:r>
      <w:r w:rsidRPr="005C3043">
        <w:rPr>
          <w:rFonts w:ascii="Times New Roman" w:hAnsi="Times New Roman" w:cs="Times New Roman"/>
        </w:rPr>
        <w:t>-Gluconate and 2-Dehydro-</w:t>
      </w:r>
      <w:r w:rsidRPr="005C3043">
        <w:rPr>
          <w:rFonts w:ascii="Times New Roman" w:hAnsi="Times New Roman" w:cs="Times New Roman"/>
          <w:smallCaps/>
        </w:rPr>
        <w:t>d</w:t>
      </w:r>
      <w:r w:rsidRPr="005C3043">
        <w:rPr>
          <w:rFonts w:ascii="Times New Roman" w:hAnsi="Times New Roman" w:cs="Times New Roman"/>
        </w:rPr>
        <w:t>-gluconate suggest reduced utilization of gluconate for cumulus cell metabolism in larger pre-ovulatory follicles.</w:t>
      </w:r>
    </w:p>
    <w:p w14:paraId="3FD58A4F" w14:textId="338776E7" w:rsidR="00F936B1" w:rsidRPr="005C3043" w:rsidRDefault="00F936B1" w:rsidP="00624151">
      <w:pPr>
        <w:spacing w:line="480" w:lineRule="auto"/>
        <w:ind w:firstLine="720"/>
        <w:jc w:val="both"/>
        <w:rPr>
          <w:rFonts w:ascii="Times New Roman" w:hAnsi="Times New Roman" w:cs="Times New Roman"/>
        </w:rPr>
      </w:pPr>
      <w:r w:rsidRPr="005C3043">
        <w:rPr>
          <w:rFonts w:ascii="Times New Roman" w:hAnsi="Times New Roman" w:cs="Times New Roman"/>
        </w:rPr>
        <w:t>The KEGG pathways ‘</w:t>
      </w:r>
      <w:r w:rsidRPr="005C3043">
        <w:rPr>
          <w:rFonts w:ascii="Times New Roman" w:hAnsi="Times New Roman" w:cs="Times New Roman"/>
          <w:smallCaps/>
        </w:rPr>
        <w:t>d</w:t>
      </w:r>
      <w:r w:rsidRPr="005C3043">
        <w:rPr>
          <w:rFonts w:ascii="Times New Roman" w:hAnsi="Times New Roman" w:cs="Times New Roman"/>
        </w:rPr>
        <w:t xml:space="preserve">-glutamine and </w:t>
      </w:r>
      <w:r w:rsidRPr="005C3043">
        <w:rPr>
          <w:rFonts w:ascii="Times New Roman" w:hAnsi="Times New Roman" w:cs="Times New Roman"/>
          <w:smallCaps/>
        </w:rPr>
        <w:t>d</w:t>
      </w:r>
      <w:r w:rsidRPr="005C3043">
        <w:rPr>
          <w:rFonts w:ascii="Times New Roman" w:hAnsi="Times New Roman" w:cs="Times New Roman"/>
        </w:rPr>
        <w:t>-glutamate metabolism’ and ‘alanine, aspartate, and glutamate metabolism’ were significantly enriched with follicular fluid metabolites whose abundance increased with increasing pre-ovulatory follicle size (FDR&lt;0.03; Table 1). Pathway metabolites alpha-ketoglutarate, glutamate, and aspartate concentrations were increased in the follicular fluid of larger pre-ovulatory follicles (FDR</w:t>
      </w:r>
      <w:r w:rsidR="008D698F" w:rsidRPr="005C3043">
        <w:rPr>
          <w:rFonts w:ascii="Times New Roman" w:hAnsi="Times New Roman" w:cs="Times New Roman"/>
        </w:rPr>
        <w:t xml:space="preserve"> </w:t>
      </w:r>
      <w:r w:rsidRPr="005C3043">
        <w:rPr>
          <w:rFonts w:ascii="Times New Roman" w:hAnsi="Times New Roman" w:cs="Times New Roman"/>
        </w:rPr>
        <w:t>&lt;</w:t>
      </w:r>
      <w:r w:rsidR="008D698F" w:rsidRPr="005C3043">
        <w:rPr>
          <w:rFonts w:ascii="Times New Roman" w:hAnsi="Times New Roman" w:cs="Times New Roman"/>
        </w:rPr>
        <w:t xml:space="preserve"> </w:t>
      </w:r>
      <w:r w:rsidRPr="005C3043">
        <w:rPr>
          <w:rFonts w:ascii="Times New Roman" w:hAnsi="Times New Roman" w:cs="Times New Roman"/>
        </w:rPr>
        <w:t>0</w:t>
      </w:r>
      <w:r w:rsidR="008D698F" w:rsidRPr="005C3043">
        <w:rPr>
          <w:rFonts w:ascii="Times New Roman" w:hAnsi="Times New Roman" w:cs="Times New Roman"/>
        </w:rPr>
        <w:t>.05</w:t>
      </w:r>
      <w:r w:rsidRPr="005C3043">
        <w:rPr>
          <w:rFonts w:ascii="Times New Roman" w:hAnsi="Times New Roman" w:cs="Times New Roman"/>
        </w:rPr>
        <w:t xml:space="preserve">; Figure </w:t>
      </w:r>
      <w:r w:rsidR="00624151" w:rsidRPr="005C3043">
        <w:rPr>
          <w:rFonts w:ascii="Times New Roman" w:hAnsi="Times New Roman" w:cs="Times New Roman"/>
        </w:rPr>
        <w:t>4</w:t>
      </w:r>
      <w:r w:rsidRPr="005C3043">
        <w:rPr>
          <w:rFonts w:ascii="Times New Roman" w:hAnsi="Times New Roman" w:cs="Times New Roman"/>
        </w:rPr>
        <w:t xml:space="preserve">A, </w:t>
      </w:r>
      <w:r w:rsidR="00624151" w:rsidRPr="005C3043">
        <w:rPr>
          <w:rFonts w:ascii="Times New Roman" w:hAnsi="Times New Roman" w:cs="Times New Roman"/>
        </w:rPr>
        <w:t>4</w:t>
      </w:r>
      <w:r w:rsidRPr="005C3043">
        <w:rPr>
          <w:rFonts w:ascii="Times New Roman" w:hAnsi="Times New Roman" w:cs="Times New Roman"/>
        </w:rPr>
        <w:t>B, 3E, respectively). While the proportion of follicular fluid aspartate concentration compared to total amino acid concentration was higher in 6-8 mm bovine follicles that encased a cumulus-oocyte complex of improved morphology grade, there was no relationship between follicular fluid aspartate concentration and successful cleavage or development to the blastocyst stage</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Sinclair et al., 2008)</w:t>
      </w:r>
      <w:r w:rsidRPr="005C3043">
        <w:rPr>
          <w:rFonts w:ascii="Times New Roman" w:hAnsi="Times New Roman" w:cs="Times New Roman"/>
        </w:rPr>
        <w:t xml:space="preserve">. In humans, however, increased follicular fluid concentration of </w:t>
      </w:r>
      <w:r w:rsidRPr="005C3043">
        <w:rPr>
          <w:rFonts w:ascii="Times New Roman" w:hAnsi="Times New Roman" w:cs="Times New Roman"/>
          <w:smallCaps/>
        </w:rPr>
        <w:t>d</w:t>
      </w:r>
      <w:r w:rsidRPr="005C3043">
        <w:rPr>
          <w:rFonts w:ascii="Times New Roman" w:hAnsi="Times New Roman" w:cs="Times New Roman"/>
        </w:rPr>
        <w:t>-aspartate was associated with improved oocyte morphology and increased fertilization rates</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D'Aniello et al., 2007)</w:t>
      </w:r>
      <w:r w:rsidRPr="005C3043">
        <w:rPr>
          <w:rFonts w:ascii="Times New Roman" w:hAnsi="Times New Roman" w:cs="Times New Roman"/>
        </w:rPr>
        <w:t xml:space="preserve">. Previous studies in </w:t>
      </w:r>
      <w:r w:rsidR="008D698F" w:rsidRPr="005C3043">
        <w:rPr>
          <w:rFonts w:ascii="Times New Roman" w:hAnsi="Times New Roman" w:cs="Times New Roman"/>
        </w:rPr>
        <w:t>cattle</w:t>
      </w:r>
      <w:r w:rsidRPr="005C3043">
        <w:rPr>
          <w:rFonts w:ascii="Times New Roman" w:hAnsi="Times New Roman" w:cs="Times New Roman"/>
        </w:rPr>
        <w:t xml:space="preserve"> have demonstrated the importance of follicular fluid glutamine and glutamate for oocyte energy production and developmental competence</w:t>
      </w:r>
      <w:r w:rsidRPr="005C3043">
        <w:rPr>
          <w:rFonts w:ascii="Times New Roman" w:hAnsi="Times New Roman" w:cs="Times New Roman"/>
          <w:shd w:val="clear" w:color="auto" w:fill="FFFFFF"/>
        </w:rPr>
        <w:t xml:space="preserve">. </w:t>
      </w:r>
      <w:r w:rsidRPr="005C3043">
        <w:rPr>
          <w:rFonts w:ascii="Times New Roman" w:hAnsi="Times New Roman" w:cs="Times New Roman"/>
        </w:rPr>
        <w:t xml:space="preserve">Bovine cumulus-oocyte complexes possess the ability to metabolize glutamine by the enzyme glutaminase </w:t>
      </w:r>
      <w:r w:rsidR="00C55223" w:rsidRPr="005C3043">
        <w:rPr>
          <w:rFonts w:ascii="Times New Roman" w:hAnsi="Times New Roman" w:cs="Times New Roman"/>
          <w:noProof/>
        </w:rPr>
        <w:t>(Bilodeau-Goeseels, 2006)</w:t>
      </w:r>
      <w:r w:rsidRPr="005C3043">
        <w:rPr>
          <w:rFonts w:ascii="Times New Roman" w:hAnsi="Times New Roman" w:cs="Times New Roman"/>
        </w:rPr>
        <w:t xml:space="preserve">, and we detected mRNA expression for glutaminase in bovine </w:t>
      </w:r>
      <w:r w:rsidRPr="005C3043">
        <w:rPr>
          <w:rFonts w:ascii="Times New Roman" w:hAnsi="Times New Roman" w:cs="Times New Roman"/>
        </w:rPr>
        <w:lastRenderedPageBreak/>
        <w:t>cumulus cells collected from pre-ovulatory follicles of similar stage and size to the current study</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Moorey et al., 2021)</w:t>
      </w:r>
      <w:r w:rsidRPr="005C3043">
        <w:rPr>
          <w:rFonts w:ascii="Times New Roman" w:hAnsi="Times New Roman" w:cs="Times New Roman"/>
        </w:rPr>
        <w:t>.</w:t>
      </w:r>
      <w:r w:rsidRPr="005C3043">
        <w:rPr>
          <w:rFonts w:ascii="Times New Roman" w:hAnsi="Times New Roman" w:cs="Times New Roman"/>
          <w:color w:val="2E2E2E"/>
        </w:rPr>
        <w:t xml:space="preserve"> </w:t>
      </w:r>
      <w:r w:rsidRPr="005C3043">
        <w:rPr>
          <w:rFonts w:ascii="Times New Roman" w:hAnsi="Times New Roman" w:cs="Times New Roman"/>
        </w:rPr>
        <w:t xml:space="preserve">In </w:t>
      </w:r>
      <w:r w:rsidR="008D698F" w:rsidRPr="005C3043">
        <w:rPr>
          <w:rFonts w:ascii="Times New Roman" w:hAnsi="Times New Roman" w:cs="Times New Roman"/>
        </w:rPr>
        <w:t>cattle</w:t>
      </w:r>
      <w:r w:rsidRPr="005C3043">
        <w:rPr>
          <w:rFonts w:ascii="Times New Roman" w:hAnsi="Times New Roman" w:cs="Times New Roman"/>
        </w:rPr>
        <w:t xml:space="preserve">, when oocytes collected from follicles 6-8 mm in size were submitted to </w:t>
      </w:r>
      <w:r w:rsidRPr="005C3043">
        <w:rPr>
          <w:rFonts w:ascii="Times New Roman" w:hAnsi="Times New Roman" w:cs="Times New Roman"/>
          <w:i/>
          <w:iCs/>
        </w:rPr>
        <w:t>in vitro</w:t>
      </w:r>
      <w:r w:rsidRPr="005C3043">
        <w:rPr>
          <w:rFonts w:ascii="Times New Roman" w:hAnsi="Times New Roman" w:cs="Times New Roman"/>
        </w:rPr>
        <w:t xml:space="preserve"> embryo production, cumulus-oocyte complex morphological quality grade improved as the proportion of follicular fluid glutamate increased. Additionally, follicular fluid glutamate levels were higher when fertilized oocytes successfully cleaved and developed to the blastocyst stage versus failed to cleave</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Sinclair et al., 2008)</w:t>
      </w:r>
      <w:r w:rsidRPr="005C3043">
        <w:rPr>
          <w:rFonts w:ascii="Times New Roman" w:hAnsi="Times New Roman" w:cs="Times New Roman"/>
        </w:rPr>
        <w:t>.</w:t>
      </w:r>
    </w:p>
    <w:p w14:paraId="7E27C01A" w14:textId="0ADA8D5A" w:rsidR="00F936B1" w:rsidRPr="005C3043" w:rsidRDefault="00F936B1" w:rsidP="00624151">
      <w:pPr>
        <w:spacing w:line="480" w:lineRule="auto"/>
        <w:ind w:firstLine="720"/>
        <w:jc w:val="both"/>
        <w:rPr>
          <w:rFonts w:ascii="Times New Roman" w:hAnsi="Times New Roman" w:cs="Times New Roman"/>
        </w:rPr>
      </w:pPr>
      <w:r w:rsidRPr="005C3043">
        <w:rPr>
          <w:rFonts w:ascii="Times New Roman" w:hAnsi="Times New Roman" w:cs="Times New Roman"/>
        </w:rPr>
        <w:t xml:space="preserve">Addition of glutamine, pyruvate, and glucose to maturation media increased oocyte nuclear maturation in </w:t>
      </w:r>
      <w:r w:rsidR="008D698F" w:rsidRPr="005C3043">
        <w:rPr>
          <w:rFonts w:ascii="Times New Roman" w:hAnsi="Times New Roman" w:cs="Times New Roman"/>
        </w:rPr>
        <w:t>cattle</w:t>
      </w:r>
      <w:r w:rsidRPr="005C3043">
        <w:rPr>
          <w:rFonts w:ascii="Times New Roman" w:hAnsi="Times New Roman" w:cs="Times New Roman"/>
        </w:rPr>
        <w:t>. Compared to M16 salts media, the addition of glutamine to media significantly increased the percentage of cumulus-enclosed oocytes reaching MII, whereas the addition of glucose, pyruvate, or lactate reduced the percentage of cumulus-enclosed oocytes remaining in the germinal vesicle stage and increased the percentage progressing to MI after 21 hours of culture</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Bilodeau-Goeseels, 2006)</w:t>
      </w:r>
      <w:r w:rsidRPr="005C3043">
        <w:rPr>
          <w:rFonts w:ascii="Times New Roman" w:hAnsi="Times New Roman" w:cs="Times New Roman"/>
        </w:rPr>
        <w:t xml:space="preserve">.  Interestingly, the metabolism of glucose and glutamine was impacted by maturation timepoint during </w:t>
      </w:r>
      <w:r w:rsidRPr="005C3043">
        <w:rPr>
          <w:rFonts w:ascii="Times New Roman" w:hAnsi="Times New Roman" w:cs="Times New Roman"/>
          <w:i/>
          <w:iCs/>
        </w:rPr>
        <w:t>in vitro</w:t>
      </w:r>
      <w:r w:rsidRPr="005C3043">
        <w:rPr>
          <w:rFonts w:ascii="Times New Roman" w:hAnsi="Times New Roman" w:cs="Times New Roman"/>
        </w:rPr>
        <w:t xml:space="preserve"> bovine oocyte maturation, with glucose and glutamine metabolism in cumulus-oocyte complexes at their highest at 18 hours of maturation</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Rieger and Loskutoff, 1994)</w:t>
      </w:r>
      <w:r w:rsidRPr="005C3043">
        <w:rPr>
          <w:rFonts w:ascii="Times New Roman" w:hAnsi="Times New Roman" w:cs="Times New Roman"/>
        </w:rPr>
        <w:t xml:space="preserve">. This timepoint is </w:t>
      </w:r>
      <w:proofErr w:type="gramStart"/>
      <w:r w:rsidRPr="005C3043">
        <w:rPr>
          <w:rFonts w:ascii="Times New Roman" w:hAnsi="Times New Roman" w:cs="Times New Roman"/>
        </w:rPr>
        <w:t>similar to</w:t>
      </w:r>
      <w:proofErr w:type="gramEnd"/>
      <w:r w:rsidRPr="005C3043">
        <w:rPr>
          <w:rFonts w:ascii="Times New Roman" w:hAnsi="Times New Roman" w:cs="Times New Roman"/>
        </w:rPr>
        <w:t xml:space="preserve"> the stage at which samples were collected for the current study and highlights the importance of glucose and glutamine metabolism for energy production during the latter stages of oocyte nuclear maturation.</w:t>
      </w:r>
    </w:p>
    <w:p w14:paraId="5601A99E" w14:textId="2F3FC6C7" w:rsidR="00F936B1" w:rsidRPr="005C3043" w:rsidRDefault="00F936B1" w:rsidP="00624151">
      <w:pPr>
        <w:spacing w:line="480" w:lineRule="auto"/>
        <w:ind w:firstLine="720"/>
        <w:jc w:val="both"/>
        <w:rPr>
          <w:rFonts w:ascii="Times New Roman" w:hAnsi="Times New Roman" w:cs="Times New Roman"/>
        </w:rPr>
      </w:pPr>
      <w:r w:rsidRPr="005C3043">
        <w:rPr>
          <w:rFonts w:ascii="Times New Roman" w:hAnsi="Times New Roman" w:cs="Times New Roman"/>
        </w:rPr>
        <w:t>Increased concentration of alpha-ketoglutarate, glutamate, and aspartate in follicular fluid of larger follicles may be due to increased metabolic activity of the TCA cycle and active transport of these metabolites to the oocyte or follicular fluid. Alpha-</w:t>
      </w:r>
      <w:r w:rsidRPr="005C3043">
        <w:rPr>
          <w:rFonts w:ascii="Times New Roman" w:hAnsi="Times New Roman" w:cs="Times New Roman"/>
        </w:rPr>
        <w:lastRenderedPageBreak/>
        <w:t>ketoglutarate and oxaloacetate are TCA cycle intermediates that can be interconverted with amino acids glutamate and aspartate, respectively</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Rathod and Fellman, 1985; Liu et al., 2018)</w:t>
      </w:r>
      <w:r w:rsidRPr="005C3043">
        <w:rPr>
          <w:rFonts w:ascii="Times New Roman" w:hAnsi="Times New Roman" w:cs="Times New Roman"/>
        </w:rPr>
        <w:t>. Cumulus cells actively transfer glutamate to the oocyte</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Colonna and Mangia, 1983)</w:t>
      </w:r>
      <w:r w:rsidRPr="005C3043">
        <w:rPr>
          <w:rFonts w:ascii="Times New Roman" w:hAnsi="Times New Roman" w:cs="Times New Roman"/>
        </w:rPr>
        <w:t xml:space="preserve">, and increased levels of cumulus cell derived alpha-ketoglutarate, glutamate, and aspartate from the TCA cycle could realistically also be transported to the surrounding follicular fluid. </w:t>
      </w:r>
    </w:p>
    <w:p w14:paraId="18D4FC20" w14:textId="64435B6B" w:rsidR="00F936B1" w:rsidRPr="005C3043" w:rsidRDefault="00F936B1" w:rsidP="00624151">
      <w:pPr>
        <w:spacing w:line="480" w:lineRule="auto"/>
        <w:ind w:firstLine="720"/>
        <w:jc w:val="both"/>
        <w:rPr>
          <w:rFonts w:ascii="Times New Roman" w:hAnsi="Times New Roman" w:cs="Times New Roman"/>
        </w:rPr>
      </w:pPr>
      <w:r w:rsidRPr="005C3043">
        <w:rPr>
          <w:rFonts w:ascii="Times New Roman" w:hAnsi="Times New Roman" w:cs="Times New Roman"/>
        </w:rPr>
        <w:t>As pyruvate is produced, converted to acetyl CoA, and the TCA cycle is utilized, ATP, NADH, and FADH2 are produced. These metabolic products are critical for oxidative phosphorylation, which is the primary energetic pathway in the oocyte</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 xml:space="preserve">Thompson et al., </w:t>
      </w:r>
      <w:r w:rsidR="00E92BCC" w:rsidRPr="005C3043">
        <w:rPr>
          <w:rFonts w:ascii="Times New Roman" w:hAnsi="Times New Roman" w:cs="Times New Roman"/>
          <w:noProof/>
        </w:rPr>
        <w:t>2007</w:t>
      </w:r>
      <w:r w:rsidR="00C55223" w:rsidRPr="005C3043">
        <w:rPr>
          <w:rFonts w:ascii="Times New Roman" w:hAnsi="Times New Roman" w:cs="Times New Roman"/>
          <w:noProof/>
        </w:rPr>
        <w:t>)</w:t>
      </w:r>
      <w:r w:rsidRPr="005C3043">
        <w:rPr>
          <w:rFonts w:ascii="Times New Roman" w:hAnsi="Times New Roman" w:cs="Times New Roman"/>
        </w:rPr>
        <w:t xml:space="preserve">.  Increased concentration of pyruvate, </w:t>
      </w:r>
      <w:r w:rsidRPr="005C3043">
        <w:rPr>
          <w:rFonts w:ascii="Times New Roman" w:hAnsi="Times New Roman" w:cs="Times New Roman"/>
          <w:smallCaps/>
        </w:rPr>
        <w:t>d</w:t>
      </w:r>
      <w:r w:rsidRPr="005C3043">
        <w:rPr>
          <w:rFonts w:ascii="Times New Roman" w:hAnsi="Times New Roman" w:cs="Times New Roman"/>
        </w:rPr>
        <w:t xml:space="preserve">-gluconate, alpha-ketoglutarate, glutamate, and aspartate in the follicular fluid of larger pre-ovulatory follicles lead us to conclude that aberrant glucose metabolism likely exists in the cumulus cells of smaller pre-ovulatory follicles (Figure </w:t>
      </w:r>
      <w:r w:rsidR="00624151" w:rsidRPr="005C3043">
        <w:rPr>
          <w:rFonts w:ascii="Times New Roman" w:hAnsi="Times New Roman" w:cs="Times New Roman"/>
        </w:rPr>
        <w:t>5</w:t>
      </w:r>
      <w:r w:rsidRPr="005C3043">
        <w:rPr>
          <w:rFonts w:ascii="Times New Roman" w:hAnsi="Times New Roman" w:cs="Times New Roman"/>
        </w:rPr>
        <w:t xml:space="preserve">). Reduced glucose metabolism in smaller follicles would lead to a reduction of energetically important stores of ATP, pyruvate, or metabolic intermediates in the oocyte. Decreased metabolic capacity in the cumulus cells of smaller pre-ovulatory follicles would support previous observations of reduced probability of recovering a high quality or cleaved embryo (reported as fertilization success) when cattle are induced to ovulate a smaller </w:t>
      </w:r>
      <w:r w:rsidR="00743ADF" w:rsidRPr="005C3043">
        <w:rPr>
          <w:rFonts w:ascii="Times New Roman" w:hAnsi="Times New Roman" w:cs="Times New Roman"/>
        </w:rPr>
        <w:t>pre-ovulatory</w:t>
      </w:r>
      <w:r w:rsidRPr="005C3043">
        <w:rPr>
          <w:rFonts w:ascii="Times New Roman" w:hAnsi="Times New Roman" w:cs="Times New Roman"/>
        </w:rPr>
        <w:t xml:space="preserve"> follicle &lt;</w:t>
      </w:r>
      <w:r w:rsidR="007957A4" w:rsidRPr="005C3043">
        <w:rPr>
          <w:rFonts w:ascii="Times New Roman" w:hAnsi="Times New Roman" w:cs="Times New Roman"/>
        </w:rPr>
        <w:t xml:space="preserve"> </w:t>
      </w:r>
      <w:r w:rsidRPr="005C3043">
        <w:rPr>
          <w:rFonts w:ascii="Times New Roman" w:hAnsi="Times New Roman" w:cs="Times New Roman"/>
        </w:rPr>
        <w:t>12.5</w:t>
      </w:r>
      <w:r w:rsidR="007957A4" w:rsidRPr="005C3043">
        <w:rPr>
          <w:rFonts w:ascii="Times New Roman" w:hAnsi="Times New Roman" w:cs="Times New Roman"/>
        </w:rPr>
        <w:t xml:space="preserve"> </w:t>
      </w:r>
      <w:r w:rsidRPr="005C3043">
        <w:rPr>
          <w:rFonts w:ascii="Times New Roman" w:hAnsi="Times New Roman" w:cs="Times New Roman"/>
        </w:rPr>
        <w:t xml:space="preserve">mm </w:t>
      </w:r>
      <w:r w:rsidR="00C55223" w:rsidRPr="005C3043">
        <w:rPr>
          <w:rFonts w:ascii="Times New Roman" w:hAnsi="Times New Roman" w:cs="Times New Roman"/>
          <w:noProof/>
        </w:rPr>
        <w:t xml:space="preserve">(Atkins et al., </w:t>
      </w:r>
      <w:r w:rsidR="00937F46" w:rsidRPr="005C3043">
        <w:rPr>
          <w:rFonts w:ascii="Times New Roman" w:hAnsi="Times New Roman" w:cs="Times New Roman"/>
          <w:noProof/>
        </w:rPr>
        <w:t>2013</w:t>
      </w:r>
      <w:r w:rsidR="00C55223" w:rsidRPr="005C3043">
        <w:rPr>
          <w:rFonts w:ascii="Times New Roman" w:hAnsi="Times New Roman" w:cs="Times New Roman"/>
          <w:noProof/>
        </w:rPr>
        <w:t>)</w:t>
      </w:r>
      <w:r w:rsidRPr="005C3043">
        <w:rPr>
          <w:rFonts w:ascii="Times New Roman" w:hAnsi="Times New Roman" w:cs="Times New Roman"/>
        </w:rPr>
        <w:t>.</w:t>
      </w:r>
    </w:p>
    <w:p w14:paraId="36159B95" w14:textId="77777777" w:rsidR="00F672B3" w:rsidRPr="005C3043" w:rsidRDefault="00F672B3" w:rsidP="00F672B3">
      <w:pPr>
        <w:spacing w:line="480" w:lineRule="auto"/>
        <w:jc w:val="both"/>
        <w:rPr>
          <w:rFonts w:ascii="Times New Roman" w:hAnsi="Times New Roman" w:cs="Times New Roman"/>
        </w:rPr>
      </w:pPr>
    </w:p>
    <w:p w14:paraId="3DD9166A" w14:textId="15EBE9C2" w:rsidR="00F936B1" w:rsidRPr="00A42976" w:rsidRDefault="00E14B87" w:rsidP="00154DC0">
      <w:pPr>
        <w:spacing w:line="480" w:lineRule="auto"/>
        <w:rPr>
          <w:rFonts w:ascii="Times New Roman" w:hAnsi="Times New Roman" w:cs="Times New Roman"/>
          <w:shd w:val="clear" w:color="auto" w:fill="FFFFFF"/>
        </w:rPr>
      </w:pPr>
      <w:r w:rsidRPr="00A42976">
        <w:rPr>
          <w:rFonts w:ascii="Times New Roman" w:hAnsi="Times New Roman" w:cs="Times New Roman"/>
          <w:noProof/>
          <w:shd w:val="clear" w:color="auto" w:fill="FFFFFF"/>
        </w:rPr>
        <w:lastRenderedPageBreak/>
        <w:drawing>
          <wp:inline distT="0" distB="0" distL="0" distR="0" wp14:anchorId="16737957" wp14:editId="12C13593">
            <wp:extent cx="5531059" cy="315785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etabolomics_paper_model_figure.png"/>
                    <pic:cNvPicPr/>
                  </pic:nvPicPr>
                  <pic:blipFill rotWithShape="1">
                    <a:blip r:embed="rId17" cstate="print">
                      <a:extLst>
                        <a:ext uri="{28A0092B-C50C-407E-A947-70E740481C1C}">
                          <a14:useLocalDpi xmlns:a14="http://schemas.microsoft.com/office/drawing/2010/main" val="0"/>
                        </a:ext>
                      </a:extLst>
                    </a:blip>
                    <a:srcRect l="2778" t="12207" r="29017" b="26688"/>
                    <a:stretch/>
                  </pic:blipFill>
                  <pic:spPr bwMode="auto">
                    <a:xfrm>
                      <a:off x="0" y="0"/>
                      <a:ext cx="5553617" cy="3170734"/>
                    </a:xfrm>
                    <a:prstGeom prst="rect">
                      <a:avLst/>
                    </a:prstGeom>
                    <a:ln>
                      <a:noFill/>
                    </a:ln>
                    <a:extLst>
                      <a:ext uri="{53640926-AAD7-44D8-BBD7-CCE9431645EC}">
                        <a14:shadowObscured xmlns:a14="http://schemas.microsoft.com/office/drawing/2010/main"/>
                      </a:ext>
                    </a:extLst>
                  </pic:spPr>
                </pic:pic>
              </a:graphicData>
            </a:graphic>
          </wp:inline>
        </w:drawing>
      </w:r>
    </w:p>
    <w:p w14:paraId="4C3DC297" w14:textId="7F01A578" w:rsidR="00F936B1" w:rsidRPr="005C3043" w:rsidRDefault="00F936B1" w:rsidP="00F672B3">
      <w:pPr>
        <w:jc w:val="both"/>
        <w:rPr>
          <w:rFonts w:ascii="Times New Roman" w:hAnsi="Times New Roman" w:cs="Times New Roman"/>
        </w:rPr>
      </w:pPr>
      <w:r w:rsidRPr="00A42976">
        <w:rPr>
          <w:rFonts w:ascii="Times New Roman" w:hAnsi="Times New Roman" w:cs="Times New Roman"/>
          <w:b/>
        </w:rPr>
        <w:t xml:space="preserve">Figure </w:t>
      </w:r>
      <w:r w:rsidR="00624151" w:rsidRPr="00A42976">
        <w:rPr>
          <w:rFonts w:ascii="Times New Roman" w:hAnsi="Times New Roman" w:cs="Times New Roman"/>
          <w:b/>
        </w:rPr>
        <w:t>5</w:t>
      </w:r>
      <w:r w:rsidRPr="00A42976">
        <w:rPr>
          <w:rFonts w:ascii="Times New Roman" w:hAnsi="Times New Roman" w:cs="Times New Roman"/>
          <w:b/>
        </w:rPr>
        <w:t>.</w:t>
      </w:r>
      <w:r w:rsidRPr="00A42976">
        <w:rPr>
          <w:rFonts w:ascii="Times New Roman" w:hAnsi="Times New Roman" w:cs="Times New Roman"/>
        </w:rPr>
        <w:t xml:space="preserve"> Proposed model of altered glucose metabolism in cumulus cells of small</w:t>
      </w:r>
      <w:r w:rsidR="00DC3078" w:rsidRPr="00A42976">
        <w:rPr>
          <w:rFonts w:ascii="Times New Roman" w:hAnsi="Times New Roman" w:cs="Times New Roman"/>
        </w:rPr>
        <w:t xml:space="preserve">er </w:t>
      </w:r>
      <w:r w:rsidRPr="00A42976">
        <w:rPr>
          <w:rFonts w:ascii="Times New Roman" w:hAnsi="Times New Roman" w:cs="Times New Roman"/>
        </w:rPr>
        <w:t xml:space="preserve">pre-ovulatory follicles. Increased concentration of pyruvate, aspartate, alpha-ketoglutarate, and </w:t>
      </w:r>
      <w:r w:rsidRPr="000B5F79">
        <w:rPr>
          <w:rFonts w:ascii="Times New Roman" w:hAnsi="Times New Roman" w:cs="Times New Roman"/>
          <w:smallCaps/>
        </w:rPr>
        <w:t>d</w:t>
      </w:r>
      <w:r w:rsidRPr="005C3043">
        <w:rPr>
          <w:rFonts w:ascii="Times New Roman" w:hAnsi="Times New Roman" w:cs="Times New Roman"/>
        </w:rPr>
        <w:t>-glutamate in the follicular fluid of larger pre-ovulatory follicles is likely the result of increased glucose consumption by the cumulus cells and more efficient glucose, pyruvate, and tric</w:t>
      </w:r>
      <w:r w:rsidRPr="00C87A3E">
        <w:rPr>
          <w:rFonts w:ascii="Times New Roman" w:hAnsi="Times New Roman" w:cs="Times New Roman"/>
        </w:rPr>
        <w:t>arboxylic acid (TCA) cycle metabolism in the cumulus cells of larger follicles (represented by solid black arrows). Our previous results of increased transcript abundance for glucose transporters (</w:t>
      </w:r>
      <w:r w:rsidRPr="00C87A3E">
        <w:rPr>
          <w:rFonts w:ascii="Times New Roman" w:hAnsi="Times New Roman" w:cs="Times New Roman"/>
          <w:i/>
          <w:iCs/>
        </w:rPr>
        <w:t>SLC2A1, SLC2A10</w:t>
      </w:r>
      <w:r w:rsidRPr="00DC10CA">
        <w:rPr>
          <w:rFonts w:ascii="Times New Roman" w:hAnsi="Times New Roman" w:cs="Times New Roman"/>
        </w:rPr>
        <w:t>) and glycolytic enzymes (</w:t>
      </w:r>
      <w:r w:rsidRPr="00DC10CA">
        <w:rPr>
          <w:rFonts w:ascii="Times New Roman" w:hAnsi="Times New Roman" w:cs="Times New Roman"/>
          <w:i/>
          <w:iCs/>
        </w:rPr>
        <w:t>HK2, P</w:t>
      </w:r>
      <w:r w:rsidR="00873509" w:rsidRPr="003B6B38">
        <w:rPr>
          <w:rFonts w:ascii="Times New Roman" w:hAnsi="Times New Roman" w:cs="Times New Roman"/>
          <w:i/>
          <w:iCs/>
        </w:rPr>
        <w:t>F</w:t>
      </w:r>
      <w:r w:rsidRPr="005C3043">
        <w:rPr>
          <w:rFonts w:ascii="Times New Roman" w:hAnsi="Times New Roman" w:cs="Times New Roman"/>
          <w:i/>
          <w:iCs/>
        </w:rPr>
        <w:t>KP</w:t>
      </w:r>
      <w:r w:rsidRPr="005C3043">
        <w:rPr>
          <w:rFonts w:ascii="Times New Roman" w:hAnsi="Times New Roman" w:cs="Times New Roman"/>
        </w:rPr>
        <w:t xml:space="preserve">) in cumulus cells of large versus small pre-ovulatory follicles support the proposed model. Increased production of pyruvate and downstream metabolic products allows increased metabolite abundances to be transferred back into the follicular fluid and to the oocyte to support energy production needed for oocyte maturation, fertilization, cleavage, and early embryo development (represented by blue dotted arrows). Increased concentration of </w:t>
      </w:r>
      <w:r w:rsidRPr="005C3043">
        <w:rPr>
          <w:rFonts w:ascii="Times New Roman" w:hAnsi="Times New Roman" w:cs="Times New Roman"/>
          <w:smallCaps/>
        </w:rPr>
        <w:t>d</w:t>
      </w:r>
      <w:r w:rsidRPr="005C3043">
        <w:rPr>
          <w:rFonts w:ascii="Times New Roman" w:hAnsi="Times New Roman" w:cs="Times New Roman"/>
        </w:rPr>
        <w:t>-gluconate and its downstream product 2-Dehydro-</w:t>
      </w:r>
      <w:r w:rsidRPr="005C3043">
        <w:rPr>
          <w:rFonts w:ascii="Times New Roman" w:hAnsi="Times New Roman" w:cs="Times New Roman"/>
          <w:smallCaps/>
        </w:rPr>
        <w:t>d</w:t>
      </w:r>
      <w:r w:rsidRPr="005C3043">
        <w:rPr>
          <w:rFonts w:ascii="Times New Roman" w:hAnsi="Times New Roman" w:cs="Times New Roman"/>
        </w:rPr>
        <w:t xml:space="preserve">-gluconate in the follicular fluid of larger follicles is likely due to reduced import of </w:t>
      </w:r>
      <w:r w:rsidRPr="005C3043">
        <w:rPr>
          <w:rFonts w:ascii="Times New Roman" w:hAnsi="Times New Roman" w:cs="Times New Roman"/>
          <w:smallCaps/>
        </w:rPr>
        <w:t>d</w:t>
      </w:r>
      <w:r w:rsidRPr="005C3043">
        <w:rPr>
          <w:rFonts w:ascii="Times New Roman" w:hAnsi="Times New Roman" w:cs="Times New Roman"/>
        </w:rPr>
        <w:t>-gluconate into the cumulus cells (represented</w:t>
      </w:r>
      <w:r w:rsidR="00AD68F3" w:rsidRPr="005C3043">
        <w:rPr>
          <w:rFonts w:ascii="Times New Roman" w:hAnsi="Times New Roman" w:cs="Times New Roman"/>
        </w:rPr>
        <w:t xml:space="preserve"> </w:t>
      </w:r>
      <w:r w:rsidRPr="005C3043">
        <w:rPr>
          <w:rFonts w:ascii="Times New Roman" w:hAnsi="Times New Roman" w:cs="Times New Roman"/>
        </w:rPr>
        <w:t>by dashed red arrow) because of preferential import of glucose.</w:t>
      </w:r>
    </w:p>
    <w:p w14:paraId="785EEBC6" w14:textId="6671B510" w:rsidR="00F936B1" w:rsidRDefault="00F936B1" w:rsidP="00154DC0">
      <w:pPr>
        <w:spacing w:line="480" w:lineRule="auto"/>
        <w:rPr>
          <w:rFonts w:ascii="Times New Roman" w:hAnsi="Times New Roman" w:cs="Times New Roman"/>
        </w:rPr>
      </w:pPr>
    </w:p>
    <w:p w14:paraId="333C090B" w14:textId="2133C9DC" w:rsidR="00DF5C47" w:rsidRDefault="00DF5C47" w:rsidP="00154DC0">
      <w:pPr>
        <w:spacing w:line="480" w:lineRule="auto"/>
        <w:rPr>
          <w:rFonts w:ascii="Times New Roman" w:hAnsi="Times New Roman" w:cs="Times New Roman"/>
        </w:rPr>
      </w:pPr>
    </w:p>
    <w:p w14:paraId="5AD3AEBF" w14:textId="05E3CD93" w:rsidR="00DF5C47" w:rsidRDefault="00DF5C47" w:rsidP="00154DC0">
      <w:pPr>
        <w:spacing w:line="480" w:lineRule="auto"/>
        <w:rPr>
          <w:rFonts w:ascii="Times New Roman" w:hAnsi="Times New Roman" w:cs="Times New Roman"/>
        </w:rPr>
      </w:pPr>
    </w:p>
    <w:p w14:paraId="0F52415E" w14:textId="77777777" w:rsidR="00DF5C47" w:rsidRPr="005C3043" w:rsidRDefault="00DF5C47" w:rsidP="00154DC0">
      <w:pPr>
        <w:spacing w:line="480" w:lineRule="auto"/>
        <w:rPr>
          <w:rFonts w:ascii="Times New Roman" w:hAnsi="Times New Roman" w:cs="Times New Roman"/>
        </w:rPr>
      </w:pPr>
    </w:p>
    <w:p w14:paraId="6C8811B9" w14:textId="1E2AFB86" w:rsidR="00F936B1" w:rsidRPr="005C3043" w:rsidRDefault="00F936B1" w:rsidP="00021AAA">
      <w:pPr>
        <w:spacing w:line="480" w:lineRule="auto"/>
        <w:ind w:firstLine="720"/>
        <w:jc w:val="both"/>
        <w:rPr>
          <w:rFonts w:ascii="Times New Roman" w:hAnsi="Times New Roman" w:cs="Times New Roman"/>
        </w:rPr>
      </w:pPr>
      <w:r w:rsidRPr="005C3043">
        <w:rPr>
          <w:rFonts w:ascii="Times New Roman" w:hAnsi="Times New Roman" w:cs="Times New Roman"/>
        </w:rPr>
        <w:lastRenderedPageBreak/>
        <w:t xml:space="preserve">The KEGG pathway ‘arginine biosynthesis’ was also enriched with follicular fluid metabolites whose abundance increased as follicle diameter at GnRH2 administration increased (FDR=0.011; Table 1). Increased concentrations of alpha-ketoglutarate, glutamate, and aspartate are consistent with increased glucose metabolism and production of the TCA cycle intermediates or their derivatives (discussed above). Glutamate and aspartate also eventually promote arginine biosynthesis by entering the urea cycle and undergoing conversions that produce the amino acid arginine. Arginine itself was lowly detected in pre-ovulatory follicular fluid samples of the current study, and arginine concentration was not influenced by follicle diameter (Figure </w:t>
      </w:r>
      <w:r w:rsidR="009A72EC" w:rsidRPr="005C3043">
        <w:rPr>
          <w:rFonts w:ascii="Times New Roman" w:hAnsi="Times New Roman" w:cs="Times New Roman"/>
        </w:rPr>
        <w:t>3</w:t>
      </w:r>
      <w:r w:rsidRPr="005C3043">
        <w:rPr>
          <w:rFonts w:ascii="Times New Roman" w:hAnsi="Times New Roman" w:cs="Times New Roman"/>
        </w:rPr>
        <w:t>; FDR=0.12). Therefore, we do not hypothesize a biologically relevant impact of enrichment of the ‘arginine biosynthesis’ pathway beyond its relationship to the TCA cycle and improved metabolism in the cumulus cells of larger pre-ovulatory follicles.</w:t>
      </w:r>
    </w:p>
    <w:p w14:paraId="3B1CDDB8" w14:textId="413FAFB7" w:rsidR="00F936B1" w:rsidRPr="005C3043" w:rsidRDefault="00F936B1" w:rsidP="008D698F">
      <w:pPr>
        <w:spacing w:line="480" w:lineRule="auto"/>
        <w:ind w:firstLine="720"/>
        <w:jc w:val="both"/>
        <w:rPr>
          <w:rFonts w:ascii="Times New Roman" w:hAnsi="Times New Roman" w:cs="Times New Roman"/>
        </w:rPr>
      </w:pPr>
      <w:r w:rsidRPr="005C3043">
        <w:rPr>
          <w:rFonts w:ascii="Times New Roman" w:hAnsi="Times New Roman" w:cs="Times New Roman"/>
        </w:rPr>
        <w:t>The importance of follicular fluid amino acids for oocyte developmental competency expands beyond metabolic support. Amino acids are also important for proteinogenesis, and during maturation, oocytes and cumulus cells undergo morphological changes that involve increased protein synthesis</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Edson et al., 2009)</w:t>
      </w:r>
      <w:r w:rsidRPr="005C3043">
        <w:rPr>
          <w:rFonts w:ascii="Times New Roman" w:hAnsi="Times New Roman" w:cs="Times New Roman"/>
        </w:rPr>
        <w:t>. Enrichment of amino acids in the pathway ‘aminoacyl-tRNA biosynthesis’ (FDR=0.019; Table 1) indicates that these amino acids are more readily available to be incorporated into protein. Within the follicle and cumulus-oocyte-complex, there are many important signaling molecules, receptors, and enzymes that are made up of amino acids</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Revelli et al., 2009)</w:t>
      </w:r>
      <w:r w:rsidRPr="005C3043">
        <w:rPr>
          <w:rFonts w:ascii="Times New Roman" w:hAnsi="Times New Roman" w:cs="Times New Roman"/>
        </w:rPr>
        <w:t xml:space="preserve">. Deficits in the availability of key amino acids could impact the formation of these molecules and subsequently alter signaling and metabolic pathways as well as developmental events. </w:t>
      </w:r>
      <w:r w:rsidR="00501773" w:rsidRPr="005C3043">
        <w:rPr>
          <w:rFonts w:ascii="Times New Roman" w:hAnsi="Times New Roman" w:cs="Times New Roman"/>
        </w:rPr>
        <w:lastRenderedPageBreak/>
        <w:t>Ess</w:t>
      </w:r>
      <w:r w:rsidRPr="005C3043">
        <w:rPr>
          <w:rFonts w:ascii="Times New Roman" w:hAnsi="Times New Roman" w:cs="Times New Roman"/>
        </w:rPr>
        <w:t>ential amino acids phenylalanine, methionine, leucine/isoleucine</w:t>
      </w:r>
      <w:r w:rsidR="00501773" w:rsidRPr="005C3043">
        <w:rPr>
          <w:rFonts w:ascii="Times New Roman" w:hAnsi="Times New Roman" w:cs="Times New Roman"/>
        </w:rPr>
        <w:t>, and potentially valine as well as</w:t>
      </w:r>
      <w:r w:rsidRPr="005C3043">
        <w:rPr>
          <w:rFonts w:ascii="Times New Roman" w:hAnsi="Times New Roman" w:cs="Times New Roman"/>
        </w:rPr>
        <w:t xml:space="preserve"> the nonessential amino acids glutamate and aspartate</w:t>
      </w:r>
      <w:r w:rsidR="00501773" w:rsidRPr="005C3043">
        <w:rPr>
          <w:rFonts w:ascii="Times New Roman" w:hAnsi="Times New Roman" w:cs="Times New Roman"/>
        </w:rPr>
        <w:t xml:space="preserve"> increase</w:t>
      </w:r>
      <w:r w:rsidRPr="005C3043">
        <w:rPr>
          <w:rFonts w:ascii="Times New Roman" w:hAnsi="Times New Roman" w:cs="Times New Roman"/>
        </w:rPr>
        <w:t xml:space="preserve"> as follicle diameter increases. In the bovine, increased total amino acid concentration within the follicular fluid of 6-8</w:t>
      </w:r>
      <w:r w:rsidR="007957A4" w:rsidRPr="005C3043">
        <w:rPr>
          <w:rFonts w:ascii="Times New Roman" w:hAnsi="Times New Roman" w:cs="Times New Roman"/>
        </w:rPr>
        <w:t xml:space="preserve"> </w:t>
      </w:r>
      <w:r w:rsidRPr="005C3043">
        <w:rPr>
          <w:rFonts w:ascii="Times New Roman" w:hAnsi="Times New Roman" w:cs="Times New Roman"/>
        </w:rPr>
        <w:t>mm follicles was associated with increased oocyte cleavage and development to the blastocyst stage</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Sinclair et al., 2008)</w:t>
      </w:r>
      <w:r w:rsidRPr="005C3043">
        <w:rPr>
          <w:rFonts w:ascii="Times New Roman" w:hAnsi="Times New Roman" w:cs="Times New Roman"/>
        </w:rPr>
        <w:t xml:space="preserve">. </w:t>
      </w:r>
      <w:r w:rsidRPr="005C3043">
        <w:rPr>
          <w:rFonts w:ascii="Times New Roman" w:hAnsi="Times New Roman" w:cs="Times New Roman"/>
          <w:i/>
          <w:iCs/>
        </w:rPr>
        <w:t xml:space="preserve">In vitro, </w:t>
      </w:r>
      <w:r w:rsidRPr="005C3043">
        <w:rPr>
          <w:rFonts w:ascii="Times New Roman" w:hAnsi="Times New Roman" w:cs="Times New Roman"/>
        </w:rPr>
        <w:t>supplementation of cumulus-oocyte-complexes with amino acids supports the acquisition of oocyte developmental competence, and cumulus-oocyte complex utilization and/or excretion of amino acids has been demonstrated to increase during maturation</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Uhde et al., 2018c)</w:t>
      </w:r>
      <w:r w:rsidRPr="005C3043">
        <w:rPr>
          <w:rFonts w:ascii="Times New Roman" w:hAnsi="Times New Roman" w:cs="Times New Roman"/>
        </w:rPr>
        <w:t xml:space="preserve">. We hypothesize that increased availability of amino acids in the follicular fluid of larger follicles leads to greater capacity for proteinogenesis and improved developmental competence. </w:t>
      </w:r>
    </w:p>
    <w:p w14:paraId="5D72AAE4" w14:textId="796E4E34" w:rsidR="00F936B1" w:rsidRPr="005C3043" w:rsidRDefault="00F936B1" w:rsidP="00021AAA">
      <w:pPr>
        <w:spacing w:line="480" w:lineRule="auto"/>
        <w:ind w:firstLine="720"/>
        <w:jc w:val="both"/>
        <w:rPr>
          <w:rFonts w:ascii="Times New Roman" w:hAnsi="Times New Roman" w:cs="Times New Roman"/>
        </w:rPr>
      </w:pPr>
      <w:r w:rsidRPr="005C3043">
        <w:rPr>
          <w:rFonts w:ascii="Times New Roman" w:hAnsi="Times New Roman" w:cs="Times New Roman"/>
        </w:rPr>
        <w:t xml:space="preserve">On the contrary, an </w:t>
      </w:r>
      <w:r w:rsidRPr="005C3043">
        <w:rPr>
          <w:rFonts w:ascii="Times New Roman" w:hAnsi="Times New Roman" w:cs="Times New Roman"/>
          <w:i/>
          <w:iCs/>
        </w:rPr>
        <w:t>in vitro</w:t>
      </w:r>
      <w:r w:rsidRPr="005C3043">
        <w:rPr>
          <w:rFonts w:ascii="Times New Roman" w:hAnsi="Times New Roman" w:cs="Times New Roman"/>
        </w:rPr>
        <w:t xml:space="preserve"> study of bovine cumulus-oocyte complexes collected from 6-8 mm follicles, demonstrated that increased proportion of the follicular fluid amino acids histidine, leucine, isoleucine, lysine, methionine, phenylalanine, proline, tyrosine, and valine was negatively associated with cumulus-oocyte-complex morphological assessment and/or oocyte competency for cleavage and/or blastocyst development. In the current study, we detected the presence of methionine, phenylalanine, leucine/isoleucine, and valine/betaine in pre-ovulatory follicular fluid (Figure </w:t>
      </w:r>
      <w:r w:rsidR="009A72EC" w:rsidRPr="005C3043">
        <w:rPr>
          <w:rFonts w:ascii="Times New Roman" w:hAnsi="Times New Roman" w:cs="Times New Roman"/>
        </w:rPr>
        <w:t>3</w:t>
      </w:r>
      <w:r w:rsidRPr="005C3043">
        <w:rPr>
          <w:rFonts w:ascii="Times New Roman" w:hAnsi="Times New Roman" w:cs="Times New Roman"/>
        </w:rPr>
        <w:t xml:space="preserve">). There was, however, a significant, positive relationship between follicle diameter at GnRH2 administration and the concentration of each amino acid (FDR&lt;0.05; Figure </w:t>
      </w:r>
      <w:r w:rsidR="009A72EC" w:rsidRPr="005C3043">
        <w:rPr>
          <w:rFonts w:ascii="Times New Roman" w:hAnsi="Times New Roman" w:cs="Times New Roman"/>
        </w:rPr>
        <w:t>4</w:t>
      </w:r>
      <w:r w:rsidRPr="005C3043">
        <w:rPr>
          <w:rFonts w:ascii="Times New Roman" w:hAnsi="Times New Roman" w:cs="Times New Roman"/>
        </w:rPr>
        <w:t xml:space="preserve">H, </w:t>
      </w:r>
      <w:r w:rsidR="009A72EC" w:rsidRPr="005C3043">
        <w:rPr>
          <w:rFonts w:ascii="Times New Roman" w:hAnsi="Times New Roman" w:cs="Times New Roman"/>
        </w:rPr>
        <w:t>4</w:t>
      </w:r>
      <w:r w:rsidRPr="005C3043">
        <w:rPr>
          <w:rFonts w:ascii="Times New Roman" w:hAnsi="Times New Roman" w:cs="Times New Roman"/>
        </w:rPr>
        <w:t xml:space="preserve">I, </w:t>
      </w:r>
      <w:r w:rsidR="009A72EC" w:rsidRPr="005C3043">
        <w:rPr>
          <w:rFonts w:ascii="Times New Roman" w:hAnsi="Times New Roman" w:cs="Times New Roman"/>
        </w:rPr>
        <w:t>4</w:t>
      </w:r>
      <w:r w:rsidRPr="005C3043">
        <w:rPr>
          <w:rFonts w:ascii="Times New Roman" w:hAnsi="Times New Roman" w:cs="Times New Roman"/>
        </w:rPr>
        <w:t xml:space="preserve">O, </w:t>
      </w:r>
      <w:r w:rsidR="009A72EC" w:rsidRPr="005C3043">
        <w:rPr>
          <w:rFonts w:ascii="Times New Roman" w:hAnsi="Times New Roman" w:cs="Times New Roman"/>
        </w:rPr>
        <w:t>4</w:t>
      </w:r>
      <w:r w:rsidRPr="005C3043">
        <w:rPr>
          <w:rFonts w:ascii="Times New Roman" w:hAnsi="Times New Roman" w:cs="Times New Roman"/>
        </w:rPr>
        <w:t xml:space="preserve">R, respectively). Though we did not measure oocyte developmental competency in the current study, oocytes from pre-ovulatory follicles </w:t>
      </w:r>
      <w:r w:rsidRPr="005C3043">
        <w:rPr>
          <w:rFonts w:ascii="Times New Roman" w:hAnsi="Times New Roman" w:cs="Times New Roman"/>
          <w:u w:val="single"/>
        </w:rPr>
        <w:t>&gt;</w:t>
      </w:r>
      <w:r w:rsidRPr="005C3043">
        <w:rPr>
          <w:rFonts w:ascii="Times New Roman" w:hAnsi="Times New Roman" w:cs="Times New Roman"/>
        </w:rPr>
        <w:t xml:space="preserve"> 12.5 mm were previously determined to exhibit increased capacity for </w:t>
      </w:r>
      <w:proofErr w:type="spellStart"/>
      <w:r w:rsidR="00501773" w:rsidRPr="005C3043">
        <w:rPr>
          <w:rFonts w:ascii="Times New Roman" w:hAnsi="Times New Roman" w:cs="Times New Roman"/>
        </w:rPr>
        <w:t>ferilization</w:t>
      </w:r>
      <w:proofErr w:type="spellEnd"/>
      <w:r w:rsidRPr="005C3043">
        <w:rPr>
          <w:rFonts w:ascii="Times New Roman" w:hAnsi="Times New Roman" w:cs="Times New Roman"/>
        </w:rPr>
        <w:t xml:space="preserve"> and the formation of a high</w:t>
      </w:r>
      <w:r w:rsidR="008D698F" w:rsidRPr="005C3043">
        <w:rPr>
          <w:rFonts w:ascii="Times New Roman" w:hAnsi="Times New Roman" w:cs="Times New Roman"/>
        </w:rPr>
        <w:t>-</w:t>
      </w:r>
      <w:r w:rsidRPr="005C3043">
        <w:rPr>
          <w:rFonts w:ascii="Times New Roman" w:hAnsi="Times New Roman" w:cs="Times New Roman"/>
        </w:rPr>
        <w:t>quality embryo</w:t>
      </w:r>
      <w:r w:rsidR="006521DC" w:rsidRPr="005C3043">
        <w:rPr>
          <w:rFonts w:ascii="Times New Roman" w:hAnsi="Times New Roman" w:cs="Times New Roman"/>
          <w:noProof/>
        </w:rPr>
        <w:t xml:space="preserve"> </w:t>
      </w:r>
      <w:r w:rsidR="008D698F" w:rsidRPr="005C3043">
        <w:rPr>
          <w:rFonts w:ascii="Times New Roman" w:hAnsi="Times New Roman" w:cs="Times New Roman"/>
          <w:noProof/>
        </w:rPr>
        <w:t xml:space="preserve">compared to </w:t>
      </w:r>
      <w:r w:rsidR="008D698F" w:rsidRPr="005C3043">
        <w:rPr>
          <w:rFonts w:ascii="Times New Roman" w:hAnsi="Times New Roman" w:cs="Times New Roman"/>
          <w:noProof/>
        </w:rPr>
        <w:lastRenderedPageBreak/>
        <w:t xml:space="preserve">oocytes from follicles &lt; </w:t>
      </w:r>
      <w:r w:rsidR="003D3DF4" w:rsidRPr="005C3043">
        <w:rPr>
          <w:rFonts w:ascii="Times New Roman" w:hAnsi="Times New Roman" w:cs="Times New Roman"/>
          <w:noProof/>
        </w:rPr>
        <w:t xml:space="preserve">12.5 mm </w:t>
      </w:r>
      <w:r w:rsidR="006521DC" w:rsidRPr="005C3043">
        <w:rPr>
          <w:rFonts w:ascii="Times New Roman" w:hAnsi="Times New Roman" w:cs="Times New Roman"/>
          <w:noProof/>
        </w:rPr>
        <w:t>(</w:t>
      </w:r>
      <w:r w:rsidR="00C55223" w:rsidRPr="005C3043">
        <w:rPr>
          <w:rFonts w:ascii="Times New Roman" w:hAnsi="Times New Roman" w:cs="Times New Roman"/>
          <w:noProof/>
        </w:rPr>
        <w:t xml:space="preserve">Atkins et al., </w:t>
      </w:r>
      <w:r w:rsidR="00937F46" w:rsidRPr="005C3043">
        <w:rPr>
          <w:rFonts w:ascii="Times New Roman" w:hAnsi="Times New Roman" w:cs="Times New Roman"/>
          <w:noProof/>
        </w:rPr>
        <w:t>2013</w:t>
      </w:r>
      <w:r w:rsidR="00C55223" w:rsidRPr="005C3043">
        <w:rPr>
          <w:rFonts w:ascii="Times New Roman" w:hAnsi="Times New Roman" w:cs="Times New Roman"/>
          <w:noProof/>
        </w:rPr>
        <w:t>)</w:t>
      </w:r>
      <w:r w:rsidRPr="005C3043">
        <w:rPr>
          <w:rFonts w:ascii="Times New Roman" w:hAnsi="Times New Roman" w:cs="Times New Roman"/>
        </w:rPr>
        <w:t xml:space="preserve">. We cannot fully explain the discrepancy between our results and that of the </w:t>
      </w:r>
      <w:r w:rsidRPr="005C3043">
        <w:rPr>
          <w:rFonts w:ascii="Times New Roman" w:hAnsi="Times New Roman" w:cs="Times New Roman"/>
          <w:i/>
          <w:iCs/>
        </w:rPr>
        <w:t xml:space="preserve">in vitro </w:t>
      </w:r>
      <w:r w:rsidRPr="005C3043">
        <w:rPr>
          <w:rFonts w:ascii="Times New Roman" w:hAnsi="Times New Roman" w:cs="Times New Roman"/>
        </w:rPr>
        <w:t xml:space="preserve">study, but the variation of follicular fluid source and follicle size/stage of development between the two experiments were likely contributors. </w:t>
      </w:r>
    </w:p>
    <w:p w14:paraId="1312DEDF" w14:textId="3B8A16F6" w:rsidR="00F936B1" w:rsidRPr="005C3043" w:rsidRDefault="00F936B1" w:rsidP="00021AAA">
      <w:pPr>
        <w:spacing w:line="480" w:lineRule="auto"/>
        <w:ind w:firstLine="720"/>
        <w:jc w:val="both"/>
        <w:rPr>
          <w:rFonts w:ascii="Times New Roman" w:hAnsi="Times New Roman" w:cs="Times New Roman"/>
        </w:rPr>
      </w:pPr>
      <w:r w:rsidRPr="005C3043">
        <w:rPr>
          <w:rFonts w:ascii="Times New Roman" w:hAnsi="Times New Roman" w:cs="Times New Roman"/>
        </w:rPr>
        <w:t>Not only do amino acids make up the peptide subunits that are used to form proteins, but they also play a role in DNA methylation and initiation of mRNA synthesis. During oocyte development, it is acquiring stockpiles of RNA transcripts and changes in DNA methylation regulate which genes are being actively transcribed. Additionally, during maturation, the chromatin within the oocyte condenses to facilitate the resumption of meiosis</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Sendžikaitė and Kelsey, 2019)</w:t>
      </w:r>
      <w:r w:rsidRPr="005C3043">
        <w:rPr>
          <w:rFonts w:ascii="Times New Roman" w:hAnsi="Times New Roman" w:cs="Times New Roman"/>
        </w:rPr>
        <w:t>. Methionine plays a key role in DNA methylation by forming S-adenosyl methionine (SAM</w:t>
      </w:r>
      <w:r w:rsidR="006521DC" w:rsidRPr="005C3043">
        <w:rPr>
          <w:rFonts w:ascii="Times New Roman" w:hAnsi="Times New Roman" w:cs="Times New Roman"/>
        </w:rPr>
        <w:t xml:space="preserve">; </w:t>
      </w:r>
      <w:r w:rsidR="00C55223" w:rsidRPr="005C3043">
        <w:rPr>
          <w:rFonts w:ascii="Times New Roman" w:hAnsi="Times New Roman" w:cs="Times New Roman"/>
          <w:noProof/>
        </w:rPr>
        <w:t>Zhang, 2018; Sendžikaitė and Kelsey, 2019)</w:t>
      </w:r>
      <w:r w:rsidRPr="005C3043">
        <w:rPr>
          <w:rFonts w:ascii="Times New Roman" w:hAnsi="Times New Roman" w:cs="Times New Roman"/>
        </w:rPr>
        <w:t>. This molecule plays a key role in the methylation of CpG islands</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Sendžikaitė and Kelsey, 2019)</w:t>
      </w:r>
      <w:r w:rsidRPr="005C3043">
        <w:rPr>
          <w:rFonts w:ascii="Times New Roman" w:hAnsi="Times New Roman" w:cs="Times New Roman"/>
        </w:rPr>
        <w:t xml:space="preserve">. Multiple dietary studies have </w:t>
      </w:r>
      <w:r w:rsidR="00501773" w:rsidRPr="005C3043">
        <w:rPr>
          <w:rFonts w:ascii="Times New Roman" w:hAnsi="Times New Roman" w:cs="Times New Roman"/>
        </w:rPr>
        <w:t>reported</w:t>
      </w:r>
      <w:r w:rsidRPr="005C3043">
        <w:rPr>
          <w:rFonts w:ascii="Times New Roman" w:hAnsi="Times New Roman" w:cs="Times New Roman"/>
        </w:rPr>
        <w:t xml:space="preserve"> that increased methionine intake results in increased SAM and hypermethylation</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Zhang, 2018)</w:t>
      </w:r>
      <w:r w:rsidRPr="005C3043">
        <w:rPr>
          <w:rFonts w:ascii="Times New Roman" w:hAnsi="Times New Roman" w:cs="Times New Roman"/>
        </w:rPr>
        <w:t xml:space="preserve">. The increased methionine present in the follicular fluid of larger follicles (FDR=0.032; Figure </w:t>
      </w:r>
      <w:r w:rsidR="009A72EC" w:rsidRPr="005C3043">
        <w:rPr>
          <w:rFonts w:ascii="Times New Roman" w:hAnsi="Times New Roman" w:cs="Times New Roman"/>
        </w:rPr>
        <w:t>4</w:t>
      </w:r>
      <w:r w:rsidRPr="005C3043">
        <w:rPr>
          <w:rFonts w:ascii="Times New Roman" w:hAnsi="Times New Roman" w:cs="Times New Roman"/>
        </w:rPr>
        <w:t xml:space="preserve">H) could be indicative of increased DNA methylation within the oocytes of larger follicles. </w:t>
      </w:r>
    </w:p>
    <w:p w14:paraId="6B5BDD2D" w14:textId="1EC0236B" w:rsidR="00556433" w:rsidRPr="000D2CCE" w:rsidRDefault="00F936B1" w:rsidP="000D2CCE">
      <w:pPr>
        <w:spacing w:line="480" w:lineRule="auto"/>
        <w:ind w:firstLine="720"/>
        <w:jc w:val="both"/>
        <w:rPr>
          <w:rFonts w:ascii="Times New Roman" w:hAnsi="Times New Roman" w:cs="Times New Roman"/>
        </w:rPr>
      </w:pPr>
      <w:r w:rsidRPr="005C3043">
        <w:rPr>
          <w:rFonts w:ascii="Times New Roman" w:hAnsi="Times New Roman" w:cs="Times New Roman"/>
        </w:rPr>
        <w:t>In addition to its contributions to metabolism and proteinogenesis of follicular cells, the follicular fluid also provides an oxidatively balanced environment for the somatic follicular cells and oocyte. Alpha-ketoglutarate acts as an antioxidant agent, and uric acid is a scavenger of free radicals that is primarily oxidized to allantoin</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Kand'ár et al., 2006; Liu et al., 2018)</w:t>
      </w:r>
      <w:r w:rsidRPr="005C3043">
        <w:rPr>
          <w:rFonts w:ascii="Times New Roman" w:hAnsi="Times New Roman" w:cs="Times New Roman"/>
        </w:rPr>
        <w:t xml:space="preserve">. Alpha-ketoglutarate, uric acid, and allantoin were significantly increased in the follicular fluid of larger pre-ovulatory follicles (FDR&lt;0.04; Figure </w:t>
      </w:r>
      <w:r w:rsidR="009A72EC" w:rsidRPr="005C3043">
        <w:rPr>
          <w:rFonts w:ascii="Times New Roman" w:hAnsi="Times New Roman" w:cs="Times New Roman"/>
        </w:rPr>
        <w:t>4</w:t>
      </w:r>
      <w:r w:rsidRPr="005C3043">
        <w:rPr>
          <w:rFonts w:ascii="Times New Roman" w:hAnsi="Times New Roman" w:cs="Times New Roman"/>
        </w:rPr>
        <w:t xml:space="preserve">A, </w:t>
      </w:r>
      <w:r w:rsidR="009A72EC" w:rsidRPr="005C3043">
        <w:rPr>
          <w:rFonts w:ascii="Times New Roman" w:hAnsi="Times New Roman" w:cs="Times New Roman"/>
        </w:rPr>
        <w:t>4</w:t>
      </w:r>
      <w:r w:rsidRPr="005C3043">
        <w:rPr>
          <w:rFonts w:ascii="Times New Roman" w:hAnsi="Times New Roman" w:cs="Times New Roman"/>
        </w:rPr>
        <w:t xml:space="preserve">K and </w:t>
      </w:r>
      <w:r w:rsidR="009A72EC" w:rsidRPr="005C3043">
        <w:rPr>
          <w:rFonts w:ascii="Times New Roman" w:hAnsi="Times New Roman" w:cs="Times New Roman"/>
        </w:rPr>
        <w:t>4</w:t>
      </w:r>
      <w:r w:rsidRPr="005C3043">
        <w:rPr>
          <w:rFonts w:ascii="Times New Roman" w:hAnsi="Times New Roman" w:cs="Times New Roman"/>
        </w:rPr>
        <w:t xml:space="preserve">P, </w:t>
      </w:r>
      <w:r w:rsidRPr="005C3043">
        <w:rPr>
          <w:rFonts w:ascii="Times New Roman" w:hAnsi="Times New Roman" w:cs="Times New Roman"/>
        </w:rPr>
        <w:lastRenderedPageBreak/>
        <w:t xml:space="preserve">respectively). Such results suggest increased capacity for reduction-oxidation reactions in the follicular fluid, however we cannot speculate if such phenomena lead to improved oocyte developmental competence in larger follicles.  Increased concentration of uric acid in the follicular fluid has been previously associated with increasing body mass index in women and poor cumulus-oocyte complex morphology in buffalo cows, indicating that elevated levels of uric acid may be the result of oxidative stress </w:t>
      </w:r>
      <w:r w:rsidR="00C55223" w:rsidRPr="005C3043">
        <w:rPr>
          <w:rFonts w:ascii="Times New Roman" w:hAnsi="Times New Roman" w:cs="Times New Roman"/>
          <w:noProof/>
        </w:rPr>
        <w:t>(Cassano et al., 1999; Bou Nemer et al., 2019)</w:t>
      </w:r>
      <w:r w:rsidRPr="005C3043">
        <w:rPr>
          <w:rFonts w:ascii="Times New Roman" w:hAnsi="Times New Roman" w:cs="Times New Roman"/>
        </w:rPr>
        <w:t xml:space="preserve">.  However, the follicular fluid of obese women also possessed higher levels of hormones related to glucose metabolism, and increased abundance of uric acid could be a combative response to potential oxidative stress due to increased metabolic activity of the follicular cells. </w:t>
      </w:r>
    </w:p>
    <w:p w14:paraId="5FAB62D1" w14:textId="647169C6" w:rsidR="00F936B1" w:rsidRPr="005C3043" w:rsidRDefault="00F936B1" w:rsidP="000D2CCE">
      <w:pPr>
        <w:pStyle w:val="Diss2"/>
      </w:pPr>
      <w:bookmarkStart w:id="39" w:name="_Toc100072167"/>
      <w:r w:rsidRPr="005C3043">
        <w:t>Conclusions</w:t>
      </w:r>
      <w:bookmarkEnd w:id="39"/>
    </w:p>
    <w:p w14:paraId="4CFAE66F" w14:textId="61A27921" w:rsidR="00F936B1" w:rsidRDefault="00F936B1" w:rsidP="00021AAA">
      <w:pPr>
        <w:spacing w:line="480" w:lineRule="auto"/>
        <w:ind w:firstLine="720"/>
        <w:jc w:val="both"/>
        <w:rPr>
          <w:rFonts w:ascii="Times New Roman" w:hAnsi="Times New Roman" w:cs="Times New Roman"/>
        </w:rPr>
      </w:pPr>
      <w:bookmarkStart w:id="40" w:name="_Hlk94471350"/>
      <w:r w:rsidRPr="005C3043">
        <w:rPr>
          <w:rFonts w:ascii="Times New Roman" w:hAnsi="Times New Roman" w:cs="Times New Roman"/>
        </w:rPr>
        <w:t xml:space="preserve">In conclusion, we identified a total of 38 metabolites in the follicular fluid of bovine pre-ovulatory follicles. Eighteen metabolites were positively </w:t>
      </w:r>
      <w:r w:rsidR="00DC3078" w:rsidRPr="005C3043">
        <w:rPr>
          <w:rFonts w:ascii="Times New Roman" w:hAnsi="Times New Roman" w:cs="Times New Roman"/>
        </w:rPr>
        <w:t>relat</w:t>
      </w:r>
      <w:r w:rsidRPr="005C3043">
        <w:rPr>
          <w:rFonts w:ascii="Times New Roman" w:hAnsi="Times New Roman" w:cs="Times New Roman"/>
        </w:rPr>
        <w:t>ed to increasing follicle diameter at the time of GnRH administration to induce the pre-ovulatory gonadotropin surge. Pathway and individual analysis of these metabolites revealed that pathways and substrates involved in glucose metabolism, energy production, and proteinogenesis are present in higher levels in the follicular fluid of larger follicles. The follicular fluid microenvironment plays a key role in oocyte acquisition of developmental competence by providing the cumulus-oocyte complex with nutrients and metabolic substrates. Decreased availability of metabolites and proteinogenic components to cumulus-oocyte-complexes from smaller</w:t>
      </w:r>
      <w:r w:rsidR="00DC3078" w:rsidRPr="005C3043">
        <w:rPr>
          <w:rFonts w:ascii="Times New Roman" w:hAnsi="Times New Roman" w:cs="Times New Roman"/>
        </w:rPr>
        <w:t xml:space="preserve"> </w:t>
      </w:r>
      <w:r w:rsidR="00743ADF" w:rsidRPr="005C3043">
        <w:rPr>
          <w:rFonts w:ascii="Times New Roman" w:hAnsi="Times New Roman" w:cs="Times New Roman"/>
        </w:rPr>
        <w:t>pre-ovulatory</w:t>
      </w:r>
      <w:r w:rsidRPr="005C3043">
        <w:rPr>
          <w:rFonts w:ascii="Times New Roman" w:hAnsi="Times New Roman" w:cs="Times New Roman"/>
        </w:rPr>
        <w:t xml:space="preserve"> follicles likely contributes to the reduced oocyte developmental </w:t>
      </w:r>
      <w:r w:rsidRPr="005C3043">
        <w:rPr>
          <w:rFonts w:ascii="Times New Roman" w:hAnsi="Times New Roman" w:cs="Times New Roman"/>
        </w:rPr>
        <w:lastRenderedPageBreak/>
        <w:t xml:space="preserve">competence and lower pregnancy rates observed when beef cows are induced to ovulate a small pre-ovulatory follicle. </w:t>
      </w:r>
    </w:p>
    <w:p w14:paraId="310DD9DB" w14:textId="3F7FE4E4" w:rsidR="00DF5C47" w:rsidRDefault="00DF5C47" w:rsidP="00021AAA">
      <w:pPr>
        <w:spacing w:line="480" w:lineRule="auto"/>
        <w:ind w:firstLine="720"/>
        <w:jc w:val="both"/>
        <w:rPr>
          <w:rFonts w:ascii="Times New Roman" w:hAnsi="Times New Roman" w:cs="Times New Roman"/>
        </w:rPr>
      </w:pPr>
    </w:p>
    <w:p w14:paraId="287CDDEA" w14:textId="29B1FD23" w:rsidR="00DF5C47" w:rsidRDefault="00DF5C47" w:rsidP="00021AAA">
      <w:pPr>
        <w:spacing w:line="480" w:lineRule="auto"/>
        <w:ind w:firstLine="720"/>
        <w:jc w:val="both"/>
        <w:rPr>
          <w:rFonts w:ascii="Times New Roman" w:hAnsi="Times New Roman" w:cs="Times New Roman"/>
        </w:rPr>
      </w:pPr>
    </w:p>
    <w:p w14:paraId="2C48E349" w14:textId="786CA175" w:rsidR="00DF5C47" w:rsidRDefault="00DF5C47" w:rsidP="00021AAA">
      <w:pPr>
        <w:spacing w:line="480" w:lineRule="auto"/>
        <w:ind w:firstLine="720"/>
        <w:jc w:val="both"/>
        <w:rPr>
          <w:rFonts w:ascii="Times New Roman" w:hAnsi="Times New Roman" w:cs="Times New Roman"/>
        </w:rPr>
      </w:pPr>
    </w:p>
    <w:p w14:paraId="7A7AEB8E" w14:textId="64BF1D05" w:rsidR="00DF5C47" w:rsidRDefault="00DF5C47" w:rsidP="00021AAA">
      <w:pPr>
        <w:spacing w:line="480" w:lineRule="auto"/>
        <w:ind w:firstLine="720"/>
        <w:jc w:val="both"/>
        <w:rPr>
          <w:rFonts w:ascii="Times New Roman" w:hAnsi="Times New Roman" w:cs="Times New Roman"/>
        </w:rPr>
      </w:pPr>
    </w:p>
    <w:p w14:paraId="12C938FD" w14:textId="1E7B854F" w:rsidR="00DF5C47" w:rsidRDefault="00DF5C47" w:rsidP="00021AAA">
      <w:pPr>
        <w:spacing w:line="480" w:lineRule="auto"/>
        <w:ind w:firstLine="720"/>
        <w:jc w:val="both"/>
        <w:rPr>
          <w:rFonts w:ascii="Times New Roman" w:hAnsi="Times New Roman" w:cs="Times New Roman"/>
        </w:rPr>
      </w:pPr>
    </w:p>
    <w:p w14:paraId="03B5E5D2" w14:textId="1261285A" w:rsidR="00DF5C47" w:rsidRDefault="00DF5C47" w:rsidP="00021AAA">
      <w:pPr>
        <w:spacing w:line="480" w:lineRule="auto"/>
        <w:ind w:firstLine="720"/>
        <w:jc w:val="both"/>
        <w:rPr>
          <w:rFonts w:ascii="Times New Roman" w:hAnsi="Times New Roman" w:cs="Times New Roman"/>
        </w:rPr>
      </w:pPr>
    </w:p>
    <w:p w14:paraId="3455AFB5" w14:textId="3B50CD8C" w:rsidR="00DF5C47" w:rsidRDefault="00DF5C47" w:rsidP="00021AAA">
      <w:pPr>
        <w:spacing w:line="480" w:lineRule="auto"/>
        <w:ind w:firstLine="720"/>
        <w:jc w:val="both"/>
        <w:rPr>
          <w:rFonts w:ascii="Times New Roman" w:hAnsi="Times New Roman" w:cs="Times New Roman"/>
        </w:rPr>
      </w:pPr>
    </w:p>
    <w:p w14:paraId="25EA4DED" w14:textId="18E288B5" w:rsidR="00DF5C47" w:rsidRDefault="00DF5C47" w:rsidP="00021AAA">
      <w:pPr>
        <w:spacing w:line="480" w:lineRule="auto"/>
        <w:ind w:firstLine="720"/>
        <w:jc w:val="both"/>
        <w:rPr>
          <w:rFonts w:ascii="Times New Roman" w:hAnsi="Times New Roman" w:cs="Times New Roman"/>
        </w:rPr>
      </w:pPr>
    </w:p>
    <w:p w14:paraId="45A348F1" w14:textId="29D1D0DC" w:rsidR="00DF5C47" w:rsidRDefault="00DF5C47" w:rsidP="00021AAA">
      <w:pPr>
        <w:spacing w:line="480" w:lineRule="auto"/>
        <w:ind w:firstLine="720"/>
        <w:jc w:val="both"/>
        <w:rPr>
          <w:rFonts w:ascii="Times New Roman" w:hAnsi="Times New Roman" w:cs="Times New Roman"/>
        </w:rPr>
      </w:pPr>
    </w:p>
    <w:p w14:paraId="71465B64" w14:textId="2852BB0C" w:rsidR="00DF5C47" w:rsidRDefault="00DF5C47" w:rsidP="00021AAA">
      <w:pPr>
        <w:spacing w:line="480" w:lineRule="auto"/>
        <w:ind w:firstLine="720"/>
        <w:jc w:val="both"/>
        <w:rPr>
          <w:rFonts w:ascii="Times New Roman" w:hAnsi="Times New Roman" w:cs="Times New Roman"/>
        </w:rPr>
      </w:pPr>
    </w:p>
    <w:p w14:paraId="08DE7B6D" w14:textId="559337D8" w:rsidR="00DF5C47" w:rsidRDefault="00DF5C47" w:rsidP="00021AAA">
      <w:pPr>
        <w:spacing w:line="480" w:lineRule="auto"/>
        <w:ind w:firstLine="720"/>
        <w:jc w:val="both"/>
        <w:rPr>
          <w:rFonts w:ascii="Times New Roman" w:hAnsi="Times New Roman" w:cs="Times New Roman"/>
        </w:rPr>
      </w:pPr>
    </w:p>
    <w:p w14:paraId="0BD23B67" w14:textId="2BACCA0B" w:rsidR="00DF5C47" w:rsidRDefault="00DF5C47" w:rsidP="00021AAA">
      <w:pPr>
        <w:spacing w:line="480" w:lineRule="auto"/>
        <w:ind w:firstLine="720"/>
        <w:jc w:val="both"/>
        <w:rPr>
          <w:rFonts w:ascii="Times New Roman" w:hAnsi="Times New Roman" w:cs="Times New Roman"/>
        </w:rPr>
      </w:pPr>
    </w:p>
    <w:p w14:paraId="1ECFD70C" w14:textId="2920B795" w:rsidR="00DF5C47" w:rsidRDefault="00DF5C47" w:rsidP="00021AAA">
      <w:pPr>
        <w:spacing w:line="480" w:lineRule="auto"/>
        <w:ind w:firstLine="720"/>
        <w:jc w:val="both"/>
        <w:rPr>
          <w:rFonts w:ascii="Times New Roman" w:hAnsi="Times New Roman" w:cs="Times New Roman"/>
        </w:rPr>
      </w:pPr>
    </w:p>
    <w:p w14:paraId="672FA345" w14:textId="7FDD7908" w:rsidR="00DF5C47" w:rsidRDefault="00DF5C47" w:rsidP="00021AAA">
      <w:pPr>
        <w:spacing w:line="480" w:lineRule="auto"/>
        <w:ind w:firstLine="720"/>
        <w:jc w:val="both"/>
        <w:rPr>
          <w:rFonts w:ascii="Times New Roman" w:hAnsi="Times New Roman" w:cs="Times New Roman"/>
        </w:rPr>
      </w:pPr>
    </w:p>
    <w:p w14:paraId="6E79191F" w14:textId="5F9F855A" w:rsidR="00DF5C47" w:rsidRDefault="00DF5C47" w:rsidP="00021AAA">
      <w:pPr>
        <w:spacing w:line="480" w:lineRule="auto"/>
        <w:ind w:firstLine="720"/>
        <w:jc w:val="both"/>
        <w:rPr>
          <w:rFonts w:ascii="Times New Roman" w:hAnsi="Times New Roman" w:cs="Times New Roman"/>
        </w:rPr>
      </w:pPr>
    </w:p>
    <w:p w14:paraId="05CBC9DB" w14:textId="767D0637" w:rsidR="00DF5C47" w:rsidRDefault="00DF5C47" w:rsidP="00021AAA">
      <w:pPr>
        <w:spacing w:line="480" w:lineRule="auto"/>
        <w:ind w:firstLine="720"/>
        <w:jc w:val="both"/>
        <w:rPr>
          <w:rFonts w:ascii="Times New Roman" w:hAnsi="Times New Roman" w:cs="Times New Roman"/>
        </w:rPr>
      </w:pPr>
    </w:p>
    <w:p w14:paraId="3564636B" w14:textId="0F113C94" w:rsidR="00DF5C47" w:rsidRDefault="00DF5C47" w:rsidP="00021AAA">
      <w:pPr>
        <w:spacing w:line="480" w:lineRule="auto"/>
        <w:ind w:firstLine="720"/>
        <w:jc w:val="both"/>
        <w:rPr>
          <w:rFonts w:ascii="Times New Roman" w:hAnsi="Times New Roman" w:cs="Times New Roman"/>
        </w:rPr>
      </w:pPr>
    </w:p>
    <w:p w14:paraId="234DBC4E" w14:textId="7F0F06B7" w:rsidR="00DF5C47" w:rsidRDefault="00DF5C47" w:rsidP="00021AAA">
      <w:pPr>
        <w:spacing w:line="480" w:lineRule="auto"/>
        <w:ind w:firstLine="720"/>
        <w:jc w:val="both"/>
        <w:rPr>
          <w:rFonts w:ascii="Times New Roman" w:hAnsi="Times New Roman" w:cs="Times New Roman"/>
        </w:rPr>
      </w:pPr>
    </w:p>
    <w:p w14:paraId="7E81894C" w14:textId="77777777" w:rsidR="00DF5C47" w:rsidRPr="005C3043" w:rsidRDefault="00DF5C47" w:rsidP="00021AAA">
      <w:pPr>
        <w:spacing w:line="480" w:lineRule="auto"/>
        <w:ind w:firstLine="720"/>
        <w:jc w:val="both"/>
        <w:rPr>
          <w:rFonts w:ascii="Times New Roman" w:hAnsi="Times New Roman" w:cs="Times New Roman"/>
        </w:rPr>
      </w:pPr>
    </w:p>
    <w:bookmarkEnd w:id="40"/>
    <w:p w14:paraId="73986BBF" w14:textId="77777777" w:rsidR="004141BA" w:rsidRPr="005C3043" w:rsidRDefault="004141BA" w:rsidP="00154DC0">
      <w:pPr>
        <w:spacing w:line="480" w:lineRule="auto"/>
        <w:rPr>
          <w:rFonts w:ascii="Times New Roman" w:hAnsi="Times New Roman" w:cs="Times New Roman"/>
          <w:b/>
          <w:bCs/>
        </w:rPr>
      </w:pPr>
    </w:p>
    <w:p w14:paraId="6B1B77C9" w14:textId="0A79516D" w:rsidR="00CE3A3E" w:rsidRPr="004D1B7C" w:rsidRDefault="00CE3A3E" w:rsidP="004D1B7C">
      <w:pPr>
        <w:pStyle w:val="Heading1"/>
        <w:rPr>
          <w:rFonts w:ascii="Times New Roman" w:hAnsi="Times New Roman" w:cs="Times New Roman"/>
        </w:rPr>
      </w:pPr>
      <w:bookmarkStart w:id="41" w:name="_Toc289175833"/>
      <w:bookmarkStart w:id="42" w:name="_Toc428279019"/>
      <w:bookmarkStart w:id="43" w:name="_Toc100072168"/>
      <w:r w:rsidRPr="004D1B7C">
        <w:rPr>
          <w:rFonts w:ascii="Times New Roman" w:hAnsi="Times New Roman" w:cs="Times New Roman"/>
        </w:rPr>
        <w:lastRenderedPageBreak/>
        <w:t>CHAPTER I</w:t>
      </w:r>
      <w:r w:rsidR="00236E6D" w:rsidRPr="004D1B7C">
        <w:rPr>
          <w:rFonts w:ascii="Times New Roman" w:hAnsi="Times New Roman" w:cs="Times New Roman"/>
        </w:rPr>
        <w:t>I</w:t>
      </w:r>
      <w:bookmarkEnd w:id="41"/>
      <w:bookmarkEnd w:id="42"/>
      <w:r w:rsidR="00C47D94" w:rsidRPr="004D1B7C">
        <w:rPr>
          <w:rFonts w:ascii="Times New Roman" w:hAnsi="Times New Roman" w:cs="Times New Roman"/>
        </w:rPr>
        <w:t>I</w:t>
      </w:r>
      <w:bookmarkEnd w:id="43"/>
    </w:p>
    <w:p w14:paraId="2B1AEF17" w14:textId="2DD10B81" w:rsidR="00AD68F3" w:rsidRPr="004D1B7C" w:rsidRDefault="00412E33" w:rsidP="004D1B7C">
      <w:pPr>
        <w:pStyle w:val="Heading1"/>
        <w:rPr>
          <w:rFonts w:ascii="Times New Roman" w:hAnsi="Times New Roman" w:cs="Times New Roman"/>
        </w:rPr>
      </w:pPr>
      <w:bookmarkStart w:id="44" w:name="_Toc100072169"/>
      <w:r w:rsidRPr="004D1B7C">
        <w:rPr>
          <w:rFonts w:ascii="Times New Roman" w:hAnsi="Times New Roman" w:cs="Times New Roman"/>
        </w:rPr>
        <w:t>CONCURRENT MEASUREMENT OF MITOCHONDRIAL DNA COPY NUMBER AND ATP CONCENTRATION IN SINGLE BOVINE OOCYTES</w:t>
      </w:r>
      <w:bookmarkEnd w:id="44"/>
    </w:p>
    <w:p w14:paraId="512CCCC7" w14:textId="47B311D4" w:rsidR="00F71ADC" w:rsidRPr="005C3043" w:rsidRDefault="00C83435" w:rsidP="00412E33">
      <w:pPr>
        <w:spacing w:line="480" w:lineRule="auto"/>
        <w:rPr>
          <w:rFonts w:ascii="Times New Roman" w:hAnsi="Times New Roman" w:cs="Times New Roman"/>
        </w:rPr>
      </w:pPr>
      <w:r w:rsidRPr="005C3043">
        <w:rPr>
          <w:rFonts w:ascii="Times New Roman" w:hAnsi="Times New Roman" w:cs="Times New Roman"/>
        </w:rPr>
        <w:br w:type="page"/>
      </w:r>
    </w:p>
    <w:p w14:paraId="1F102D45" w14:textId="77777777" w:rsidR="00066DA5" w:rsidRPr="005C3043" w:rsidRDefault="00066DA5" w:rsidP="00A42976">
      <w:pPr>
        <w:jc w:val="both"/>
        <w:rPr>
          <w:rFonts w:ascii="Times New Roman" w:hAnsi="Times New Roman" w:cs="Times New Roman"/>
        </w:rPr>
      </w:pPr>
      <w:r w:rsidRPr="005C3043">
        <w:rPr>
          <w:rFonts w:ascii="Times New Roman" w:hAnsi="Times New Roman" w:cs="Times New Roman"/>
        </w:rPr>
        <w:lastRenderedPageBreak/>
        <w:t xml:space="preserve">A version of this chapter was originally published by Casey Read and Sarah </w:t>
      </w:r>
      <w:proofErr w:type="spellStart"/>
      <w:r w:rsidRPr="005C3043">
        <w:rPr>
          <w:rFonts w:ascii="Times New Roman" w:hAnsi="Times New Roman" w:cs="Times New Roman"/>
        </w:rPr>
        <w:t>Moorey</w:t>
      </w:r>
      <w:proofErr w:type="spellEnd"/>
      <w:r w:rsidRPr="005C3043">
        <w:rPr>
          <w:rFonts w:ascii="Times New Roman" w:hAnsi="Times New Roman" w:cs="Times New Roman"/>
        </w:rPr>
        <w:t>:</w:t>
      </w:r>
    </w:p>
    <w:p w14:paraId="4AA57AEB" w14:textId="5D339B78" w:rsidR="00066DA5" w:rsidRPr="005C3043" w:rsidRDefault="00066DA5" w:rsidP="000B5F79">
      <w:pPr>
        <w:jc w:val="both"/>
        <w:rPr>
          <w:rFonts w:ascii="Times New Roman" w:hAnsi="Times New Roman" w:cs="Times New Roman"/>
        </w:rPr>
      </w:pPr>
      <w:r w:rsidRPr="005C3043">
        <w:rPr>
          <w:rFonts w:ascii="Times New Roman" w:hAnsi="Times New Roman" w:cs="Times New Roman"/>
        </w:rPr>
        <w:t xml:space="preserve">Casey C. Read, </w:t>
      </w:r>
      <w:proofErr w:type="spellStart"/>
      <w:r w:rsidRPr="005C3043">
        <w:rPr>
          <w:rFonts w:ascii="Times New Roman" w:hAnsi="Times New Roman" w:cs="Times New Roman"/>
        </w:rPr>
        <w:t>Sadikshya</w:t>
      </w:r>
      <w:proofErr w:type="spellEnd"/>
      <w:r w:rsidRPr="005C3043">
        <w:rPr>
          <w:rFonts w:ascii="Times New Roman" w:hAnsi="Times New Roman" w:cs="Times New Roman"/>
        </w:rPr>
        <w:t xml:space="preserve"> Bhandari, and Sarah E. </w:t>
      </w:r>
      <w:proofErr w:type="spellStart"/>
      <w:r w:rsidRPr="005C3043">
        <w:rPr>
          <w:rFonts w:ascii="Times New Roman" w:hAnsi="Times New Roman" w:cs="Times New Roman"/>
        </w:rPr>
        <w:t>Moorey</w:t>
      </w:r>
      <w:proofErr w:type="spellEnd"/>
      <w:r w:rsidRPr="005C3043">
        <w:rPr>
          <w:rFonts w:ascii="Times New Roman" w:hAnsi="Times New Roman" w:cs="Times New Roman"/>
        </w:rPr>
        <w:t xml:space="preserve">. “Concurrent Measurement of Mitochondrial DNA Copy Number and ATP Concentration in Single Bovine Oocytes.” </w:t>
      </w:r>
      <w:r w:rsidRPr="005C3043">
        <w:rPr>
          <w:rFonts w:ascii="Times New Roman" w:hAnsi="Times New Roman" w:cs="Times New Roman"/>
          <w:i/>
        </w:rPr>
        <w:t>Methods and Protocols</w:t>
      </w:r>
      <w:r w:rsidRPr="005C3043">
        <w:rPr>
          <w:rFonts w:ascii="Times New Roman" w:hAnsi="Times New Roman" w:cs="Times New Roman"/>
        </w:rPr>
        <w:t xml:space="preserve"> 4 (2021): 88</w:t>
      </w:r>
      <w:r w:rsidR="00DC3078" w:rsidRPr="005C3043">
        <w:rPr>
          <w:rFonts w:ascii="Times New Roman" w:hAnsi="Times New Roman" w:cs="Times New Roman"/>
        </w:rPr>
        <w:t>-97</w:t>
      </w:r>
      <w:r w:rsidRPr="005C3043">
        <w:rPr>
          <w:rFonts w:ascii="Times New Roman" w:hAnsi="Times New Roman" w:cs="Times New Roman"/>
        </w:rPr>
        <w:t>.</w:t>
      </w:r>
    </w:p>
    <w:p w14:paraId="496974D1" w14:textId="77777777" w:rsidR="00066DA5" w:rsidRPr="005C3043" w:rsidRDefault="00066DA5" w:rsidP="005C3043">
      <w:pPr>
        <w:jc w:val="both"/>
        <w:rPr>
          <w:rFonts w:ascii="Times New Roman" w:hAnsi="Times New Roman" w:cs="Times New Roman"/>
        </w:rPr>
      </w:pPr>
    </w:p>
    <w:p w14:paraId="130C31E7" w14:textId="4E97A8F9" w:rsidR="003B693B" w:rsidRDefault="00066DA5" w:rsidP="00C87A3E">
      <w:pPr>
        <w:jc w:val="both"/>
        <w:rPr>
          <w:rFonts w:ascii="Times New Roman" w:hAnsi="Times New Roman" w:cs="Times New Roman"/>
        </w:rPr>
      </w:pPr>
      <w:r w:rsidRPr="005C3043">
        <w:rPr>
          <w:rFonts w:ascii="Times New Roman" w:hAnsi="Times New Roman" w:cs="Times New Roman"/>
        </w:rPr>
        <w:t xml:space="preserve">Conceptualization, Sarah </w:t>
      </w:r>
      <w:proofErr w:type="spellStart"/>
      <w:r w:rsidRPr="005C3043">
        <w:rPr>
          <w:rFonts w:ascii="Times New Roman" w:hAnsi="Times New Roman" w:cs="Times New Roman"/>
        </w:rPr>
        <w:t>Moorey</w:t>
      </w:r>
      <w:proofErr w:type="spellEnd"/>
      <w:r w:rsidRPr="005C3043">
        <w:rPr>
          <w:rFonts w:ascii="Times New Roman" w:hAnsi="Times New Roman" w:cs="Times New Roman"/>
        </w:rPr>
        <w:t xml:space="preserve">; Data curation, Casey Read, </w:t>
      </w:r>
      <w:proofErr w:type="spellStart"/>
      <w:r w:rsidRPr="005C3043">
        <w:rPr>
          <w:rFonts w:ascii="Times New Roman" w:hAnsi="Times New Roman" w:cs="Times New Roman"/>
        </w:rPr>
        <w:t>Sadikshya</w:t>
      </w:r>
      <w:proofErr w:type="spellEnd"/>
      <w:r w:rsidRPr="005C3043">
        <w:rPr>
          <w:rFonts w:ascii="Times New Roman" w:hAnsi="Times New Roman" w:cs="Times New Roman"/>
        </w:rPr>
        <w:t xml:space="preserve"> Bhandari, and Sarah </w:t>
      </w:r>
      <w:proofErr w:type="spellStart"/>
      <w:r w:rsidRPr="005C3043">
        <w:rPr>
          <w:rFonts w:ascii="Times New Roman" w:hAnsi="Times New Roman" w:cs="Times New Roman"/>
        </w:rPr>
        <w:t>Moorey</w:t>
      </w:r>
      <w:proofErr w:type="spellEnd"/>
      <w:r w:rsidRPr="005C3043">
        <w:rPr>
          <w:rFonts w:ascii="Times New Roman" w:hAnsi="Times New Roman" w:cs="Times New Roman"/>
        </w:rPr>
        <w:t xml:space="preserve">; Formal Analysis, Investigation, Methodology, Software, and Visualization, Casey Read and Sarah </w:t>
      </w:r>
      <w:proofErr w:type="spellStart"/>
      <w:r w:rsidRPr="005C3043">
        <w:rPr>
          <w:rFonts w:ascii="Times New Roman" w:hAnsi="Times New Roman" w:cs="Times New Roman"/>
        </w:rPr>
        <w:t>Moorey</w:t>
      </w:r>
      <w:proofErr w:type="spellEnd"/>
      <w:r w:rsidRPr="005C3043">
        <w:rPr>
          <w:rFonts w:ascii="Times New Roman" w:hAnsi="Times New Roman" w:cs="Times New Roman"/>
        </w:rPr>
        <w:t xml:space="preserve">; Project administration, resources, and supervision, Sarah </w:t>
      </w:r>
      <w:proofErr w:type="spellStart"/>
      <w:r w:rsidRPr="005C3043">
        <w:rPr>
          <w:rFonts w:ascii="Times New Roman" w:hAnsi="Times New Roman" w:cs="Times New Roman"/>
        </w:rPr>
        <w:t>Moorey</w:t>
      </w:r>
      <w:proofErr w:type="spellEnd"/>
      <w:r w:rsidRPr="005C3043">
        <w:rPr>
          <w:rFonts w:ascii="Times New Roman" w:hAnsi="Times New Roman" w:cs="Times New Roman"/>
        </w:rPr>
        <w:t xml:space="preserve">, writing – original draft, review, and editing, Casey Read and Sarah </w:t>
      </w:r>
      <w:proofErr w:type="spellStart"/>
      <w:r w:rsidRPr="005C3043">
        <w:rPr>
          <w:rFonts w:ascii="Times New Roman" w:hAnsi="Times New Roman" w:cs="Times New Roman"/>
        </w:rPr>
        <w:t>Moorey</w:t>
      </w:r>
      <w:proofErr w:type="spellEnd"/>
      <w:r w:rsidRPr="005C3043">
        <w:rPr>
          <w:rFonts w:ascii="Times New Roman" w:hAnsi="Times New Roman" w:cs="Times New Roman"/>
        </w:rPr>
        <w:t xml:space="preserve">, writing – editing, </w:t>
      </w:r>
      <w:proofErr w:type="spellStart"/>
      <w:r w:rsidRPr="005C3043">
        <w:rPr>
          <w:rFonts w:ascii="Times New Roman" w:hAnsi="Times New Roman" w:cs="Times New Roman"/>
        </w:rPr>
        <w:t>Sadikshya</w:t>
      </w:r>
      <w:proofErr w:type="spellEnd"/>
      <w:r w:rsidRPr="005C3043">
        <w:rPr>
          <w:rFonts w:ascii="Times New Roman" w:hAnsi="Times New Roman" w:cs="Times New Roman"/>
        </w:rPr>
        <w:t xml:space="preserve"> Bhandari.</w:t>
      </w:r>
    </w:p>
    <w:p w14:paraId="2B3A3392" w14:textId="77777777" w:rsidR="003A22D1" w:rsidRPr="005C3043" w:rsidRDefault="003A22D1" w:rsidP="00C87A3E">
      <w:pPr>
        <w:jc w:val="both"/>
        <w:rPr>
          <w:rFonts w:ascii="Times New Roman" w:hAnsi="Times New Roman" w:cs="Times New Roman"/>
        </w:rPr>
      </w:pPr>
    </w:p>
    <w:p w14:paraId="0497D25D" w14:textId="72D93D14" w:rsidR="003B693B" w:rsidRDefault="003B693B" w:rsidP="003A22D1">
      <w:pPr>
        <w:rPr>
          <w:rFonts w:ascii="Times New Roman" w:hAnsi="Times New Roman" w:cs="Times New Roman"/>
          <w:lang w:bidi="en-US"/>
        </w:rPr>
      </w:pPr>
      <w:r w:rsidRPr="003A22D1">
        <w:rPr>
          <w:rFonts w:ascii="Times New Roman" w:hAnsi="Times New Roman" w:cs="Times New Roman"/>
          <w:lang w:bidi="en-US"/>
        </w:rPr>
        <w:t xml:space="preserve">Funding: This research was supported by the USDA NIFA Hatch project 1022068, the University of Tennessee </w:t>
      </w:r>
      <w:proofErr w:type="spellStart"/>
      <w:r w:rsidRPr="003A22D1">
        <w:rPr>
          <w:rFonts w:ascii="Times New Roman" w:hAnsi="Times New Roman" w:cs="Times New Roman"/>
          <w:lang w:bidi="en-US"/>
        </w:rPr>
        <w:t>AgResearch</w:t>
      </w:r>
      <w:proofErr w:type="spellEnd"/>
      <w:r w:rsidRPr="003A22D1">
        <w:rPr>
          <w:rFonts w:ascii="Times New Roman" w:hAnsi="Times New Roman" w:cs="Times New Roman"/>
          <w:lang w:bidi="en-US"/>
        </w:rPr>
        <w:t>, and the University of Tennessee Department of Animal Science.</w:t>
      </w:r>
    </w:p>
    <w:p w14:paraId="13092EB1" w14:textId="77777777" w:rsidR="003A22D1" w:rsidRPr="003A22D1" w:rsidRDefault="003A22D1" w:rsidP="003A22D1">
      <w:pPr>
        <w:rPr>
          <w:rFonts w:ascii="Times New Roman" w:hAnsi="Times New Roman" w:cs="Times New Roman"/>
          <w:b/>
          <w:lang w:bidi="en-US"/>
        </w:rPr>
      </w:pPr>
    </w:p>
    <w:p w14:paraId="4F6DF38E" w14:textId="791C8A75" w:rsidR="003B693B" w:rsidRPr="003A22D1" w:rsidRDefault="003B693B" w:rsidP="003A22D1">
      <w:pPr>
        <w:rPr>
          <w:rFonts w:ascii="Times New Roman" w:hAnsi="Times New Roman" w:cs="Times New Roman"/>
          <w:b/>
          <w:lang w:bidi="en-US"/>
        </w:rPr>
      </w:pPr>
      <w:r w:rsidRPr="003A22D1">
        <w:rPr>
          <w:rFonts w:ascii="Times New Roman" w:hAnsi="Times New Roman" w:cs="Times New Roman"/>
          <w:lang w:bidi="en-US"/>
        </w:rPr>
        <w:t xml:space="preserve">Acknowledgments: The authors would like to thank Liesel Schneider for her statistical analysis consulting, </w:t>
      </w:r>
      <w:proofErr w:type="spellStart"/>
      <w:r w:rsidRPr="003A22D1">
        <w:rPr>
          <w:rFonts w:ascii="Times New Roman" w:hAnsi="Times New Roman" w:cs="Times New Roman"/>
          <w:lang w:bidi="en-US"/>
        </w:rPr>
        <w:t>Lannett</w:t>
      </w:r>
      <w:proofErr w:type="spellEnd"/>
      <w:r w:rsidRPr="003A22D1">
        <w:rPr>
          <w:rFonts w:ascii="Times New Roman" w:hAnsi="Times New Roman" w:cs="Times New Roman"/>
          <w:lang w:bidi="en-US"/>
        </w:rPr>
        <w:t xml:space="preserve"> Edwards and Becca Payton for their contributions to planning of the experiment and for sharing information from ATP assays performed in the Edwards lab, Southeastern Provisions LLC for providing the ovaries used in this study, and Emma </w:t>
      </w:r>
      <w:proofErr w:type="spellStart"/>
      <w:r w:rsidRPr="003A22D1">
        <w:rPr>
          <w:rFonts w:ascii="Times New Roman" w:hAnsi="Times New Roman" w:cs="Times New Roman"/>
          <w:lang w:bidi="en-US"/>
        </w:rPr>
        <w:t>Hessock</w:t>
      </w:r>
      <w:proofErr w:type="spellEnd"/>
      <w:r w:rsidRPr="003A22D1">
        <w:rPr>
          <w:rFonts w:ascii="Times New Roman" w:hAnsi="Times New Roman" w:cs="Times New Roman"/>
          <w:lang w:bidi="en-US"/>
        </w:rPr>
        <w:t xml:space="preserve"> and Samantha Roberts for assisting with the collection of the samples used.</w:t>
      </w:r>
    </w:p>
    <w:p w14:paraId="4CB8DEA1" w14:textId="77777777" w:rsidR="00064157" w:rsidRPr="005C3043" w:rsidRDefault="00064157" w:rsidP="00064157">
      <w:pPr>
        <w:jc w:val="both"/>
        <w:rPr>
          <w:rFonts w:ascii="Times New Roman" w:hAnsi="Times New Roman" w:cs="Times New Roman"/>
        </w:rPr>
      </w:pPr>
    </w:p>
    <w:p w14:paraId="03FC858D" w14:textId="77777777" w:rsidR="00236E6D" w:rsidRPr="005C3043" w:rsidRDefault="00CE4D4B" w:rsidP="000D2CCE">
      <w:pPr>
        <w:pStyle w:val="Diss2"/>
      </w:pPr>
      <w:bookmarkStart w:id="45" w:name="_Toc289175834"/>
      <w:bookmarkStart w:id="46" w:name="_Toc428279020"/>
      <w:bookmarkStart w:id="47" w:name="_Toc100072170"/>
      <w:r w:rsidRPr="005C3043">
        <w:t>Abstract</w:t>
      </w:r>
      <w:bookmarkEnd w:id="45"/>
      <w:bookmarkEnd w:id="46"/>
      <w:bookmarkEnd w:id="47"/>
    </w:p>
    <w:p w14:paraId="128F8D0F" w14:textId="20E95D2D" w:rsidR="00DF5C47" w:rsidRPr="005C3043" w:rsidRDefault="00066DA5" w:rsidP="00276CE1">
      <w:pPr>
        <w:spacing w:line="480" w:lineRule="auto"/>
        <w:ind w:firstLine="720"/>
        <w:jc w:val="both"/>
        <w:rPr>
          <w:rFonts w:ascii="Times New Roman" w:hAnsi="Times New Roman" w:cs="Times New Roman"/>
          <w:lang w:bidi="en-US"/>
        </w:rPr>
      </w:pPr>
      <w:r w:rsidRPr="005C3043">
        <w:rPr>
          <w:rFonts w:ascii="Times New Roman" w:hAnsi="Times New Roman" w:cs="Times New Roman"/>
          <w:lang w:bidi="en-US"/>
        </w:rPr>
        <w:t xml:space="preserve">To sustain energy-demanding developmental processes, the oocyte must accumulate adequate stores of metabolic substrates and mitochondrial numbers prior to the initiation of maturation. </w:t>
      </w:r>
      <w:proofErr w:type="gramStart"/>
      <w:r w:rsidRPr="005C3043">
        <w:rPr>
          <w:rFonts w:ascii="Times New Roman" w:hAnsi="Times New Roman" w:cs="Times New Roman"/>
          <w:lang w:bidi="en-US"/>
        </w:rPr>
        <w:t>In order to</w:t>
      </w:r>
      <w:proofErr w:type="gramEnd"/>
      <w:r w:rsidRPr="005C3043">
        <w:rPr>
          <w:rFonts w:ascii="Times New Roman" w:hAnsi="Times New Roman" w:cs="Times New Roman"/>
          <w:lang w:bidi="en-US"/>
        </w:rPr>
        <w:t xml:space="preserve"> obtain measures of the metabolic capacity of an oocyte, researchers would have to utilize pools of multiple oocytes. These measures would have decreased sensitivity due to b</w:t>
      </w:r>
      <w:r w:rsidR="00B51D95" w:rsidRPr="005C3043">
        <w:rPr>
          <w:rFonts w:ascii="Times New Roman" w:hAnsi="Times New Roman" w:cs="Times New Roman"/>
          <w:lang w:bidi="en-US"/>
        </w:rPr>
        <w:t>e</w:t>
      </w:r>
      <w:r w:rsidRPr="005C3043">
        <w:rPr>
          <w:rFonts w:ascii="Times New Roman" w:hAnsi="Times New Roman" w:cs="Times New Roman"/>
          <w:lang w:bidi="en-US"/>
        </w:rPr>
        <w:t xml:space="preserve">ing averages of the population. Further difficulty arises when researchers are limited in the number of </w:t>
      </w:r>
      <w:proofErr w:type="gramStart"/>
      <w:r w:rsidRPr="005C3043">
        <w:rPr>
          <w:rFonts w:ascii="Times New Roman" w:hAnsi="Times New Roman" w:cs="Times New Roman"/>
          <w:lang w:bidi="en-US"/>
        </w:rPr>
        <w:t>oocytes</w:t>
      </w:r>
      <w:proofErr w:type="gramEnd"/>
      <w:r w:rsidRPr="005C3043">
        <w:rPr>
          <w:rFonts w:ascii="Times New Roman" w:hAnsi="Times New Roman" w:cs="Times New Roman"/>
          <w:lang w:bidi="en-US"/>
        </w:rPr>
        <w:t xml:space="preserve"> they can collect due to increased cost, difficulty, or both. Incorporation of this protocol will allow researchers to get more information from a limited sample number as well as obtain intraoocyte values they can directly relate to each other. We developed and validated procedures to measure both mitochondrial DNA (</w:t>
      </w:r>
      <w:proofErr w:type="spellStart"/>
      <w:r w:rsidRPr="005C3043">
        <w:rPr>
          <w:rFonts w:ascii="Times New Roman" w:hAnsi="Times New Roman" w:cs="Times New Roman"/>
          <w:lang w:bidi="en-US"/>
        </w:rPr>
        <w:t>mtDNA</w:t>
      </w:r>
      <w:proofErr w:type="spellEnd"/>
      <w:r w:rsidRPr="005C3043">
        <w:rPr>
          <w:rFonts w:ascii="Times New Roman" w:hAnsi="Times New Roman" w:cs="Times New Roman"/>
          <w:lang w:bidi="en-US"/>
        </w:rPr>
        <w:t xml:space="preserve">) copy number and ATP quantity in single oocytes. </w:t>
      </w:r>
      <w:r w:rsidRPr="005C3043">
        <w:rPr>
          <w:rFonts w:ascii="Times New Roman" w:hAnsi="Times New Roman" w:cs="Times New Roman"/>
          <w:lang w:bidi="en-US"/>
        </w:rPr>
        <w:lastRenderedPageBreak/>
        <w:t xml:space="preserve">Validation of our procedures revealed that we could successfully divide oocyte lysates into quarters and measure consistent results from each of the aliquots for both ATP and </w:t>
      </w:r>
      <w:proofErr w:type="spellStart"/>
      <w:r w:rsidRPr="005C3043">
        <w:rPr>
          <w:rFonts w:ascii="Times New Roman" w:hAnsi="Times New Roman" w:cs="Times New Roman"/>
          <w:lang w:bidi="en-US"/>
        </w:rPr>
        <w:t>mtDNA</w:t>
      </w:r>
      <w:proofErr w:type="spellEnd"/>
      <w:r w:rsidRPr="005C3043">
        <w:rPr>
          <w:rFonts w:ascii="Times New Roman" w:hAnsi="Times New Roman" w:cs="Times New Roman"/>
          <w:lang w:bidi="en-US"/>
        </w:rPr>
        <w:t xml:space="preserve"> copy number. Coefficient of variation between the values retrieved for </w:t>
      </w:r>
      <w:proofErr w:type="spellStart"/>
      <w:r w:rsidRPr="005C3043">
        <w:rPr>
          <w:rFonts w:ascii="Times New Roman" w:hAnsi="Times New Roman" w:cs="Times New Roman"/>
          <w:lang w:bidi="en-US"/>
        </w:rPr>
        <w:t>mtDNA</w:t>
      </w:r>
      <w:proofErr w:type="spellEnd"/>
      <w:r w:rsidRPr="005C3043">
        <w:rPr>
          <w:rFonts w:ascii="Times New Roman" w:hAnsi="Times New Roman" w:cs="Times New Roman"/>
          <w:lang w:bidi="en-US"/>
        </w:rPr>
        <w:t xml:space="preserve"> copy number and ATP quantity quadruplicates were 4.72</w:t>
      </w:r>
      <w:r w:rsidRPr="005C3043">
        <w:rPr>
          <w:rFonts w:ascii="Times New Roman" w:hAnsi="Times New Roman" w:cs="Times New Roman"/>
          <w:u w:val="single"/>
          <w:lang w:bidi="en-US"/>
        </w:rPr>
        <w:t>+</w:t>
      </w:r>
      <w:r w:rsidRPr="005C3043">
        <w:rPr>
          <w:rFonts w:ascii="Times New Roman" w:hAnsi="Times New Roman" w:cs="Times New Roman"/>
          <w:lang w:bidi="en-US"/>
        </w:rPr>
        <w:t>0.98 and 1.61</w:t>
      </w:r>
      <w:r w:rsidRPr="005C3043">
        <w:rPr>
          <w:rFonts w:ascii="Times New Roman" w:hAnsi="Times New Roman" w:cs="Times New Roman"/>
          <w:u w:val="single"/>
          <w:lang w:bidi="en-US"/>
        </w:rPr>
        <w:t>+</w:t>
      </w:r>
      <w:r w:rsidRPr="005C3043">
        <w:rPr>
          <w:rFonts w:ascii="Times New Roman" w:hAnsi="Times New Roman" w:cs="Times New Roman"/>
          <w:lang w:bidi="en-US"/>
        </w:rPr>
        <w:t xml:space="preserve">1.19, respectively. We then utilized our methodology to concurrently measure </w:t>
      </w:r>
      <w:proofErr w:type="spellStart"/>
      <w:r w:rsidRPr="005C3043">
        <w:rPr>
          <w:rFonts w:ascii="Times New Roman" w:hAnsi="Times New Roman" w:cs="Times New Roman"/>
          <w:lang w:bidi="en-US"/>
        </w:rPr>
        <w:t>mtDNA</w:t>
      </w:r>
      <w:proofErr w:type="spellEnd"/>
      <w:r w:rsidRPr="005C3043">
        <w:rPr>
          <w:rFonts w:ascii="Times New Roman" w:hAnsi="Times New Roman" w:cs="Times New Roman"/>
          <w:lang w:bidi="en-US"/>
        </w:rPr>
        <w:t xml:space="preserve"> copy number and ATP quantity in germinal vesicle (GV) and metaphase two (MII) stage oocytes. Our methods revealed a significant increase in ATP levels (GV=628.02</w:t>
      </w:r>
      <w:r w:rsidRPr="005C3043">
        <w:rPr>
          <w:rFonts w:ascii="Times New Roman" w:hAnsi="Times New Roman" w:cs="Times New Roman"/>
          <w:lang w:bidi="en-US"/>
        </w:rPr>
        <w:softHyphen/>
        <w:t xml:space="preserve">199.53 </w:t>
      </w:r>
      <w:proofErr w:type="spellStart"/>
      <w:r w:rsidRPr="005C3043">
        <w:rPr>
          <w:rFonts w:ascii="Times New Roman" w:hAnsi="Times New Roman" w:cs="Times New Roman"/>
          <w:lang w:bidi="en-US"/>
        </w:rPr>
        <w:t>pg</w:t>
      </w:r>
      <w:proofErr w:type="spellEnd"/>
      <w:r w:rsidRPr="005C3043">
        <w:rPr>
          <w:rFonts w:ascii="Times New Roman" w:hAnsi="Times New Roman" w:cs="Times New Roman"/>
          <w:lang w:bidi="en-US"/>
        </w:rPr>
        <w:t>, MII=1326.24</w:t>
      </w:r>
      <w:r w:rsidRPr="005C3043">
        <w:rPr>
          <w:rFonts w:ascii="Times New Roman" w:hAnsi="Times New Roman" w:cs="Times New Roman"/>
          <w:u w:val="single"/>
          <w:lang w:bidi="en-US"/>
        </w:rPr>
        <w:t>+</w:t>
      </w:r>
      <w:r w:rsidRPr="005C3043">
        <w:rPr>
          <w:rFonts w:ascii="Times New Roman" w:hAnsi="Times New Roman" w:cs="Times New Roman"/>
          <w:lang w:bidi="en-US"/>
        </w:rPr>
        <w:t xml:space="preserve">199.86 </w:t>
      </w:r>
      <w:proofErr w:type="spellStart"/>
      <w:r w:rsidRPr="005C3043">
        <w:rPr>
          <w:rFonts w:ascii="Times New Roman" w:hAnsi="Times New Roman" w:cs="Times New Roman"/>
          <w:lang w:bidi="en-US"/>
        </w:rPr>
        <w:t>pg</w:t>
      </w:r>
      <w:proofErr w:type="spellEnd"/>
      <w:r w:rsidRPr="005C3043">
        <w:rPr>
          <w:rFonts w:ascii="Times New Roman" w:hAnsi="Times New Roman" w:cs="Times New Roman"/>
          <w:lang w:bidi="en-US"/>
        </w:rPr>
        <w:t xml:space="preserve">, </w:t>
      </w:r>
      <w:r w:rsidR="006C18D4" w:rsidRPr="006C18D4">
        <w:rPr>
          <w:rFonts w:ascii="Times New Roman" w:hAnsi="Times New Roman" w:cs="Times New Roman"/>
          <w:i/>
          <w:lang w:bidi="en-US"/>
        </w:rPr>
        <w:t>P</w:t>
      </w:r>
      <w:r w:rsidRPr="005C3043">
        <w:rPr>
          <w:rFonts w:ascii="Times New Roman" w:hAnsi="Times New Roman" w:cs="Times New Roman"/>
          <w:i/>
          <w:iCs/>
          <w:lang w:bidi="en-US"/>
        </w:rPr>
        <w:t xml:space="preserve"> </w:t>
      </w:r>
      <w:r w:rsidRPr="005C3043">
        <w:rPr>
          <w:rFonts w:ascii="Times New Roman" w:hAnsi="Times New Roman" w:cs="Times New Roman"/>
          <w:lang w:bidi="en-US"/>
        </w:rPr>
        <w:t xml:space="preserve">&lt; 0.001) and </w:t>
      </w:r>
      <w:proofErr w:type="spellStart"/>
      <w:r w:rsidRPr="005C3043">
        <w:rPr>
          <w:rFonts w:ascii="Times New Roman" w:hAnsi="Times New Roman" w:cs="Times New Roman"/>
          <w:lang w:bidi="en-US"/>
        </w:rPr>
        <w:t>mtDNA</w:t>
      </w:r>
      <w:proofErr w:type="spellEnd"/>
      <w:r w:rsidRPr="005C3043">
        <w:rPr>
          <w:rFonts w:ascii="Times New Roman" w:hAnsi="Times New Roman" w:cs="Times New Roman"/>
          <w:lang w:bidi="en-US"/>
        </w:rPr>
        <w:t xml:space="preserve"> copy number (GV=490,799.4</w:t>
      </w:r>
      <w:r w:rsidRPr="005C3043">
        <w:rPr>
          <w:rFonts w:ascii="Times New Roman" w:hAnsi="Times New Roman" w:cs="Times New Roman"/>
          <w:u w:val="single"/>
          <w:lang w:bidi="en-US"/>
        </w:rPr>
        <w:t>+</w:t>
      </w:r>
      <w:r w:rsidRPr="005C3043">
        <w:rPr>
          <w:rFonts w:ascii="Times New Roman" w:hAnsi="Times New Roman" w:cs="Times New Roman"/>
          <w:lang w:bidi="en-US"/>
        </w:rPr>
        <w:t>544,745.9 copies, MII=1,087,126.9</w:t>
      </w:r>
      <w:r w:rsidRPr="005C3043">
        <w:rPr>
          <w:rFonts w:ascii="Times New Roman" w:hAnsi="Times New Roman" w:cs="Times New Roman"/>
          <w:u w:val="single"/>
          <w:lang w:bidi="en-US"/>
        </w:rPr>
        <w:t>+</w:t>
      </w:r>
      <w:r w:rsidRPr="005C3043">
        <w:rPr>
          <w:rFonts w:ascii="Times New Roman" w:hAnsi="Times New Roman" w:cs="Times New Roman"/>
          <w:lang w:bidi="en-US"/>
        </w:rPr>
        <w:t xml:space="preserve">902,202.8 copies, </w:t>
      </w:r>
      <w:r w:rsidR="00064157" w:rsidRPr="005C3043">
        <w:rPr>
          <w:rFonts w:ascii="Times New Roman" w:hAnsi="Times New Roman" w:cs="Times New Roman"/>
          <w:i/>
          <w:iCs/>
          <w:lang w:bidi="en-US"/>
        </w:rPr>
        <w:t>p=</w:t>
      </w:r>
      <w:r w:rsidRPr="005C3043">
        <w:rPr>
          <w:rFonts w:ascii="Times New Roman" w:hAnsi="Times New Roman" w:cs="Times New Roman"/>
          <w:lang w:bidi="en-US"/>
        </w:rPr>
        <w:t xml:space="preserve">0.035) in MII compared to GV stage oocytes. This finding is consistent with published literature and provides further validation of the accuracy of our methods. The ability to produce consistent readings and expected results from aliquots of the lysate from a single oocyte reveals the sensitivity and feasibility of using this method. </w:t>
      </w:r>
    </w:p>
    <w:p w14:paraId="1ACEA028" w14:textId="6F4E98D8" w:rsidR="00066DA5" w:rsidRPr="005C3043" w:rsidRDefault="00066DA5" w:rsidP="00276CE1">
      <w:pPr>
        <w:pStyle w:val="Diss2"/>
      </w:pPr>
      <w:bookmarkStart w:id="48" w:name="_Toc100072171"/>
      <w:r w:rsidRPr="005C3043">
        <w:t>Introduction</w:t>
      </w:r>
      <w:bookmarkEnd w:id="48"/>
    </w:p>
    <w:p w14:paraId="40655373" w14:textId="6E98FCC0" w:rsidR="008A3DD3" w:rsidRPr="005C3043" w:rsidRDefault="00066DA5" w:rsidP="00064157">
      <w:pPr>
        <w:spacing w:line="480" w:lineRule="auto"/>
        <w:jc w:val="both"/>
        <w:rPr>
          <w:rFonts w:ascii="Times New Roman" w:hAnsi="Times New Roman" w:cs="Times New Roman"/>
          <w:lang w:bidi="en-US"/>
        </w:rPr>
      </w:pPr>
      <w:r w:rsidRPr="005C3043">
        <w:rPr>
          <w:rFonts w:ascii="Times New Roman" w:hAnsi="Times New Roman" w:cs="Times New Roman"/>
        </w:rPr>
        <w:t xml:space="preserve">  </w:t>
      </w:r>
      <w:r w:rsidR="00021AAA" w:rsidRPr="005C3043">
        <w:rPr>
          <w:rFonts w:ascii="Times New Roman" w:hAnsi="Times New Roman" w:cs="Times New Roman"/>
        </w:rPr>
        <w:tab/>
      </w:r>
      <w:r w:rsidRPr="005C3043">
        <w:rPr>
          <w:rFonts w:ascii="Times New Roman" w:hAnsi="Times New Roman" w:cs="Times New Roman"/>
        </w:rPr>
        <w:t>The accumulation of adequate stores of metabolic substrates as well as an increase in mitochondrial number within the oocyte are important components of the acquisition of developmental competence. Increases in mitochondrial number and the creation o</w:t>
      </w:r>
      <w:r w:rsidR="008A3DD3" w:rsidRPr="005C3043">
        <w:rPr>
          <w:rFonts w:ascii="Times New Roman" w:hAnsi="Times New Roman" w:cs="Times New Roman"/>
        </w:rPr>
        <w:t xml:space="preserve">f metabolic substrate stockpiles </w:t>
      </w:r>
      <w:r w:rsidR="00B51D95" w:rsidRPr="005C3043">
        <w:rPr>
          <w:rFonts w:ascii="Times New Roman" w:hAnsi="Times New Roman" w:cs="Times New Roman"/>
        </w:rPr>
        <w:t xml:space="preserve">within the oocyte </w:t>
      </w:r>
      <w:r w:rsidR="008A3DD3" w:rsidRPr="005C3043">
        <w:rPr>
          <w:rFonts w:ascii="Times New Roman" w:hAnsi="Times New Roman" w:cs="Times New Roman"/>
        </w:rPr>
        <w:t xml:space="preserve">occur throughout </w:t>
      </w:r>
      <w:r w:rsidR="00B51D95" w:rsidRPr="005C3043">
        <w:rPr>
          <w:rFonts w:ascii="Times New Roman" w:hAnsi="Times New Roman" w:cs="Times New Roman"/>
        </w:rPr>
        <w:t>antral follicle development</w:t>
      </w:r>
      <w:r w:rsidR="008A3DD3" w:rsidRPr="005C3043">
        <w:rPr>
          <w:rFonts w:ascii="Times New Roman" w:hAnsi="Times New Roman" w:cs="Times New Roman"/>
        </w:rPr>
        <w:t xml:space="preserve"> </w:t>
      </w:r>
      <w:r w:rsidR="00C55223" w:rsidRPr="005C3043">
        <w:rPr>
          <w:rFonts w:ascii="Times New Roman" w:hAnsi="Times New Roman" w:cs="Times New Roman"/>
          <w:noProof/>
        </w:rPr>
        <w:t>(Stojkovic et al., 2001; Chiaratti et al., 2010; Kidder and Vanderhyden, 2010; Iwata et al., 2011; Mao et al., 2012; Scantland et al., 2014; St John, 2014; Contreras-Solís et al., 2021; May-Panloup et al., 2021)</w:t>
      </w:r>
      <w:r w:rsidR="008A3DD3" w:rsidRPr="005C3043">
        <w:rPr>
          <w:rFonts w:ascii="Times New Roman" w:hAnsi="Times New Roman" w:cs="Times New Roman"/>
        </w:rPr>
        <w:t xml:space="preserve">. The oocyte and early embryo have low levels of glycolytic activity and rely on mitochondrial oxidative phosphorylation to produce the ATP </w:t>
      </w:r>
      <w:r w:rsidR="008A3DD3" w:rsidRPr="005C3043">
        <w:rPr>
          <w:rFonts w:ascii="Times New Roman" w:hAnsi="Times New Roman" w:cs="Times New Roman"/>
        </w:rPr>
        <w:lastRenderedPageBreak/>
        <w:t xml:space="preserve">necessary to sustain development to the blastocyst stage of embryo development </w:t>
      </w:r>
      <w:r w:rsidR="00C55223" w:rsidRPr="005C3043">
        <w:rPr>
          <w:rFonts w:ascii="Times New Roman" w:hAnsi="Times New Roman" w:cs="Times New Roman"/>
          <w:noProof/>
        </w:rPr>
        <w:t>(Biggers et al., 1967; Sutton-McDowall et al., 2010; Paczkowski et al., 2013; Dalbies-Tran et al., 2020)</w:t>
      </w:r>
      <w:r w:rsidR="008A3DD3" w:rsidRPr="005C3043">
        <w:rPr>
          <w:rFonts w:ascii="Times New Roman" w:hAnsi="Times New Roman" w:cs="Times New Roman"/>
        </w:rPr>
        <w:t>. Substrates and co-factors such as pyruvate, acetyl CoA, NADH, CO</w:t>
      </w:r>
      <w:r w:rsidR="008A3DD3" w:rsidRPr="005C3043">
        <w:rPr>
          <w:rFonts w:ascii="Times New Roman" w:hAnsi="Times New Roman" w:cs="Times New Roman"/>
          <w:vertAlign w:val="subscript"/>
        </w:rPr>
        <w:t>2</w:t>
      </w:r>
      <w:r w:rsidR="008A3DD3" w:rsidRPr="005C3043">
        <w:rPr>
          <w:rFonts w:ascii="Times New Roman" w:hAnsi="Times New Roman" w:cs="Times New Roman"/>
        </w:rPr>
        <w:t xml:space="preserve">, and FADH are produced from glycolytic activity of the cumulus cells and transferred to the oocyte via gap junctions to support oxidative phosphorylation </w:t>
      </w:r>
      <w:r w:rsidR="00C55223" w:rsidRPr="005C3043">
        <w:rPr>
          <w:rFonts w:ascii="Times New Roman" w:hAnsi="Times New Roman" w:cs="Times New Roman"/>
          <w:noProof/>
        </w:rPr>
        <w:t>(Sutton-McDowall et al., 2010; Winterhager and Kidder, 2015; Richani et al., 2021)</w:t>
      </w:r>
      <w:r w:rsidR="008A3DD3" w:rsidRPr="005C3043">
        <w:rPr>
          <w:rFonts w:ascii="Times New Roman" w:hAnsi="Times New Roman" w:cs="Times New Roman"/>
        </w:rPr>
        <w:t xml:space="preserve">. </w:t>
      </w:r>
      <w:r w:rsidR="008A3DD3" w:rsidRPr="005C3043">
        <w:rPr>
          <w:rFonts w:ascii="Times New Roman" w:hAnsi="Times New Roman" w:cs="Times New Roman"/>
          <w:lang w:bidi="en-US"/>
        </w:rPr>
        <w:t xml:space="preserve">This transfer of metabolic substrates occurs throughout </w:t>
      </w:r>
      <w:r w:rsidR="00B51D95" w:rsidRPr="005C3043">
        <w:rPr>
          <w:rFonts w:ascii="Times New Roman" w:hAnsi="Times New Roman" w:cs="Times New Roman"/>
          <w:lang w:bidi="en-US"/>
        </w:rPr>
        <w:t>antral stages of development</w:t>
      </w:r>
      <w:r w:rsidR="008A3DD3" w:rsidRPr="005C3043">
        <w:rPr>
          <w:rFonts w:ascii="Times New Roman" w:hAnsi="Times New Roman" w:cs="Times New Roman"/>
          <w:lang w:bidi="en-US"/>
        </w:rPr>
        <w:t xml:space="preserve"> until the onset of oocyte maturation leads to gap junction breakdown. The oocyte must support energy demanding developmental processes like fertilization and embryonic cell division with the mitochondria and metabolic substrates accumulated prior to oocyte maturation. </w:t>
      </w:r>
    </w:p>
    <w:p w14:paraId="65DF4A6D" w14:textId="64946A0B" w:rsidR="00EA30D7" w:rsidRPr="005C3043" w:rsidRDefault="008A3DD3" w:rsidP="00021AAA">
      <w:pPr>
        <w:spacing w:line="480" w:lineRule="auto"/>
        <w:ind w:firstLine="720"/>
        <w:jc w:val="both"/>
        <w:rPr>
          <w:rFonts w:ascii="Times New Roman" w:hAnsi="Times New Roman" w:cs="Times New Roman"/>
          <w:lang w:bidi="en-US"/>
        </w:rPr>
      </w:pPr>
      <w:r w:rsidRPr="005C3043">
        <w:rPr>
          <w:rFonts w:ascii="Times New Roman" w:hAnsi="Times New Roman" w:cs="Times New Roman"/>
        </w:rPr>
        <w:t xml:space="preserve">Previous studies have linked intraoocyte ATP levels,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and mitochondrial function to oocyte developmental competence </w:t>
      </w:r>
      <w:r w:rsidR="00C55223" w:rsidRPr="005C3043">
        <w:rPr>
          <w:rFonts w:ascii="Times New Roman" w:hAnsi="Times New Roman" w:cs="Times New Roman"/>
          <w:noProof/>
        </w:rPr>
        <w:t>(Dumollard et al., 2007; Van Blerkom, 2011; Roth, 2018; Hashimoto et al., 2019; Nagano, 2019</w:t>
      </w:r>
      <w:r w:rsidR="00B51D95" w:rsidRPr="005C3043">
        <w:rPr>
          <w:rFonts w:ascii="Times New Roman" w:hAnsi="Times New Roman" w:cs="Times New Roman"/>
          <w:noProof/>
        </w:rPr>
        <w:t>; Payton et al., 2018</w:t>
      </w:r>
      <w:r w:rsidR="00C55223" w:rsidRPr="005C3043">
        <w:rPr>
          <w:rFonts w:ascii="Times New Roman" w:hAnsi="Times New Roman" w:cs="Times New Roman"/>
          <w:noProof/>
        </w:rPr>
        <w:t>)</w:t>
      </w:r>
      <w:r w:rsidR="00EA30D7" w:rsidRPr="005C3043">
        <w:rPr>
          <w:rFonts w:ascii="Times New Roman" w:hAnsi="Times New Roman" w:cs="Times New Roman"/>
        </w:rPr>
        <w:t xml:space="preserve">. </w:t>
      </w:r>
      <w:r w:rsidR="00EA30D7" w:rsidRPr="005C3043">
        <w:rPr>
          <w:rFonts w:ascii="Times New Roman" w:hAnsi="Times New Roman" w:cs="Times New Roman"/>
          <w:lang w:bidi="en-US"/>
        </w:rPr>
        <w:t xml:space="preserve">Within bovine oocytes, reported ATP concentrations range from 0.25 to 35 </w:t>
      </w:r>
      <w:proofErr w:type="spellStart"/>
      <w:r w:rsidR="00EA30D7" w:rsidRPr="005C3043">
        <w:rPr>
          <w:rFonts w:ascii="Times New Roman" w:hAnsi="Times New Roman" w:cs="Times New Roman"/>
          <w:lang w:bidi="en-US"/>
        </w:rPr>
        <w:t>pmol</w:t>
      </w:r>
      <w:proofErr w:type="spellEnd"/>
      <w:r w:rsidR="00EA30D7" w:rsidRPr="005C3043">
        <w:rPr>
          <w:rFonts w:ascii="Times New Roman" w:hAnsi="Times New Roman" w:cs="Times New Roman"/>
          <w:lang w:bidi="en-US"/>
        </w:rPr>
        <w:t xml:space="preserve"> and reported </w:t>
      </w:r>
      <w:proofErr w:type="spellStart"/>
      <w:r w:rsidR="00EA30D7" w:rsidRPr="005C3043">
        <w:rPr>
          <w:rFonts w:ascii="Times New Roman" w:hAnsi="Times New Roman" w:cs="Times New Roman"/>
          <w:lang w:bidi="en-US"/>
        </w:rPr>
        <w:t>mtDNA</w:t>
      </w:r>
      <w:proofErr w:type="spellEnd"/>
      <w:r w:rsidR="00EA30D7" w:rsidRPr="005C3043">
        <w:rPr>
          <w:rFonts w:ascii="Times New Roman" w:hAnsi="Times New Roman" w:cs="Times New Roman"/>
          <w:lang w:bidi="en-US"/>
        </w:rPr>
        <w:t xml:space="preserve"> levels range from 13,000 to 3,600,000 copies per oocyte. Due to low quantities of starting materials in single oocytes, many studies utilized pooled oocytes for analyses, and no papers have measured multiple metabolic parameters within a single oocyte. Single cell analysis is a valuable tool to better understand and evaluate intraoocyte relationships among metabolic components and mitochondria functionality. While pooling oocytes allows researchers to account for high variability in abattoir-derived oocytes, single oocyte analyses are necessary for </w:t>
      </w:r>
      <w:r w:rsidR="00EA30D7" w:rsidRPr="005C3043">
        <w:rPr>
          <w:rFonts w:ascii="Times New Roman" w:hAnsi="Times New Roman" w:cs="Times New Roman"/>
          <w:i/>
          <w:lang w:bidi="en-US"/>
        </w:rPr>
        <w:t>in vivo</w:t>
      </w:r>
      <w:r w:rsidR="00EA30D7" w:rsidRPr="005C3043">
        <w:rPr>
          <w:rFonts w:ascii="Times New Roman" w:hAnsi="Times New Roman" w:cs="Times New Roman"/>
          <w:lang w:bidi="en-US"/>
        </w:rPr>
        <w:t xml:space="preserve"> studies where sample numbers are often limiting. </w:t>
      </w:r>
    </w:p>
    <w:p w14:paraId="542FDDDC" w14:textId="3BBFD42C" w:rsidR="00784DB7" w:rsidRPr="005C3043" w:rsidRDefault="00EA30D7" w:rsidP="00412E33">
      <w:pPr>
        <w:spacing w:line="480" w:lineRule="auto"/>
        <w:ind w:firstLine="720"/>
        <w:jc w:val="both"/>
        <w:rPr>
          <w:rFonts w:ascii="Times New Roman" w:hAnsi="Times New Roman" w:cs="Times New Roman"/>
        </w:rPr>
      </w:pPr>
      <w:r w:rsidRPr="005C3043">
        <w:rPr>
          <w:rFonts w:ascii="Times New Roman" w:hAnsi="Times New Roman" w:cs="Times New Roman"/>
        </w:rPr>
        <w:lastRenderedPageBreak/>
        <w:t xml:space="preserve">Therefore, we developed a protocol with the objective to divide the lysate of a single oocyte into quarters and measure ATP and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in duplicate, quarter oocyte equivalents. After successful validation of the protocol for both ATP and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measurements, we performed a second study with the objective to compare ATP quantity and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between germinal vesicle (GV) and metaphase two (MII) stage oocytes as an additional validation to demonstrate that the protocol would yield similar results to previously published studies of pooled oocytes.</w:t>
      </w:r>
    </w:p>
    <w:p w14:paraId="01107E6D" w14:textId="4056464A" w:rsidR="00EA30D7" w:rsidRPr="005C3043" w:rsidRDefault="00EA30D7" w:rsidP="00276CE1">
      <w:pPr>
        <w:pStyle w:val="Diss2"/>
      </w:pPr>
      <w:bookmarkStart w:id="49" w:name="_Toc100072172"/>
      <w:r w:rsidRPr="005C3043">
        <w:t>Materials and Methods</w:t>
      </w:r>
      <w:bookmarkEnd w:id="49"/>
    </w:p>
    <w:p w14:paraId="48D351E9" w14:textId="3BDF1400" w:rsidR="00EA30D7" w:rsidRPr="005C3043" w:rsidRDefault="00EA30D7" w:rsidP="00276CE1">
      <w:pPr>
        <w:pStyle w:val="Diss3"/>
      </w:pPr>
      <w:bookmarkStart w:id="50" w:name="_Toc100072173"/>
      <w:r w:rsidRPr="005C3043">
        <w:t>Collection of cumulus-oocyte-complexes</w:t>
      </w:r>
      <w:bookmarkEnd w:id="50"/>
    </w:p>
    <w:p w14:paraId="701EE9C3" w14:textId="3944C732" w:rsidR="00775850" w:rsidRPr="005C3043" w:rsidRDefault="00EA30D7" w:rsidP="00021AAA">
      <w:pPr>
        <w:spacing w:line="480" w:lineRule="auto"/>
        <w:ind w:firstLine="720"/>
        <w:jc w:val="both"/>
        <w:rPr>
          <w:rFonts w:ascii="Times New Roman" w:hAnsi="Times New Roman" w:cs="Times New Roman"/>
          <w:lang w:bidi="en-US"/>
        </w:rPr>
      </w:pPr>
      <w:r w:rsidRPr="005C3043">
        <w:rPr>
          <w:rFonts w:ascii="Times New Roman" w:hAnsi="Times New Roman" w:cs="Times New Roman"/>
          <w:lang w:bidi="en-US"/>
        </w:rPr>
        <w:t xml:space="preserve">Abattoir-sourced, mixed breed, bovine (Bos taurus) ovaries were obtained for the manual aspiration of follicles and collection of cumulus-oocyte-complexes (COCs). Briefly, COCs were manually aspirated from 3-8 mm follicles using a 12 mL syringe and 18-gauge needle. The aspirate was then transferred to a petri dish and searched for COCs. Once located, COCs were placed into oocyte collection media (OCM; M199 with Hanks’ salts, 2% (v/v) FBS, 2 mmol/l L-glutamine, 50 U/ml penicillin, and 50 </w:t>
      </w:r>
      <w:proofErr w:type="spellStart"/>
      <w:r w:rsidRPr="005C3043">
        <w:rPr>
          <w:rFonts w:ascii="Times New Roman" w:hAnsi="Times New Roman" w:cs="Times New Roman"/>
          <w:lang w:bidi="en-US"/>
        </w:rPr>
        <w:t>μg</w:t>
      </w:r>
      <w:proofErr w:type="spellEnd"/>
      <w:r w:rsidRPr="005C3043">
        <w:rPr>
          <w:rFonts w:ascii="Times New Roman" w:hAnsi="Times New Roman" w:cs="Times New Roman"/>
          <w:lang w:bidi="en-US"/>
        </w:rPr>
        <w:t xml:space="preserve">/ml streptomycin) until searching was completed. Only those COCs with a homogenous cytoplasm and at least 5 layers of cumulus cells were selected for further use. For the validation of procedures, selected COCs were stripped of their cumulus cells by </w:t>
      </w:r>
      <w:proofErr w:type="spellStart"/>
      <w:r w:rsidRPr="005C3043">
        <w:rPr>
          <w:rFonts w:ascii="Times New Roman" w:hAnsi="Times New Roman" w:cs="Times New Roman"/>
          <w:lang w:bidi="en-US"/>
        </w:rPr>
        <w:t>vortexing</w:t>
      </w:r>
      <w:proofErr w:type="spellEnd"/>
      <w:r w:rsidRPr="005C3043">
        <w:rPr>
          <w:rFonts w:ascii="Times New Roman" w:hAnsi="Times New Roman" w:cs="Times New Roman"/>
          <w:lang w:bidi="en-US"/>
        </w:rPr>
        <w:t xml:space="preserve"> for 3-5 minutes in 1x trypsin, washed through PBS, and immediately snap frozen in 2μl of PBS for storage at -80°C until used for assays. For the comparison of GV and MII stage oocytes, COCs were randomly </w:t>
      </w:r>
      <w:proofErr w:type="gramStart"/>
      <w:r w:rsidRPr="005C3043">
        <w:rPr>
          <w:rFonts w:ascii="Times New Roman" w:hAnsi="Times New Roman" w:cs="Times New Roman"/>
          <w:lang w:bidi="en-US"/>
        </w:rPr>
        <w:t>divided</w:t>
      </w:r>
      <w:proofErr w:type="gramEnd"/>
      <w:r w:rsidRPr="005C3043">
        <w:rPr>
          <w:rFonts w:ascii="Times New Roman" w:hAnsi="Times New Roman" w:cs="Times New Roman"/>
          <w:lang w:bidi="en-US"/>
        </w:rPr>
        <w:t xml:space="preserve"> and half (n=15) were collected at the GV stage as described above. The remaining COCs were washed in oocyte maturation media (OMM; M199 with </w:t>
      </w:r>
      <w:r w:rsidRPr="005C3043">
        <w:rPr>
          <w:rFonts w:ascii="Times New Roman" w:hAnsi="Times New Roman" w:cs="Times New Roman"/>
          <w:lang w:bidi="en-US"/>
        </w:rPr>
        <w:lastRenderedPageBreak/>
        <w:t>Earle’s salts, 10% (v/v) FBS, 2 mmol/l L-glutamine, 0.2 mmol/l sodium pyruvate, and 50 mg/ml gentamycin) before undergoing maturation for 22-24 hours at 38.5°C in 5% CO</w:t>
      </w:r>
      <w:r w:rsidRPr="005C3043">
        <w:rPr>
          <w:rFonts w:ascii="Times New Roman" w:hAnsi="Times New Roman" w:cs="Times New Roman"/>
          <w:vertAlign w:val="subscript"/>
          <w:lang w:bidi="en-US"/>
        </w:rPr>
        <w:t>2</w:t>
      </w:r>
      <w:r w:rsidRPr="005C3043">
        <w:rPr>
          <w:rFonts w:ascii="Times New Roman" w:hAnsi="Times New Roman" w:cs="Times New Roman"/>
          <w:lang w:bidi="en-US"/>
        </w:rPr>
        <w:t xml:space="preserve"> and humidified air. The matured COCs, which represent MII oocytes (n=15), were then collected, denuded, and stored in the same manner as the GV stage oocytes. </w:t>
      </w:r>
    </w:p>
    <w:p w14:paraId="4D936C03" w14:textId="5661FD4A" w:rsidR="00EA30D7" w:rsidRPr="005C3043" w:rsidRDefault="00EA30D7" w:rsidP="00276CE1">
      <w:pPr>
        <w:pStyle w:val="Diss3"/>
        <w:rPr>
          <w:lang w:bidi="en-US"/>
        </w:rPr>
      </w:pPr>
      <w:bookmarkStart w:id="51" w:name="_Toc100072174"/>
      <w:r w:rsidRPr="005C3043">
        <w:rPr>
          <w:lang w:bidi="en-US"/>
        </w:rPr>
        <w:t>TaqMan Primer and Probe Design</w:t>
      </w:r>
      <w:bookmarkEnd w:id="51"/>
      <w:r w:rsidRPr="005C3043">
        <w:rPr>
          <w:lang w:bidi="en-US"/>
        </w:rPr>
        <w:t xml:space="preserve"> </w:t>
      </w:r>
    </w:p>
    <w:p w14:paraId="0734F8B2" w14:textId="42AEE92B" w:rsidR="00EA30D7" w:rsidRPr="005C3043" w:rsidRDefault="00EA30D7" w:rsidP="00021AAA">
      <w:pPr>
        <w:spacing w:line="480" w:lineRule="auto"/>
        <w:ind w:firstLine="720"/>
        <w:jc w:val="both"/>
        <w:rPr>
          <w:rFonts w:ascii="Times New Roman" w:hAnsi="Times New Roman" w:cs="Times New Roman"/>
          <w:lang w:bidi="en-US"/>
        </w:rPr>
      </w:pPr>
      <w:r w:rsidRPr="005C3043">
        <w:rPr>
          <w:rFonts w:ascii="Times New Roman" w:hAnsi="Times New Roman" w:cs="Times New Roman"/>
          <w:lang w:bidi="en-US"/>
        </w:rPr>
        <w:t xml:space="preserve">Primers were designed using NCBI BLAST according to the bovine mitochondrial genome (Accession Number: NC_006853.1; Table </w:t>
      </w:r>
      <w:r w:rsidR="009A72EC" w:rsidRPr="005C3043">
        <w:rPr>
          <w:rFonts w:ascii="Times New Roman" w:hAnsi="Times New Roman" w:cs="Times New Roman"/>
          <w:lang w:bidi="en-US"/>
        </w:rPr>
        <w:t>2</w:t>
      </w:r>
      <w:r w:rsidRPr="005C3043">
        <w:rPr>
          <w:rFonts w:ascii="Times New Roman" w:hAnsi="Times New Roman" w:cs="Times New Roman"/>
          <w:lang w:bidi="en-US"/>
        </w:rPr>
        <w:t xml:space="preserve">). The selected primer pair created a 183 base pair product from base pairs 11569 to 11751 of the bovine mitochondrial genome. The probe sequence was located between the forward and reverse primers and ranged from base pairs 11621 to 11645. A gradient polymerase chain reaction (PCR) ranging from 50 to 60° C was performed to determine optimal annealing temperature ranges of the primers. </w:t>
      </w:r>
    </w:p>
    <w:p w14:paraId="26573D16" w14:textId="77777777" w:rsidR="00784DB7" w:rsidRPr="005C3043" w:rsidRDefault="00784DB7" w:rsidP="00276CE1">
      <w:pPr>
        <w:pStyle w:val="Diss3"/>
        <w:rPr>
          <w:lang w:bidi="en-US"/>
        </w:rPr>
      </w:pPr>
      <w:bookmarkStart w:id="52" w:name="_Toc100072175"/>
      <w:r w:rsidRPr="005C3043">
        <w:rPr>
          <w:lang w:bidi="en-US"/>
        </w:rPr>
        <w:t>Validation</w:t>
      </w:r>
      <w:bookmarkEnd w:id="52"/>
    </w:p>
    <w:p w14:paraId="7BCF2983" w14:textId="77777777" w:rsidR="00784DB7" w:rsidRPr="00C87A3E" w:rsidRDefault="00784DB7" w:rsidP="00276CE1">
      <w:pPr>
        <w:pStyle w:val="Diss4"/>
      </w:pPr>
      <w:r w:rsidRPr="00C87A3E">
        <w:t>Oocyte Lysis and Division</w:t>
      </w:r>
    </w:p>
    <w:p w14:paraId="5F24C725" w14:textId="1E6BBCC3" w:rsidR="00624151" w:rsidRDefault="00784DB7" w:rsidP="00784DB7">
      <w:pPr>
        <w:spacing w:line="480" w:lineRule="auto"/>
        <w:jc w:val="both"/>
        <w:rPr>
          <w:rFonts w:ascii="Times New Roman" w:hAnsi="Times New Roman" w:cs="Times New Roman"/>
          <w:lang w:bidi="en-US"/>
        </w:rPr>
      </w:pPr>
      <w:r w:rsidRPr="003B6B38">
        <w:rPr>
          <w:rFonts w:ascii="Times New Roman" w:hAnsi="Times New Roman" w:cs="Times New Roman"/>
          <w:lang w:bidi="en-US"/>
        </w:rPr>
        <w:t xml:space="preserve">Germinal vesicle stage oocytes were used to optimize and develop the protocol. Following optimization, we validated the protocol’s ability to provide consistent values for ATP and </w:t>
      </w:r>
      <w:proofErr w:type="spellStart"/>
      <w:r w:rsidRPr="003B6B38">
        <w:rPr>
          <w:rFonts w:ascii="Times New Roman" w:hAnsi="Times New Roman" w:cs="Times New Roman"/>
          <w:lang w:bidi="en-US"/>
        </w:rPr>
        <w:t>mtDNA</w:t>
      </w:r>
      <w:proofErr w:type="spellEnd"/>
      <w:r w:rsidRPr="003B6B38">
        <w:rPr>
          <w:rFonts w:ascii="Times New Roman" w:hAnsi="Times New Roman" w:cs="Times New Roman"/>
          <w:lang w:bidi="en-US"/>
        </w:rPr>
        <w:t xml:space="preserve"> copy number assays in quarter oocyte equivalents. Tubes </w:t>
      </w:r>
      <w:r w:rsidRPr="005C3043">
        <w:rPr>
          <w:rFonts w:ascii="Times New Roman" w:hAnsi="Times New Roman" w:cs="Times New Roman"/>
          <w:lang w:bidi="en-US"/>
        </w:rPr>
        <w:t xml:space="preserve">containing single oocytes were thawed and centrifuged at 12,000 x g for 30 seconds at 4°C. For ATP quantification (n = 5), 8μl 5 mM Tris-HCl was added to each sample and all samples were heated at 95°C for 10 minutes. Thirty microliters of nuclease free water were added to each </w:t>
      </w:r>
    </w:p>
    <w:p w14:paraId="2936486A" w14:textId="77777777" w:rsidR="00276CE1" w:rsidRPr="00784DB7" w:rsidRDefault="00276CE1" w:rsidP="00276CE1">
      <w:pPr>
        <w:spacing w:line="480" w:lineRule="auto"/>
        <w:jc w:val="both"/>
        <w:rPr>
          <w:rFonts w:ascii="Times New Roman" w:hAnsi="Times New Roman" w:cs="Times New Roman"/>
          <w:b/>
          <w:lang w:bidi="en-US"/>
        </w:rPr>
      </w:pPr>
      <w:r w:rsidRPr="005C3043">
        <w:rPr>
          <w:rFonts w:ascii="Times New Roman" w:hAnsi="Times New Roman" w:cs="Times New Roman"/>
          <w:lang w:bidi="en-US"/>
        </w:rPr>
        <w:t xml:space="preserve">sample to achieve a final volume of 40μl. This volume was then divided into four, 10μl aliquots for the ATP assay. For </w:t>
      </w:r>
      <w:proofErr w:type="spellStart"/>
      <w:r w:rsidRPr="005C3043">
        <w:rPr>
          <w:rFonts w:ascii="Times New Roman" w:hAnsi="Times New Roman" w:cs="Times New Roman"/>
          <w:lang w:bidi="en-US"/>
        </w:rPr>
        <w:t>mtDNA</w:t>
      </w:r>
      <w:proofErr w:type="spellEnd"/>
      <w:r w:rsidRPr="005C3043">
        <w:rPr>
          <w:rFonts w:ascii="Times New Roman" w:hAnsi="Times New Roman" w:cs="Times New Roman"/>
          <w:lang w:bidi="en-US"/>
        </w:rPr>
        <w:t xml:space="preserve"> copy number quantification (n = 6), 8μl Tris-HCl </w:t>
      </w:r>
      <w:r w:rsidRPr="005C3043">
        <w:rPr>
          <w:rFonts w:ascii="Times New Roman" w:hAnsi="Times New Roman" w:cs="Times New Roman"/>
          <w:lang w:bidi="en-US"/>
        </w:rPr>
        <w:lastRenderedPageBreak/>
        <w:t>were added to each sample and samples were heated at 95°C for 10 minutes. Twenty-six microliters of proteinase K (</w:t>
      </w:r>
      <w:proofErr w:type="spellStart"/>
      <w:r w:rsidRPr="005C3043">
        <w:rPr>
          <w:rFonts w:ascii="Times New Roman" w:hAnsi="Times New Roman" w:cs="Times New Roman"/>
          <w:lang w:bidi="en-US"/>
        </w:rPr>
        <w:t>Zymo</w:t>
      </w:r>
      <w:proofErr w:type="spellEnd"/>
      <w:r w:rsidRPr="005C3043">
        <w:rPr>
          <w:rFonts w:ascii="Times New Roman" w:hAnsi="Times New Roman" w:cs="Times New Roman"/>
          <w:lang w:bidi="en-US"/>
        </w:rPr>
        <w:t xml:space="preserve"> Research; Irvine, CA) were added to each sample to</w:t>
      </w:r>
      <w:r>
        <w:rPr>
          <w:rFonts w:ascii="Times New Roman" w:hAnsi="Times New Roman" w:cs="Times New Roman"/>
          <w:b/>
          <w:lang w:bidi="en-US"/>
        </w:rPr>
        <w:t xml:space="preserve"> </w:t>
      </w:r>
      <w:r w:rsidRPr="005C3043">
        <w:rPr>
          <w:rFonts w:ascii="Times New Roman" w:hAnsi="Times New Roman" w:cs="Times New Roman"/>
          <w:lang w:bidi="en-US"/>
        </w:rPr>
        <w:t xml:space="preserve">reach a final concentration of 200ug/ml. Samples were heated at 55°C for 30 minutes followed by heating at 95°C for 10 minutes for proteinase K deactivation. The lysate was then divided into four, 9μl aliquots for use in qPCR analysis of mitochondrial DNA copy number.  </w:t>
      </w:r>
    </w:p>
    <w:p w14:paraId="2284CACC" w14:textId="77777777" w:rsidR="00276CE1" w:rsidRPr="005C3043" w:rsidRDefault="00276CE1" w:rsidP="00276CE1">
      <w:pPr>
        <w:pStyle w:val="Diss4"/>
      </w:pPr>
      <w:r w:rsidRPr="005C3043">
        <w:t>ATP Quantification Validation</w:t>
      </w:r>
    </w:p>
    <w:p w14:paraId="5B64C81A" w14:textId="77777777" w:rsidR="00276CE1" w:rsidRPr="005C3043" w:rsidRDefault="00276CE1" w:rsidP="00276CE1">
      <w:pPr>
        <w:spacing w:line="480" w:lineRule="auto"/>
        <w:ind w:firstLine="720"/>
        <w:jc w:val="both"/>
        <w:rPr>
          <w:rFonts w:ascii="Times New Roman" w:hAnsi="Times New Roman" w:cs="Times New Roman"/>
          <w:lang w:bidi="en-US"/>
        </w:rPr>
      </w:pPr>
      <w:r w:rsidRPr="005C3043">
        <w:rPr>
          <w:rFonts w:ascii="Times New Roman" w:hAnsi="Times New Roman" w:cs="Times New Roman"/>
          <w:lang w:bidi="en-US"/>
        </w:rPr>
        <w:t>Samples were processed using the ATP Determination Kit (Life Technologies; Carlsbad, CA) according to the manufacturer’s directions. Each lysate was thoroughly mixed by pipetting, and 10μl was added to individual wells of a white, 96 well plate (Costar ®, 96 well, flat bottomed, white polystyrene assay plate, Corning Incorporated, Corning, NY) and combined with 90μl of assay mix. Luminescence was recorded using the Synergy H1 Microplate Reader (</w:t>
      </w:r>
      <w:proofErr w:type="spellStart"/>
      <w:r w:rsidRPr="005C3043">
        <w:rPr>
          <w:rFonts w:ascii="Times New Roman" w:hAnsi="Times New Roman" w:cs="Times New Roman"/>
          <w:lang w:bidi="en-US"/>
        </w:rPr>
        <w:t>Biotek</w:t>
      </w:r>
      <w:proofErr w:type="spellEnd"/>
      <w:r w:rsidRPr="005C3043">
        <w:rPr>
          <w:rFonts w:ascii="Times New Roman" w:hAnsi="Times New Roman" w:cs="Times New Roman"/>
          <w:lang w:bidi="en-US"/>
        </w:rPr>
        <w:t xml:space="preserve">; Winooski, VT). </w:t>
      </w:r>
    </w:p>
    <w:p w14:paraId="445D7F09" w14:textId="77777777" w:rsidR="00276CE1" w:rsidRPr="005C3043" w:rsidRDefault="00276CE1" w:rsidP="00276CE1">
      <w:pPr>
        <w:pStyle w:val="Diss4"/>
      </w:pPr>
      <w:proofErr w:type="spellStart"/>
      <w:r w:rsidRPr="005C3043">
        <w:t>mtDNA</w:t>
      </w:r>
      <w:proofErr w:type="spellEnd"/>
      <w:r w:rsidRPr="005C3043">
        <w:t xml:space="preserve"> Copy Number Quantification Validation</w:t>
      </w:r>
    </w:p>
    <w:p w14:paraId="73F809E3" w14:textId="77777777" w:rsidR="00412E33" w:rsidRPr="005C3043" w:rsidRDefault="00276CE1" w:rsidP="00412E33">
      <w:pPr>
        <w:spacing w:line="480" w:lineRule="auto"/>
        <w:ind w:firstLine="720"/>
        <w:jc w:val="both"/>
        <w:rPr>
          <w:rFonts w:ascii="Times New Roman" w:hAnsi="Times New Roman" w:cs="Times New Roman"/>
          <w:lang w:bidi="en-US"/>
        </w:rPr>
      </w:pPr>
      <w:r w:rsidRPr="005C3043">
        <w:rPr>
          <w:rFonts w:ascii="Times New Roman" w:hAnsi="Times New Roman" w:cs="Times New Roman"/>
          <w:lang w:bidi="en-US"/>
        </w:rPr>
        <w:t>Samples were processed using custom TaqMan primers and probe (Table 2). Each lysate was mixed thoroughly by pipetting and 9μl was combined with 1μl of the custom TaqMan primer/probe mix and 10μl Fast Advanced Master Mix (</w:t>
      </w:r>
      <w:proofErr w:type="spellStart"/>
      <w:r w:rsidRPr="005C3043">
        <w:rPr>
          <w:rFonts w:ascii="Times New Roman" w:hAnsi="Times New Roman" w:cs="Times New Roman"/>
          <w:lang w:bidi="en-US"/>
        </w:rPr>
        <w:t>ThermoFisher</w:t>
      </w:r>
      <w:proofErr w:type="spellEnd"/>
      <w:r w:rsidRPr="005C3043">
        <w:rPr>
          <w:rFonts w:ascii="Times New Roman" w:hAnsi="Times New Roman" w:cs="Times New Roman"/>
          <w:lang w:bidi="en-US"/>
        </w:rPr>
        <w:t xml:space="preserve"> Scientific, </w:t>
      </w:r>
      <w:r w:rsidR="00412E33" w:rsidRPr="005C3043">
        <w:rPr>
          <w:rFonts w:ascii="Times New Roman" w:hAnsi="Times New Roman" w:cs="Times New Roman"/>
          <w:lang w:bidi="en-US"/>
        </w:rPr>
        <w:t xml:space="preserve">Waltham, MA) in a </w:t>
      </w:r>
      <w:proofErr w:type="spellStart"/>
      <w:r w:rsidR="00412E33" w:rsidRPr="005C3043">
        <w:rPr>
          <w:rFonts w:ascii="Times New Roman" w:hAnsi="Times New Roman" w:cs="Times New Roman"/>
          <w:lang w:bidi="en-US"/>
        </w:rPr>
        <w:t>MicroAmp</w:t>
      </w:r>
      <w:proofErr w:type="spellEnd"/>
      <w:r w:rsidR="00412E33" w:rsidRPr="005C3043">
        <w:rPr>
          <w:rFonts w:ascii="Times New Roman" w:hAnsi="Times New Roman" w:cs="Times New Roman"/>
          <w:lang w:bidi="en-US"/>
        </w:rPr>
        <w:t xml:space="preserve">® Fast 96-well Reaction Plate (0.1mL, </w:t>
      </w:r>
      <w:proofErr w:type="spellStart"/>
      <w:r w:rsidR="00412E33" w:rsidRPr="005C3043">
        <w:rPr>
          <w:rFonts w:ascii="Times New Roman" w:hAnsi="Times New Roman" w:cs="Times New Roman"/>
          <w:lang w:bidi="en-US"/>
        </w:rPr>
        <w:t>ThermoFisher</w:t>
      </w:r>
      <w:proofErr w:type="spellEnd"/>
      <w:r w:rsidR="00412E33" w:rsidRPr="005C3043">
        <w:rPr>
          <w:rFonts w:ascii="Times New Roman" w:hAnsi="Times New Roman" w:cs="Times New Roman"/>
          <w:lang w:bidi="en-US"/>
        </w:rPr>
        <w:t xml:space="preserve"> Scientific, Waltham, MA). The PCR settings were as follows: 2 minutes at 94°C followed by 40 cycles of 10 seconds at 94°C, 15 seconds at 57°C, and 12 seconds at 72°C (QuantStudio3, </w:t>
      </w:r>
      <w:proofErr w:type="spellStart"/>
      <w:r w:rsidR="00412E33" w:rsidRPr="005C3043">
        <w:rPr>
          <w:rFonts w:ascii="Times New Roman" w:hAnsi="Times New Roman" w:cs="Times New Roman"/>
          <w:lang w:bidi="en-US"/>
        </w:rPr>
        <w:t>ThermoFisher</w:t>
      </w:r>
      <w:proofErr w:type="spellEnd"/>
      <w:r w:rsidR="00412E33" w:rsidRPr="005C3043">
        <w:rPr>
          <w:rFonts w:ascii="Times New Roman" w:hAnsi="Times New Roman" w:cs="Times New Roman"/>
          <w:lang w:bidi="en-US"/>
        </w:rPr>
        <w:t xml:space="preserve"> Scientific, Waltham, MA).</w:t>
      </w:r>
    </w:p>
    <w:p w14:paraId="0E48B2B0" w14:textId="15FBAFDB" w:rsidR="00412E33" w:rsidRDefault="00412E33" w:rsidP="00784DB7">
      <w:pPr>
        <w:tabs>
          <w:tab w:val="left" w:pos="1635"/>
        </w:tabs>
        <w:jc w:val="both"/>
        <w:rPr>
          <w:rFonts w:ascii="Times New Roman" w:hAnsi="Times New Roman" w:cs="Times New Roman"/>
          <w:lang w:bidi="en-US"/>
        </w:rPr>
      </w:pPr>
    </w:p>
    <w:p w14:paraId="73961496" w14:textId="5FA0A8E4" w:rsidR="00412E33" w:rsidRDefault="00412E33" w:rsidP="00784DB7">
      <w:pPr>
        <w:tabs>
          <w:tab w:val="left" w:pos="1635"/>
        </w:tabs>
        <w:jc w:val="both"/>
        <w:rPr>
          <w:rFonts w:ascii="Times New Roman" w:hAnsi="Times New Roman" w:cs="Times New Roman"/>
          <w:lang w:bidi="en-US"/>
        </w:rPr>
      </w:pPr>
    </w:p>
    <w:p w14:paraId="317C09F9" w14:textId="77777777" w:rsidR="00412E33" w:rsidRDefault="00412E33" w:rsidP="00784DB7">
      <w:pPr>
        <w:tabs>
          <w:tab w:val="left" w:pos="1635"/>
        </w:tabs>
        <w:jc w:val="both"/>
        <w:rPr>
          <w:rFonts w:ascii="Times New Roman" w:hAnsi="Times New Roman" w:cs="Times New Roman"/>
          <w:lang w:bidi="en-US"/>
        </w:rPr>
      </w:pPr>
    </w:p>
    <w:p w14:paraId="1BFE5260" w14:textId="4ED34A73" w:rsidR="00EA30D7" w:rsidRPr="00C34188" w:rsidRDefault="00EA30D7" w:rsidP="00784DB7">
      <w:pPr>
        <w:tabs>
          <w:tab w:val="left" w:pos="1635"/>
        </w:tabs>
        <w:jc w:val="both"/>
        <w:rPr>
          <w:rFonts w:ascii="Times New Roman" w:hAnsi="Times New Roman" w:cs="Times New Roman"/>
          <w:lang w:bidi="en-US"/>
        </w:rPr>
      </w:pPr>
      <w:r w:rsidRPr="00C34188">
        <w:rPr>
          <w:rFonts w:ascii="Times New Roman" w:hAnsi="Times New Roman" w:cs="Times New Roman"/>
          <w:b/>
          <w:lang w:bidi="en-US"/>
        </w:rPr>
        <w:t xml:space="preserve">Table </w:t>
      </w:r>
      <w:r w:rsidR="009A72EC" w:rsidRPr="00C34188">
        <w:rPr>
          <w:rFonts w:ascii="Times New Roman" w:hAnsi="Times New Roman" w:cs="Times New Roman"/>
          <w:b/>
          <w:lang w:bidi="en-US"/>
        </w:rPr>
        <w:t>2</w:t>
      </w:r>
      <w:r w:rsidRPr="00C34188">
        <w:rPr>
          <w:rFonts w:ascii="Times New Roman" w:hAnsi="Times New Roman" w:cs="Times New Roman"/>
          <w:b/>
          <w:lang w:bidi="en-US"/>
        </w:rPr>
        <w:t>.</w:t>
      </w:r>
      <w:r w:rsidRPr="00C34188">
        <w:rPr>
          <w:rFonts w:ascii="Times New Roman" w:hAnsi="Times New Roman" w:cs="Times New Roman"/>
          <w:lang w:bidi="en-US"/>
        </w:rPr>
        <w:t xml:space="preserve"> Relevant information for primers and probe designed to the bovine mitochondrial genome.</w:t>
      </w:r>
    </w:p>
    <w:tbl>
      <w:tblPr>
        <w:tblStyle w:val="TableGrid"/>
        <w:tblpPr w:leftFromText="180" w:rightFromText="180" w:vertAnchor="text" w:horzAnchor="margin" w:tblpY="158"/>
        <w:tblW w:w="0" w:type="auto"/>
        <w:tblLayout w:type="fixed"/>
        <w:tblLook w:val="04A0" w:firstRow="1" w:lastRow="0" w:firstColumn="1" w:lastColumn="0" w:noHBand="0" w:noVBand="1"/>
      </w:tblPr>
      <w:tblGrid>
        <w:gridCol w:w="1615"/>
        <w:gridCol w:w="4050"/>
        <w:gridCol w:w="1620"/>
        <w:gridCol w:w="720"/>
      </w:tblGrid>
      <w:tr w:rsidR="00775850" w:rsidRPr="005C3043" w14:paraId="506BF8D7" w14:textId="77777777" w:rsidTr="002A2CEC">
        <w:trPr>
          <w:trHeight w:val="472"/>
        </w:trPr>
        <w:tc>
          <w:tcPr>
            <w:tcW w:w="1615" w:type="dxa"/>
          </w:tcPr>
          <w:p w14:paraId="5CC711E0" w14:textId="77777777" w:rsidR="00775850" w:rsidRPr="002A2CEC" w:rsidRDefault="00775850" w:rsidP="00240E10">
            <w:pPr>
              <w:rPr>
                <w:rFonts w:ascii="Times New Roman" w:hAnsi="Times New Roman" w:cs="Times New Roman"/>
                <w:sz w:val="22"/>
                <w:szCs w:val="22"/>
                <w:lang w:bidi="en-US"/>
              </w:rPr>
            </w:pPr>
            <w:r w:rsidRPr="002A2CEC">
              <w:rPr>
                <w:rFonts w:ascii="Times New Roman" w:hAnsi="Times New Roman" w:cs="Times New Roman"/>
                <w:sz w:val="22"/>
                <w:szCs w:val="22"/>
                <w:lang w:bidi="en-US"/>
              </w:rPr>
              <w:t>Name</w:t>
            </w:r>
          </w:p>
        </w:tc>
        <w:tc>
          <w:tcPr>
            <w:tcW w:w="4050" w:type="dxa"/>
          </w:tcPr>
          <w:p w14:paraId="5C059CB5" w14:textId="77777777" w:rsidR="00775850" w:rsidRPr="002A2CEC" w:rsidRDefault="00775850" w:rsidP="00240E10">
            <w:pPr>
              <w:rPr>
                <w:rFonts w:ascii="Times New Roman" w:hAnsi="Times New Roman" w:cs="Times New Roman"/>
                <w:sz w:val="22"/>
                <w:szCs w:val="22"/>
                <w:lang w:bidi="en-US"/>
              </w:rPr>
            </w:pPr>
            <w:r w:rsidRPr="002A2CEC">
              <w:rPr>
                <w:rFonts w:ascii="Times New Roman" w:hAnsi="Times New Roman" w:cs="Times New Roman"/>
                <w:sz w:val="22"/>
                <w:szCs w:val="22"/>
                <w:lang w:bidi="en-US"/>
              </w:rPr>
              <w:t>Sequence</w:t>
            </w:r>
          </w:p>
        </w:tc>
        <w:tc>
          <w:tcPr>
            <w:tcW w:w="1620" w:type="dxa"/>
          </w:tcPr>
          <w:p w14:paraId="5E59BFE4" w14:textId="77777777" w:rsidR="00775850" w:rsidRPr="002A2CEC" w:rsidRDefault="00775850" w:rsidP="00240E10">
            <w:pPr>
              <w:rPr>
                <w:rFonts w:ascii="Times New Roman" w:hAnsi="Times New Roman" w:cs="Times New Roman"/>
                <w:sz w:val="22"/>
                <w:szCs w:val="22"/>
                <w:lang w:bidi="en-US"/>
              </w:rPr>
            </w:pPr>
            <w:r w:rsidRPr="002A2CEC">
              <w:rPr>
                <w:rFonts w:ascii="Times New Roman" w:hAnsi="Times New Roman" w:cs="Times New Roman"/>
                <w:sz w:val="22"/>
                <w:szCs w:val="22"/>
                <w:lang w:bidi="en-US"/>
              </w:rPr>
              <w:t>Product Length</w:t>
            </w:r>
          </w:p>
        </w:tc>
        <w:tc>
          <w:tcPr>
            <w:tcW w:w="720" w:type="dxa"/>
          </w:tcPr>
          <w:p w14:paraId="34237C80" w14:textId="77777777" w:rsidR="00775850" w:rsidRPr="002A2CEC" w:rsidRDefault="00775850" w:rsidP="00240E10">
            <w:pPr>
              <w:rPr>
                <w:rFonts w:ascii="Times New Roman" w:hAnsi="Times New Roman" w:cs="Times New Roman"/>
                <w:sz w:val="22"/>
                <w:szCs w:val="22"/>
                <w:lang w:bidi="en-US"/>
              </w:rPr>
            </w:pPr>
            <w:r w:rsidRPr="002A2CEC">
              <w:rPr>
                <w:rFonts w:ascii="Times New Roman" w:hAnsi="Times New Roman" w:cs="Times New Roman"/>
                <w:sz w:val="22"/>
                <w:szCs w:val="22"/>
                <w:lang w:bidi="en-US"/>
              </w:rPr>
              <w:t>Tm</w:t>
            </w:r>
          </w:p>
        </w:tc>
      </w:tr>
      <w:tr w:rsidR="00775850" w:rsidRPr="005C3043" w14:paraId="4FE2C2E2" w14:textId="77777777" w:rsidTr="002A2CEC">
        <w:tc>
          <w:tcPr>
            <w:tcW w:w="1615" w:type="dxa"/>
          </w:tcPr>
          <w:p w14:paraId="59362EBD" w14:textId="77777777" w:rsidR="00775850" w:rsidRPr="002A2CEC" w:rsidRDefault="00775850" w:rsidP="00DC10CA">
            <w:pPr>
              <w:jc w:val="center"/>
              <w:rPr>
                <w:rFonts w:ascii="Times New Roman" w:hAnsi="Times New Roman" w:cs="Times New Roman"/>
                <w:sz w:val="22"/>
                <w:szCs w:val="22"/>
                <w:lang w:bidi="en-US"/>
              </w:rPr>
            </w:pPr>
            <w:proofErr w:type="spellStart"/>
            <w:r w:rsidRPr="002A2CEC">
              <w:rPr>
                <w:rFonts w:ascii="Times New Roman" w:hAnsi="Times New Roman" w:cs="Times New Roman"/>
                <w:sz w:val="22"/>
                <w:szCs w:val="22"/>
                <w:lang w:bidi="en-US"/>
              </w:rPr>
              <w:t>mtDNA</w:t>
            </w:r>
            <w:proofErr w:type="spellEnd"/>
            <w:r w:rsidRPr="002A2CEC">
              <w:rPr>
                <w:rFonts w:ascii="Times New Roman" w:hAnsi="Times New Roman" w:cs="Times New Roman"/>
                <w:sz w:val="22"/>
                <w:szCs w:val="22"/>
                <w:lang w:bidi="en-US"/>
              </w:rPr>
              <w:t xml:space="preserve"> Primer Forward</w:t>
            </w:r>
          </w:p>
        </w:tc>
        <w:tc>
          <w:tcPr>
            <w:tcW w:w="4050" w:type="dxa"/>
          </w:tcPr>
          <w:p w14:paraId="0EABF250" w14:textId="77777777" w:rsidR="00775850" w:rsidRPr="002A2CEC" w:rsidRDefault="00775850" w:rsidP="00240E10">
            <w:pPr>
              <w:rPr>
                <w:rFonts w:ascii="Times New Roman" w:hAnsi="Times New Roman" w:cs="Times New Roman"/>
                <w:sz w:val="22"/>
                <w:szCs w:val="22"/>
                <w:lang w:bidi="en-US"/>
              </w:rPr>
            </w:pPr>
            <w:r w:rsidRPr="002A2CEC">
              <w:rPr>
                <w:rFonts w:ascii="Times New Roman" w:hAnsi="Times New Roman" w:cs="Times New Roman"/>
                <w:sz w:val="22"/>
                <w:szCs w:val="22"/>
                <w:lang w:bidi="en-US"/>
              </w:rPr>
              <w:t>CCTACAAACGCTCCTTCCAC</w:t>
            </w:r>
          </w:p>
        </w:tc>
        <w:tc>
          <w:tcPr>
            <w:tcW w:w="1620" w:type="dxa"/>
          </w:tcPr>
          <w:p w14:paraId="757B9EE2" w14:textId="77777777" w:rsidR="00775850" w:rsidRPr="002A2CEC" w:rsidRDefault="00775850" w:rsidP="00240E10">
            <w:pPr>
              <w:rPr>
                <w:rFonts w:ascii="Times New Roman" w:hAnsi="Times New Roman" w:cs="Times New Roman"/>
                <w:sz w:val="22"/>
                <w:szCs w:val="22"/>
                <w:lang w:bidi="en-US"/>
              </w:rPr>
            </w:pPr>
            <w:r w:rsidRPr="002A2CEC">
              <w:rPr>
                <w:rFonts w:ascii="Times New Roman" w:hAnsi="Times New Roman" w:cs="Times New Roman"/>
                <w:sz w:val="22"/>
                <w:szCs w:val="22"/>
                <w:lang w:bidi="en-US"/>
              </w:rPr>
              <w:t>183</w:t>
            </w:r>
          </w:p>
        </w:tc>
        <w:tc>
          <w:tcPr>
            <w:tcW w:w="720" w:type="dxa"/>
          </w:tcPr>
          <w:p w14:paraId="228B2A4E" w14:textId="77777777" w:rsidR="00775850" w:rsidRPr="002A2CEC" w:rsidRDefault="00775850" w:rsidP="00240E10">
            <w:pPr>
              <w:rPr>
                <w:rFonts w:ascii="Times New Roman" w:hAnsi="Times New Roman" w:cs="Times New Roman"/>
                <w:sz w:val="22"/>
                <w:szCs w:val="22"/>
                <w:lang w:bidi="en-US"/>
              </w:rPr>
            </w:pPr>
            <w:r w:rsidRPr="002A2CEC">
              <w:rPr>
                <w:rFonts w:ascii="Times New Roman" w:hAnsi="Times New Roman" w:cs="Times New Roman"/>
                <w:sz w:val="22"/>
                <w:szCs w:val="22"/>
                <w:lang w:bidi="en-US"/>
              </w:rPr>
              <w:t>59</w:t>
            </w:r>
          </w:p>
        </w:tc>
      </w:tr>
      <w:tr w:rsidR="00775850" w:rsidRPr="005C3043" w14:paraId="02519E45" w14:textId="77777777" w:rsidTr="002A2CEC">
        <w:tc>
          <w:tcPr>
            <w:tcW w:w="1615" w:type="dxa"/>
          </w:tcPr>
          <w:p w14:paraId="495B3C0E" w14:textId="77777777" w:rsidR="00775850" w:rsidRPr="002A2CEC" w:rsidRDefault="00775850" w:rsidP="00DC10CA">
            <w:pPr>
              <w:jc w:val="center"/>
              <w:rPr>
                <w:rFonts w:ascii="Times New Roman" w:hAnsi="Times New Roman" w:cs="Times New Roman"/>
                <w:sz w:val="22"/>
                <w:szCs w:val="22"/>
                <w:lang w:bidi="en-US"/>
              </w:rPr>
            </w:pPr>
            <w:proofErr w:type="spellStart"/>
            <w:r w:rsidRPr="002A2CEC">
              <w:rPr>
                <w:rFonts w:ascii="Times New Roman" w:hAnsi="Times New Roman" w:cs="Times New Roman"/>
                <w:sz w:val="22"/>
                <w:szCs w:val="22"/>
                <w:lang w:bidi="en-US"/>
              </w:rPr>
              <w:t>mtDNA</w:t>
            </w:r>
            <w:proofErr w:type="spellEnd"/>
            <w:r w:rsidRPr="002A2CEC">
              <w:rPr>
                <w:rFonts w:ascii="Times New Roman" w:hAnsi="Times New Roman" w:cs="Times New Roman"/>
                <w:sz w:val="22"/>
                <w:szCs w:val="22"/>
                <w:lang w:bidi="en-US"/>
              </w:rPr>
              <w:t xml:space="preserve"> Primer Reverse</w:t>
            </w:r>
          </w:p>
        </w:tc>
        <w:tc>
          <w:tcPr>
            <w:tcW w:w="4050" w:type="dxa"/>
          </w:tcPr>
          <w:p w14:paraId="4C1BCAC3" w14:textId="77777777" w:rsidR="00775850" w:rsidRPr="002A2CEC" w:rsidRDefault="00775850" w:rsidP="00240E10">
            <w:pPr>
              <w:rPr>
                <w:rFonts w:ascii="Times New Roman" w:hAnsi="Times New Roman" w:cs="Times New Roman"/>
                <w:sz w:val="22"/>
                <w:szCs w:val="22"/>
                <w:lang w:bidi="en-US"/>
              </w:rPr>
            </w:pPr>
            <w:r w:rsidRPr="002A2CEC">
              <w:rPr>
                <w:rFonts w:ascii="Times New Roman" w:hAnsi="Times New Roman" w:cs="Times New Roman"/>
                <w:sz w:val="22"/>
                <w:szCs w:val="22"/>
                <w:lang w:bidi="en-US"/>
              </w:rPr>
              <w:t>AGAGAATATAGGGCGGTGATTACT</w:t>
            </w:r>
          </w:p>
        </w:tc>
        <w:tc>
          <w:tcPr>
            <w:tcW w:w="1620" w:type="dxa"/>
          </w:tcPr>
          <w:p w14:paraId="613E8756" w14:textId="77777777" w:rsidR="00775850" w:rsidRPr="002A2CEC" w:rsidRDefault="00775850" w:rsidP="00240E10">
            <w:pPr>
              <w:rPr>
                <w:rFonts w:ascii="Times New Roman" w:hAnsi="Times New Roman" w:cs="Times New Roman"/>
                <w:sz w:val="22"/>
                <w:szCs w:val="22"/>
                <w:lang w:bidi="en-US"/>
              </w:rPr>
            </w:pPr>
            <w:r w:rsidRPr="002A2CEC">
              <w:rPr>
                <w:rFonts w:ascii="Times New Roman" w:hAnsi="Times New Roman" w:cs="Times New Roman"/>
                <w:sz w:val="22"/>
                <w:szCs w:val="22"/>
                <w:lang w:bidi="en-US"/>
              </w:rPr>
              <w:t>183</w:t>
            </w:r>
          </w:p>
        </w:tc>
        <w:tc>
          <w:tcPr>
            <w:tcW w:w="720" w:type="dxa"/>
          </w:tcPr>
          <w:p w14:paraId="36DAC8AE" w14:textId="77777777" w:rsidR="00775850" w:rsidRPr="002A2CEC" w:rsidRDefault="00775850" w:rsidP="00240E10">
            <w:pPr>
              <w:rPr>
                <w:rFonts w:ascii="Times New Roman" w:hAnsi="Times New Roman" w:cs="Times New Roman"/>
                <w:sz w:val="22"/>
                <w:szCs w:val="22"/>
                <w:lang w:bidi="en-US"/>
              </w:rPr>
            </w:pPr>
            <w:r w:rsidRPr="002A2CEC">
              <w:rPr>
                <w:rFonts w:ascii="Times New Roman" w:hAnsi="Times New Roman" w:cs="Times New Roman"/>
                <w:sz w:val="22"/>
                <w:szCs w:val="22"/>
                <w:lang w:bidi="en-US"/>
              </w:rPr>
              <w:t>59</w:t>
            </w:r>
          </w:p>
        </w:tc>
      </w:tr>
      <w:tr w:rsidR="00775850" w:rsidRPr="005C3043" w14:paraId="0FC19FF8" w14:textId="77777777" w:rsidTr="002A2CEC">
        <w:tc>
          <w:tcPr>
            <w:tcW w:w="1615" w:type="dxa"/>
          </w:tcPr>
          <w:p w14:paraId="1031757E" w14:textId="77777777" w:rsidR="00775850" w:rsidRPr="002A2CEC" w:rsidRDefault="00775850" w:rsidP="00DC10CA">
            <w:pPr>
              <w:jc w:val="center"/>
              <w:rPr>
                <w:rFonts w:ascii="Times New Roman" w:hAnsi="Times New Roman" w:cs="Times New Roman"/>
                <w:sz w:val="22"/>
                <w:szCs w:val="22"/>
                <w:lang w:bidi="en-US"/>
              </w:rPr>
            </w:pPr>
            <w:r w:rsidRPr="002A2CEC">
              <w:rPr>
                <w:rFonts w:ascii="Times New Roman" w:hAnsi="Times New Roman" w:cs="Times New Roman"/>
                <w:sz w:val="22"/>
                <w:szCs w:val="22"/>
                <w:lang w:bidi="en-US"/>
              </w:rPr>
              <w:t>TaqMan Probe</w:t>
            </w:r>
          </w:p>
        </w:tc>
        <w:tc>
          <w:tcPr>
            <w:tcW w:w="4050" w:type="dxa"/>
          </w:tcPr>
          <w:p w14:paraId="54750DA2" w14:textId="77777777" w:rsidR="00775850" w:rsidRPr="002A2CEC" w:rsidRDefault="00775850" w:rsidP="00240E10">
            <w:pPr>
              <w:rPr>
                <w:rFonts w:ascii="Times New Roman" w:hAnsi="Times New Roman" w:cs="Times New Roman"/>
                <w:sz w:val="22"/>
                <w:szCs w:val="22"/>
                <w:lang w:bidi="en-US"/>
              </w:rPr>
            </w:pPr>
            <w:r w:rsidRPr="002A2CEC">
              <w:rPr>
                <w:rFonts w:ascii="Times New Roman" w:hAnsi="Times New Roman" w:cs="Times New Roman"/>
                <w:sz w:val="22"/>
                <w:szCs w:val="22"/>
                <w:lang w:bidi="en-US"/>
              </w:rPr>
              <w:t>TTGTTGGGGGTAGAGCTAAGTTGGT</w:t>
            </w:r>
          </w:p>
        </w:tc>
        <w:tc>
          <w:tcPr>
            <w:tcW w:w="1620" w:type="dxa"/>
          </w:tcPr>
          <w:p w14:paraId="2998ECCD" w14:textId="77777777" w:rsidR="00775850" w:rsidRPr="002A2CEC" w:rsidRDefault="00775850" w:rsidP="00240E10">
            <w:pPr>
              <w:rPr>
                <w:rFonts w:ascii="Times New Roman" w:hAnsi="Times New Roman" w:cs="Times New Roman"/>
                <w:sz w:val="22"/>
                <w:szCs w:val="22"/>
                <w:lang w:bidi="en-US"/>
              </w:rPr>
            </w:pPr>
            <w:r w:rsidRPr="002A2CEC">
              <w:rPr>
                <w:rFonts w:ascii="Times New Roman" w:hAnsi="Times New Roman" w:cs="Times New Roman"/>
                <w:sz w:val="22"/>
                <w:szCs w:val="22"/>
                <w:lang w:bidi="en-US"/>
              </w:rPr>
              <w:t>---</w:t>
            </w:r>
          </w:p>
        </w:tc>
        <w:tc>
          <w:tcPr>
            <w:tcW w:w="720" w:type="dxa"/>
          </w:tcPr>
          <w:p w14:paraId="6AC12BFE" w14:textId="77777777" w:rsidR="00775850" w:rsidRPr="002A2CEC" w:rsidRDefault="00775850" w:rsidP="00240E10">
            <w:pPr>
              <w:rPr>
                <w:rFonts w:ascii="Times New Roman" w:hAnsi="Times New Roman" w:cs="Times New Roman"/>
                <w:sz w:val="22"/>
                <w:szCs w:val="22"/>
                <w:lang w:bidi="en-US"/>
              </w:rPr>
            </w:pPr>
            <w:r w:rsidRPr="002A2CEC">
              <w:rPr>
                <w:rFonts w:ascii="Times New Roman" w:hAnsi="Times New Roman" w:cs="Times New Roman"/>
                <w:sz w:val="22"/>
                <w:szCs w:val="22"/>
                <w:lang w:bidi="en-US"/>
              </w:rPr>
              <w:t>64</w:t>
            </w:r>
          </w:p>
        </w:tc>
      </w:tr>
    </w:tbl>
    <w:p w14:paraId="6CF496E2" w14:textId="77777777" w:rsidR="00775850" w:rsidRPr="00A42976" w:rsidRDefault="00775850" w:rsidP="00154DC0">
      <w:pPr>
        <w:spacing w:line="480" w:lineRule="auto"/>
        <w:rPr>
          <w:rFonts w:ascii="Times New Roman" w:hAnsi="Times New Roman" w:cs="Times New Roman"/>
          <w:lang w:bidi="en-US"/>
        </w:rPr>
      </w:pPr>
    </w:p>
    <w:p w14:paraId="0A8339CF" w14:textId="77777777" w:rsidR="00240E10" w:rsidRPr="00A42976" w:rsidRDefault="00240E10" w:rsidP="00154DC0">
      <w:pPr>
        <w:spacing w:line="480" w:lineRule="auto"/>
        <w:rPr>
          <w:rFonts w:ascii="Times New Roman" w:hAnsi="Times New Roman" w:cs="Times New Roman"/>
          <w:i/>
          <w:lang w:bidi="en-US"/>
        </w:rPr>
      </w:pPr>
    </w:p>
    <w:p w14:paraId="1E812E06" w14:textId="77777777" w:rsidR="00240E10" w:rsidRPr="00A42976" w:rsidRDefault="00240E10" w:rsidP="00154DC0">
      <w:pPr>
        <w:spacing w:line="480" w:lineRule="auto"/>
        <w:rPr>
          <w:rFonts w:ascii="Times New Roman" w:hAnsi="Times New Roman" w:cs="Times New Roman"/>
          <w:i/>
          <w:lang w:bidi="en-US"/>
        </w:rPr>
      </w:pPr>
    </w:p>
    <w:p w14:paraId="1C1804B3" w14:textId="00A0A347" w:rsidR="00240E10" w:rsidRDefault="00240E10" w:rsidP="00154DC0">
      <w:pPr>
        <w:spacing w:line="480" w:lineRule="auto"/>
        <w:rPr>
          <w:rFonts w:ascii="Times New Roman" w:hAnsi="Times New Roman" w:cs="Times New Roman"/>
          <w:i/>
          <w:lang w:bidi="en-US"/>
        </w:rPr>
      </w:pPr>
    </w:p>
    <w:p w14:paraId="2DA49AB5" w14:textId="1ECFE946" w:rsidR="00784DB7" w:rsidRDefault="00784DB7" w:rsidP="00154DC0">
      <w:pPr>
        <w:spacing w:line="480" w:lineRule="auto"/>
        <w:rPr>
          <w:rFonts w:ascii="Times New Roman" w:hAnsi="Times New Roman" w:cs="Times New Roman"/>
          <w:i/>
          <w:lang w:bidi="en-US"/>
        </w:rPr>
      </w:pPr>
    </w:p>
    <w:p w14:paraId="2934E767" w14:textId="6D9E28C1" w:rsidR="00784DB7" w:rsidRDefault="00784DB7" w:rsidP="00154DC0">
      <w:pPr>
        <w:spacing w:line="480" w:lineRule="auto"/>
        <w:rPr>
          <w:rFonts w:ascii="Times New Roman" w:hAnsi="Times New Roman" w:cs="Times New Roman"/>
          <w:i/>
          <w:lang w:bidi="en-US"/>
        </w:rPr>
      </w:pPr>
    </w:p>
    <w:p w14:paraId="678E5D7F" w14:textId="5BA5D097" w:rsidR="00784DB7" w:rsidRDefault="00784DB7" w:rsidP="00154DC0">
      <w:pPr>
        <w:spacing w:line="480" w:lineRule="auto"/>
        <w:rPr>
          <w:rFonts w:ascii="Times New Roman" w:hAnsi="Times New Roman" w:cs="Times New Roman"/>
          <w:i/>
          <w:lang w:bidi="en-US"/>
        </w:rPr>
      </w:pPr>
    </w:p>
    <w:p w14:paraId="03400993" w14:textId="4ABC0247" w:rsidR="00784DB7" w:rsidRDefault="00784DB7" w:rsidP="00154DC0">
      <w:pPr>
        <w:spacing w:line="480" w:lineRule="auto"/>
        <w:rPr>
          <w:rFonts w:ascii="Times New Roman" w:hAnsi="Times New Roman" w:cs="Times New Roman"/>
          <w:i/>
          <w:lang w:bidi="en-US"/>
        </w:rPr>
      </w:pPr>
    </w:p>
    <w:p w14:paraId="29B02847" w14:textId="6605E509" w:rsidR="00784DB7" w:rsidRDefault="00784DB7" w:rsidP="00154DC0">
      <w:pPr>
        <w:spacing w:line="480" w:lineRule="auto"/>
        <w:rPr>
          <w:rFonts w:ascii="Times New Roman" w:hAnsi="Times New Roman" w:cs="Times New Roman"/>
          <w:i/>
          <w:lang w:bidi="en-US"/>
        </w:rPr>
      </w:pPr>
    </w:p>
    <w:p w14:paraId="0B3081C9" w14:textId="5EEFA4A1" w:rsidR="00784DB7" w:rsidRDefault="00784DB7" w:rsidP="00154DC0">
      <w:pPr>
        <w:spacing w:line="480" w:lineRule="auto"/>
        <w:rPr>
          <w:rFonts w:ascii="Times New Roman" w:hAnsi="Times New Roman" w:cs="Times New Roman"/>
          <w:i/>
          <w:lang w:bidi="en-US"/>
        </w:rPr>
      </w:pPr>
    </w:p>
    <w:p w14:paraId="2A8B9F90" w14:textId="49752071" w:rsidR="00784DB7" w:rsidRDefault="00784DB7" w:rsidP="00154DC0">
      <w:pPr>
        <w:spacing w:line="480" w:lineRule="auto"/>
        <w:rPr>
          <w:rFonts w:ascii="Times New Roman" w:hAnsi="Times New Roman" w:cs="Times New Roman"/>
          <w:i/>
          <w:lang w:bidi="en-US"/>
        </w:rPr>
      </w:pPr>
    </w:p>
    <w:p w14:paraId="2D6A73AE" w14:textId="67E4B1E0" w:rsidR="00784DB7" w:rsidRDefault="00784DB7" w:rsidP="00154DC0">
      <w:pPr>
        <w:spacing w:line="480" w:lineRule="auto"/>
        <w:rPr>
          <w:rFonts w:ascii="Times New Roman" w:hAnsi="Times New Roman" w:cs="Times New Roman"/>
          <w:i/>
          <w:lang w:bidi="en-US"/>
        </w:rPr>
      </w:pPr>
    </w:p>
    <w:p w14:paraId="4B88CC25" w14:textId="5A0C8540" w:rsidR="00784DB7" w:rsidRDefault="00784DB7" w:rsidP="00154DC0">
      <w:pPr>
        <w:spacing w:line="480" w:lineRule="auto"/>
        <w:rPr>
          <w:rFonts w:ascii="Times New Roman" w:hAnsi="Times New Roman" w:cs="Times New Roman"/>
          <w:i/>
          <w:lang w:bidi="en-US"/>
        </w:rPr>
      </w:pPr>
    </w:p>
    <w:p w14:paraId="2D60D1FA" w14:textId="7664229B" w:rsidR="00784DB7" w:rsidRDefault="00784DB7" w:rsidP="00154DC0">
      <w:pPr>
        <w:spacing w:line="480" w:lineRule="auto"/>
        <w:rPr>
          <w:rFonts w:ascii="Times New Roman" w:hAnsi="Times New Roman" w:cs="Times New Roman"/>
          <w:i/>
          <w:lang w:bidi="en-US"/>
        </w:rPr>
      </w:pPr>
    </w:p>
    <w:p w14:paraId="7A909CC0" w14:textId="18DA691D" w:rsidR="00784DB7" w:rsidRDefault="00784DB7" w:rsidP="00154DC0">
      <w:pPr>
        <w:spacing w:line="480" w:lineRule="auto"/>
        <w:rPr>
          <w:rFonts w:ascii="Times New Roman" w:hAnsi="Times New Roman" w:cs="Times New Roman"/>
          <w:i/>
          <w:lang w:bidi="en-US"/>
        </w:rPr>
      </w:pPr>
    </w:p>
    <w:p w14:paraId="0DFF3EA7" w14:textId="635BF2C3" w:rsidR="00784DB7" w:rsidRDefault="00784DB7" w:rsidP="00154DC0">
      <w:pPr>
        <w:spacing w:line="480" w:lineRule="auto"/>
        <w:rPr>
          <w:rFonts w:ascii="Times New Roman" w:hAnsi="Times New Roman" w:cs="Times New Roman"/>
          <w:i/>
          <w:lang w:bidi="en-US"/>
        </w:rPr>
      </w:pPr>
    </w:p>
    <w:p w14:paraId="597D042C" w14:textId="2C15E3F4" w:rsidR="002A2CEC" w:rsidRDefault="002A2CEC" w:rsidP="00154DC0">
      <w:pPr>
        <w:spacing w:line="480" w:lineRule="auto"/>
        <w:rPr>
          <w:rFonts w:ascii="Times New Roman" w:hAnsi="Times New Roman" w:cs="Times New Roman"/>
          <w:i/>
          <w:lang w:bidi="en-US"/>
        </w:rPr>
      </w:pPr>
    </w:p>
    <w:p w14:paraId="5ED6C48E" w14:textId="77777777" w:rsidR="002A2CEC" w:rsidRDefault="002A2CEC" w:rsidP="00154DC0">
      <w:pPr>
        <w:spacing w:line="480" w:lineRule="auto"/>
        <w:rPr>
          <w:rFonts w:ascii="Times New Roman" w:hAnsi="Times New Roman" w:cs="Times New Roman"/>
          <w:i/>
          <w:lang w:bidi="en-US"/>
        </w:rPr>
      </w:pPr>
    </w:p>
    <w:p w14:paraId="6F8C6600" w14:textId="77777777" w:rsidR="00276CE1" w:rsidRDefault="00276CE1" w:rsidP="00021AAA">
      <w:pPr>
        <w:spacing w:line="480" w:lineRule="auto"/>
        <w:ind w:firstLine="720"/>
        <w:jc w:val="both"/>
        <w:rPr>
          <w:rFonts w:ascii="Times New Roman" w:hAnsi="Times New Roman" w:cs="Times New Roman"/>
          <w:lang w:bidi="en-US"/>
        </w:rPr>
      </w:pPr>
    </w:p>
    <w:p w14:paraId="30BFB070" w14:textId="77777777" w:rsidR="00276CE1" w:rsidRDefault="00276CE1" w:rsidP="00021AAA">
      <w:pPr>
        <w:spacing w:line="480" w:lineRule="auto"/>
        <w:ind w:firstLine="720"/>
        <w:jc w:val="both"/>
        <w:rPr>
          <w:rFonts w:ascii="Times New Roman" w:hAnsi="Times New Roman" w:cs="Times New Roman"/>
          <w:lang w:bidi="en-US"/>
        </w:rPr>
      </w:pPr>
    </w:p>
    <w:p w14:paraId="1C833C34" w14:textId="39C51B9B" w:rsidR="00695799" w:rsidRPr="005C3043" w:rsidRDefault="00EA30D7" w:rsidP="00276CE1">
      <w:pPr>
        <w:pStyle w:val="Diss3"/>
        <w:rPr>
          <w:lang w:bidi="en-US"/>
        </w:rPr>
      </w:pPr>
      <w:bookmarkStart w:id="53" w:name="_Toc100072176"/>
      <w:r w:rsidRPr="005C3043">
        <w:rPr>
          <w:lang w:bidi="en-US"/>
        </w:rPr>
        <w:lastRenderedPageBreak/>
        <w:t>Germinal Vesicle and Metaphase II Comparison</w:t>
      </w:r>
      <w:bookmarkEnd w:id="53"/>
    </w:p>
    <w:p w14:paraId="76690136" w14:textId="33438716" w:rsidR="00EA30D7" w:rsidRPr="005C3043" w:rsidRDefault="00EA30D7" w:rsidP="00276CE1">
      <w:pPr>
        <w:pStyle w:val="Diss4"/>
      </w:pPr>
      <w:r w:rsidRPr="005C3043">
        <w:t>Oocyte Lysis and Division</w:t>
      </w:r>
    </w:p>
    <w:p w14:paraId="4D053870" w14:textId="4493E1FA" w:rsidR="00695799" w:rsidRPr="005C3043" w:rsidRDefault="00EA30D7" w:rsidP="00021AAA">
      <w:pPr>
        <w:spacing w:line="480" w:lineRule="auto"/>
        <w:ind w:firstLine="720"/>
        <w:jc w:val="both"/>
        <w:rPr>
          <w:rFonts w:ascii="Times New Roman" w:hAnsi="Times New Roman" w:cs="Times New Roman"/>
          <w:lang w:bidi="en-US"/>
        </w:rPr>
      </w:pPr>
      <w:r w:rsidRPr="005C3043">
        <w:rPr>
          <w:rFonts w:ascii="Times New Roman" w:hAnsi="Times New Roman" w:cs="Times New Roman"/>
          <w:lang w:bidi="en-US"/>
        </w:rPr>
        <w:t xml:space="preserve">Tubes containing single oocytes were centrifuged at 12,000 x g for 30 seconds at 4°C. Then, 8 </w:t>
      </w:r>
      <w:proofErr w:type="spellStart"/>
      <w:r w:rsidRPr="005C3043">
        <w:rPr>
          <w:rFonts w:ascii="Times New Roman" w:hAnsi="Times New Roman" w:cs="Times New Roman"/>
          <w:lang w:bidi="en-US"/>
        </w:rPr>
        <w:t>μl</w:t>
      </w:r>
      <w:proofErr w:type="spellEnd"/>
      <w:r w:rsidRPr="005C3043">
        <w:rPr>
          <w:rFonts w:ascii="Times New Roman" w:hAnsi="Times New Roman" w:cs="Times New Roman"/>
          <w:lang w:bidi="en-US"/>
        </w:rPr>
        <w:t xml:space="preserve"> 5</w:t>
      </w:r>
      <w:r w:rsidR="007957A4" w:rsidRPr="005C3043">
        <w:rPr>
          <w:rFonts w:ascii="Times New Roman" w:hAnsi="Times New Roman" w:cs="Times New Roman"/>
          <w:lang w:bidi="en-US"/>
        </w:rPr>
        <w:t xml:space="preserve"> </w:t>
      </w:r>
      <w:r w:rsidRPr="005C3043">
        <w:rPr>
          <w:rFonts w:ascii="Times New Roman" w:hAnsi="Times New Roman" w:cs="Times New Roman"/>
          <w:lang w:bidi="en-US"/>
        </w:rPr>
        <w:t xml:space="preserve">mM Tris – HCl was added to each sample and all samples were heated at 95°C for 10 minutes. Oocyte lysate was mixed thoroughly by pipetting and 5 </w:t>
      </w:r>
      <w:proofErr w:type="spellStart"/>
      <w:r w:rsidRPr="005C3043">
        <w:rPr>
          <w:rFonts w:ascii="Times New Roman" w:hAnsi="Times New Roman" w:cs="Times New Roman"/>
          <w:lang w:bidi="en-US"/>
        </w:rPr>
        <w:t>μl</w:t>
      </w:r>
      <w:proofErr w:type="spellEnd"/>
      <w:r w:rsidRPr="005C3043">
        <w:rPr>
          <w:rFonts w:ascii="Times New Roman" w:hAnsi="Times New Roman" w:cs="Times New Roman"/>
          <w:lang w:bidi="en-US"/>
        </w:rPr>
        <w:t xml:space="preserve"> of oocyte lysate was removed for ATP analysis (Figure </w:t>
      </w:r>
      <w:r w:rsidR="009A72EC" w:rsidRPr="005C3043">
        <w:rPr>
          <w:rFonts w:ascii="Times New Roman" w:hAnsi="Times New Roman" w:cs="Times New Roman"/>
          <w:lang w:bidi="en-US"/>
        </w:rPr>
        <w:t>6</w:t>
      </w:r>
      <w:r w:rsidRPr="005C3043">
        <w:rPr>
          <w:rFonts w:ascii="Times New Roman" w:hAnsi="Times New Roman" w:cs="Times New Roman"/>
          <w:lang w:bidi="en-US"/>
        </w:rPr>
        <w:t xml:space="preserve">). Thirteen microliters of proteinase K were added to the tubes with the remaining 5 </w:t>
      </w:r>
      <w:proofErr w:type="spellStart"/>
      <w:r w:rsidRPr="005C3043">
        <w:rPr>
          <w:rFonts w:ascii="Times New Roman" w:hAnsi="Times New Roman" w:cs="Times New Roman"/>
          <w:lang w:bidi="en-US"/>
        </w:rPr>
        <w:t>μl</w:t>
      </w:r>
      <w:proofErr w:type="spellEnd"/>
      <w:r w:rsidRPr="005C3043">
        <w:rPr>
          <w:rFonts w:ascii="Times New Roman" w:hAnsi="Times New Roman" w:cs="Times New Roman"/>
          <w:lang w:bidi="en-US"/>
        </w:rPr>
        <w:t xml:space="preserve"> of oocyte lysate to create a final concentration of 200 </w:t>
      </w:r>
      <w:proofErr w:type="spellStart"/>
      <w:r w:rsidRPr="005C3043">
        <w:rPr>
          <w:rFonts w:ascii="Times New Roman" w:hAnsi="Times New Roman" w:cs="Times New Roman"/>
          <w:lang w:bidi="en-US"/>
        </w:rPr>
        <w:t>μg</w:t>
      </w:r>
      <w:proofErr w:type="spellEnd"/>
      <w:r w:rsidRPr="005C3043">
        <w:rPr>
          <w:rFonts w:ascii="Times New Roman" w:hAnsi="Times New Roman" w:cs="Times New Roman"/>
          <w:lang w:bidi="en-US"/>
        </w:rPr>
        <w:t xml:space="preserve">/ml proteinase K. Tubes containing oocyte lysate + proteinase K were heated at 55°C for 30 minutes. Proteinase K was deactivated by re-heating at 95°C for 10 minutes. After deactivation, the lysate was used for qPCR analysis of mitochondrial DNA copy number (Figure </w:t>
      </w:r>
      <w:r w:rsidR="009A72EC" w:rsidRPr="005C3043">
        <w:rPr>
          <w:rFonts w:ascii="Times New Roman" w:hAnsi="Times New Roman" w:cs="Times New Roman"/>
          <w:lang w:bidi="en-US"/>
        </w:rPr>
        <w:t>6</w:t>
      </w:r>
      <w:r w:rsidRPr="005C3043">
        <w:rPr>
          <w:rFonts w:ascii="Times New Roman" w:hAnsi="Times New Roman" w:cs="Times New Roman"/>
          <w:lang w:bidi="en-US"/>
        </w:rPr>
        <w:t>).</w:t>
      </w:r>
    </w:p>
    <w:p w14:paraId="50297124" w14:textId="06E57419" w:rsidR="00EA30D7" w:rsidRPr="005C3043" w:rsidRDefault="00EA30D7" w:rsidP="00276CE1">
      <w:pPr>
        <w:pStyle w:val="Diss4"/>
      </w:pPr>
      <w:r w:rsidRPr="005C3043">
        <w:t>ATP Quantification</w:t>
      </w:r>
    </w:p>
    <w:p w14:paraId="5A1399E5" w14:textId="3F81F685" w:rsidR="00695799" w:rsidRPr="005C3043" w:rsidRDefault="00EA30D7" w:rsidP="00021AAA">
      <w:pPr>
        <w:spacing w:line="480" w:lineRule="auto"/>
        <w:ind w:firstLine="720"/>
        <w:jc w:val="both"/>
        <w:rPr>
          <w:rFonts w:ascii="Times New Roman" w:hAnsi="Times New Roman" w:cs="Times New Roman"/>
          <w:lang w:bidi="en-US"/>
        </w:rPr>
      </w:pPr>
      <w:r w:rsidRPr="005C3043">
        <w:rPr>
          <w:rFonts w:ascii="Times New Roman" w:hAnsi="Times New Roman" w:cs="Times New Roman"/>
        </w:rPr>
        <w:t xml:space="preserve">The initial 5 </w:t>
      </w:r>
      <w:proofErr w:type="spellStart"/>
      <w:r w:rsidRPr="005C3043">
        <w:rPr>
          <w:rFonts w:ascii="Times New Roman" w:hAnsi="Times New Roman" w:cs="Times New Roman"/>
        </w:rPr>
        <w:t>μl</w:t>
      </w:r>
      <w:proofErr w:type="spellEnd"/>
      <w:r w:rsidRPr="005C3043">
        <w:rPr>
          <w:rFonts w:ascii="Times New Roman" w:hAnsi="Times New Roman" w:cs="Times New Roman"/>
        </w:rPr>
        <w:t xml:space="preserve"> of oocyte lysate (collected before proteinase K addition) was diluted with nuclease free water to a total volume of 20 </w:t>
      </w:r>
      <w:proofErr w:type="spellStart"/>
      <w:r w:rsidRPr="005C3043">
        <w:rPr>
          <w:rFonts w:ascii="Times New Roman" w:hAnsi="Times New Roman" w:cs="Times New Roman"/>
        </w:rPr>
        <w:t>μl</w:t>
      </w:r>
      <w:proofErr w:type="spellEnd"/>
      <w:r w:rsidRPr="005C3043">
        <w:rPr>
          <w:rFonts w:ascii="Times New Roman" w:hAnsi="Times New Roman" w:cs="Times New Roman"/>
        </w:rPr>
        <w:t xml:space="preserve"> which was then divided into two, 10 </w:t>
      </w:r>
      <w:proofErr w:type="spellStart"/>
      <w:r w:rsidRPr="005C3043">
        <w:rPr>
          <w:rFonts w:ascii="Times New Roman" w:hAnsi="Times New Roman" w:cs="Times New Roman"/>
        </w:rPr>
        <w:t>μl</w:t>
      </w:r>
      <w:proofErr w:type="spellEnd"/>
      <w:r w:rsidRPr="005C3043">
        <w:rPr>
          <w:rFonts w:ascii="Times New Roman" w:hAnsi="Times New Roman" w:cs="Times New Roman"/>
        </w:rPr>
        <w:t xml:space="preserve"> aliquots to perform ATP quantification in duplicate (Figure </w:t>
      </w:r>
      <w:r w:rsidR="009A72EC" w:rsidRPr="005C3043">
        <w:rPr>
          <w:rFonts w:ascii="Times New Roman" w:hAnsi="Times New Roman" w:cs="Times New Roman"/>
        </w:rPr>
        <w:t>6</w:t>
      </w:r>
      <w:r w:rsidRPr="005C3043">
        <w:rPr>
          <w:rFonts w:ascii="Times New Roman" w:hAnsi="Times New Roman" w:cs="Times New Roman"/>
        </w:rPr>
        <w:t>). Standards were generated via dilution of the kit-included 5</w:t>
      </w:r>
      <w:r w:rsidR="007957A4" w:rsidRPr="005C3043">
        <w:rPr>
          <w:rFonts w:ascii="Times New Roman" w:hAnsi="Times New Roman" w:cs="Times New Roman"/>
        </w:rPr>
        <w:t xml:space="preserve"> </w:t>
      </w:r>
      <w:r w:rsidRPr="005C3043">
        <w:rPr>
          <w:rFonts w:ascii="Times New Roman" w:hAnsi="Times New Roman" w:cs="Times New Roman"/>
        </w:rPr>
        <w:t>mM ATP substrate (0.5</w:t>
      </w:r>
      <w:r w:rsidR="007957A4" w:rsidRPr="005C3043">
        <w:rPr>
          <w:rFonts w:ascii="Times New Roman" w:hAnsi="Times New Roman" w:cs="Times New Roman"/>
        </w:rPr>
        <w:t xml:space="preserve"> </w:t>
      </w:r>
      <w:proofErr w:type="spellStart"/>
      <w:r w:rsidRPr="005C3043">
        <w:rPr>
          <w:rFonts w:ascii="Times New Roman" w:hAnsi="Times New Roman" w:cs="Times New Roman"/>
        </w:rPr>
        <w:t>μM</w:t>
      </w:r>
      <w:proofErr w:type="spellEnd"/>
      <w:r w:rsidRPr="005C3043">
        <w:rPr>
          <w:rFonts w:ascii="Times New Roman" w:hAnsi="Times New Roman" w:cs="Times New Roman"/>
        </w:rPr>
        <w:t>, 0.05</w:t>
      </w:r>
      <w:r w:rsidR="007957A4" w:rsidRPr="005C3043">
        <w:rPr>
          <w:rFonts w:ascii="Times New Roman" w:hAnsi="Times New Roman" w:cs="Times New Roman"/>
        </w:rPr>
        <w:t xml:space="preserve"> </w:t>
      </w:r>
      <w:proofErr w:type="spellStart"/>
      <w:r w:rsidRPr="005C3043">
        <w:rPr>
          <w:rFonts w:ascii="Times New Roman" w:hAnsi="Times New Roman" w:cs="Times New Roman"/>
        </w:rPr>
        <w:t>μM</w:t>
      </w:r>
      <w:proofErr w:type="spellEnd"/>
      <w:r w:rsidRPr="005C3043">
        <w:rPr>
          <w:rFonts w:ascii="Times New Roman" w:hAnsi="Times New Roman" w:cs="Times New Roman"/>
        </w:rPr>
        <w:t>, 0.025</w:t>
      </w:r>
      <w:r w:rsidR="007957A4" w:rsidRPr="005C3043">
        <w:rPr>
          <w:rFonts w:ascii="Times New Roman" w:hAnsi="Times New Roman" w:cs="Times New Roman"/>
        </w:rPr>
        <w:t xml:space="preserve"> </w:t>
      </w:r>
      <w:proofErr w:type="spellStart"/>
      <w:r w:rsidRPr="005C3043">
        <w:rPr>
          <w:rFonts w:ascii="Times New Roman" w:hAnsi="Times New Roman" w:cs="Times New Roman"/>
        </w:rPr>
        <w:t>μM</w:t>
      </w:r>
      <w:proofErr w:type="spellEnd"/>
      <w:r w:rsidRPr="005C3043">
        <w:rPr>
          <w:rFonts w:ascii="Times New Roman" w:hAnsi="Times New Roman" w:cs="Times New Roman"/>
        </w:rPr>
        <w:t>, 0.005</w:t>
      </w:r>
      <w:r w:rsidR="007957A4" w:rsidRPr="005C3043">
        <w:rPr>
          <w:rFonts w:ascii="Times New Roman" w:hAnsi="Times New Roman" w:cs="Times New Roman"/>
        </w:rPr>
        <w:t xml:space="preserve"> </w:t>
      </w:r>
      <w:proofErr w:type="spellStart"/>
      <w:r w:rsidRPr="005C3043">
        <w:rPr>
          <w:rFonts w:ascii="Times New Roman" w:hAnsi="Times New Roman" w:cs="Times New Roman"/>
        </w:rPr>
        <w:t>μM</w:t>
      </w:r>
      <w:proofErr w:type="spellEnd"/>
      <w:r w:rsidRPr="005C3043">
        <w:rPr>
          <w:rFonts w:ascii="Times New Roman" w:hAnsi="Times New Roman" w:cs="Times New Roman"/>
        </w:rPr>
        <w:t>, 0.0025</w:t>
      </w:r>
      <w:r w:rsidR="007957A4" w:rsidRPr="005C3043">
        <w:rPr>
          <w:rFonts w:ascii="Times New Roman" w:hAnsi="Times New Roman" w:cs="Times New Roman"/>
        </w:rPr>
        <w:t xml:space="preserve"> </w:t>
      </w:r>
      <w:proofErr w:type="spellStart"/>
      <w:r w:rsidRPr="005C3043">
        <w:rPr>
          <w:rFonts w:ascii="Times New Roman" w:hAnsi="Times New Roman" w:cs="Times New Roman"/>
        </w:rPr>
        <w:t>μM</w:t>
      </w:r>
      <w:proofErr w:type="spellEnd"/>
      <w:r w:rsidRPr="005C3043">
        <w:rPr>
          <w:rFonts w:ascii="Times New Roman" w:hAnsi="Times New Roman" w:cs="Times New Roman"/>
        </w:rPr>
        <w:t xml:space="preserve">). Samples and standards were processed using the ATP determination kit (Life Technologies; Carlsbad, CA) as described above. Luminescence values of standards were used to generate a standard curve. The standard curve was used to quantify ATP concentration in each one quarter oocyte equivalent based on the average value of the duplicates assayed for each sample. Oocyte ATP values were then converted to weight using the molarity calculator by GraphPad with the following settings: concentration = </w:t>
      </w:r>
      <w:r w:rsidRPr="005C3043">
        <w:rPr>
          <w:rFonts w:ascii="Times New Roman" w:hAnsi="Times New Roman" w:cs="Times New Roman"/>
        </w:rPr>
        <w:lastRenderedPageBreak/>
        <w:t xml:space="preserve">micromolar, ATP formula weight = 507.18, volume = 10μl. </w:t>
      </w:r>
      <w:r w:rsidRPr="005C3043">
        <w:rPr>
          <w:rFonts w:ascii="Times New Roman" w:hAnsi="Times New Roman" w:cs="Times New Roman"/>
          <w:lang w:bidi="en-US"/>
        </w:rPr>
        <w:t xml:space="preserve">The result was then multiplied by four because the 10μl samples used for the ATP concentration assay represented one fourth of an oocyte. </w:t>
      </w:r>
    </w:p>
    <w:p w14:paraId="66B30A0B" w14:textId="41C3C547" w:rsidR="00EA30D7" w:rsidRPr="005C3043" w:rsidRDefault="00EA30D7" w:rsidP="00276CE1">
      <w:pPr>
        <w:pStyle w:val="Diss4"/>
      </w:pPr>
      <w:proofErr w:type="spellStart"/>
      <w:r w:rsidRPr="005C3043">
        <w:t>mtDNA</w:t>
      </w:r>
      <w:proofErr w:type="spellEnd"/>
      <w:r w:rsidRPr="005C3043">
        <w:t xml:space="preserve"> Standard Preparation </w:t>
      </w:r>
    </w:p>
    <w:p w14:paraId="3816E6AD" w14:textId="740A4EF3" w:rsidR="00064157" w:rsidRPr="005C3043" w:rsidRDefault="00EA30D7" w:rsidP="00021AAA">
      <w:pPr>
        <w:spacing w:line="480" w:lineRule="auto"/>
        <w:ind w:firstLine="720"/>
        <w:jc w:val="both"/>
        <w:rPr>
          <w:rFonts w:ascii="Times New Roman" w:hAnsi="Times New Roman" w:cs="Times New Roman"/>
        </w:rPr>
      </w:pPr>
      <w:r w:rsidRPr="005C3043">
        <w:rPr>
          <w:rFonts w:ascii="Times New Roman" w:hAnsi="Times New Roman" w:cs="Times New Roman"/>
        </w:rPr>
        <w:t xml:space="preserve">A group of five oocytes with a homogenous cytoplasm and 3-5 layers of cumulus cells were denuded and snap frozen in 2 </w:t>
      </w:r>
      <w:proofErr w:type="spellStart"/>
      <w:r w:rsidRPr="005C3043">
        <w:rPr>
          <w:rFonts w:ascii="Times New Roman" w:hAnsi="Times New Roman" w:cs="Times New Roman"/>
        </w:rPr>
        <w:t>μl</w:t>
      </w:r>
      <w:proofErr w:type="spellEnd"/>
      <w:r w:rsidRPr="005C3043">
        <w:rPr>
          <w:rFonts w:ascii="Times New Roman" w:hAnsi="Times New Roman" w:cs="Times New Roman"/>
        </w:rPr>
        <w:t xml:space="preserve"> of PBS. They were then lysed as previously described. The oocyte lysate was then combined with 12.5 </w:t>
      </w:r>
      <w:proofErr w:type="spellStart"/>
      <w:r w:rsidRPr="005C3043">
        <w:rPr>
          <w:rFonts w:ascii="Times New Roman" w:hAnsi="Times New Roman" w:cs="Times New Roman"/>
        </w:rPr>
        <w:t>μl</w:t>
      </w:r>
      <w:proofErr w:type="spellEnd"/>
      <w:r w:rsidRPr="005C3043">
        <w:rPr>
          <w:rFonts w:ascii="Times New Roman" w:hAnsi="Times New Roman" w:cs="Times New Roman"/>
        </w:rPr>
        <w:t xml:space="preserve"> of </w:t>
      </w:r>
      <w:proofErr w:type="spellStart"/>
      <w:r w:rsidRPr="005C3043">
        <w:rPr>
          <w:rFonts w:ascii="Times New Roman" w:hAnsi="Times New Roman" w:cs="Times New Roman"/>
        </w:rPr>
        <w:t>Accustart</w:t>
      </w:r>
      <w:proofErr w:type="spellEnd"/>
      <w:r w:rsidRPr="005C3043">
        <w:rPr>
          <w:rFonts w:ascii="Times New Roman" w:hAnsi="Times New Roman" w:cs="Times New Roman"/>
        </w:rPr>
        <w:t xml:space="preserve"> II PCR </w:t>
      </w:r>
      <w:proofErr w:type="spellStart"/>
      <w:r w:rsidRPr="005C3043">
        <w:rPr>
          <w:rFonts w:ascii="Times New Roman" w:hAnsi="Times New Roman" w:cs="Times New Roman"/>
        </w:rPr>
        <w:t>SuperMix</w:t>
      </w:r>
      <w:proofErr w:type="spellEnd"/>
      <w:r w:rsidRPr="005C3043">
        <w:rPr>
          <w:rFonts w:ascii="Times New Roman" w:hAnsi="Times New Roman" w:cs="Times New Roman"/>
        </w:rPr>
        <w:t xml:space="preserve"> (2X; </w:t>
      </w:r>
      <w:proofErr w:type="spellStart"/>
      <w:r w:rsidRPr="005C3043">
        <w:rPr>
          <w:rFonts w:ascii="Times New Roman" w:hAnsi="Times New Roman" w:cs="Times New Roman"/>
        </w:rPr>
        <w:t>Quantabio</w:t>
      </w:r>
      <w:proofErr w:type="spellEnd"/>
      <w:r w:rsidRPr="005C3043">
        <w:rPr>
          <w:rFonts w:ascii="Times New Roman" w:hAnsi="Times New Roman" w:cs="Times New Roman"/>
        </w:rPr>
        <w:t xml:space="preserve">, Beverly, MA), 0.5 </w:t>
      </w:r>
      <w:proofErr w:type="spellStart"/>
      <w:r w:rsidRPr="005C3043">
        <w:rPr>
          <w:rFonts w:ascii="Times New Roman" w:hAnsi="Times New Roman" w:cs="Times New Roman"/>
        </w:rPr>
        <w:t>μl</w:t>
      </w:r>
      <w:proofErr w:type="spellEnd"/>
      <w:r w:rsidRPr="005C3043">
        <w:rPr>
          <w:rFonts w:ascii="Times New Roman" w:hAnsi="Times New Roman" w:cs="Times New Roman"/>
        </w:rPr>
        <w:t xml:space="preserve"> of 5 </w:t>
      </w:r>
      <w:proofErr w:type="spellStart"/>
      <w:r w:rsidRPr="005C3043">
        <w:rPr>
          <w:rFonts w:ascii="Times New Roman" w:hAnsi="Times New Roman" w:cs="Times New Roman"/>
        </w:rPr>
        <w:t>μm</w:t>
      </w:r>
      <w:proofErr w:type="spellEnd"/>
      <w:r w:rsidRPr="005C3043">
        <w:rPr>
          <w:rFonts w:ascii="Times New Roman" w:hAnsi="Times New Roman" w:cs="Times New Roman"/>
        </w:rPr>
        <w:t xml:space="preserve"> forward primer, and 0.5 </w:t>
      </w:r>
      <w:proofErr w:type="spellStart"/>
      <w:r w:rsidRPr="005C3043">
        <w:rPr>
          <w:rFonts w:ascii="Times New Roman" w:hAnsi="Times New Roman" w:cs="Times New Roman"/>
        </w:rPr>
        <w:t>μl</w:t>
      </w:r>
      <w:proofErr w:type="spellEnd"/>
      <w:r w:rsidRPr="005C3043">
        <w:rPr>
          <w:rFonts w:ascii="Times New Roman" w:hAnsi="Times New Roman" w:cs="Times New Roman"/>
        </w:rPr>
        <w:t xml:space="preserve"> of 5 </w:t>
      </w:r>
      <w:proofErr w:type="spellStart"/>
      <w:r w:rsidRPr="005C3043">
        <w:rPr>
          <w:rFonts w:ascii="Times New Roman" w:hAnsi="Times New Roman" w:cs="Times New Roman"/>
        </w:rPr>
        <w:t>μm</w:t>
      </w:r>
      <w:proofErr w:type="spellEnd"/>
      <w:r w:rsidRPr="005C3043">
        <w:rPr>
          <w:rFonts w:ascii="Times New Roman" w:hAnsi="Times New Roman" w:cs="Times New Roman"/>
        </w:rPr>
        <w:t xml:space="preserve"> reverse primer (Table </w:t>
      </w:r>
      <w:r w:rsidR="009A72EC" w:rsidRPr="005C3043">
        <w:rPr>
          <w:rFonts w:ascii="Times New Roman" w:hAnsi="Times New Roman" w:cs="Times New Roman"/>
        </w:rPr>
        <w:t>2</w:t>
      </w:r>
      <w:r w:rsidRPr="005C3043">
        <w:rPr>
          <w:rFonts w:ascii="Times New Roman" w:hAnsi="Times New Roman" w:cs="Times New Roman"/>
        </w:rPr>
        <w:t xml:space="preserve">) for a final volume of 25 </w:t>
      </w:r>
      <w:proofErr w:type="spellStart"/>
      <w:r w:rsidRPr="005C3043">
        <w:rPr>
          <w:rFonts w:ascii="Times New Roman" w:hAnsi="Times New Roman" w:cs="Times New Roman"/>
        </w:rPr>
        <w:t>μl</w:t>
      </w:r>
      <w:proofErr w:type="spellEnd"/>
      <w:r w:rsidRPr="005C3043">
        <w:rPr>
          <w:rFonts w:ascii="Times New Roman" w:hAnsi="Times New Roman" w:cs="Times New Roman"/>
        </w:rPr>
        <w:t xml:space="preserve">. Cycling conditions of 2 minutes at 94°C followed by 40 cycles of 10 seconds at 94°C, 15 seconds at 57°C, and 12 seconds at 72°C were used. The PCR product was further processed through electrophoresis on a 1.5% agarose gel. The resulting band was located at ~ 183 base pairs, indicating that it was the correct PCR product. The band was then excised from the gel, and the PCR product was purified from the gel using the </w:t>
      </w:r>
      <w:proofErr w:type="spellStart"/>
      <w:r w:rsidRPr="005C3043">
        <w:rPr>
          <w:rFonts w:ascii="Times New Roman" w:hAnsi="Times New Roman" w:cs="Times New Roman"/>
        </w:rPr>
        <w:t>Zymoclean</w:t>
      </w:r>
      <w:proofErr w:type="spellEnd"/>
      <w:r w:rsidRPr="005C3043">
        <w:rPr>
          <w:rFonts w:ascii="Times New Roman" w:hAnsi="Times New Roman" w:cs="Times New Roman"/>
        </w:rPr>
        <w:t>™ Gel DNA Recovery kit (</w:t>
      </w:r>
      <w:proofErr w:type="spellStart"/>
      <w:r w:rsidRPr="005C3043">
        <w:rPr>
          <w:rFonts w:ascii="Times New Roman" w:hAnsi="Times New Roman" w:cs="Times New Roman"/>
        </w:rPr>
        <w:t>Zymo</w:t>
      </w:r>
      <w:proofErr w:type="spellEnd"/>
      <w:r w:rsidRPr="005C3043">
        <w:rPr>
          <w:rFonts w:ascii="Times New Roman" w:hAnsi="Times New Roman" w:cs="Times New Roman"/>
        </w:rPr>
        <w:t xml:space="preserve"> Research, Irvine, CA). DNA concentration of the final eluate was determined using the Qubit™ dsDNA High Sensitivity Assay Kit (</w:t>
      </w:r>
      <w:proofErr w:type="spellStart"/>
      <w:r w:rsidRPr="005C3043">
        <w:rPr>
          <w:rFonts w:ascii="Times New Roman" w:hAnsi="Times New Roman" w:cs="Times New Roman"/>
        </w:rPr>
        <w:t>ThermoFisher</w:t>
      </w:r>
      <w:proofErr w:type="spellEnd"/>
      <w:r w:rsidRPr="005C3043">
        <w:rPr>
          <w:rFonts w:ascii="Times New Roman" w:hAnsi="Times New Roman" w:cs="Times New Roman"/>
        </w:rPr>
        <w:t xml:space="preserve"> Scientific, Waltham, MA), and purity was determined using 260/280 ratios measured on a </w:t>
      </w:r>
      <w:proofErr w:type="spellStart"/>
      <w:r w:rsidRPr="005C3043">
        <w:rPr>
          <w:rFonts w:ascii="Times New Roman" w:hAnsi="Times New Roman" w:cs="Times New Roman"/>
        </w:rPr>
        <w:t>NanoDrop</w:t>
      </w:r>
      <w:proofErr w:type="spellEnd"/>
      <w:r w:rsidRPr="005C3043">
        <w:rPr>
          <w:rFonts w:ascii="Times New Roman" w:hAnsi="Times New Roman" w:cs="Times New Roman"/>
        </w:rPr>
        <w:t xml:space="preserve"> spectrophotometer. Number of mitochondrial DNA copies per microliter was calculated from the DNA concentration of the eluate and the molecular weight of the PCR product. The eluate was first diluted 1:1000 before being further diluted to create a standard curve ranging from 10 copies to 1,000,000 copies of the mitochondrial DNA segment per 9μl. The amplification </w:t>
      </w:r>
      <w:r w:rsidRPr="005C3043">
        <w:rPr>
          <w:rFonts w:ascii="Times New Roman" w:hAnsi="Times New Roman" w:cs="Times New Roman"/>
        </w:rPr>
        <w:lastRenderedPageBreak/>
        <w:t xml:space="preserve">efficiency of the standard curve was calculated using the qPCR efficiency calculator from </w:t>
      </w:r>
      <w:proofErr w:type="spellStart"/>
      <w:r w:rsidRPr="005C3043">
        <w:rPr>
          <w:rFonts w:ascii="Times New Roman" w:hAnsi="Times New Roman" w:cs="Times New Roman"/>
        </w:rPr>
        <w:t>ThermoFisher</w:t>
      </w:r>
      <w:proofErr w:type="spellEnd"/>
      <w:r w:rsidRPr="005C3043">
        <w:rPr>
          <w:rFonts w:ascii="Times New Roman" w:hAnsi="Times New Roman" w:cs="Times New Roman"/>
        </w:rPr>
        <w:t xml:space="preserve">. </w:t>
      </w:r>
    </w:p>
    <w:p w14:paraId="50C807CE" w14:textId="77777777" w:rsidR="00064157" w:rsidRPr="00DA712E" w:rsidRDefault="00EA30D7" w:rsidP="00276CE1">
      <w:pPr>
        <w:pStyle w:val="Diss4"/>
      </w:pPr>
      <w:proofErr w:type="spellStart"/>
      <w:r w:rsidRPr="00DA712E">
        <w:t>mtDNA</w:t>
      </w:r>
      <w:proofErr w:type="spellEnd"/>
      <w:r w:rsidRPr="00DA712E">
        <w:t xml:space="preserve"> Copy Number Quantification </w:t>
      </w:r>
    </w:p>
    <w:p w14:paraId="5B412DAD" w14:textId="11475B6B" w:rsidR="00064157" w:rsidRDefault="00EA30D7" w:rsidP="00021AAA">
      <w:pPr>
        <w:spacing w:line="480" w:lineRule="auto"/>
        <w:ind w:firstLine="720"/>
        <w:jc w:val="both"/>
        <w:rPr>
          <w:rFonts w:ascii="Times New Roman" w:hAnsi="Times New Roman" w:cs="Times New Roman"/>
        </w:rPr>
      </w:pPr>
      <w:r w:rsidRPr="00DA712E">
        <w:rPr>
          <w:rFonts w:ascii="Times New Roman" w:hAnsi="Times New Roman" w:cs="Times New Roman"/>
        </w:rPr>
        <w:t xml:space="preserve">The 18 </w:t>
      </w:r>
      <w:proofErr w:type="spellStart"/>
      <w:r w:rsidRPr="00DA712E">
        <w:rPr>
          <w:rFonts w:ascii="Times New Roman" w:hAnsi="Times New Roman" w:cs="Times New Roman"/>
        </w:rPr>
        <w:t>μl</w:t>
      </w:r>
      <w:proofErr w:type="spellEnd"/>
      <w:r w:rsidRPr="00DA712E">
        <w:rPr>
          <w:rFonts w:ascii="Times New Roman" w:hAnsi="Times New Roman" w:cs="Times New Roman"/>
        </w:rPr>
        <w:t xml:space="preserve"> portion of oocyte lysate and inactivated proteinase K were divided into two, 9 </w:t>
      </w:r>
      <w:proofErr w:type="spellStart"/>
      <w:r w:rsidRPr="00DA712E">
        <w:rPr>
          <w:rFonts w:ascii="Times New Roman" w:hAnsi="Times New Roman" w:cs="Times New Roman"/>
        </w:rPr>
        <w:t>μl</w:t>
      </w:r>
      <w:proofErr w:type="spellEnd"/>
      <w:r w:rsidRPr="00DF5C47">
        <w:rPr>
          <w:rFonts w:ascii="Times New Roman" w:hAnsi="Times New Roman" w:cs="Times New Roman"/>
        </w:rPr>
        <w:t xml:space="preserve"> aliquots and quantitative PCR (qPCR) was performed in duplicate using our custom TaqMan primers and probe (Table </w:t>
      </w:r>
      <w:r w:rsidR="009A72EC" w:rsidRPr="00784DB7">
        <w:rPr>
          <w:rFonts w:ascii="Times New Roman" w:hAnsi="Times New Roman" w:cs="Times New Roman"/>
        </w:rPr>
        <w:t>2</w:t>
      </w:r>
      <w:r w:rsidRPr="00784DB7">
        <w:rPr>
          <w:rFonts w:ascii="Times New Roman" w:hAnsi="Times New Roman" w:cs="Times New Roman"/>
        </w:rPr>
        <w:t xml:space="preserve">). The standards of known </w:t>
      </w:r>
      <w:proofErr w:type="spellStart"/>
      <w:r w:rsidRPr="00784DB7">
        <w:rPr>
          <w:rFonts w:ascii="Times New Roman" w:hAnsi="Times New Roman" w:cs="Times New Roman"/>
        </w:rPr>
        <w:t>mtDNA</w:t>
      </w:r>
      <w:proofErr w:type="spellEnd"/>
      <w:r w:rsidRPr="00784DB7">
        <w:rPr>
          <w:rFonts w:ascii="Times New Roman" w:hAnsi="Times New Roman" w:cs="Times New Roman"/>
        </w:rPr>
        <w:t xml:space="preserve"> copy number (described above) were included during each assay. Nine microliters of sample or standard was combined with 1μl of the custom TaqMan primer/probe mix and 10μl Fast Advanced Master Mix (</w:t>
      </w:r>
      <w:proofErr w:type="spellStart"/>
      <w:r w:rsidRPr="00784DB7">
        <w:rPr>
          <w:rFonts w:ascii="Times New Roman" w:hAnsi="Times New Roman" w:cs="Times New Roman"/>
        </w:rPr>
        <w:t>ThermoFisher</w:t>
      </w:r>
      <w:proofErr w:type="spellEnd"/>
      <w:r w:rsidRPr="00784DB7">
        <w:rPr>
          <w:rFonts w:ascii="Times New Roman" w:hAnsi="Times New Roman" w:cs="Times New Roman"/>
        </w:rPr>
        <w:t xml:space="preserve"> Scientific, Walt</w:t>
      </w:r>
      <w:r w:rsidRPr="008A0FF0">
        <w:rPr>
          <w:rFonts w:ascii="Times New Roman" w:hAnsi="Times New Roman" w:cs="Times New Roman"/>
        </w:rPr>
        <w:t xml:space="preserve">ham, MA) in a </w:t>
      </w:r>
      <w:proofErr w:type="spellStart"/>
      <w:r w:rsidRPr="008A0FF0">
        <w:rPr>
          <w:rFonts w:ascii="Times New Roman" w:hAnsi="Times New Roman" w:cs="Times New Roman"/>
        </w:rPr>
        <w:t>MicroAmp</w:t>
      </w:r>
      <w:proofErr w:type="spellEnd"/>
      <w:r w:rsidRPr="008A0FF0">
        <w:rPr>
          <w:rFonts w:ascii="Times New Roman" w:hAnsi="Times New Roman" w:cs="Times New Roman"/>
        </w:rPr>
        <w:t xml:space="preserve">® Fast 96-well Reaction Plate (0.1mL, </w:t>
      </w:r>
      <w:proofErr w:type="spellStart"/>
      <w:r w:rsidRPr="008A0FF0">
        <w:rPr>
          <w:rFonts w:ascii="Times New Roman" w:hAnsi="Times New Roman" w:cs="Times New Roman"/>
        </w:rPr>
        <w:t>ThermoFisher</w:t>
      </w:r>
      <w:proofErr w:type="spellEnd"/>
      <w:r w:rsidRPr="008A0FF0">
        <w:rPr>
          <w:rFonts w:ascii="Times New Roman" w:hAnsi="Times New Roman" w:cs="Times New Roman"/>
        </w:rPr>
        <w:t xml:space="preserve"> Scientific, Waltham, MA). The PCR settings were as follows: 2 minutes at 94°C followed by 40 cycles of 10 seconds at 94°C, 15 seconds at 57°C, and 12 seconds at 72°C (QuantStudio3, </w:t>
      </w:r>
      <w:proofErr w:type="spellStart"/>
      <w:r w:rsidRPr="008A0FF0">
        <w:rPr>
          <w:rFonts w:ascii="Times New Roman" w:hAnsi="Times New Roman" w:cs="Times New Roman"/>
        </w:rPr>
        <w:t>ThermoFisher</w:t>
      </w:r>
      <w:proofErr w:type="spellEnd"/>
      <w:r w:rsidRPr="008A0FF0">
        <w:rPr>
          <w:rFonts w:ascii="Times New Roman" w:hAnsi="Times New Roman" w:cs="Times New Roman"/>
        </w:rPr>
        <w:t xml:space="preserve"> Scientific, Waltham, MA). Average cycle threshold (CT) values were calculated and compared to those obtained from the standard curve to determine </w:t>
      </w:r>
      <w:proofErr w:type="spellStart"/>
      <w:r w:rsidRPr="008A0FF0">
        <w:rPr>
          <w:rFonts w:ascii="Times New Roman" w:hAnsi="Times New Roman" w:cs="Times New Roman"/>
        </w:rPr>
        <w:t>mtDNA</w:t>
      </w:r>
      <w:proofErr w:type="spellEnd"/>
      <w:r w:rsidRPr="008A0FF0">
        <w:rPr>
          <w:rFonts w:ascii="Times New Roman" w:hAnsi="Times New Roman" w:cs="Times New Roman"/>
        </w:rPr>
        <w:t xml:space="preserve"> copy numbers. </w:t>
      </w:r>
    </w:p>
    <w:p w14:paraId="61DCC361" w14:textId="77777777" w:rsidR="00412E33" w:rsidRPr="00276CE1" w:rsidRDefault="00412E33" w:rsidP="00412E33">
      <w:pPr>
        <w:pStyle w:val="Diss3"/>
      </w:pPr>
      <w:bookmarkStart w:id="54" w:name="_Toc100072177"/>
      <w:r w:rsidRPr="00276CE1">
        <w:t>Statistics and Analyses</w:t>
      </w:r>
      <w:bookmarkEnd w:id="54"/>
    </w:p>
    <w:p w14:paraId="798ACE0B" w14:textId="0B7A23C5" w:rsidR="00412E33" w:rsidRPr="00860AE9" w:rsidRDefault="00412E33" w:rsidP="00412E33">
      <w:pPr>
        <w:spacing w:line="480" w:lineRule="auto"/>
        <w:ind w:firstLine="720"/>
        <w:jc w:val="both"/>
        <w:rPr>
          <w:rFonts w:ascii="Times New Roman" w:hAnsi="Times New Roman" w:cs="Times New Roman"/>
        </w:rPr>
      </w:pPr>
      <w:r w:rsidRPr="00C87A3E">
        <w:rPr>
          <w:rFonts w:ascii="Times New Roman" w:hAnsi="Times New Roman" w:cs="Times New Roman"/>
        </w:rPr>
        <w:t xml:space="preserve">All statistical analyses were performed in R software </w:t>
      </w:r>
      <w:r w:rsidRPr="00DC10CA">
        <w:rPr>
          <w:rFonts w:ascii="Times New Roman" w:hAnsi="Times New Roman" w:cs="Times New Roman"/>
        </w:rPr>
        <w:t>(R Core Team, 2020)</w:t>
      </w:r>
      <w:r w:rsidRPr="003B6B38">
        <w:rPr>
          <w:rFonts w:ascii="Times New Roman" w:hAnsi="Times New Roman" w:cs="Times New Roman"/>
        </w:rPr>
        <w:t>.</w:t>
      </w:r>
      <w:r w:rsidRPr="005C3043">
        <w:rPr>
          <w:rFonts w:ascii="Times New Roman" w:hAnsi="Times New Roman" w:cs="Times New Roman"/>
        </w:rPr>
        <w:t xml:space="preserve"> </w:t>
      </w:r>
      <w:r w:rsidRPr="005C3043">
        <w:rPr>
          <w:rFonts w:ascii="Times New Roman" w:hAnsi="Times New Roman" w:cs="Times New Roman"/>
          <w:lang w:bidi="en-US"/>
        </w:rPr>
        <w:t>The code is available online (</w:t>
      </w:r>
      <w:r w:rsidRPr="000C3103">
        <w:rPr>
          <w:rFonts w:ascii="Times New Roman" w:hAnsi="Times New Roman" w:cs="Times New Roman"/>
          <w:sz w:val="22"/>
          <w:szCs w:val="22"/>
          <w:lang w:bidi="en-US"/>
        </w:rPr>
        <w:t>https://github.com/CaseyRead/Read_etal_2021_MethdPrtc</w:t>
      </w:r>
      <w:r w:rsidRPr="005C3043">
        <w:rPr>
          <w:rFonts w:ascii="Times New Roman" w:hAnsi="Times New Roman" w:cs="Times New Roman"/>
          <w:lang w:bidi="en-US"/>
        </w:rPr>
        <w:t>). For validation of our procedures, coefficient of variation (CV) was calculated for the</w:t>
      </w:r>
      <w:r>
        <w:rPr>
          <w:rFonts w:ascii="Times New Roman" w:hAnsi="Times New Roman" w:cs="Times New Roman"/>
          <w:lang w:bidi="en-US"/>
        </w:rPr>
        <w:t xml:space="preserve"> </w:t>
      </w:r>
      <w:r w:rsidRPr="005C3043">
        <w:rPr>
          <w:rFonts w:ascii="Times New Roman" w:hAnsi="Times New Roman" w:cs="Times New Roman"/>
          <w:lang w:bidi="en-US"/>
        </w:rPr>
        <w:t xml:space="preserve">quadruplicate ATP (fluorescence) or </w:t>
      </w:r>
      <w:proofErr w:type="spellStart"/>
      <w:r w:rsidRPr="005C3043">
        <w:rPr>
          <w:rFonts w:ascii="Times New Roman" w:hAnsi="Times New Roman" w:cs="Times New Roman"/>
          <w:lang w:bidi="en-US"/>
        </w:rPr>
        <w:t>mtDNA</w:t>
      </w:r>
      <w:proofErr w:type="spellEnd"/>
      <w:r w:rsidRPr="005C3043">
        <w:rPr>
          <w:rFonts w:ascii="Times New Roman" w:hAnsi="Times New Roman" w:cs="Times New Roman"/>
          <w:lang w:bidi="en-US"/>
        </w:rPr>
        <w:t xml:space="preserve"> copy number (CT) values obtained for each individual oocyte analyzed.</w:t>
      </w:r>
      <w:r>
        <w:rPr>
          <w:rFonts w:ascii="Times New Roman" w:hAnsi="Times New Roman" w:cs="Times New Roman"/>
          <w:lang w:bidi="en-US"/>
        </w:rPr>
        <w:t xml:space="preserve"> </w:t>
      </w:r>
      <w:r w:rsidRPr="005C3043">
        <w:rPr>
          <w:rFonts w:ascii="Times New Roman" w:hAnsi="Times New Roman" w:cs="Times New Roman"/>
          <w:lang w:bidi="en-US"/>
        </w:rPr>
        <w:t xml:space="preserve">The data for ATP and </w:t>
      </w:r>
      <w:proofErr w:type="spellStart"/>
      <w:r w:rsidRPr="005C3043">
        <w:rPr>
          <w:rFonts w:ascii="Times New Roman" w:hAnsi="Times New Roman" w:cs="Times New Roman"/>
          <w:lang w:bidi="en-US"/>
        </w:rPr>
        <w:t>mtDNA</w:t>
      </w:r>
      <w:proofErr w:type="spellEnd"/>
      <w:r w:rsidRPr="005C3043">
        <w:rPr>
          <w:rFonts w:ascii="Times New Roman" w:hAnsi="Times New Roman" w:cs="Times New Roman"/>
          <w:lang w:bidi="en-US"/>
        </w:rPr>
        <w:t xml:space="preserve"> values was tested for normality by performing a Shapiro Wilk test and by plotting the residuals for visual evaluation of normality.</w:t>
      </w:r>
      <w:r w:rsidRPr="00412E33">
        <w:rPr>
          <w:rFonts w:ascii="Times New Roman" w:hAnsi="Times New Roman" w:cs="Times New Roman"/>
          <w:lang w:bidi="en-US"/>
        </w:rPr>
        <w:t xml:space="preserve"> </w:t>
      </w:r>
      <w:r w:rsidRPr="005C3043">
        <w:rPr>
          <w:rFonts w:ascii="Times New Roman" w:hAnsi="Times New Roman" w:cs="Times New Roman"/>
          <w:lang w:bidi="en-US"/>
        </w:rPr>
        <w:t>The values for ATP were determined to have an approximately normal</w:t>
      </w:r>
      <w:r>
        <w:rPr>
          <w:rFonts w:ascii="Times New Roman" w:hAnsi="Times New Roman" w:cs="Times New Roman"/>
          <w:lang w:bidi="en-US"/>
        </w:rPr>
        <w:t xml:space="preserve"> </w:t>
      </w:r>
    </w:p>
    <w:p w14:paraId="78DC030D" w14:textId="77777777" w:rsidR="00064157" w:rsidRPr="00A42976" w:rsidRDefault="00EA30D7" w:rsidP="00064157">
      <w:pPr>
        <w:spacing w:line="480" w:lineRule="auto"/>
        <w:jc w:val="both"/>
        <w:rPr>
          <w:rFonts w:ascii="Times New Roman" w:hAnsi="Times New Roman" w:cs="Times New Roman"/>
        </w:rPr>
      </w:pPr>
      <w:r w:rsidRPr="00A42976">
        <w:rPr>
          <w:rFonts w:ascii="Times New Roman" w:hAnsi="Times New Roman" w:cs="Times New Roman"/>
          <w:b/>
          <w:noProof/>
        </w:rPr>
        <w:lastRenderedPageBreak/>
        <w:drawing>
          <wp:inline distT="0" distB="0" distL="0" distR="0" wp14:anchorId="12F974AB" wp14:editId="2CCF889D">
            <wp:extent cx="5469467" cy="372227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7887" cy="3734812"/>
                    </a:xfrm>
                    <a:prstGeom prst="rect">
                      <a:avLst/>
                    </a:prstGeom>
                    <a:noFill/>
                    <a:ln>
                      <a:noFill/>
                    </a:ln>
                  </pic:spPr>
                </pic:pic>
              </a:graphicData>
            </a:graphic>
          </wp:inline>
        </w:drawing>
      </w:r>
    </w:p>
    <w:p w14:paraId="499BEA95" w14:textId="34C08A5F" w:rsidR="00EA30D7" w:rsidRPr="000B5F79" w:rsidRDefault="00EA30D7" w:rsidP="00064157">
      <w:pPr>
        <w:jc w:val="both"/>
        <w:rPr>
          <w:rFonts w:ascii="Times New Roman" w:hAnsi="Times New Roman" w:cs="Times New Roman"/>
        </w:rPr>
      </w:pPr>
      <w:r w:rsidRPr="00A42976">
        <w:rPr>
          <w:rFonts w:ascii="Times New Roman" w:hAnsi="Times New Roman" w:cs="Times New Roman"/>
          <w:b/>
        </w:rPr>
        <w:t xml:space="preserve">Figure </w:t>
      </w:r>
      <w:r w:rsidR="009A72EC" w:rsidRPr="00A42976">
        <w:rPr>
          <w:rFonts w:ascii="Times New Roman" w:hAnsi="Times New Roman" w:cs="Times New Roman"/>
          <w:b/>
        </w:rPr>
        <w:t>6</w:t>
      </w:r>
      <w:r w:rsidRPr="00A42976">
        <w:rPr>
          <w:rFonts w:ascii="Times New Roman" w:hAnsi="Times New Roman" w:cs="Times New Roman"/>
          <w:b/>
        </w:rPr>
        <w:t xml:space="preserve">. </w:t>
      </w:r>
      <w:r w:rsidRPr="00A42976">
        <w:rPr>
          <w:rFonts w:ascii="Times New Roman" w:hAnsi="Times New Roman" w:cs="Times New Roman"/>
        </w:rPr>
        <w:t xml:space="preserve">Workflow for oocyte lysis and quantification of ATP levels and </w:t>
      </w:r>
      <w:proofErr w:type="spellStart"/>
      <w:r w:rsidRPr="00A42976">
        <w:rPr>
          <w:rFonts w:ascii="Times New Roman" w:hAnsi="Times New Roman" w:cs="Times New Roman"/>
        </w:rPr>
        <w:t>mtDNA</w:t>
      </w:r>
      <w:proofErr w:type="spellEnd"/>
      <w:r w:rsidRPr="00A42976">
        <w:rPr>
          <w:rFonts w:ascii="Times New Roman" w:hAnsi="Times New Roman" w:cs="Times New Roman"/>
        </w:rPr>
        <w:t xml:space="preserve"> copy number within a single oocyte.</w:t>
      </w:r>
    </w:p>
    <w:p w14:paraId="3C72DC5D" w14:textId="77777777" w:rsidR="00624151" w:rsidRPr="005C3043" w:rsidRDefault="00624151" w:rsidP="00064157">
      <w:pPr>
        <w:jc w:val="both"/>
        <w:rPr>
          <w:rFonts w:ascii="Times New Roman" w:hAnsi="Times New Roman" w:cs="Times New Roman"/>
          <w:b/>
        </w:rPr>
      </w:pPr>
    </w:p>
    <w:p w14:paraId="5A9CA44E" w14:textId="77777777" w:rsidR="00784DB7" w:rsidRDefault="00784DB7" w:rsidP="00064157">
      <w:pPr>
        <w:pStyle w:val="MDPI21heading1"/>
        <w:spacing w:line="480" w:lineRule="auto"/>
        <w:ind w:left="0"/>
        <w:jc w:val="both"/>
        <w:rPr>
          <w:rFonts w:ascii="Times New Roman" w:hAnsi="Times New Roman"/>
          <w:i/>
          <w:sz w:val="24"/>
          <w:szCs w:val="24"/>
        </w:rPr>
      </w:pPr>
    </w:p>
    <w:p w14:paraId="3CE0DDA6" w14:textId="77777777" w:rsidR="00784DB7" w:rsidRDefault="00784DB7" w:rsidP="00064157">
      <w:pPr>
        <w:pStyle w:val="MDPI21heading1"/>
        <w:spacing w:line="480" w:lineRule="auto"/>
        <w:ind w:left="0"/>
        <w:jc w:val="both"/>
        <w:rPr>
          <w:rFonts w:ascii="Times New Roman" w:hAnsi="Times New Roman"/>
          <w:i/>
          <w:sz w:val="24"/>
          <w:szCs w:val="24"/>
        </w:rPr>
      </w:pPr>
    </w:p>
    <w:p w14:paraId="45F97E84" w14:textId="77777777" w:rsidR="00784DB7" w:rsidRDefault="00784DB7" w:rsidP="00064157">
      <w:pPr>
        <w:pStyle w:val="MDPI21heading1"/>
        <w:spacing w:line="480" w:lineRule="auto"/>
        <w:ind w:left="0"/>
        <w:jc w:val="both"/>
        <w:rPr>
          <w:rFonts w:ascii="Times New Roman" w:hAnsi="Times New Roman"/>
          <w:i/>
          <w:sz w:val="24"/>
          <w:szCs w:val="24"/>
        </w:rPr>
      </w:pPr>
    </w:p>
    <w:p w14:paraId="731D852F" w14:textId="77777777" w:rsidR="00784DB7" w:rsidRDefault="00784DB7" w:rsidP="00064157">
      <w:pPr>
        <w:pStyle w:val="MDPI21heading1"/>
        <w:spacing w:line="480" w:lineRule="auto"/>
        <w:ind w:left="0"/>
        <w:jc w:val="both"/>
        <w:rPr>
          <w:rFonts w:ascii="Times New Roman" w:hAnsi="Times New Roman"/>
          <w:i/>
          <w:sz w:val="24"/>
          <w:szCs w:val="24"/>
        </w:rPr>
      </w:pPr>
    </w:p>
    <w:p w14:paraId="4F5DAFC9" w14:textId="77777777" w:rsidR="00784DB7" w:rsidRDefault="00784DB7" w:rsidP="00064157">
      <w:pPr>
        <w:pStyle w:val="MDPI21heading1"/>
        <w:spacing w:line="480" w:lineRule="auto"/>
        <w:ind w:left="0"/>
        <w:jc w:val="both"/>
        <w:rPr>
          <w:rFonts w:ascii="Times New Roman" w:hAnsi="Times New Roman"/>
          <w:i/>
          <w:sz w:val="24"/>
          <w:szCs w:val="24"/>
        </w:rPr>
      </w:pPr>
    </w:p>
    <w:p w14:paraId="64A37C61" w14:textId="77777777" w:rsidR="00784DB7" w:rsidRDefault="00784DB7" w:rsidP="00064157">
      <w:pPr>
        <w:pStyle w:val="MDPI21heading1"/>
        <w:spacing w:line="480" w:lineRule="auto"/>
        <w:ind w:left="0"/>
        <w:jc w:val="both"/>
        <w:rPr>
          <w:rFonts w:ascii="Times New Roman" w:hAnsi="Times New Roman"/>
          <w:i/>
          <w:sz w:val="24"/>
          <w:szCs w:val="24"/>
        </w:rPr>
      </w:pPr>
    </w:p>
    <w:p w14:paraId="420CE7E0" w14:textId="77777777" w:rsidR="00784DB7" w:rsidRDefault="00784DB7" w:rsidP="00064157">
      <w:pPr>
        <w:pStyle w:val="MDPI21heading1"/>
        <w:spacing w:line="480" w:lineRule="auto"/>
        <w:ind w:left="0"/>
        <w:jc w:val="both"/>
        <w:rPr>
          <w:rFonts w:ascii="Times New Roman" w:hAnsi="Times New Roman"/>
          <w:i/>
          <w:sz w:val="24"/>
          <w:szCs w:val="24"/>
        </w:rPr>
      </w:pPr>
    </w:p>
    <w:p w14:paraId="18AD9268" w14:textId="07BD5D03" w:rsidR="00A1566E" w:rsidRPr="005C3043" w:rsidRDefault="00412E33" w:rsidP="00412E33">
      <w:pPr>
        <w:spacing w:line="480" w:lineRule="auto"/>
        <w:jc w:val="both"/>
        <w:rPr>
          <w:rFonts w:ascii="Times New Roman" w:hAnsi="Times New Roman" w:cs="Times New Roman"/>
          <w:lang w:bidi="en-US"/>
        </w:rPr>
      </w:pPr>
      <w:r w:rsidRPr="005C3043">
        <w:rPr>
          <w:rFonts w:ascii="Times New Roman" w:hAnsi="Times New Roman" w:cs="Times New Roman"/>
          <w:lang w:bidi="en-US"/>
        </w:rPr>
        <w:lastRenderedPageBreak/>
        <w:t xml:space="preserve">distribution while the </w:t>
      </w:r>
      <w:proofErr w:type="spellStart"/>
      <w:r w:rsidRPr="005C3043">
        <w:rPr>
          <w:rFonts w:ascii="Times New Roman" w:hAnsi="Times New Roman" w:cs="Times New Roman"/>
          <w:lang w:bidi="en-US"/>
        </w:rPr>
        <w:t>mtDNA</w:t>
      </w:r>
      <w:proofErr w:type="spellEnd"/>
      <w:r w:rsidRPr="005C3043">
        <w:rPr>
          <w:rFonts w:ascii="Times New Roman" w:hAnsi="Times New Roman" w:cs="Times New Roman"/>
          <w:lang w:bidi="en-US"/>
        </w:rPr>
        <w:t xml:space="preserve"> values</w:t>
      </w:r>
      <w:r w:rsidRPr="005C3043">
        <w:rPr>
          <w:rFonts w:ascii="Times New Roman" w:hAnsi="Times New Roman" w:cs="Times New Roman"/>
          <w:lang w:bidi="en-US"/>
        </w:rPr>
        <w:t xml:space="preserve"> </w:t>
      </w:r>
      <w:r w:rsidR="00EA30D7" w:rsidRPr="005C3043">
        <w:rPr>
          <w:rFonts w:ascii="Times New Roman" w:hAnsi="Times New Roman" w:cs="Times New Roman"/>
          <w:lang w:bidi="en-US"/>
        </w:rPr>
        <w:t>were natural log transformed. Analysis of variance was performed to determine the differences in ATP and ln(</w:t>
      </w:r>
      <w:proofErr w:type="spellStart"/>
      <w:r w:rsidR="00EA30D7" w:rsidRPr="005C3043">
        <w:rPr>
          <w:rFonts w:ascii="Times New Roman" w:hAnsi="Times New Roman" w:cs="Times New Roman"/>
          <w:lang w:bidi="en-US"/>
        </w:rPr>
        <w:t>mtDNA</w:t>
      </w:r>
      <w:proofErr w:type="spellEnd"/>
      <w:r w:rsidR="00EA30D7" w:rsidRPr="005C3043">
        <w:rPr>
          <w:rFonts w:ascii="Times New Roman" w:hAnsi="Times New Roman" w:cs="Times New Roman"/>
          <w:lang w:bidi="en-US"/>
        </w:rPr>
        <w:t>) between GV and MII oocytes. Linear regression was performed to determine the relationship between ATP and ln(</w:t>
      </w:r>
      <w:proofErr w:type="spellStart"/>
      <w:r w:rsidR="00EA30D7" w:rsidRPr="005C3043">
        <w:rPr>
          <w:rFonts w:ascii="Times New Roman" w:hAnsi="Times New Roman" w:cs="Times New Roman"/>
          <w:lang w:bidi="en-US"/>
        </w:rPr>
        <w:t>mtDNA</w:t>
      </w:r>
      <w:proofErr w:type="spellEnd"/>
      <w:r w:rsidR="00EA30D7" w:rsidRPr="005C3043">
        <w:rPr>
          <w:rFonts w:ascii="Times New Roman" w:hAnsi="Times New Roman" w:cs="Times New Roman"/>
          <w:lang w:bidi="en-US"/>
        </w:rPr>
        <w:t xml:space="preserve">). Results were considered significant if </w:t>
      </w:r>
      <w:r w:rsidR="0009357B" w:rsidRPr="005C3043">
        <w:rPr>
          <w:rFonts w:ascii="Times New Roman" w:hAnsi="Times New Roman" w:cs="Times New Roman"/>
          <w:i/>
          <w:iCs/>
          <w:lang w:bidi="en-US"/>
        </w:rPr>
        <w:t>P</w:t>
      </w:r>
      <w:r w:rsidR="00EA30D7" w:rsidRPr="005C3043">
        <w:rPr>
          <w:rFonts w:ascii="Times New Roman" w:hAnsi="Times New Roman" w:cs="Times New Roman"/>
          <w:lang w:bidi="en-US"/>
        </w:rPr>
        <w:t xml:space="preserve"> &lt; 0.05. All values are presented as mean </w:t>
      </w:r>
      <w:r w:rsidR="00EA30D7" w:rsidRPr="005C3043">
        <w:rPr>
          <w:rFonts w:ascii="Times New Roman" w:hAnsi="Times New Roman" w:cs="Times New Roman"/>
          <w:u w:val="single"/>
          <w:lang w:bidi="en-US"/>
        </w:rPr>
        <w:t>+</w:t>
      </w:r>
      <w:r w:rsidR="00EA30D7" w:rsidRPr="005C3043">
        <w:rPr>
          <w:rFonts w:ascii="Times New Roman" w:hAnsi="Times New Roman" w:cs="Times New Roman"/>
          <w:lang w:bidi="en-US"/>
        </w:rPr>
        <w:t xml:space="preserve"> SD. </w:t>
      </w:r>
    </w:p>
    <w:p w14:paraId="68E29184" w14:textId="32BD73F2" w:rsidR="00EA30D7" w:rsidRPr="005C3043" w:rsidRDefault="00EA30D7" w:rsidP="00276CE1">
      <w:pPr>
        <w:pStyle w:val="Diss2"/>
        <w:rPr>
          <w:lang w:bidi="en-US"/>
        </w:rPr>
      </w:pPr>
      <w:bookmarkStart w:id="55" w:name="_Toc100072178"/>
      <w:r w:rsidRPr="005C3043">
        <w:rPr>
          <w:lang w:bidi="en-US"/>
        </w:rPr>
        <w:t>Results and Discussion</w:t>
      </w:r>
      <w:bookmarkEnd w:id="55"/>
    </w:p>
    <w:p w14:paraId="56F570F5" w14:textId="70DF5637" w:rsidR="00EA30D7" w:rsidRPr="005C3043" w:rsidRDefault="00EA30D7" w:rsidP="00276CE1">
      <w:pPr>
        <w:pStyle w:val="Diss3"/>
        <w:rPr>
          <w:lang w:bidi="en-US"/>
        </w:rPr>
      </w:pPr>
      <w:bookmarkStart w:id="56" w:name="_Toc100072179"/>
      <w:r w:rsidRPr="005C3043">
        <w:rPr>
          <w:lang w:bidi="en-US"/>
        </w:rPr>
        <w:t>Standards Quality</w:t>
      </w:r>
      <w:bookmarkEnd w:id="56"/>
    </w:p>
    <w:p w14:paraId="6DF7B75E" w14:textId="24336F54" w:rsidR="00695799" w:rsidRPr="005C3043" w:rsidRDefault="00EA30D7" w:rsidP="00021AAA">
      <w:pPr>
        <w:spacing w:line="480" w:lineRule="auto"/>
        <w:ind w:firstLine="720"/>
        <w:jc w:val="both"/>
        <w:rPr>
          <w:rFonts w:ascii="Times New Roman" w:hAnsi="Times New Roman" w:cs="Times New Roman"/>
          <w:lang w:bidi="en-US"/>
        </w:rPr>
      </w:pPr>
      <w:r w:rsidRPr="005C3043">
        <w:rPr>
          <w:rFonts w:ascii="Times New Roman" w:hAnsi="Times New Roman" w:cs="Times New Roman"/>
        </w:rPr>
        <w:t xml:space="preserve">The 260/280 ratio for the PCR product used to make the standards was 1.78. A 260/280 ratio of approximately 1.8 is generally accepted as “pure” for DNA, so we confidently used this PCR product to generate the standards for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w:t>
      </w:r>
      <w:r w:rsidR="00F55B9A" w:rsidRPr="005C3043">
        <w:rPr>
          <w:rFonts w:ascii="Times New Roman" w:hAnsi="Times New Roman" w:cs="Times New Roman"/>
        </w:rPr>
        <w:t xml:space="preserve"> </w:t>
      </w:r>
      <w:r w:rsidR="00C55223" w:rsidRPr="005C3043">
        <w:rPr>
          <w:rFonts w:ascii="Times New Roman" w:hAnsi="Times New Roman" w:cs="Times New Roman"/>
          <w:noProof/>
        </w:rPr>
        <w:t>(Wang et al., 2011)</w:t>
      </w:r>
      <w:r w:rsidR="00F55B9A" w:rsidRPr="005C3043">
        <w:rPr>
          <w:rFonts w:ascii="Times New Roman" w:hAnsi="Times New Roman" w:cs="Times New Roman"/>
        </w:rPr>
        <w:t>. The amplification efficiency of the qPCR assay was calculated to be 100.25%. The desired range for amplification efficiency is 90-110%</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Svec et al., 2015)</w:t>
      </w:r>
      <w:r w:rsidR="00F55B9A" w:rsidRPr="005C3043">
        <w:rPr>
          <w:rFonts w:ascii="Times New Roman" w:hAnsi="Times New Roman" w:cs="Times New Roman"/>
        </w:rPr>
        <w:t>. The R</w:t>
      </w:r>
      <w:r w:rsidR="00F55B9A" w:rsidRPr="005C3043">
        <w:rPr>
          <w:rFonts w:ascii="Times New Roman" w:hAnsi="Times New Roman" w:cs="Times New Roman"/>
          <w:vertAlign w:val="superscript"/>
        </w:rPr>
        <w:t>2</w:t>
      </w:r>
      <w:r w:rsidR="00F55B9A" w:rsidRPr="005C3043">
        <w:rPr>
          <w:rFonts w:ascii="Times New Roman" w:hAnsi="Times New Roman" w:cs="Times New Roman"/>
        </w:rPr>
        <w:t xml:space="preserve"> values for the standard curves for each assay were </w:t>
      </w:r>
      <w:r w:rsidR="00F55B9A" w:rsidRPr="005C3043">
        <w:rPr>
          <w:rFonts w:ascii="Times New Roman" w:hAnsi="Times New Roman" w:cs="Times New Roman"/>
          <w:u w:val="single"/>
        </w:rPr>
        <w:t>&gt;</w:t>
      </w:r>
      <w:r w:rsidR="00F55B9A" w:rsidRPr="005C3043">
        <w:rPr>
          <w:rFonts w:ascii="Times New Roman" w:hAnsi="Times New Roman" w:cs="Times New Roman"/>
        </w:rPr>
        <w:t xml:space="preserve"> 0.99. Desired R</w:t>
      </w:r>
      <w:r w:rsidR="00F55B9A" w:rsidRPr="005C3043">
        <w:rPr>
          <w:rFonts w:ascii="Times New Roman" w:hAnsi="Times New Roman" w:cs="Times New Roman"/>
          <w:vertAlign w:val="superscript"/>
        </w:rPr>
        <w:t>2</w:t>
      </w:r>
      <w:r w:rsidR="00F55B9A" w:rsidRPr="005C3043">
        <w:rPr>
          <w:rFonts w:ascii="Times New Roman" w:hAnsi="Times New Roman" w:cs="Times New Roman"/>
        </w:rPr>
        <w:t xml:space="preserve"> values fall in the range of 0.95-1.0 with the goal to be as close to one as possible </w:t>
      </w:r>
      <w:r w:rsidR="00C55223" w:rsidRPr="005C3043">
        <w:rPr>
          <w:rFonts w:ascii="Times New Roman" w:hAnsi="Times New Roman" w:cs="Times New Roman"/>
          <w:noProof/>
        </w:rPr>
        <w:t>(Hazra and Gogtay, 2016)</w:t>
      </w:r>
      <w:r w:rsidR="00F55B9A" w:rsidRPr="005C3043">
        <w:rPr>
          <w:rFonts w:ascii="Times New Roman" w:hAnsi="Times New Roman" w:cs="Times New Roman"/>
        </w:rPr>
        <w:t xml:space="preserve">. </w:t>
      </w:r>
      <w:r w:rsidR="00F55B9A" w:rsidRPr="005C3043">
        <w:rPr>
          <w:rFonts w:ascii="Times New Roman" w:hAnsi="Times New Roman" w:cs="Times New Roman"/>
          <w:lang w:bidi="en-US"/>
        </w:rPr>
        <w:t xml:space="preserve">Based on the values for our standard curves falling within the optimal ranges, we are confident that our standard curves were accurate measures of the </w:t>
      </w:r>
      <w:proofErr w:type="spellStart"/>
      <w:r w:rsidR="00F55B9A" w:rsidRPr="005C3043">
        <w:rPr>
          <w:rFonts w:ascii="Times New Roman" w:hAnsi="Times New Roman" w:cs="Times New Roman"/>
          <w:lang w:bidi="en-US"/>
        </w:rPr>
        <w:t>mtDNA</w:t>
      </w:r>
      <w:proofErr w:type="spellEnd"/>
      <w:r w:rsidR="00F55B9A" w:rsidRPr="005C3043">
        <w:rPr>
          <w:rFonts w:ascii="Times New Roman" w:hAnsi="Times New Roman" w:cs="Times New Roman"/>
          <w:lang w:bidi="en-US"/>
        </w:rPr>
        <w:t xml:space="preserve"> copy number and ATP concentration within the oocyte.</w:t>
      </w:r>
    </w:p>
    <w:p w14:paraId="39DAA950" w14:textId="31992EA4" w:rsidR="00F55B9A" w:rsidRPr="005C3043" w:rsidRDefault="00F55B9A" w:rsidP="00276CE1">
      <w:pPr>
        <w:pStyle w:val="Diss3"/>
        <w:rPr>
          <w:lang w:bidi="en-US"/>
        </w:rPr>
      </w:pPr>
      <w:bookmarkStart w:id="57" w:name="_Toc100072180"/>
      <w:r w:rsidRPr="005C3043">
        <w:rPr>
          <w:lang w:bidi="en-US"/>
        </w:rPr>
        <w:t xml:space="preserve">Validation of Procedures for Quantification of ATP and </w:t>
      </w:r>
      <w:proofErr w:type="spellStart"/>
      <w:r w:rsidRPr="005C3043">
        <w:rPr>
          <w:lang w:bidi="en-US"/>
        </w:rPr>
        <w:t>mtDNA</w:t>
      </w:r>
      <w:proofErr w:type="spellEnd"/>
      <w:r w:rsidRPr="005C3043">
        <w:rPr>
          <w:lang w:bidi="en-US"/>
        </w:rPr>
        <w:t xml:space="preserve"> Copy Number in Quarter Oocyte Equivalents</w:t>
      </w:r>
      <w:bookmarkEnd w:id="57"/>
    </w:p>
    <w:p w14:paraId="377F2D1B" w14:textId="0B282ED7" w:rsidR="00695799" w:rsidRPr="005C3043" w:rsidRDefault="00F55B9A" w:rsidP="00021AAA">
      <w:pPr>
        <w:spacing w:line="480" w:lineRule="auto"/>
        <w:ind w:firstLine="720"/>
        <w:jc w:val="both"/>
        <w:rPr>
          <w:rFonts w:ascii="Times New Roman" w:hAnsi="Times New Roman" w:cs="Times New Roman"/>
          <w:lang w:bidi="en-US"/>
        </w:rPr>
      </w:pPr>
      <w:r w:rsidRPr="005C3043">
        <w:rPr>
          <w:rFonts w:ascii="Times New Roman" w:hAnsi="Times New Roman" w:cs="Times New Roman"/>
          <w:lang w:bidi="en-US"/>
        </w:rPr>
        <w:t xml:space="preserve">We validated that the lysate from a single oocyte could be divided into quarters with minimal variation among the ATP or </w:t>
      </w:r>
      <w:proofErr w:type="spellStart"/>
      <w:r w:rsidRPr="005C3043">
        <w:rPr>
          <w:rFonts w:ascii="Times New Roman" w:hAnsi="Times New Roman" w:cs="Times New Roman"/>
          <w:lang w:bidi="en-US"/>
        </w:rPr>
        <w:t>mtDNA</w:t>
      </w:r>
      <w:proofErr w:type="spellEnd"/>
      <w:r w:rsidRPr="005C3043">
        <w:rPr>
          <w:rFonts w:ascii="Times New Roman" w:hAnsi="Times New Roman" w:cs="Times New Roman"/>
          <w:lang w:bidi="en-US"/>
        </w:rPr>
        <w:t xml:space="preserve"> CT values for each quarter oocyte </w:t>
      </w:r>
      <w:r w:rsidRPr="005C3043">
        <w:rPr>
          <w:rFonts w:ascii="Times New Roman" w:hAnsi="Times New Roman" w:cs="Times New Roman"/>
          <w:lang w:bidi="en-US"/>
        </w:rPr>
        <w:lastRenderedPageBreak/>
        <w:t xml:space="preserve">equivalent. Intra-assay CV values for ATP and </w:t>
      </w:r>
      <w:proofErr w:type="spellStart"/>
      <w:r w:rsidRPr="005C3043">
        <w:rPr>
          <w:rFonts w:ascii="Times New Roman" w:hAnsi="Times New Roman" w:cs="Times New Roman"/>
          <w:lang w:bidi="en-US"/>
        </w:rPr>
        <w:t>mtDNA</w:t>
      </w:r>
      <w:proofErr w:type="spellEnd"/>
      <w:r w:rsidRPr="005C3043">
        <w:rPr>
          <w:rFonts w:ascii="Times New Roman" w:hAnsi="Times New Roman" w:cs="Times New Roman"/>
          <w:lang w:bidi="en-US"/>
        </w:rPr>
        <w:t xml:space="preserve"> were 4.72 </w:t>
      </w:r>
      <w:r w:rsidRPr="005C3043">
        <w:rPr>
          <w:rFonts w:ascii="Times New Roman" w:hAnsi="Times New Roman" w:cs="Times New Roman"/>
          <w:u w:val="single"/>
          <w:lang w:bidi="en-US"/>
        </w:rPr>
        <w:t>+</w:t>
      </w:r>
      <w:r w:rsidRPr="005C3043">
        <w:rPr>
          <w:rFonts w:ascii="Times New Roman" w:hAnsi="Times New Roman" w:cs="Times New Roman"/>
          <w:lang w:bidi="en-US"/>
        </w:rPr>
        <w:t xml:space="preserve"> 0.98% and 1.61 </w:t>
      </w:r>
      <w:r w:rsidRPr="005C3043">
        <w:rPr>
          <w:rFonts w:ascii="Times New Roman" w:hAnsi="Times New Roman" w:cs="Times New Roman"/>
          <w:u w:val="single"/>
          <w:lang w:bidi="en-US"/>
        </w:rPr>
        <w:t>+</w:t>
      </w:r>
      <w:r w:rsidRPr="005C3043">
        <w:rPr>
          <w:rFonts w:ascii="Times New Roman" w:hAnsi="Times New Roman" w:cs="Times New Roman"/>
          <w:lang w:bidi="en-US"/>
        </w:rPr>
        <w:t xml:space="preserve"> 1.19%, respectively. Because the CV values from our methodology were below 5%, we have concluded that there is minimal variation between oocyte lysate portions. This allows us to be confident that the measures obtained via use of this protocol in future studies are valid for comparisons of both ATP and </w:t>
      </w:r>
      <w:proofErr w:type="spellStart"/>
      <w:r w:rsidRPr="005C3043">
        <w:rPr>
          <w:rFonts w:ascii="Times New Roman" w:hAnsi="Times New Roman" w:cs="Times New Roman"/>
          <w:lang w:bidi="en-US"/>
        </w:rPr>
        <w:t>mtDNA</w:t>
      </w:r>
      <w:proofErr w:type="spellEnd"/>
      <w:r w:rsidRPr="005C3043">
        <w:rPr>
          <w:rFonts w:ascii="Times New Roman" w:hAnsi="Times New Roman" w:cs="Times New Roman"/>
          <w:lang w:bidi="en-US"/>
        </w:rPr>
        <w:t xml:space="preserve"> copy number in single oocytes. </w:t>
      </w:r>
    </w:p>
    <w:p w14:paraId="1225845B" w14:textId="7CACD1A5" w:rsidR="00F55B9A" w:rsidRPr="005C3043" w:rsidRDefault="00F55B9A" w:rsidP="00276CE1">
      <w:pPr>
        <w:pStyle w:val="Diss3"/>
        <w:rPr>
          <w:lang w:bidi="en-US"/>
        </w:rPr>
      </w:pPr>
      <w:bookmarkStart w:id="58" w:name="_Toc100072181"/>
      <w:r w:rsidRPr="005C3043">
        <w:rPr>
          <w:lang w:bidi="en-US"/>
        </w:rPr>
        <w:t xml:space="preserve">ATP and </w:t>
      </w:r>
      <w:proofErr w:type="spellStart"/>
      <w:r w:rsidRPr="005C3043">
        <w:rPr>
          <w:lang w:bidi="en-US"/>
        </w:rPr>
        <w:t>mtDNA</w:t>
      </w:r>
      <w:proofErr w:type="spellEnd"/>
      <w:r w:rsidRPr="005C3043">
        <w:rPr>
          <w:lang w:bidi="en-US"/>
        </w:rPr>
        <w:t xml:space="preserve"> Copy Number in GV versus MII Oocytes</w:t>
      </w:r>
      <w:bookmarkEnd w:id="58"/>
    </w:p>
    <w:p w14:paraId="4453582C" w14:textId="77777777" w:rsidR="00F55B9A" w:rsidRPr="005C3043" w:rsidRDefault="00F55B9A" w:rsidP="00021AAA">
      <w:pPr>
        <w:spacing w:line="480" w:lineRule="auto"/>
        <w:ind w:firstLine="720"/>
        <w:jc w:val="both"/>
        <w:rPr>
          <w:rFonts w:ascii="Times New Roman" w:hAnsi="Times New Roman" w:cs="Times New Roman"/>
          <w:lang w:bidi="en-US"/>
        </w:rPr>
      </w:pPr>
      <w:r w:rsidRPr="005C3043">
        <w:rPr>
          <w:rFonts w:ascii="Times New Roman" w:hAnsi="Times New Roman" w:cs="Times New Roman"/>
          <w:lang w:bidi="en-US"/>
        </w:rPr>
        <w:t xml:space="preserve">Of the 30 total oocytes utilized for this study, data from 4 oocytes were removed from the dataset prior to analysis due to values outside of the standard curve. </w:t>
      </w:r>
      <w:proofErr w:type="spellStart"/>
      <w:r w:rsidRPr="005C3043">
        <w:rPr>
          <w:rFonts w:ascii="Times New Roman" w:hAnsi="Times New Roman" w:cs="Times New Roman"/>
          <w:lang w:bidi="en-US"/>
        </w:rPr>
        <w:t>Interassay</w:t>
      </w:r>
      <w:proofErr w:type="spellEnd"/>
      <w:r w:rsidRPr="005C3043">
        <w:rPr>
          <w:rFonts w:ascii="Times New Roman" w:hAnsi="Times New Roman" w:cs="Times New Roman"/>
          <w:lang w:bidi="en-US"/>
        </w:rPr>
        <w:t xml:space="preserve"> coefficient of variation was 6.61 </w:t>
      </w:r>
      <w:r w:rsidRPr="005C3043">
        <w:rPr>
          <w:rFonts w:ascii="Times New Roman" w:hAnsi="Times New Roman" w:cs="Times New Roman"/>
          <w:u w:val="single"/>
          <w:lang w:bidi="en-US"/>
        </w:rPr>
        <w:t>+</w:t>
      </w:r>
      <w:r w:rsidRPr="005C3043">
        <w:rPr>
          <w:rFonts w:ascii="Times New Roman" w:hAnsi="Times New Roman" w:cs="Times New Roman"/>
          <w:lang w:bidi="en-US"/>
        </w:rPr>
        <w:t xml:space="preserve"> 5.89 and 2.04 </w:t>
      </w:r>
      <w:r w:rsidRPr="005C3043">
        <w:rPr>
          <w:rFonts w:ascii="Times New Roman" w:hAnsi="Times New Roman" w:cs="Times New Roman"/>
          <w:u w:val="single"/>
          <w:lang w:bidi="en-US"/>
        </w:rPr>
        <w:t>+</w:t>
      </w:r>
      <w:r w:rsidRPr="005C3043">
        <w:rPr>
          <w:rFonts w:ascii="Times New Roman" w:hAnsi="Times New Roman" w:cs="Times New Roman"/>
          <w:lang w:bidi="en-US"/>
        </w:rPr>
        <w:t xml:space="preserve"> 1.48 for the ATP and </w:t>
      </w:r>
      <w:proofErr w:type="spellStart"/>
      <w:r w:rsidRPr="005C3043">
        <w:rPr>
          <w:rFonts w:ascii="Times New Roman" w:hAnsi="Times New Roman" w:cs="Times New Roman"/>
          <w:lang w:bidi="en-US"/>
        </w:rPr>
        <w:t>mtDNA</w:t>
      </w:r>
      <w:proofErr w:type="spellEnd"/>
      <w:r w:rsidRPr="005C3043">
        <w:rPr>
          <w:rFonts w:ascii="Times New Roman" w:hAnsi="Times New Roman" w:cs="Times New Roman"/>
          <w:lang w:bidi="en-US"/>
        </w:rPr>
        <w:t xml:space="preserve"> copy number assays, respectively.</w:t>
      </w:r>
    </w:p>
    <w:p w14:paraId="1A002AC7" w14:textId="457BD560" w:rsidR="00775850" w:rsidRPr="005C3043" w:rsidRDefault="00F55B9A" w:rsidP="00021AAA">
      <w:pPr>
        <w:spacing w:line="480" w:lineRule="auto"/>
        <w:ind w:firstLine="720"/>
        <w:jc w:val="both"/>
        <w:rPr>
          <w:rFonts w:ascii="Times New Roman" w:hAnsi="Times New Roman" w:cs="Times New Roman"/>
          <w:lang w:bidi="en-US"/>
        </w:rPr>
      </w:pPr>
      <w:r w:rsidRPr="005C3043">
        <w:rPr>
          <w:rFonts w:ascii="Times New Roman" w:hAnsi="Times New Roman" w:cs="Times New Roman"/>
        </w:rPr>
        <w:t xml:space="preserve">Metaphase II stage oocytes had significantly higher quantities of ATP than GV stage oocytes (GV=628.02 </w:t>
      </w:r>
      <w:r w:rsidRPr="005C3043">
        <w:rPr>
          <w:rFonts w:ascii="Times New Roman" w:hAnsi="Times New Roman" w:cs="Times New Roman"/>
          <w:u w:val="single"/>
        </w:rPr>
        <w:t>+</w:t>
      </w:r>
      <w:r w:rsidRPr="005C3043">
        <w:rPr>
          <w:rFonts w:ascii="Times New Roman" w:hAnsi="Times New Roman" w:cs="Times New Roman"/>
        </w:rPr>
        <w:t xml:space="preserve"> 199.53 </w:t>
      </w:r>
      <w:proofErr w:type="spellStart"/>
      <w:r w:rsidRPr="005C3043">
        <w:rPr>
          <w:rFonts w:ascii="Times New Roman" w:hAnsi="Times New Roman" w:cs="Times New Roman"/>
        </w:rPr>
        <w:t>pg</w:t>
      </w:r>
      <w:proofErr w:type="spellEnd"/>
      <w:r w:rsidRPr="005C3043">
        <w:rPr>
          <w:rFonts w:ascii="Times New Roman" w:hAnsi="Times New Roman" w:cs="Times New Roman"/>
        </w:rPr>
        <w:t xml:space="preserve">, MII=1326.24 </w:t>
      </w:r>
      <w:r w:rsidRPr="005C3043">
        <w:rPr>
          <w:rFonts w:ascii="Times New Roman" w:hAnsi="Times New Roman" w:cs="Times New Roman"/>
          <w:u w:val="single"/>
        </w:rPr>
        <w:t>+</w:t>
      </w:r>
      <w:r w:rsidRPr="005C3043">
        <w:rPr>
          <w:rFonts w:ascii="Times New Roman" w:hAnsi="Times New Roman" w:cs="Times New Roman"/>
        </w:rPr>
        <w:t xml:space="preserve"> 199.86 </w:t>
      </w:r>
      <w:proofErr w:type="spellStart"/>
      <w:r w:rsidRPr="005C3043">
        <w:rPr>
          <w:rFonts w:ascii="Times New Roman" w:hAnsi="Times New Roman" w:cs="Times New Roman"/>
        </w:rPr>
        <w:t>pg</w:t>
      </w:r>
      <w:proofErr w:type="spellEnd"/>
      <w:r w:rsidRPr="005C3043">
        <w:rPr>
          <w:rFonts w:ascii="Times New Roman" w:hAnsi="Times New Roman" w:cs="Times New Roman"/>
        </w:rPr>
        <w:t xml:space="preserve">, </w:t>
      </w:r>
      <w:r w:rsidR="0009357B">
        <w:rPr>
          <w:rFonts w:ascii="Times New Roman" w:hAnsi="Times New Roman" w:cs="Times New Roman"/>
          <w:i/>
        </w:rPr>
        <w:t>P</w:t>
      </w:r>
      <w:r w:rsidRPr="005C3043">
        <w:rPr>
          <w:rFonts w:ascii="Times New Roman" w:hAnsi="Times New Roman" w:cs="Times New Roman"/>
        </w:rPr>
        <w:t xml:space="preserve"> &lt; 0.001, Figure </w:t>
      </w:r>
      <w:r w:rsidR="009A72EC" w:rsidRPr="005C3043">
        <w:rPr>
          <w:rFonts w:ascii="Times New Roman" w:hAnsi="Times New Roman" w:cs="Times New Roman"/>
        </w:rPr>
        <w:t>7</w:t>
      </w:r>
      <w:r w:rsidRPr="005C3043">
        <w:rPr>
          <w:rFonts w:ascii="Times New Roman" w:hAnsi="Times New Roman" w:cs="Times New Roman"/>
        </w:rPr>
        <w:t>A</w:t>
      </w:r>
      <w:r w:rsidR="009A72EC" w:rsidRPr="005C3043">
        <w:rPr>
          <w:rFonts w:ascii="Times New Roman" w:hAnsi="Times New Roman" w:cs="Times New Roman"/>
        </w:rPr>
        <w:t>)</w:t>
      </w:r>
      <w:r w:rsidRPr="005C3043">
        <w:rPr>
          <w:rFonts w:ascii="Times New Roman" w:hAnsi="Times New Roman" w:cs="Times New Roman"/>
        </w:rPr>
        <w:t xml:space="preserve">. The increased levels of ATP in MII oocytes </w:t>
      </w:r>
      <w:proofErr w:type="gramStart"/>
      <w:r w:rsidRPr="005C3043">
        <w:rPr>
          <w:rFonts w:ascii="Times New Roman" w:hAnsi="Times New Roman" w:cs="Times New Roman"/>
        </w:rPr>
        <w:t>is</w:t>
      </w:r>
      <w:proofErr w:type="gramEnd"/>
      <w:r w:rsidRPr="005C3043">
        <w:rPr>
          <w:rFonts w:ascii="Times New Roman" w:hAnsi="Times New Roman" w:cs="Times New Roman"/>
        </w:rPr>
        <w:t xml:space="preserve"> consistent with previously published studies of bovine oocytes </w:t>
      </w:r>
      <w:r w:rsidR="00C55223" w:rsidRPr="005C3043">
        <w:rPr>
          <w:rFonts w:ascii="Times New Roman" w:hAnsi="Times New Roman" w:cs="Times New Roman"/>
          <w:noProof/>
        </w:rPr>
        <w:t>(Stojkovic et al., 2001; Iwata et al., 2011; Scantland et al., 2014)</w:t>
      </w:r>
      <w:r w:rsidRPr="005C3043">
        <w:rPr>
          <w:rFonts w:ascii="Times New Roman" w:hAnsi="Times New Roman" w:cs="Times New Roman"/>
        </w:rPr>
        <w:t xml:space="preserve">. This further validates the accuracy of our protocol and the sensitivity of our protocol to distinguish ATP quantities between different developmental stages of oocytes. However, our values for the concentration of ATP within the oocyte were higher than those previously reported in literature </w:t>
      </w:r>
      <w:r w:rsidR="00C55223" w:rsidRPr="005C3043">
        <w:rPr>
          <w:rFonts w:ascii="Times New Roman" w:hAnsi="Times New Roman" w:cs="Times New Roman"/>
          <w:noProof/>
        </w:rPr>
        <w:t>(Stojkovic et al., 2001; Tamassia et al., 2004; Jiao et al., 2007; Iwata et al., 2011; Scantland et al., 2014; Dadarwal et al., 2017; Payton et al., 2018; Hashimoto et al., 2019)</w:t>
      </w:r>
      <w:r w:rsidRPr="005C3043">
        <w:rPr>
          <w:rFonts w:ascii="Times New Roman" w:hAnsi="Times New Roman" w:cs="Times New Roman"/>
        </w:rPr>
        <w:t>.</w:t>
      </w:r>
      <w:r w:rsidR="00775850" w:rsidRPr="005C3043">
        <w:rPr>
          <w:rFonts w:ascii="Times New Roman" w:hAnsi="Times New Roman" w:cs="Times New Roman"/>
          <w:snapToGrid w:val="0"/>
          <w:color w:val="000000"/>
          <w:lang w:eastAsia="de-DE" w:bidi="en-US"/>
        </w:rPr>
        <w:t xml:space="preserve"> </w:t>
      </w:r>
      <w:r w:rsidR="00775850" w:rsidRPr="005C3043">
        <w:rPr>
          <w:rFonts w:ascii="Times New Roman" w:hAnsi="Times New Roman" w:cs="Times New Roman"/>
          <w:lang w:bidi="en-US"/>
        </w:rPr>
        <w:t xml:space="preserve">This difference could be due to differences in assay sensitivity, oocyte dilution factors, and/or additional sources of variation in sample processing. Due to </w:t>
      </w:r>
      <w:r w:rsidR="00775850" w:rsidRPr="005C3043">
        <w:rPr>
          <w:rFonts w:ascii="Times New Roman" w:hAnsi="Times New Roman" w:cs="Times New Roman"/>
          <w:lang w:bidi="en-US"/>
        </w:rPr>
        <w:lastRenderedPageBreak/>
        <w:t>differences in assay methods and dilutions, and to allow for interstudy comparison, we suggest presenting the amount of ATP present within the oocyte as a weight measure.</w:t>
      </w:r>
    </w:p>
    <w:p w14:paraId="5569A520" w14:textId="6BC78BFF" w:rsidR="00775850" w:rsidRPr="005C3043" w:rsidRDefault="00775850" w:rsidP="00064157">
      <w:pPr>
        <w:spacing w:line="480" w:lineRule="auto"/>
        <w:jc w:val="both"/>
        <w:rPr>
          <w:rFonts w:ascii="Times New Roman" w:hAnsi="Times New Roman" w:cs="Times New Roman"/>
          <w:lang w:bidi="en-US"/>
        </w:rPr>
      </w:pPr>
      <w:r w:rsidRPr="005C3043">
        <w:rPr>
          <w:rFonts w:ascii="Times New Roman" w:hAnsi="Times New Roman" w:cs="Times New Roman"/>
        </w:rPr>
        <w:t>Mitochondrial DNA copy number was significantly different between GV and MII stage oocytes (GV=490,799.4</w:t>
      </w:r>
      <w:r w:rsidRPr="005C3043">
        <w:rPr>
          <w:rFonts w:ascii="Times New Roman" w:hAnsi="Times New Roman" w:cs="Times New Roman"/>
          <w:u w:val="single"/>
        </w:rPr>
        <w:t>+</w:t>
      </w:r>
      <w:r w:rsidRPr="005C3043">
        <w:rPr>
          <w:rFonts w:ascii="Times New Roman" w:hAnsi="Times New Roman" w:cs="Times New Roman"/>
        </w:rPr>
        <w:t>544,745.9, 1,087,126.9</w:t>
      </w:r>
      <w:r w:rsidRPr="005C3043">
        <w:rPr>
          <w:rFonts w:ascii="Times New Roman" w:hAnsi="Times New Roman" w:cs="Times New Roman"/>
          <w:u w:val="single"/>
        </w:rPr>
        <w:t>+</w:t>
      </w:r>
      <w:r w:rsidRPr="005C3043">
        <w:rPr>
          <w:rFonts w:ascii="Times New Roman" w:hAnsi="Times New Roman" w:cs="Times New Roman"/>
        </w:rPr>
        <w:t xml:space="preserve">902,202.8, </w:t>
      </w:r>
      <w:r w:rsidR="00064157" w:rsidRPr="005C3043">
        <w:rPr>
          <w:rFonts w:ascii="Times New Roman" w:hAnsi="Times New Roman" w:cs="Times New Roman"/>
          <w:i/>
          <w:iCs/>
        </w:rPr>
        <w:t>p=</w:t>
      </w:r>
      <w:r w:rsidRPr="005C3043">
        <w:rPr>
          <w:rFonts w:ascii="Times New Roman" w:hAnsi="Times New Roman" w:cs="Times New Roman"/>
        </w:rPr>
        <w:t xml:space="preserve">0.035, Figure </w:t>
      </w:r>
      <w:r w:rsidR="009A72EC" w:rsidRPr="005C3043">
        <w:rPr>
          <w:rFonts w:ascii="Times New Roman" w:hAnsi="Times New Roman" w:cs="Times New Roman"/>
        </w:rPr>
        <w:t>7</w:t>
      </w:r>
      <w:r w:rsidRPr="005C3043">
        <w:rPr>
          <w:rFonts w:ascii="Times New Roman" w:hAnsi="Times New Roman" w:cs="Times New Roman"/>
        </w:rPr>
        <w:t xml:space="preserve">B). Multiple studies have shown that, in the bovine, MII stage oocytes have significantly more copies of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than GV stage oocytes </w:t>
      </w:r>
      <w:r w:rsidR="00C55223" w:rsidRPr="005C3043">
        <w:rPr>
          <w:rFonts w:ascii="Times New Roman" w:hAnsi="Times New Roman" w:cs="Times New Roman"/>
          <w:noProof/>
        </w:rPr>
        <w:t>(Jiao et al., 2007; Iwata et al., 2011)</w:t>
      </w:r>
      <w:r w:rsidRPr="005C3043">
        <w:rPr>
          <w:rFonts w:ascii="Times New Roman" w:hAnsi="Times New Roman" w:cs="Times New Roman"/>
        </w:rPr>
        <w:t xml:space="preserve">. Additionally, the values retrieved for our assessment of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were in the same range as those previously reported for bovine oocytes </w:t>
      </w:r>
      <w:r w:rsidR="00C55223" w:rsidRPr="005C3043">
        <w:rPr>
          <w:rFonts w:ascii="Times New Roman" w:hAnsi="Times New Roman" w:cs="Times New Roman"/>
          <w:noProof/>
        </w:rPr>
        <w:t>(Tamassia et al., 2004; Jiao et al., 2007; Chiaratti et al., 2010; Iwata et al., 2011; Hashimoto et al., 2019)</w:t>
      </w:r>
      <w:r w:rsidRPr="005C3043">
        <w:rPr>
          <w:rFonts w:ascii="Times New Roman" w:hAnsi="Times New Roman" w:cs="Times New Roman"/>
        </w:rPr>
        <w:t xml:space="preserve">. </w:t>
      </w:r>
      <w:r w:rsidRPr="005C3043">
        <w:rPr>
          <w:rFonts w:ascii="Times New Roman" w:hAnsi="Times New Roman" w:cs="Times New Roman"/>
          <w:lang w:bidi="en-US"/>
        </w:rPr>
        <w:t xml:space="preserve">This experiment also validated the capability of our methods to measure a large range in </w:t>
      </w:r>
      <w:proofErr w:type="spellStart"/>
      <w:r w:rsidRPr="005C3043">
        <w:rPr>
          <w:rFonts w:ascii="Times New Roman" w:hAnsi="Times New Roman" w:cs="Times New Roman"/>
          <w:lang w:bidi="en-US"/>
        </w:rPr>
        <w:t>mtDNA</w:t>
      </w:r>
      <w:proofErr w:type="spellEnd"/>
      <w:r w:rsidRPr="005C3043">
        <w:rPr>
          <w:rFonts w:ascii="Times New Roman" w:hAnsi="Times New Roman" w:cs="Times New Roman"/>
          <w:lang w:bidi="en-US"/>
        </w:rPr>
        <w:t xml:space="preserve"> copy numbers (12,478 to 3,141,658 copies).  </w:t>
      </w:r>
    </w:p>
    <w:p w14:paraId="1CEB9B0F" w14:textId="3CAB46FC" w:rsidR="00A1566E" w:rsidRDefault="00775850" w:rsidP="00276CE1">
      <w:pPr>
        <w:spacing w:line="480" w:lineRule="auto"/>
        <w:ind w:firstLine="720"/>
        <w:jc w:val="both"/>
        <w:rPr>
          <w:rFonts w:ascii="Times New Roman" w:hAnsi="Times New Roman" w:cs="Times New Roman"/>
          <w:lang w:bidi="en-US"/>
        </w:rPr>
      </w:pPr>
      <w:r w:rsidRPr="005C3043">
        <w:rPr>
          <w:rFonts w:ascii="Times New Roman" w:hAnsi="Times New Roman" w:cs="Times New Roman"/>
        </w:rPr>
        <w:t>Mitochondrial DNA copy number and ATP content were not significantly correlated in our samples (</w:t>
      </w:r>
      <w:r w:rsidR="00064157" w:rsidRPr="005C3043">
        <w:rPr>
          <w:rFonts w:ascii="Times New Roman" w:hAnsi="Times New Roman" w:cs="Times New Roman"/>
          <w:i/>
          <w:iCs/>
        </w:rPr>
        <w:t>p=</w:t>
      </w:r>
      <w:r w:rsidRPr="005C3043">
        <w:rPr>
          <w:rFonts w:ascii="Times New Roman" w:hAnsi="Times New Roman" w:cs="Times New Roman"/>
        </w:rPr>
        <w:t xml:space="preserve">0.18, Figure </w:t>
      </w:r>
      <w:r w:rsidR="009A72EC" w:rsidRPr="005C3043">
        <w:rPr>
          <w:rFonts w:ascii="Times New Roman" w:hAnsi="Times New Roman" w:cs="Times New Roman"/>
        </w:rPr>
        <w:t>7</w:t>
      </w:r>
      <w:r w:rsidRPr="005C3043">
        <w:rPr>
          <w:rFonts w:ascii="Times New Roman" w:hAnsi="Times New Roman" w:cs="Times New Roman"/>
        </w:rPr>
        <w:t xml:space="preserve">C). Iwata et al 2011 evaluated ATP levels and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from separate pools of oocytes collected from cows of increasing age and reported a positive correlation between ATP concentration and age, but a negative correlation between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and age </w:t>
      </w:r>
      <w:r w:rsidR="00C55223" w:rsidRPr="005C3043">
        <w:rPr>
          <w:rFonts w:ascii="Times New Roman" w:hAnsi="Times New Roman" w:cs="Times New Roman"/>
          <w:noProof/>
        </w:rPr>
        <w:t>(Iwata et al., 2011)</w:t>
      </w:r>
      <w:r w:rsidRPr="005C3043">
        <w:rPr>
          <w:rFonts w:ascii="Times New Roman" w:hAnsi="Times New Roman" w:cs="Times New Roman"/>
        </w:rPr>
        <w:t xml:space="preserve">. Such results suggest a negative correlation between ATP concentration and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This was the only paper we identified that compared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to ATP level within the bovine oocyte. One potential reason for our different outcomes is that Iwata et al. 2011 utilized different pools of oocytes for analysis and our measures were from the same oocyte which allowed us to more accurately relate ATP levels to the corresponding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from the same oocyte. Studies involving other cell types have shown no </w:t>
      </w:r>
      <w:r w:rsidRPr="005C3043">
        <w:rPr>
          <w:rFonts w:ascii="Times New Roman" w:hAnsi="Times New Roman" w:cs="Times New Roman"/>
        </w:rPr>
        <w:lastRenderedPageBreak/>
        <w:t xml:space="preserve">relationship between ATP content and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as well as both positive and negative correlations between the two values</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May-Panloup et al., 2007; Jeng et al., 2008; Van Blerkom, 2011)</w:t>
      </w:r>
      <w:r w:rsidRPr="005C3043">
        <w:rPr>
          <w:rFonts w:ascii="Times New Roman" w:hAnsi="Times New Roman" w:cs="Times New Roman"/>
        </w:rPr>
        <w:t xml:space="preserve">. </w:t>
      </w:r>
      <w:r w:rsidRPr="005C3043">
        <w:rPr>
          <w:rFonts w:ascii="Times New Roman" w:hAnsi="Times New Roman" w:cs="Times New Roman"/>
          <w:lang w:bidi="en-US"/>
        </w:rPr>
        <w:t xml:space="preserve">The highly variable relationship between ATP level and </w:t>
      </w:r>
      <w:proofErr w:type="spellStart"/>
      <w:r w:rsidRPr="005C3043">
        <w:rPr>
          <w:rFonts w:ascii="Times New Roman" w:hAnsi="Times New Roman" w:cs="Times New Roman"/>
          <w:lang w:bidi="en-US"/>
        </w:rPr>
        <w:t>mtDNA</w:t>
      </w:r>
      <w:proofErr w:type="spellEnd"/>
      <w:r w:rsidRPr="005C3043">
        <w:rPr>
          <w:rFonts w:ascii="Times New Roman" w:hAnsi="Times New Roman" w:cs="Times New Roman"/>
          <w:lang w:bidi="en-US"/>
        </w:rPr>
        <w:t xml:space="preserve"> copy number suggests that there are multiple variables within the cell that are affecting ATP levels and highlights the importance of collecting multiple metabolic measurements when </w:t>
      </w:r>
      <w:proofErr w:type="gramStart"/>
      <w:r w:rsidRPr="005C3043">
        <w:rPr>
          <w:rFonts w:ascii="Times New Roman" w:hAnsi="Times New Roman" w:cs="Times New Roman"/>
          <w:lang w:bidi="en-US"/>
        </w:rPr>
        <w:t>possible</w:t>
      </w:r>
      <w:proofErr w:type="gramEnd"/>
      <w:r w:rsidRPr="005C3043">
        <w:rPr>
          <w:rFonts w:ascii="Times New Roman" w:hAnsi="Times New Roman" w:cs="Times New Roman"/>
          <w:lang w:bidi="en-US"/>
        </w:rPr>
        <w:t xml:space="preserve"> to fully elucidate the cause of altered oocyte metabolism. </w:t>
      </w:r>
    </w:p>
    <w:p w14:paraId="58DE7286" w14:textId="77777777" w:rsidR="00784DB7" w:rsidRPr="00C87A3E" w:rsidRDefault="00784DB7" w:rsidP="00276CE1">
      <w:pPr>
        <w:pStyle w:val="Diss2"/>
        <w:rPr>
          <w:lang w:bidi="en-US"/>
        </w:rPr>
      </w:pPr>
      <w:bookmarkStart w:id="59" w:name="_Toc100072182"/>
      <w:r w:rsidRPr="00C87A3E">
        <w:rPr>
          <w:lang w:bidi="en-US"/>
        </w:rPr>
        <w:t>Conclusions</w:t>
      </w:r>
      <w:bookmarkEnd w:id="59"/>
    </w:p>
    <w:p w14:paraId="68DC5346" w14:textId="06AD6C7B" w:rsidR="00784DB7" w:rsidRDefault="00784DB7" w:rsidP="00784DB7">
      <w:pPr>
        <w:spacing w:line="480" w:lineRule="auto"/>
        <w:ind w:firstLine="720"/>
        <w:jc w:val="both"/>
        <w:rPr>
          <w:rFonts w:ascii="Times New Roman" w:hAnsi="Times New Roman" w:cs="Times New Roman"/>
          <w:lang w:bidi="en-US"/>
        </w:rPr>
      </w:pPr>
      <w:bookmarkStart w:id="60" w:name="_Hlk94471366"/>
      <w:r w:rsidRPr="00C87A3E">
        <w:rPr>
          <w:rFonts w:ascii="Times New Roman" w:hAnsi="Times New Roman" w:cs="Times New Roman"/>
        </w:rPr>
        <w:t>Due to smal</w:t>
      </w:r>
      <w:r w:rsidRPr="00DC10CA">
        <w:rPr>
          <w:rFonts w:ascii="Times New Roman" w:hAnsi="Times New Roman" w:cs="Times New Roman"/>
        </w:rPr>
        <w:t xml:space="preserve">l sample volumes, many </w:t>
      </w:r>
      <w:proofErr w:type="gramStart"/>
      <w:r w:rsidRPr="00DC10CA">
        <w:rPr>
          <w:rFonts w:ascii="Times New Roman" w:hAnsi="Times New Roman" w:cs="Times New Roman"/>
        </w:rPr>
        <w:t>oocyte</w:t>
      </w:r>
      <w:proofErr w:type="gramEnd"/>
      <w:r w:rsidRPr="00DC10CA">
        <w:rPr>
          <w:rFonts w:ascii="Times New Roman" w:hAnsi="Times New Roman" w:cs="Times New Roman"/>
        </w:rPr>
        <w:t xml:space="preserve"> focused studies rely on pooled oocyte samples to have adequate substrate to perform analyses. As technology has advanced, single cell oocyte analysis is possible </w:t>
      </w:r>
      <w:r w:rsidRPr="003B6B38">
        <w:rPr>
          <w:rFonts w:ascii="Times New Roman" w:hAnsi="Times New Roman" w:cs="Times New Roman"/>
          <w:noProof/>
        </w:rPr>
        <w:t>(Kimble et al., 2018)</w:t>
      </w:r>
      <w:r w:rsidRPr="005C3043">
        <w:rPr>
          <w:rFonts w:ascii="Times New Roman" w:hAnsi="Times New Roman" w:cs="Times New Roman"/>
        </w:rPr>
        <w:t xml:space="preserve">. </w:t>
      </w:r>
      <w:r w:rsidRPr="005C3043">
        <w:rPr>
          <w:rFonts w:ascii="Times New Roman" w:hAnsi="Times New Roman" w:cs="Times New Roman"/>
          <w:lang w:bidi="en-US"/>
        </w:rPr>
        <w:t xml:space="preserve">Because ATP concentration and mitochondrial numbers within oocytes are important for downstream developmental competence, it is integral that protocols be developed to further investigate these parameters within single oocytes. This would eliminate the need to pool oocytes and retrieve average values for an oocyte population. By retrieving values for individual oocytes, one can relate ATP and </w:t>
      </w:r>
      <w:proofErr w:type="spellStart"/>
      <w:r w:rsidRPr="005C3043">
        <w:rPr>
          <w:rFonts w:ascii="Times New Roman" w:hAnsi="Times New Roman" w:cs="Times New Roman"/>
          <w:lang w:bidi="en-US"/>
        </w:rPr>
        <w:t>mtDNA</w:t>
      </w:r>
      <w:proofErr w:type="spellEnd"/>
      <w:r w:rsidRPr="005C3043">
        <w:rPr>
          <w:rFonts w:ascii="Times New Roman" w:hAnsi="Times New Roman" w:cs="Times New Roman"/>
          <w:lang w:bidi="en-US"/>
        </w:rPr>
        <w:t xml:space="preserve"> copy number values, use fewer samples for analysis, and more accurately depict intraoocyte variations in these values</w:t>
      </w:r>
      <w:bookmarkEnd w:id="60"/>
      <w:r w:rsidRPr="005C3043">
        <w:rPr>
          <w:rFonts w:ascii="Times New Roman" w:hAnsi="Times New Roman" w:cs="Times New Roman"/>
          <w:lang w:bidi="en-US"/>
        </w:rPr>
        <w:t>.</w:t>
      </w:r>
    </w:p>
    <w:p w14:paraId="46275D8F" w14:textId="6F3D1D99" w:rsidR="00A1566E" w:rsidRDefault="00A1566E" w:rsidP="00784DB7">
      <w:pPr>
        <w:spacing w:line="480" w:lineRule="auto"/>
        <w:ind w:firstLine="720"/>
        <w:jc w:val="both"/>
        <w:rPr>
          <w:rFonts w:ascii="Times New Roman" w:hAnsi="Times New Roman" w:cs="Times New Roman"/>
          <w:lang w:bidi="en-US"/>
        </w:rPr>
      </w:pPr>
    </w:p>
    <w:p w14:paraId="16A570F1" w14:textId="63EA98DA" w:rsidR="00A1566E" w:rsidRDefault="00A1566E" w:rsidP="00784DB7">
      <w:pPr>
        <w:spacing w:line="480" w:lineRule="auto"/>
        <w:ind w:firstLine="720"/>
        <w:jc w:val="both"/>
        <w:rPr>
          <w:rFonts w:ascii="Times New Roman" w:hAnsi="Times New Roman" w:cs="Times New Roman"/>
          <w:lang w:bidi="en-US"/>
        </w:rPr>
      </w:pPr>
    </w:p>
    <w:p w14:paraId="39F6D217" w14:textId="4CE68F9A" w:rsidR="00A1566E" w:rsidRDefault="00A1566E" w:rsidP="00784DB7">
      <w:pPr>
        <w:spacing w:line="480" w:lineRule="auto"/>
        <w:ind w:firstLine="720"/>
        <w:jc w:val="both"/>
        <w:rPr>
          <w:rFonts w:ascii="Times New Roman" w:hAnsi="Times New Roman" w:cs="Times New Roman"/>
          <w:lang w:bidi="en-US"/>
        </w:rPr>
      </w:pPr>
    </w:p>
    <w:p w14:paraId="441FD937" w14:textId="14DCFDC2" w:rsidR="00A1566E" w:rsidRDefault="00A1566E" w:rsidP="00784DB7">
      <w:pPr>
        <w:spacing w:line="480" w:lineRule="auto"/>
        <w:ind w:firstLine="720"/>
        <w:jc w:val="both"/>
        <w:rPr>
          <w:rFonts w:ascii="Times New Roman" w:hAnsi="Times New Roman" w:cs="Times New Roman"/>
          <w:lang w:bidi="en-US"/>
        </w:rPr>
      </w:pPr>
    </w:p>
    <w:p w14:paraId="7CFFA8BB" w14:textId="76F9030B" w:rsidR="00A1566E" w:rsidRDefault="00A1566E" w:rsidP="00784DB7">
      <w:pPr>
        <w:spacing w:line="480" w:lineRule="auto"/>
        <w:ind w:firstLine="720"/>
        <w:jc w:val="both"/>
        <w:rPr>
          <w:rFonts w:ascii="Times New Roman" w:hAnsi="Times New Roman" w:cs="Times New Roman"/>
          <w:lang w:bidi="en-US"/>
        </w:rPr>
      </w:pPr>
    </w:p>
    <w:p w14:paraId="1F147373" w14:textId="77777777" w:rsidR="00A1566E" w:rsidRPr="005C3043" w:rsidRDefault="00A1566E" w:rsidP="00412E33">
      <w:pPr>
        <w:spacing w:line="480" w:lineRule="auto"/>
        <w:jc w:val="both"/>
        <w:rPr>
          <w:rFonts w:ascii="Times New Roman" w:hAnsi="Times New Roman" w:cs="Times New Roman"/>
          <w:lang w:bidi="en-US"/>
        </w:rPr>
      </w:pPr>
    </w:p>
    <w:p w14:paraId="305061EF" w14:textId="3AA7C174" w:rsidR="00775850" w:rsidRPr="00A42976" w:rsidRDefault="00E34316" w:rsidP="00154DC0">
      <w:pPr>
        <w:spacing w:line="480" w:lineRule="auto"/>
        <w:rPr>
          <w:rFonts w:ascii="Times New Roman" w:hAnsi="Times New Roman" w:cs="Times New Roman"/>
          <w:lang w:bidi="en-US"/>
        </w:rPr>
      </w:pPr>
      <w:r w:rsidRPr="00A42976">
        <w:rPr>
          <w:rFonts w:ascii="Times New Roman" w:hAnsi="Times New Roman" w:cs="Times New Roman"/>
          <w:noProof/>
          <w:lang w:bidi="en-US"/>
        </w:rPr>
        <w:lastRenderedPageBreak/>
        <w:drawing>
          <wp:inline distT="0" distB="0" distL="0" distR="0" wp14:anchorId="50B56185" wp14:editId="13AED8D6">
            <wp:extent cx="5486400" cy="191008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TP_fig.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86400" cy="1910080"/>
                    </a:xfrm>
                    <a:prstGeom prst="rect">
                      <a:avLst/>
                    </a:prstGeom>
                  </pic:spPr>
                </pic:pic>
              </a:graphicData>
            </a:graphic>
          </wp:inline>
        </w:drawing>
      </w:r>
    </w:p>
    <w:p w14:paraId="16C9EE09" w14:textId="5480961E" w:rsidR="00775850" w:rsidRPr="000B5F79" w:rsidRDefault="00775850" w:rsidP="00064157">
      <w:pPr>
        <w:jc w:val="both"/>
        <w:rPr>
          <w:rFonts w:ascii="Times New Roman" w:hAnsi="Times New Roman" w:cs="Times New Roman"/>
          <w:lang w:bidi="en-US"/>
        </w:rPr>
      </w:pPr>
      <w:r w:rsidRPr="00A42976">
        <w:rPr>
          <w:rFonts w:ascii="Times New Roman" w:hAnsi="Times New Roman" w:cs="Times New Roman"/>
          <w:b/>
          <w:lang w:bidi="en-US"/>
        </w:rPr>
        <w:t xml:space="preserve">Figure </w:t>
      </w:r>
      <w:r w:rsidR="009A72EC" w:rsidRPr="00A42976">
        <w:rPr>
          <w:rFonts w:ascii="Times New Roman" w:hAnsi="Times New Roman" w:cs="Times New Roman"/>
          <w:b/>
          <w:lang w:bidi="en-US"/>
        </w:rPr>
        <w:t>7</w:t>
      </w:r>
      <w:r w:rsidRPr="00A42976">
        <w:rPr>
          <w:rFonts w:ascii="Times New Roman" w:hAnsi="Times New Roman" w:cs="Times New Roman"/>
          <w:b/>
          <w:lang w:bidi="en-US"/>
        </w:rPr>
        <w:t>.</w:t>
      </w:r>
      <w:r w:rsidRPr="00A42976">
        <w:rPr>
          <w:rFonts w:ascii="Times New Roman" w:hAnsi="Times New Roman" w:cs="Times New Roman"/>
          <w:lang w:bidi="en-US"/>
        </w:rPr>
        <w:t xml:space="preserve"> (A) Violin plot depicting the differences in ATP quantity within single GV stage and MII stage oocytes. (B) Violin plot depicting the natural log of the differences in </w:t>
      </w:r>
      <w:proofErr w:type="spellStart"/>
      <w:r w:rsidRPr="00A42976">
        <w:rPr>
          <w:rFonts w:ascii="Times New Roman" w:hAnsi="Times New Roman" w:cs="Times New Roman"/>
          <w:lang w:bidi="en-US"/>
        </w:rPr>
        <w:t>mtDNA</w:t>
      </w:r>
      <w:proofErr w:type="spellEnd"/>
      <w:r w:rsidRPr="00A42976">
        <w:rPr>
          <w:rFonts w:ascii="Times New Roman" w:hAnsi="Times New Roman" w:cs="Times New Roman"/>
          <w:lang w:bidi="en-US"/>
        </w:rPr>
        <w:t xml:space="preserve"> copy number between single GV stage and MII stage oocytes. (C) Scatterplot depicting the relationship betwe</w:t>
      </w:r>
      <w:r w:rsidRPr="000B5F79">
        <w:rPr>
          <w:rFonts w:ascii="Times New Roman" w:hAnsi="Times New Roman" w:cs="Times New Roman"/>
          <w:lang w:bidi="en-US"/>
        </w:rPr>
        <w:t xml:space="preserve">en the ATP quantity and natural log of the </w:t>
      </w:r>
      <w:proofErr w:type="spellStart"/>
      <w:r w:rsidRPr="000B5F79">
        <w:rPr>
          <w:rFonts w:ascii="Times New Roman" w:hAnsi="Times New Roman" w:cs="Times New Roman"/>
          <w:lang w:bidi="en-US"/>
        </w:rPr>
        <w:t>mtDNA</w:t>
      </w:r>
      <w:proofErr w:type="spellEnd"/>
      <w:r w:rsidRPr="000B5F79">
        <w:rPr>
          <w:rFonts w:ascii="Times New Roman" w:hAnsi="Times New Roman" w:cs="Times New Roman"/>
          <w:lang w:bidi="en-US"/>
        </w:rPr>
        <w:t xml:space="preserve"> copy number within individual oocytes. </w:t>
      </w:r>
    </w:p>
    <w:p w14:paraId="33D23D79" w14:textId="20E23726" w:rsidR="00695799" w:rsidRDefault="00695799" w:rsidP="00154DC0">
      <w:pPr>
        <w:spacing w:line="480" w:lineRule="auto"/>
        <w:rPr>
          <w:rFonts w:ascii="Times New Roman" w:hAnsi="Times New Roman" w:cs="Times New Roman"/>
          <w:lang w:bidi="en-US"/>
        </w:rPr>
      </w:pPr>
    </w:p>
    <w:p w14:paraId="216A8167" w14:textId="0DF302AB" w:rsidR="00784DB7" w:rsidRDefault="00784DB7" w:rsidP="00154DC0">
      <w:pPr>
        <w:spacing w:line="480" w:lineRule="auto"/>
        <w:rPr>
          <w:rFonts w:ascii="Times New Roman" w:hAnsi="Times New Roman" w:cs="Times New Roman"/>
          <w:lang w:bidi="en-US"/>
        </w:rPr>
      </w:pPr>
    </w:p>
    <w:p w14:paraId="3EBA2114" w14:textId="0593D6A2" w:rsidR="00784DB7" w:rsidRDefault="00784DB7" w:rsidP="00154DC0">
      <w:pPr>
        <w:spacing w:line="480" w:lineRule="auto"/>
        <w:rPr>
          <w:rFonts w:ascii="Times New Roman" w:hAnsi="Times New Roman" w:cs="Times New Roman"/>
          <w:lang w:bidi="en-US"/>
        </w:rPr>
      </w:pPr>
    </w:p>
    <w:p w14:paraId="139DBA94" w14:textId="250B7C4F" w:rsidR="00784DB7" w:rsidRDefault="00784DB7" w:rsidP="00154DC0">
      <w:pPr>
        <w:spacing w:line="480" w:lineRule="auto"/>
        <w:rPr>
          <w:rFonts w:ascii="Times New Roman" w:hAnsi="Times New Roman" w:cs="Times New Roman"/>
          <w:lang w:bidi="en-US"/>
        </w:rPr>
      </w:pPr>
    </w:p>
    <w:p w14:paraId="44ACB38C" w14:textId="3070DB53" w:rsidR="00784DB7" w:rsidRDefault="00784DB7" w:rsidP="00154DC0">
      <w:pPr>
        <w:spacing w:line="480" w:lineRule="auto"/>
        <w:rPr>
          <w:rFonts w:ascii="Times New Roman" w:hAnsi="Times New Roman" w:cs="Times New Roman"/>
          <w:lang w:bidi="en-US"/>
        </w:rPr>
      </w:pPr>
    </w:p>
    <w:p w14:paraId="749AD458" w14:textId="72D121F6" w:rsidR="00784DB7" w:rsidRDefault="00784DB7" w:rsidP="00154DC0">
      <w:pPr>
        <w:spacing w:line="480" w:lineRule="auto"/>
        <w:rPr>
          <w:rFonts w:ascii="Times New Roman" w:hAnsi="Times New Roman" w:cs="Times New Roman"/>
          <w:lang w:bidi="en-US"/>
        </w:rPr>
      </w:pPr>
    </w:p>
    <w:p w14:paraId="5C10CD15" w14:textId="0B987C11" w:rsidR="00784DB7" w:rsidRDefault="00784DB7" w:rsidP="00154DC0">
      <w:pPr>
        <w:spacing w:line="480" w:lineRule="auto"/>
        <w:rPr>
          <w:rFonts w:ascii="Times New Roman" w:hAnsi="Times New Roman" w:cs="Times New Roman"/>
          <w:lang w:bidi="en-US"/>
        </w:rPr>
      </w:pPr>
    </w:p>
    <w:p w14:paraId="73DC5F0E" w14:textId="683795D8" w:rsidR="00784DB7" w:rsidRDefault="00784DB7" w:rsidP="00154DC0">
      <w:pPr>
        <w:spacing w:line="480" w:lineRule="auto"/>
        <w:rPr>
          <w:rFonts w:ascii="Times New Roman" w:hAnsi="Times New Roman" w:cs="Times New Roman"/>
          <w:lang w:bidi="en-US"/>
        </w:rPr>
      </w:pPr>
    </w:p>
    <w:p w14:paraId="377C5FC1" w14:textId="39723240" w:rsidR="00784DB7" w:rsidRDefault="00784DB7" w:rsidP="00154DC0">
      <w:pPr>
        <w:spacing w:line="480" w:lineRule="auto"/>
        <w:rPr>
          <w:rFonts w:ascii="Times New Roman" w:hAnsi="Times New Roman" w:cs="Times New Roman"/>
          <w:lang w:bidi="en-US"/>
        </w:rPr>
      </w:pPr>
    </w:p>
    <w:p w14:paraId="6CFE917F" w14:textId="7D20A394" w:rsidR="00784DB7" w:rsidRDefault="00784DB7" w:rsidP="00154DC0">
      <w:pPr>
        <w:spacing w:line="480" w:lineRule="auto"/>
        <w:rPr>
          <w:rFonts w:ascii="Times New Roman" w:hAnsi="Times New Roman" w:cs="Times New Roman"/>
          <w:lang w:bidi="en-US"/>
        </w:rPr>
      </w:pPr>
    </w:p>
    <w:p w14:paraId="68305B13" w14:textId="2222E0EA" w:rsidR="00784DB7" w:rsidRDefault="00784DB7" w:rsidP="00154DC0">
      <w:pPr>
        <w:spacing w:line="480" w:lineRule="auto"/>
        <w:rPr>
          <w:rFonts w:ascii="Times New Roman" w:hAnsi="Times New Roman" w:cs="Times New Roman"/>
          <w:lang w:bidi="en-US"/>
        </w:rPr>
      </w:pPr>
    </w:p>
    <w:p w14:paraId="2F1B31E6" w14:textId="41560392" w:rsidR="00784DB7" w:rsidRDefault="00784DB7" w:rsidP="00154DC0">
      <w:pPr>
        <w:spacing w:line="480" w:lineRule="auto"/>
        <w:rPr>
          <w:rFonts w:ascii="Times New Roman" w:hAnsi="Times New Roman" w:cs="Times New Roman"/>
          <w:lang w:bidi="en-US"/>
        </w:rPr>
      </w:pPr>
    </w:p>
    <w:p w14:paraId="1BD3C8AA" w14:textId="26C5E652" w:rsidR="00784DB7" w:rsidRDefault="00784DB7" w:rsidP="00154DC0">
      <w:pPr>
        <w:spacing w:line="480" w:lineRule="auto"/>
        <w:rPr>
          <w:rFonts w:ascii="Times New Roman" w:hAnsi="Times New Roman" w:cs="Times New Roman"/>
          <w:lang w:bidi="en-US"/>
        </w:rPr>
      </w:pPr>
    </w:p>
    <w:p w14:paraId="112192FC" w14:textId="77777777" w:rsidR="00784DB7" w:rsidRPr="005C3043" w:rsidRDefault="00784DB7" w:rsidP="00154DC0">
      <w:pPr>
        <w:spacing w:line="480" w:lineRule="auto"/>
        <w:rPr>
          <w:rFonts w:ascii="Times New Roman" w:hAnsi="Times New Roman" w:cs="Times New Roman"/>
          <w:lang w:bidi="en-US"/>
        </w:rPr>
      </w:pPr>
    </w:p>
    <w:p w14:paraId="42990F34" w14:textId="27F178C7" w:rsidR="00C61C4F" w:rsidRPr="004D1B7C" w:rsidRDefault="00C61C4F" w:rsidP="004D1B7C">
      <w:pPr>
        <w:pStyle w:val="Heading1"/>
        <w:rPr>
          <w:rFonts w:ascii="Times New Roman" w:hAnsi="Times New Roman" w:cs="Times New Roman"/>
        </w:rPr>
      </w:pPr>
      <w:bookmarkStart w:id="61" w:name="_Toc100072183"/>
      <w:r w:rsidRPr="004D1B7C">
        <w:rPr>
          <w:rFonts w:ascii="Times New Roman" w:hAnsi="Times New Roman" w:cs="Times New Roman"/>
        </w:rPr>
        <w:lastRenderedPageBreak/>
        <w:t>CHAPTER I</w:t>
      </w:r>
      <w:r w:rsidR="00C47D94" w:rsidRPr="004D1B7C">
        <w:rPr>
          <w:rFonts w:ascii="Times New Roman" w:hAnsi="Times New Roman" w:cs="Times New Roman"/>
        </w:rPr>
        <w:t>V</w:t>
      </w:r>
      <w:bookmarkEnd w:id="61"/>
    </w:p>
    <w:p w14:paraId="28685E8F" w14:textId="73BECEFE" w:rsidR="00C61C4F" w:rsidRPr="004D1B7C" w:rsidRDefault="00412E33" w:rsidP="004D1B7C">
      <w:pPr>
        <w:pStyle w:val="Heading1"/>
        <w:rPr>
          <w:rFonts w:ascii="Times New Roman" w:hAnsi="Times New Roman" w:cs="Times New Roman"/>
        </w:rPr>
      </w:pPr>
      <w:bookmarkStart w:id="62" w:name="_Toc100072184"/>
      <w:r w:rsidRPr="004D1B7C">
        <w:rPr>
          <w:rFonts w:ascii="Times New Roman" w:hAnsi="Times New Roman" w:cs="Times New Roman"/>
        </w:rPr>
        <w:t>PRE-OVULATORY SERUM ESTRADIOL CONCENTRATION IS POSITIVELY CORRELATED WITH OOCYTE ATP AND FOLLICULAR FLUID METABOLITE ABUNDANCE</w:t>
      </w:r>
      <w:bookmarkEnd w:id="62"/>
    </w:p>
    <w:p w14:paraId="3980CBD6" w14:textId="54CA4999" w:rsidR="00C61C4F" w:rsidRPr="005C3043" w:rsidRDefault="00C61C4F" w:rsidP="00154DC0">
      <w:pPr>
        <w:spacing w:line="480" w:lineRule="auto"/>
        <w:rPr>
          <w:rFonts w:ascii="Times New Roman" w:hAnsi="Times New Roman" w:cs="Times New Roman"/>
          <w:b/>
        </w:rPr>
      </w:pPr>
      <w:r w:rsidRPr="005C3043">
        <w:rPr>
          <w:rFonts w:ascii="Times New Roman" w:hAnsi="Times New Roman" w:cs="Times New Roman"/>
          <w:b/>
        </w:rPr>
        <w:br w:type="page"/>
      </w:r>
    </w:p>
    <w:p w14:paraId="0A9957A3" w14:textId="6601FE82" w:rsidR="00C61C4F" w:rsidRPr="005C3043" w:rsidRDefault="00C61C4F" w:rsidP="00A42976">
      <w:pPr>
        <w:jc w:val="both"/>
        <w:rPr>
          <w:rFonts w:ascii="Times New Roman" w:hAnsi="Times New Roman" w:cs="Times New Roman"/>
        </w:rPr>
      </w:pPr>
      <w:r w:rsidRPr="005C3043">
        <w:rPr>
          <w:rFonts w:ascii="Times New Roman" w:hAnsi="Times New Roman" w:cs="Times New Roman"/>
        </w:rPr>
        <w:lastRenderedPageBreak/>
        <w:t xml:space="preserve">A version of this chapter will be published by Casey Read and Sarah </w:t>
      </w:r>
      <w:proofErr w:type="spellStart"/>
      <w:r w:rsidRPr="005C3043">
        <w:rPr>
          <w:rFonts w:ascii="Times New Roman" w:hAnsi="Times New Roman" w:cs="Times New Roman"/>
        </w:rPr>
        <w:t>Moorey</w:t>
      </w:r>
      <w:proofErr w:type="spellEnd"/>
      <w:r w:rsidRPr="005C3043">
        <w:rPr>
          <w:rFonts w:ascii="Times New Roman" w:hAnsi="Times New Roman" w:cs="Times New Roman"/>
        </w:rPr>
        <w:t>:</w:t>
      </w:r>
    </w:p>
    <w:p w14:paraId="7BC4388A" w14:textId="77777777" w:rsidR="00C61C4F" w:rsidRPr="005C3043" w:rsidRDefault="00C61C4F" w:rsidP="000B5F79">
      <w:pPr>
        <w:jc w:val="both"/>
        <w:rPr>
          <w:rFonts w:ascii="Times New Roman" w:hAnsi="Times New Roman" w:cs="Times New Roman"/>
        </w:rPr>
      </w:pPr>
      <w:r w:rsidRPr="005C3043">
        <w:rPr>
          <w:rFonts w:ascii="Times New Roman" w:hAnsi="Times New Roman" w:cs="Times New Roman"/>
        </w:rPr>
        <w:t xml:space="preserve">Casey C. Read, J. </w:t>
      </w:r>
      <w:proofErr w:type="spellStart"/>
      <w:r w:rsidRPr="005C3043">
        <w:rPr>
          <w:rFonts w:ascii="Times New Roman" w:hAnsi="Times New Roman" w:cs="Times New Roman"/>
        </w:rPr>
        <w:t>Lannett</w:t>
      </w:r>
      <w:proofErr w:type="spellEnd"/>
      <w:r w:rsidRPr="005C3043">
        <w:rPr>
          <w:rFonts w:ascii="Times New Roman" w:hAnsi="Times New Roman" w:cs="Times New Roman"/>
        </w:rPr>
        <w:t xml:space="preserve"> Edwards, F. Neal </w:t>
      </w:r>
      <w:proofErr w:type="spellStart"/>
      <w:r w:rsidRPr="005C3043">
        <w:rPr>
          <w:rFonts w:ascii="Times New Roman" w:hAnsi="Times New Roman" w:cs="Times New Roman"/>
        </w:rPr>
        <w:t>Schrick</w:t>
      </w:r>
      <w:proofErr w:type="spellEnd"/>
      <w:r w:rsidRPr="005C3043">
        <w:rPr>
          <w:rFonts w:ascii="Times New Roman" w:hAnsi="Times New Roman" w:cs="Times New Roman"/>
        </w:rPr>
        <w:t xml:space="preserve">, Justin D. Rhinehart, Rebecca R. Payton, Shawn R. Campagna, Hector F. Castro, Jessica L. </w:t>
      </w:r>
      <w:proofErr w:type="spellStart"/>
      <w:r w:rsidRPr="005C3043">
        <w:rPr>
          <w:rFonts w:ascii="Times New Roman" w:hAnsi="Times New Roman" w:cs="Times New Roman"/>
        </w:rPr>
        <w:t>Klabnik</w:t>
      </w:r>
      <w:proofErr w:type="spellEnd"/>
      <w:r w:rsidRPr="005C3043">
        <w:rPr>
          <w:rFonts w:ascii="Times New Roman" w:hAnsi="Times New Roman" w:cs="Times New Roman"/>
          <w:vertAlign w:val="superscript"/>
        </w:rPr>
        <w:t>,</w:t>
      </w:r>
      <w:r w:rsidRPr="005C3043">
        <w:rPr>
          <w:rFonts w:ascii="Times New Roman" w:hAnsi="Times New Roman" w:cs="Times New Roman"/>
        </w:rPr>
        <w:t xml:space="preserve"> and Sarah E. </w:t>
      </w:r>
      <w:proofErr w:type="spellStart"/>
      <w:r w:rsidRPr="005C3043">
        <w:rPr>
          <w:rFonts w:ascii="Times New Roman" w:hAnsi="Times New Roman" w:cs="Times New Roman"/>
        </w:rPr>
        <w:t>Moorey</w:t>
      </w:r>
      <w:proofErr w:type="spellEnd"/>
      <w:r w:rsidRPr="005C3043">
        <w:rPr>
          <w:rFonts w:ascii="Times New Roman" w:hAnsi="Times New Roman" w:cs="Times New Roman"/>
        </w:rPr>
        <w:t xml:space="preserve">. “Pre-ovulatory serum estradiol concentration is positively correlated with oocyte ATP and follicular fluid metabolite abundance.” </w:t>
      </w:r>
    </w:p>
    <w:p w14:paraId="68AB8200" w14:textId="77777777" w:rsidR="00C61C4F" w:rsidRPr="005C3043" w:rsidRDefault="00C61C4F" w:rsidP="005C3043">
      <w:pPr>
        <w:jc w:val="both"/>
        <w:rPr>
          <w:rFonts w:ascii="Times New Roman" w:hAnsi="Times New Roman" w:cs="Times New Roman"/>
        </w:rPr>
      </w:pPr>
    </w:p>
    <w:p w14:paraId="7F980958" w14:textId="3B602871" w:rsidR="003B693B" w:rsidRDefault="00C61C4F" w:rsidP="00C87A3E">
      <w:pPr>
        <w:jc w:val="both"/>
        <w:rPr>
          <w:rFonts w:ascii="Times New Roman" w:hAnsi="Times New Roman" w:cs="Times New Roman"/>
          <w:lang w:bidi="en-US"/>
        </w:rPr>
      </w:pPr>
      <w:r w:rsidRPr="005C3043">
        <w:rPr>
          <w:rFonts w:ascii="Times New Roman" w:hAnsi="Times New Roman" w:cs="Times New Roman"/>
          <w:lang w:bidi="en-US"/>
        </w:rPr>
        <w:t xml:space="preserve">Conceptualization, Sarah </w:t>
      </w:r>
      <w:proofErr w:type="spellStart"/>
      <w:r w:rsidRPr="005C3043">
        <w:rPr>
          <w:rFonts w:ascii="Times New Roman" w:hAnsi="Times New Roman" w:cs="Times New Roman"/>
          <w:lang w:bidi="en-US"/>
        </w:rPr>
        <w:t>Moorey</w:t>
      </w:r>
      <w:proofErr w:type="spellEnd"/>
      <w:r w:rsidRPr="005C3043">
        <w:rPr>
          <w:rFonts w:ascii="Times New Roman" w:hAnsi="Times New Roman" w:cs="Times New Roman"/>
          <w:lang w:bidi="en-US"/>
        </w:rPr>
        <w:t xml:space="preserve">; Data curation, Casey Read, Shawn Campagna, Hector Castro and Sarah </w:t>
      </w:r>
      <w:proofErr w:type="spellStart"/>
      <w:r w:rsidRPr="005C3043">
        <w:rPr>
          <w:rFonts w:ascii="Times New Roman" w:hAnsi="Times New Roman" w:cs="Times New Roman"/>
          <w:lang w:bidi="en-US"/>
        </w:rPr>
        <w:t>Moorey</w:t>
      </w:r>
      <w:proofErr w:type="spellEnd"/>
      <w:r w:rsidRPr="005C3043">
        <w:rPr>
          <w:rFonts w:ascii="Times New Roman" w:hAnsi="Times New Roman" w:cs="Times New Roman"/>
          <w:lang w:bidi="en-US"/>
        </w:rPr>
        <w:t xml:space="preserve">; Formal analysis, Casey Read and Sarah </w:t>
      </w:r>
      <w:proofErr w:type="spellStart"/>
      <w:r w:rsidRPr="005C3043">
        <w:rPr>
          <w:rFonts w:ascii="Times New Roman" w:hAnsi="Times New Roman" w:cs="Times New Roman"/>
          <w:lang w:bidi="en-US"/>
        </w:rPr>
        <w:t>Moorey</w:t>
      </w:r>
      <w:proofErr w:type="spellEnd"/>
      <w:r w:rsidRPr="005C3043">
        <w:rPr>
          <w:rFonts w:ascii="Times New Roman" w:hAnsi="Times New Roman" w:cs="Times New Roman"/>
          <w:lang w:bidi="en-US"/>
        </w:rPr>
        <w:t xml:space="preserve">; Investigation, Casey Read, F. </w:t>
      </w:r>
      <w:proofErr w:type="spellStart"/>
      <w:r w:rsidRPr="005C3043">
        <w:rPr>
          <w:rFonts w:ascii="Times New Roman" w:hAnsi="Times New Roman" w:cs="Times New Roman"/>
          <w:lang w:bidi="en-US"/>
        </w:rPr>
        <w:t>Schrick</w:t>
      </w:r>
      <w:proofErr w:type="spellEnd"/>
      <w:r w:rsidRPr="005C3043">
        <w:rPr>
          <w:rFonts w:ascii="Times New Roman" w:hAnsi="Times New Roman" w:cs="Times New Roman"/>
          <w:lang w:bidi="en-US"/>
        </w:rPr>
        <w:t xml:space="preserve">, Justin Rhinehart, Rebecca Payton, Jessica </w:t>
      </w:r>
      <w:proofErr w:type="spellStart"/>
      <w:r w:rsidRPr="005C3043">
        <w:rPr>
          <w:rFonts w:ascii="Times New Roman" w:hAnsi="Times New Roman" w:cs="Times New Roman"/>
          <w:lang w:bidi="en-US"/>
        </w:rPr>
        <w:t>Klabnik</w:t>
      </w:r>
      <w:proofErr w:type="spellEnd"/>
      <w:r w:rsidRPr="005C3043">
        <w:rPr>
          <w:rFonts w:ascii="Times New Roman" w:hAnsi="Times New Roman" w:cs="Times New Roman"/>
          <w:lang w:bidi="en-US"/>
        </w:rPr>
        <w:t xml:space="preserve">, and Sarah </w:t>
      </w:r>
      <w:proofErr w:type="spellStart"/>
      <w:r w:rsidRPr="005C3043">
        <w:rPr>
          <w:rFonts w:ascii="Times New Roman" w:hAnsi="Times New Roman" w:cs="Times New Roman"/>
          <w:lang w:bidi="en-US"/>
        </w:rPr>
        <w:t>Moorey</w:t>
      </w:r>
      <w:proofErr w:type="spellEnd"/>
      <w:r w:rsidRPr="005C3043">
        <w:rPr>
          <w:rFonts w:ascii="Times New Roman" w:hAnsi="Times New Roman" w:cs="Times New Roman"/>
          <w:lang w:bidi="en-US"/>
        </w:rPr>
        <w:t xml:space="preserve">; Methodology, J. Edwards, F. </w:t>
      </w:r>
      <w:proofErr w:type="spellStart"/>
      <w:r w:rsidRPr="005C3043">
        <w:rPr>
          <w:rFonts w:ascii="Times New Roman" w:hAnsi="Times New Roman" w:cs="Times New Roman"/>
          <w:lang w:bidi="en-US"/>
        </w:rPr>
        <w:t>Schrick</w:t>
      </w:r>
      <w:proofErr w:type="spellEnd"/>
      <w:r w:rsidRPr="005C3043">
        <w:rPr>
          <w:rFonts w:ascii="Times New Roman" w:hAnsi="Times New Roman" w:cs="Times New Roman"/>
          <w:lang w:bidi="en-US"/>
        </w:rPr>
        <w:t xml:space="preserve"> and Sarah </w:t>
      </w:r>
      <w:proofErr w:type="spellStart"/>
      <w:r w:rsidRPr="005C3043">
        <w:rPr>
          <w:rFonts w:ascii="Times New Roman" w:hAnsi="Times New Roman" w:cs="Times New Roman"/>
          <w:lang w:bidi="en-US"/>
        </w:rPr>
        <w:t>Moorey</w:t>
      </w:r>
      <w:proofErr w:type="spellEnd"/>
      <w:r w:rsidRPr="005C3043">
        <w:rPr>
          <w:rFonts w:ascii="Times New Roman" w:hAnsi="Times New Roman" w:cs="Times New Roman"/>
          <w:lang w:bidi="en-US"/>
        </w:rPr>
        <w:t xml:space="preserve">; Project administration, Sarah </w:t>
      </w:r>
      <w:proofErr w:type="spellStart"/>
      <w:r w:rsidRPr="005C3043">
        <w:rPr>
          <w:rFonts w:ascii="Times New Roman" w:hAnsi="Times New Roman" w:cs="Times New Roman"/>
          <w:lang w:bidi="en-US"/>
        </w:rPr>
        <w:t>Moorey</w:t>
      </w:r>
      <w:proofErr w:type="spellEnd"/>
      <w:r w:rsidRPr="005C3043">
        <w:rPr>
          <w:rFonts w:ascii="Times New Roman" w:hAnsi="Times New Roman" w:cs="Times New Roman"/>
          <w:lang w:bidi="en-US"/>
        </w:rPr>
        <w:t xml:space="preserve">; Resources, Shawn Campagna, Hector Castro and Sarah </w:t>
      </w:r>
      <w:proofErr w:type="spellStart"/>
      <w:r w:rsidRPr="005C3043">
        <w:rPr>
          <w:rFonts w:ascii="Times New Roman" w:hAnsi="Times New Roman" w:cs="Times New Roman"/>
          <w:lang w:bidi="en-US"/>
        </w:rPr>
        <w:t>Moorey</w:t>
      </w:r>
      <w:proofErr w:type="spellEnd"/>
      <w:r w:rsidRPr="005C3043">
        <w:rPr>
          <w:rFonts w:ascii="Times New Roman" w:hAnsi="Times New Roman" w:cs="Times New Roman"/>
          <w:lang w:bidi="en-US"/>
        </w:rPr>
        <w:t xml:space="preserve">; Software, Casey Read and Sarah </w:t>
      </w:r>
      <w:proofErr w:type="spellStart"/>
      <w:r w:rsidRPr="005C3043">
        <w:rPr>
          <w:rFonts w:ascii="Times New Roman" w:hAnsi="Times New Roman" w:cs="Times New Roman"/>
          <w:lang w:bidi="en-US"/>
        </w:rPr>
        <w:t>Moorey</w:t>
      </w:r>
      <w:proofErr w:type="spellEnd"/>
      <w:r w:rsidRPr="005C3043">
        <w:rPr>
          <w:rFonts w:ascii="Times New Roman" w:hAnsi="Times New Roman" w:cs="Times New Roman"/>
          <w:lang w:bidi="en-US"/>
        </w:rPr>
        <w:t xml:space="preserve">; Supervision, Sarah </w:t>
      </w:r>
      <w:proofErr w:type="spellStart"/>
      <w:r w:rsidRPr="005C3043">
        <w:rPr>
          <w:rFonts w:ascii="Times New Roman" w:hAnsi="Times New Roman" w:cs="Times New Roman"/>
          <w:lang w:bidi="en-US"/>
        </w:rPr>
        <w:t>Moorey</w:t>
      </w:r>
      <w:proofErr w:type="spellEnd"/>
      <w:r w:rsidRPr="005C3043">
        <w:rPr>
          <w:rFonts w:ascii="Times New Roman" w:hAnsi="Times New Roman" w:cs="Times New Roman"/>
          <w:lang w:bidi="en-US"/>
        </w:rPr>
        <w:t xml:space="preserve">; Visualization, Casey Read and Sarah </w:t>
      </w:r>
      <w:proofErr w:type="spellStart"/>
      <w:r w:rsidRPr="005C3043">
        <w:rPr>
          <w:rFonts w:ascii="Times New Roman" w:hAnsi="Times New Roman" w:cs="Times New Roman"/>
          <w:lang w:bidi="en-US"/>
        </w:rPr>
        <w:t>Moorey</w:t>
      </w:r>
      <w:proofErr w:type="spellEnd"/>
      <w:r w:rsidRPr="005C3043">
        <w:rPr>
          <w:rFonts w:ascii="Times New Roman" w:hAnsi="Times New Roman" w:cs="Times New Roman"/>
          <w:lang w:bidi="en-US"/>
        </w:rPr>
        <w:t xml:space="preserve">; Writing – original draft, Casey Read and Sarah </w:t>
      </w:r>
      <w:proofErr w:type="spellStart"/>
      <w:r w:rsidRPr="005C3043">
        <w:rPr>
          <w:rFonts w:ascii="Times New Roman" w:hAnsi="Times New Roman" w:cs="Times New Roman"/>
          <w:lang w:bidi="en-US"/>
        </w:rPr>
        <w:t>Moorey</w:t>
      </w:r>
      <w:proofErr w:type="spellEnd"/>
      <w:r w:rsidRPr="005C3043">
        <w:rPr>
          <w:rFonts w:ascii="Times New Roman" w:hAnsi="Times New Roman" w:cs="Times New Roman"/>
          <w:lang w:bidi="en-US"/>
        </w:rPr>
        <w:t xml:space="preserve">; Writing – review &amp; editing, J. Edwards, F. </w:t>
      </w:r>
      <w:proofErr w:type="spellStart"/>
      <w:r w:rsidRPr="005C3043">
        <w:rPr>
          <w:rFonts w:ascii="Times New Roman" w:hAnsi="Times New Roman" w:cs="Times New Roman"/>
          <w:lang w:bidi="en-US"/>
        </w:rPr>
        <w:t>Schrick</w:t>
      </w:r>
      <w:proofErr w:type="spellEnd"/>
      <w:r w:rsidRPr="005C3043">
        <w:rPr>
          <w:rFonts w:ascii="Times New Roman" w:hAnsi="Times New Roman" w:cs="Times New Roman"/>
          <w:lang w:bidi="en-US"/>
        </w:rPr>
        <w:t xml:space="preserve">, Justin Rhinehart, Rebecca Payton, Shawn Campagna, Hector Castro and Jessica </w:t>
      </w:r>
      <w:proofErr w:type="spellStart"/>
      <w:r w:rsidRPr="005C3043">
        <w:rPr>
          <w:rFonts w:ascii="Times New Roman" w:hAnsi="Times New Roman" w:cs="Times New Roman"/>
          <w:lang w:bidi="en-US"/>
        </w:rPr>
        <w:t>Klabnik</w:t>
      </w:r>
      <w:proofErr w:type="spellEnd"/>
      <w:r w:rsidRPr="005C3043">
        <w:rPr>
          <w:rFonts w:ascii="Times New Roman" w:hAnsi="Times New Roman" w:cs="Times New Roman"/>
          <w:lang w:bidi="en-US"/>
        </w:rPr>
        <w:t>.</w:t>
      </w:r>
    </w:p>
    <w:p w14:paraId="72FC3D1B" w14:textId="77777777" w:rsidR="003A22D1" w:rsidRPr="005C3043" w:rsidRDefault="003A22D1" w:rsidP="00C87A3E">
      <w:pPr>
        <w:jc w:val="both"/>
        <w:rPr>
          <w:rFonts w:ascii="Times New Roman" w:hAnsi="Times New Roman" w:cs="Times New Roman"/>
          <w:lang w:bidi="en-US"/>
        </w:rPr>
      </w:pPr>
    </w:p>
    <w:p w14:paraId="1B81EA63" w14:textId="628F912A" w:rsidR="003B693B" w:rsidRPr="003A22D1" w:rsidRDefault="003B693B" w:rsidP="003A22D1">
      <w:pPr>
        <w:rPr>
          <w:rFonts w:ascii="Times New Roman" w:hAnsi="Times New Roman" w:cs="Times New Roman"/>
          <w:b/>
          <w:lang w:bidi="en-US"/>
        </w:rPr>
      </w:pPr>
      <w:r w:rsidRPr="003A22D1">
        <w:rPr>
          <w:rFonts w:ascii="Times New Roman" w:hAnsi="Times New Roman" w:cs="Times New Roman"/>
          <w:lang w:bidi="en-US"/>
        </w:rPr>
        <w:t xml:space="preserve">Funding: This research was supported by the USDA NIFA Hatch project 1022068, the University of Tennessee </w:t>
      </w:r>
      <w:proofErr w:type="spellStart"/>
      <w:r w:rsidRPr="003A22D1">
        <w:rPr>
          <w:rFonts w:ascii="Times New Roman" w:hAnsi="Times New Roman" w:cs="Times New Roman"/>
          <w:lang w:bidi="en-US"/>
        </w:rPr>
        <w:t>AgResearch</w:t>
      </w:r>
      <w:proofErr w:type="spellEnd"/>
      <w:r w:rsidRPr="003A22D1">
        <w:rPr>
          <w:rFonts w:ascii="Times New Roman" w:hAnsi="Times New Roman" w:cs="Times New Roman"/>
          <w:lang w:bidi="en-US"/>
        </w:rPr>
        <w:t>, and the University of Tennessee Department of Animal Science.</w:t>
      </w:r>
    </w:p>
    <w:p w14:paraId="38C0DC4A" w14:textId="77777777" w:rsidR="00B0059D" w:rsidRPr="00C34188" w:rsidRDefault="00B0059D" w:rsidP="00C34188">
      <w:pPr>
        <w:jc w:val="both"/>
        <w:rPr>
          <w:rFonts w:ascii="Times New Roman" w:hAnsi="Times New Roman" w:cs="Times New Roman"/>
          <w:lang w:bidi="en-US"/>
        </w:rPr>
      </w:pPr>
    </w:p>
    <w:p w14:paraId="3A949FE8" w14:textId="77777777" w:rsidR="00B0059D" w:rsidRPr="005C3043" w:rsidRDefault="003B693B" w:rsidP="00C34188">
      <w:pPr>
        <w:jc w:val="both"/>
        <w:rPr>
          <w:rFonts w:ascii="Times New Roman" w:hAnsi="Times New Roman" w:cs="Times New Roman"/>
        </w:rPr>
      </w:pPr>
      <w:r w:rsidRPr="00A42976">
        <w:rPr>
          <w:rFonts w:ascii="Times New Roman" w:hAnsi="Times New Roman" w:cs="Times New Roman"/>
          <w:lang w:bidi="en-US"/>
        </w:rPr>
        <w:t xml:space="preserve">Acknowledgments: The authors would like to thank Dr. Liesel Schneider for her statistical analyses consulting, Courtney Christopher and Sara Howard for their assistance with the UHPLC-HRMS metabolomics processing, Boyd Dingus for the donation of the </w:t>
      </w:r>
      <w:proofErr w:type="spellStart"/>
      <w:r w:rsidRPr="00A42976">
        <w:rPr>
          <w:rFonts w:ascii="Times New Roman" w:hAnsi="Times New Roman" w:cs="Times New Roman"/>
          <w:lang w:bidi="en-US"/>
        </w:rPr>
        <w:t>Estrotect</w:t>
      </w:r>
      <w:proofErr w:type="spellEnd"/>
      <w:r w:rsidRPr="00A42976">
        <w:rPr>
          <w:rFonts w:ascii="Times New Roman" w:hAnsi="Times New Roman" w:cs="Times New Roman"/>
          <w:lang w:bidi="en-US"/>
        </w:rPr>
        <w:t xml:space="preserve"> ® patches, and Walt Hitch and the staff of the Plateau </w:t>
      </w:r>
      <w:proofErr w:type="spellStart"/>
      <w:r w:rsidRPr="00A42976">
        <w:rPr>
          <w:rFonts w:ascii="Times New Roman" w:hAnsi="Times New Roman" w:cs="Times New Roman"/>
          <w:lang w:bidi="en-US"/>
        </w:rPr>
        <w:t>AgResearch</w:t>
      </w:r>
      <w:proofErr w:type="spellEnd"/>
      <w:r w:rsidRPr="00A42976">
        <w:rPr>
          <w:rFonts w:ascii="Times New Roman" w:hAnsi="Times New Roman" w:cs="Times New Roman"/>
          <w:lang w:bidi="en-US"/>
        </w:rPr>
        <w:t xml:space="preserve"> and Education Center for providing the cattle and their assistance in processing the cattle for this study</w:t>
      </w:r>
      <w:proofErr w:type="gramStart"/>
      <w:r w:rsidRPr="00A42976">
        <w:rPr>
          <w:rFonts w:ascii="Times New Roman" w:hAnsi="Times New Roman" w:cs="Times New Roman"/>
          <w:lang w:bidi="en-US"/>
        </w:rPr>
        <w:t>.</w:t>
      </w:r>
      <w:r w:rsidR="00B0059D" w:rsidRPr="00A42976">
        <w:rPr>
          <w:rFonts w:ascii="Times New Roman" w:hAnsi="Times New Roman" w:cs="Times New Roman"/>
          <w:lang w:bidi="en-US"/>
        </w:rPr>
        <w:t xml:space="preserve"> </w:t>
      </w:r>
      <w:r w:rsidR="00B0059D" w:rsidRPr="000B5F79">
        <w:rPr>
          <w:rFonts w:ascii="Times New Roman" w:hAnsi="Times New Roman" w:cs="Times New Roman"/>
        </w:rPr>
        <w:t>.</w:t>
      </w:r>
      <w:proofErr w:type="gramEnd"/>
      <w:r w:rsidR="00B0059D" w:rsidRPr="000B5F79">
        <w:rPr>
          <w:rFonts w:ascii="Times New Roman" w:hAnsi="Times New Roman" w:cs="Times New Roman"/>
        </w:rPr>
        <w:t xml:space="preserve"> The authors would also like to thank Emma Horn, Emma </w:t>
      </w:r>
      <w:proofErr w:type="spellStart"/>
      <w:r w:rsidR="00B0059D" w:rsidRPr="000B5F79">
        <w:rPr>
          <w:rFonts w:ascii="Times New Roman" w:hAnsi="Times New Roman" w:cs="Times New Roman"/>
        </w:rPr>
        <w:t>Hessock</w:t>
      </w:r>
      <w:proofErr w:type="spellEnd"/>
      <w:r w:rsidR="00B0059D" w:rsidRPr="000B5F79">
        <w:rPr>
          <w:rFonts w:ascii="Times New Roman" w:hAnsi="Times New Roman" w:cs="Times New Roman"/>
        </w:rPr>
        <w:t xml:space="preserve">, Julia </w:t>
      </w:r>
      <w:proofErr w:type="spellStart"/>
      <w:r w:rsidR="00B0059D" w:rsidRPr="000B5F79">
        <w:rPr>
          <w:rFonts w:ascii="Times New Roman" w:hAnsi="Times New Roman" w:cs="Times New Roman"/>
        </w:rPr>
        <w:t>Rowinski</w:t>
      </w:r>
      <w:proofErr w:type="spellEnd"/>
      <w:r w:rsidR="00B0059D" w:rsidRPr="000B5F79">
        <w:rPr>
          <w:rFonts w:ascii="Times New Roman" w:hAnsi="Times New Roman" w:cs="Times New Roman"/>
        </w:rPr>
        <w:t>, Hunter Liles, Samantha Roberts, Meredith Hinson, Sadie Bhandari, Abigayle Pollock, and Kennedy Hill for their assistance with sample collection and proce</w:t>
      </w:r>
      <w:r w:rsidR="00B0059D" w:rsidRPr="005C3043">
        <w:rPr>
          <w:rFonts w:ascii="Times New Roman" w:hAnsi="Times New Roman" w:cs="Times New Roman"/>
        </w:rPr>
        <w:t xml:space="preserve">ssing. </w:t>
      </w:r>
    </w:p>
    <w:p w14:paraId="650EEFBC" w14:textId="77777777" w:rsidR="00C61C4F" w:rsidRPr="003B6B38" w:rsidRDefault="00C61C4F" w:rsidP="00154DC0">
      <w:pPr>
        <w:spacing w:line="480" w:lineRule="auto"/>
        <w:rPr>
          <w:rFonts w:ascii="Times New Roman" w:hAnsi="Times New Roman" w:cs="Times New Roman"/>
        </w:rPr>
      </w:pPr>
    </w:p>
    <w:p w14:paraId="090FE068" w14:textId="2F56B4EB" w:rsidR="00C61C4F" w:rsidRPr="005C3043" w:rsidRDefault="00C61C4F" w:rsidP="00276CE1">
      <w:pPr>
        <w:pStyle w:val="Diss2"/>
      </w:pPr>
      <w:bookmarkStart w:id="63" w:name="_Toc100072185"/>
      <w:r w:rsidRPr="005C3043">
        <w:t>Abstract</w:t>
      </w:r>
      <w:bookmarkEnd w:id="63"/>
    </w:p>
    <w:p w14:paraId="3D8EC84C" w14:textId="77777777" w:rsidR="00B0059D" w:rsidRPr="005C3043" w:rsidRDefault="00B0059D" w:rsidP="00064157">
      <w:pPr>
        <w:spacing w:line="480" w:lineRule="auto"/>
        <w:jc w:val="both"/>
        <w:rPr>
          <w:rFonts w:ascii="Times New Roman" w:hAnsi="Times New Roman" w:cs="Times New Roman"/>
        </w:rPr>
      </w:pPr>
      <w:r w:rsidRPr="005C3043">
        <w:rPr>
          <w:rFonts w:ascii="Times New Roman" w:hAnsi="Times New Roman" w:cs="Times New Roman"/>
        </w:rPr>
        <w:t xml:space="preserve">Cattle induced to ovulate a small, physiologically immature pre-ovulatory follicle had reduced oocyte developmental competence that resulted in decreased embryo cleavage and day 7 embryo quality compared to animals induced to ovulate a more advanced follicle. RNA-sequencing performed on oocytes and their corresponding cumulus cells 23 hours after gonadotropin releasing hormone (GnRH) administration to induce the pre-ovulatory gonadotropin surge suggested reduced capacity for glucose metabolism and oxidative </w:t>
      </w:r>
      <w:r w:rsidRPr="005C3043">
        <w:rPr>
          <w:rFonts w:ascii="Times New Roman" w:hAnsi="Times New Roman" w:cs="Times New Roman"/>
        </w:rPr>
        <w:lastRenderedPageBreak/>
        <w:t xml:space="preserve">phosphorylation in the cumulus cells and oocytes from follicles </w:t>
      </w:r>
      <w:r w:rsidRPr="005C3043">
        <w:rPr>
          <w:rFonts w:ascii="Times New Roman" w:hAnsi="Times New Roman" w:cs="Times New Roman"/>
          <w:u w:val="single"/>
        </w:rPr>
        <w:t>&lt;</w:t>
      </w:r>
      <w:r w:rsidRPr="005C3043">
        <w:rPr>
          <w:rFonts w:ascii="Times New Roman" w:hAnsi="Times New Roman" w:cs="Times New Roman"/>
        </w:rPr>
        <w:t xml:space="preserve"> 11.7 mm, respectively. We hypothesized that induced ovulation of a small, physiologically immature pre-ovulatory follicle results in a suboptimal follicular microenvironment</w:t>
      </w:r>
      <w:r w:rsidRPr="005C3043" w:rsidDel="008272F1">
        <w:rPr>
          <w:rFonts w:ascii="Times New Roman" w:hAnsi="Times New Roman" w:cs="Times New Roman"/>
        </w:rPr>
        <w:t xml:space="preserve"> </w:t>
      </w:r>
      <w:r w:rsidRPr="005C3043">
        <w:rPr>
          <w:rFonts w:ascii="Times New Roman" w:hAnsi="Times New Roman" w:cs="Times New Roman"/>
        </w:rPr>
        <w:t>and reduced oocyte metabolic capacity. We performed a study with the objective to determine the impact of pre-ovulatory follicle diameter and serum estradiol concentration at GnRH administration on oocyte metabolic competence and follicular fluid metabolome profiles. We synchronized the development of a pre-ovulatory follicle and collected the follicle contents via transvaginal aspiration ~20 hours after GnRH administration in lactating beef cows (n = 319). We determined ATP levels and mitochondrial DNA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in 110 oocytes and performed ultra-high-performance liquid chromatography – high resolution mass spectrometry metabolomic studies on 45 follicular fluid samples. Intraoocyte ATP and the amount of ATP produced per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were significantly associated with serum estradiol concentration at GnRH and time from GnRH administration to follicle aspiration (</w:t>
      </w:r>
      <w:r w:rsidRPr="005C3043">
        <w:rPr>
          <w:rFonts w:ascii="Times New Roman" w:hAnsi="Times New Roman" w:cs="Times New Roman"/>
          <w:i/>
        </w:rPr>
        <w:t>P</w:t>
      </w:r>
      <w:r w:rsidRPr="005C3043">
        <w:rPr>
          <w:rFonts w:ascii="Times New Roman" w:hAnsi="Times New Roman" w:cs="Times New Roman"/>
        </w:rPr>
        <w:t xml:space="preserve"> &lt; 0.05). Mitochondrial DNA copy number was not significantly related to follicle diameter at GnRH, serum estradiol concentration at GnRH, or any potential covariates (</w:t>
      </w:r>
      <w:r w:rsidRPr="005C3043">
        <w:rPr>
          <w:rFonts w:ascii="Times New Roman" w:hAnsi="Times New Roman" w:cs="Times New Roman"/>
          <w:i/>
        </w:rPr>
        <w:t>P</w:t>
      </w:r>
      <w:r w:rsidRPr="005C3043">
        <w:rPr>
          <w:rFonts w:ascii="Times New Roman" w:hAnsi="Times New Roman" w:cs="Times New Roman"/>
        </w:rPr>
        <w:t xml:space="preserve"> &gt; 0.10). We detected 90 metabolites in the aspirated follicular fluid. We identified 22 metabolites significantly associated with serum estradiol concentration at GnRH and 63 metabolites associated with follicular fluid progesterone concentration at the time of follicle aspiration. Pathway enrichment analysis of significant metabolites suggested altered proteinogenesis, citric acid cycle, and pyrimidine metabolism in follicles of reduced estrogenic capacity pre-gonadotropin surge or reduced progesterone production by the time of follicle aspiration. </w:t>
      </w:r>
    </w:p>
    <w:p w14:paraId="67734410" w14:textId="32D5FF4C" w:rsidR="00C61C4F" w:rsidRPr="005C3043" w:rsidRDefault="00C61C4F" w:rsidP="00276CE1">
      <w:pPr>
        <w:pStyle w:val="Diss2"/>
      </w:pPr>
      <w:bookmarkStart w:id="64" w:name="_Toc100072186"/>
      <w:r w:rsidRPr="005C3043">
        <w:lastRenderedPageBreak/>
        <w:t>Introduction</w:t>
      </w:r>
      <w:bookmarkEnd w:id="64"/>
    </w:p>
    <w:p w14:paraId="057B409B" w14:textId="77777777" w:rsidR="00B0059D" w:rsidRPr="005C3043" w:rsidRDefault="00B0059D" w:rsidP="00B0059D">
      <w:pPr>
        <w:spacing w:line="480" w:lineRule="auto"/>
        <w:ind w:firstLine="720"/>
        <w:jc w:val="both"/>
        <w:rPr>
          <w:rFonts w:ascii="Times New Roman" w:hAnsi="Times New Roman" w:cs="Times New Roman"/>
        </w:rPr>
      </w:pPr>
      <w:r w:rsidRPr="005C3043">
        <w:rPr>
          <w:rFonts w:ascii="Times New Roman" w:hAnsi="Times New Roman" w:cs="Times New Roman"/>
        </w:rPr>
        <w:t xml:space="preserve">Utilization of fixed time artificial insemination (FTAI) positively impacts reproductive management and genetic merit of the beef herd </w:t>
      </w:r>
      <w:r w:rsidRPr="005C3043">
        <w:rPr>
          <w:rFonts w:ascii="Times New Roman" w:hAnsi="Times New Roman" w:cs="Times New Roman"/>
          <w:noProof/>
        </w:rPr>
        <w:t>(Lima et al., 2010; Sá Filho et al., 2010; Funston et al., 2012; Rodgers et al., 2012; Cushman et al., 2013; Lamb and Mercadante, 2016; Baruselli et al., 2018)</w:t>
      </w:r>
      <w:r w:rsidRPr="005C3043">
        <w:rPr>
          <w:rFonts w:ascii="Times New Roman" w:hAnsi="Times New Roman" w:cs="Times New Roman"/>
        </w:rPr>
        <w:t xml:space="preserve">. Such protocols, however, result in a subset of cattle that have not displayed estrus prior to insemination and rely on the administration of gonadotropin releasing hormone (GnRH) to induce ovulation. Expression of estrus is essential for optimal pregnancy outcomes, and induced ovulation of small, physiologically less advanced pre-ovulatory follicles is associated with decreased pregnancy rates and increased early pregnancy loss in beef cattle </w:t>
      </w:r>
      <w:r w:rsidRPr="005C3043">
        <w:rPr>
          <w:rFonts w:ascii="Times New Roman" w:hAnsi="Times New Roman" w:cs="Times New Roman"/>
          <w:noProof/>
        </w:rPr>
        <w:t>(Lamb et al., 2001; Perry et al., 2005; Perry et al., 2007)</w:t>
      </w:r>
      <w:r w:rsidRPr="005C3043">
        <w:rPr>
          <w:rFonts w:ascii="Times New Roman" w:hAnsi="Times New Roman" w:cs="Times New Roman"/>
        </w:rPr>
        <w:t xml:space="preserve">. Reduced fertility is likely the result of ovulation of an oocyte with reduced developmental competence and poor preparation of the maternal environment to support a pregnancy </w:t>
      </w:r>
      <w:r w:rsidRPr="005C3043">
        <w:rPr>
          <w:rFonts w:ascii="Times New Roman" w:hAnsi="Times New Roman" w:cs="Times New Roman"/>
          <w:noProof/>
        </w:rPr>
        <w:t>(Perry et al., 2005; Sá Filho et al., 2010; Atkins et al., 2013; Jinks et al., 2013; Ciernia et al., 2021)</w:t>
      </w:r>
      <w:r w:rsidRPr="005C3043">
        <w:rPr>
          <w:rFonts w:ascii="Times New Roman" w:hAnsi="Times New Roman" w:cs="Times New Roman"/>
        </w:rPr>
        <w:t xml:space="preserve">. Cattle induced to ovulate prematurely after pharmacological induction of ovulation had lower serum estradiol concentrations before GnRH administration and reduced progesterone production by the corpus luteum (CL) after ovulation compared to animals that displayed estrus </w:t>
      </w:r>
      <w:r w:rsidRPr="005C3043">
        <w:rPr>
          <w:rFonts w:ascii="Times New Roman" w:hAnsi="Times New Roman" w:cs="Times New Roman"/>
          <w:noProof/>
        </w:rPr>
        <w:t>(Busch et al., 2008; Richardson et al., 2016; Cooke et al., 2019)</w:t>
      </w:r>
      <w:r w:rsidRPr="005C3043">
        <w:rPr>
          <w:rFonts w:ascii="Times New Roman" w:hAnsi="Times New Roman" w:cs="Times New Roman"/>
        </w:rPr>
        <w:t>. Additionally, cattle pharmacologically induced to ovulate a small (&lt; 12.5mm) versus large (</w:t>
      </w:r>
      <w:r w:rsidRPr="005C3043">
        <w:rPr>
          <w:rFonts w:ascii="Times New Roman" w:hAnsi="Times New Roman" w:cs="Times New Roman"/>
          <w:u w:val="single"/>
        </w:rPr>
        <w:t>&gt;</w:t>
      </w:r>
      <w:r w:rsidRPr="005C3043">
        <w:rPr>
          <w:rFonts w:ascii="Times New Roman" w:hAnsi="Times New Roman" w:cs="Times New Roman"/>
        </w:rPr>
        <w:t xml:space="preserve"> 12.5mm) pre-ovulatory follicle had impaired oocyte developmental competence that resulted in decreased probability of producing a cleaved embryo and decreased embryo quality grade 7 days after insemination </w:t>
      </w:r>
      <w:r w:rsidRPr="005C3043">
        <w:rPr>
          <w:rFonts w:ascii="Times New Roman" w:hAnsi="Times New Roman" w:cs="Times New Roman"/>
          <w:noProof/>
        </w:rPr>
        <w:t>(Atkins et al., 2013)</w:t>
      </w:r>
      <w:r w:rsidRPr="005C3043">
        <w:rPr>
          <w:rFonts w:ascii="Times New Roman" w:hAnsi="Times New Roman" w:cs="Times New Roman"/>
        </w:rPr>
        <w:t xml:space="preserve">. In the same study, serum estradiol concentration at the time of GnRH administration to induce </w:t>
      </w:r>
      <w:r w:rsidRPr="005C3043">
        <w:rPr>
          <w:rFonts w:ascii="Times New Roman" w:hAnsi="Times New Roman" w:cs="Times New Roman"/>
        </w:rPr>
        <w:lastRenderedPageBreak/>
        <w:t xml:space="preserve">ovulation was also positively associated with probability of recovering a cleaved or high-quality embryo. Multiple </w:t>
      </w:r>
      <w:r w:rsidRPr="005C3043">
        <w:rPr>
          <w:rFonts w:ascii="Times New Roman" w:hAnsi="Times New Roman" w:cs="Times New Roman"/>
          <w:i/>
        </w:rPr>
        <w:t xml:space="preserve">in vitro </w:t>
      </w:r>
      <w:r w:rsidRPr="005C3043">
        <w:rPr>
          <w:rFonts w:ascii="Times New Roman" w:hAnsi="Times New Roman" w:cs="Times New Roman"/>
        </w:rPr>
        <w:t xml:space="preserve">studies have demonstrated that removal of the oocyte from the follicle, and thus inducing oocyte maturation, prior to the endogenous gonadotropin surge results in decreased oocyte developmental competence as evidenced by decreased cleavage rates, blastocyst rates, and embryo quality </w:t>
      </w:r>
      <w:r w:rsidRPr="005C3043">
        <w:rPr>
          <w:rFonts w:ascii="Times New Roman" w:hAnsi="Times New Roman" w:cs="Times New Roman"/>
          <w:noProof/>
        </w:rPr>
        <w:t>(Pavlok et al., 1992; Lonergan et al., 1994; Blondin and Sirard, 1995; Fair et al., 1995; Blondin et al., 1996; Hyttel et al., 1997; Otoi et al., 1997; Hagemann et al., 1999; van de Leemput et al., 1999; Dieleman et al., 2002; Iwata et al., 2004)</w:t>
      </w:r>
      <w:r w:rsidRPr="005C3043">
        <w:rPr>
          <w:rFonts w:ascii="Times New Roman" w:hAnsi="Times New Roman" w:cs="Times New Roman"/>
        </w:rPr>
        <w:t xml:space="preserve">. Collectively, these studies support the hypothesis that decreased oocyte developmental competence contributes to the reduced fertility in cattle induced to ovulate a small, physiologically immature pre-ovulatory follicle. </w:t>
      </w:r>
    </w:p>
    <w:p w14:paraId="646A1B93" w14:textId="77777777" w:rsidR="00B0059D" w:rsidRPr="005C3043" w:rsidRDefault="00B0059D" w:rsidP="00B0059D">
      <w:pPr>
        <w:spacing w:line="480" w:lineRule="auto"/>
        <w:ind w:firstLine="720"/>
        <w:jc w:val="both"/>
        <w:rPr>
          <w:rFonts w:ascii="Times New Roman" w:hAnsi="Times New Roman" w:cs="Times New Roman"/>
        </w:rPr>
      </w:pPr>
      <w:r w:rsidRPr="005C3043">
        <w:rPr>
          <w:rFonts w:ascii="Times New Roman" w:hAnsi="Times New Roman" w:cs="Times New Roman"/>
        </w:rPr>
        <w:t xml:space="preserve">Though oocytes obtain meiotic competence much earlier than the pre-ovulatory follicle stage of development, follicles greater than ~9 mm contain oocytes that are completing the capacitation phase of oogenesis </w:t>
      </w:r>
      <w:r w:rsidRPr="005C3043">
        <w:rPr>
          <w:rFonts w:ascii="Times New Roman" w:hAnsi="Times New Roman" w:cs="Times New Roman"/>
          <w:noProof/>
        </w:rPr>
        <w:t>(Hyttel et al., 1997; Mermillod et al., 1999; Conti and Franciosi, 2018)</w:t>
      </w:r>
      <w:r w:rsidRPr="005C3043">
        <w:rPr>
          <w:rFonts w:ascii="Times New Roman" w:hAnsi="Times New Roman" w:cs="Times New Roman"/>
        </w:rPr>
        <w:t xml:space="preserve">. Throughout this phase, the oocyte is maintained in a state of meiotic arrest while it undergoes ultrastructural changes, modifies its RNA and proteins to prevent degradation, increases its organelle number, alters the distribution of organelles, and finishes accumulating nutrient and metabolic substrate stockpiles important to sustain development </w:t>
      </w:r>
      <w:r w:rsidRPr="005C3043">
        <w:rPr>
          <w:rFonts w:ascii="Times New Roman" w:hAnsi="Times New Roman" w:cs="Times New Roman"/>
          <w:noProof/>
        </w:rPr>
        <w:t>(Hyttel et al., 1986; Hyttel et al., 1989; Hyttel et al., 1997; Mermillod et al., 1999; Merton et al., 2003; Swain and Pool, 2008; Gougeon, 2010; Zhang and Smith, 2015; Labrecque et al., 2016; Liu et al., 2017; Reader et al., 2017; Conti and Franciosi, 2018)</w:t>
      </w:r>
      <w:r w:rsidRPr="005C3043">
        <w:rPr>
          <w:rFonts w:ascii="Times New Roman" w:hAnsi="Times New Roman" w:cs="Times New Roman"/>
        </w:rPr>
        <w:t>. Metabolism in the oocyte and early embryo relies on energetic substrates such as pyruvate, lactate, NADH, and FADH</w:t>
      </w:r>
      <w:r w:rsidRPr="005C3043">
        <w:rPr>
          <w:rFonts w:ascii="Times New Roman" w:hAnsi="Times New Roman" w:cs="Times New Roman"/>
          <w:vertAlign w:val="subscript"/>
        </w:rPr>
        <w:t>2</w:t>
      </w:r>
      <w:r w:rsidRPr="005C3043">
        <w:rPr>
          <w:rFonts w:ascii="Times New Roman" w:hAnsi="Times New Roman" w:cs="Times New Roman"/>
        </w:rPr>
        <w:t xml:space="preserve"> that are derived from cumulus cell glycolytic activity and </w:t>
      </w:r>
      <w:r w:rsidRPr="005C3043">
        <w:rPr>
          <w:rFonts w:ascii="Times New Roman" w:hAnsi="Times New Roman" w:cs="Times New Roman"/>
        </w:rPr>
        <w:lastRenderedPageBreak/>
        <w:t xml:space="preserve">transferred to the oocyte via gap junctions during antral follicle development </w:t>
      </w:r>
      <w:r w:rsidRPr="005C3043">
        <w:rPr>
          <w:rFonts w:ascii="Times New Roman" w:hAnsi="Times New Roman" w:cs="Times New Roman"/>
          <w:noProof/>
        </w:rPr>
        <w:t>(Sutton-McDowall et al., 2010; Winterhager and Kidder, 2015; Richani et al., 2021)</w:t>
      </w:r>
      <w:r w:rsidRPr="005C3043">
        <w:rPr>
          <w:rFonts w:ascii="Times New Roman" w:hAnsi="Times New Roman" w:cs="Times New Roman"/>
        </w:rPr>
        <w:t xml:space="preserve">.  The oocyte creates stockpiles of these substrates that are utilized by its mitochondria to produce ATP necessary to sustain development through the energy-demanding processes of oocyte maturation, fertilization, and embryo development to the blastocyst stage </w:t>
      </w:r>
      <w:r w:rsidRPr="005C3043">
        <w:rPr>
          <w:rFonts w:ascii="Times New Roman" w:hAnsi="Times New Roman" w:cs="Times New Roman"/>
          <w:noProof/>
        </w:rPr>
        <w:t>(Johnson et al., 2007; Swain and Pool, 2008; Chappel, 2013; Zhang and Smith, 2015)</w:t>
      </w:r>
      <w:r w:rsidRPr="005C3043">
        <w:rPr>
          <w:rFonts w:ascii="Times New Roman" w:hAnsi="Times New Roman" w:cs="Times New Roman"/>
        </w:rPr>
        <w:t xml:space="preserve">. In addition to metabolic coupling with the cumulus cells, the follicular microenvironment plays a key role in the ability of the oocyte to achieve metabolic competency. The follicular fluid of antral follicles provides many of the nutrients, metabolic compounds, and signaling molecules that are essential for the cumulus cells to perform glycolysis and for the oocyte to increase its mitochondrial number and perform oxidative phosphorylation </w:t>
      </w:r>
      <w:r w:rsidRPr="005C3043">
        <w:rPr>
          <w:rFonts w:ascii="Times New Roman" w:hAnsi="Times New Roman" w:cs="Times New Roman"/>
          <w:noProof/>
        </w:rPr>
        <w:t>(Jeong et al., 2009; Hennet and Combelles, 2012; Mao et al., 2012; Dunning et al., 2014; Da Broi et al., 2018; Aguila et al., 2020)</w:t>
      </w:r>
      <w:r w:rsidRPr="005C3043">
        <w:rPr>
          <w:rFonts w:ascii="Times New Roman" w:hAnsi="Times New Roman" w:cs="Times New Roman"/>
        </w:rPr>
        <w:t xml:space="preserve">. </w:t>
      </w:r>
    </w:p>
    <w:p w14:paraId="55B0C91E" w14:textId="1F4B8AC3" w:rsidR="00B0059D" w:rsidRDefault="00B0059D" w:rsidP="00B0059D">
      <w:pPr>
        <w:spacing w:line="480" w:lineRule="auto"/>
        <w:ind w:firstLine="720"/>
        <w:jc w:val="both"/>
        <w:rPr>
          <w:rFonts w:ascii="Times New Roman" w:hAnsi="Times New Roman" w:cs="Times New Roman"/>
        </w:rPr>
      </w:pPr>
      <w:r w:rsidRPr="005C3043">
        <w:rPr>
          <w:rFonts w:ascii="Times New Roman" w:hAnsi="Times New Roman" w:cs="Times New Roman"/>
        </w:rPr>
        <w:t xml:space="preserve">The pre-ovulatory gonadotropin surge induces oocyte maturation, and the subsequent breakdown of gap junctional transfer of metabolic compounds to the oocyte </w:t>
      </w:r>
      <w:r w:rsidRPr="005C3043">
        <w:rPr>
          <w:rFonts w:ascii="Times New Roman" w:hAnsi="Times New Roman" w:cs="Times New Roman"/>
          <w:noProof/>
        </w:rPr>
        <w:t>(Granot and Dekel, 2002; Conti et al., 2012; Conti and Franciosi, 2018)</w:t>
      </w:r>
      <w:r w:rsidRPr="005C3043">
        <w:rPr>
          <w:rFonts w:ascii="Times New Roman" w:hAnsi="Times New Roman" w:cs="Times New Roman"/>
        </w:rPr>
        <w:t xml:space="preserve">. By inducing the pre-ovulatory gonadotropin surge before estrus and the onset of an endogenous gonadotropin surge, the capacitation timeline of the oocyte is interrupted. As such, we have previously detected transcriptome profiles indicative of altered oxidative phosphorylation or mitochondrial function in oocytes and altered glycolytic activity in cumulus cells collected from small pre-ovulatory follicles ~23 hours following gonadotropin releasing hormone administration to induce the pre-ovulatory gonadotropin surge </w:t>
      </w:r>
      <w:r w:rsidRPr="005C3043">
        <w:rPr>
          <w:rFonts w:ascii="Times New Roman" w:hAnsi="Times New Roman" w:cs="Times New Roman"/>
          <w:noProof/>
        </w:rPr>
        <w:t xml:space="preserve">(Moorey et al., </w:t>
      </w:r>
      <w:r w:rsidRPr="005C3043">
        <w:rPr>
          <w:rFonts w:ascii="Times New Roman" w:hAnsi="Times New Roman" w:cs="Times New Roman"/>
          <w:noProof/>
        </w:rPr>
        <w:lastRenderedPageBreak/>
        <w:t>2021)</w:t>
      </w:r>
      <w:r w:rsidRPr="005C3043">
        <w:rPr>
          <w:rFonts w:ascii="Times New Roman" w:hAnsi="Times New Roman" w:cs="Times New Roman"/>
        </w:rPr>
        <w:t xml:space="preserve">. We recently also detected a positive correlation between pre-ovulatory follicle diameter and abundance of metabolites involved in glucose metabolism in follicular fluid collected ~20 hours following an induced gonadotropin surge of pre-ovulatory follicles of increasing size </w:t>
      </w:r>
      <w:r w:rsidRPr="005C3043">
        <w:rPr>
          <w:rFonts w:ascii="Times New Roman" w:hAnsi="Times New Roman" w:cs="Times New Roman"/>
          <w:noProof/>
        </w:rPr>
        <w:t>(Read et al., 2021b)</w:t>
      </w:r>
      <w:r w:rsidRPr="005C3043">
        <w:rPr>
          <w:rFonts w:ascii="Times New Roman" w:hAnsi="Times New Roman" w:cs="Times New Roman"/>
        </w:rPr>
        <w:t>. Such observations may be due to incomplete progression of the follicle’s physiological maturity before the induced pre-ovulatory gonadotropin surge and thus an altered follicular microenvironment and inadequate opportunity for the oocyte to complete capacitation. Therefore, we hypothesized that the follicle’s developmental progression toward estrus and exposure to an endogenous pre-ovulatory gonadotropin surge leads to necessary alterations in the follicular microenvironment that are essential for optimal metabolic capacity of the cumulus-oocyte complex and induced ovulation of small, physiologically immature pre-ovulatory follicles results in a suboptimal follicular microenvironment</w:t>
      </w:r>
      <w:r w:rsidRPr="005C3043" w:rsidDel="008272F1">
        <w:rPr>
          <w:rFonts w:ascii="Times New Roman" w:hAnsi="Times New Roman" w:cs="Times New Roman"/>
        </w:rPr>
        <w:t xml:space="preserve"> </w:t>
      </w:r>
      <w:r w:rsidRPr="005C3043">
        <w:rPr>
          <w:rFonts w:ascii="Times New Roman" w:hAnsi="Times New Roman" w:cs="Times New Roman"/>
        </w:rPr>
        <w:t>and reduced oocyte metabolic capacity. To test this hypothesis, we utilized pre-ovulatory follicle diameter and serum estradiol concentration as indicators of follicle physiological maturity at the time of GnRH administration to induce the pre-ovulatory gonadotropin surge. We then performed a study with the objective to determine relationships between pre-ovulatory follicle diameter and serum estradiol concentration, follicular fluid metabolome profiles, oocyte mitochondrial DNA copy number, and oocyte ATP concentration.</w:t>
      </w:r>
    </w:p>
    <w:p w14:paraId="28EE31CC" w14:textId="54F92910" w:rsidR="00784DB7" w:rsidRDefault="00784DB7" w:rsidP="00B0059D">
      <w:pPr>
        <w:spacing w:line="480" w:lineRule="auto"/>
        <w:ind w:firstLine="720"/>
        <w:jc w:val="both"/>
        <w:rPr>
          <w:rFonts w:ascii="Times New Roman" w:hAnsi="Times New Roman" w:cs="Times New Roman"/>
        </w:rPr>
      </w:pPr>
    </w:p>
    <w:p w14:paraId="75A92F5D" w14:textId="768AF9D8" w:rsidR="00784DB7" w:rsidRDefault="00784DB7" w:rsidP="00B0059D">
      <w:pPr>
        <w:spacing w:line="480" w:lineRule="auto"/>
        <w:ind w:firstLine="720"/>
        <w:jc w:val="both"/>
        <w:rPr>
          <w:rFonts w:ascii="Times New Roman" w:hAnsi="Times New Roman" w:cs="Times New Roman"/>
        </w:rPr>
      </w:pPr>
    </w:p>
    <w:p w14:paraId="4C9FC56F" w14:textId="286617CE" w:rsidR="00784DB7" w:rsidRDefault="00784DB7" w:rsidP="00B0059D">
      <w:pPr>
        <w:spacing w:line="480" w:lineRule="auto"/>
        <w:ind w:firstLine="720"/>
        <w:jc w:val="both"/>
        <w:rPr>
          <w:rFonts w:ascii="Times New Roman" w:hAnsi="Times New Roman" w:cs="Times New Roman"/>
        </w:rPr>
      </w:pPr>
    </w:p>
    <w:p w14:paraId="6FAC0390" w14:textId="77777777" w:rsidR="00784DB7" w:rsidRPr="005C3043" w:rsidRDefault="00784DB7" w:rsidP="00B0059D">
      <w:pPr>
        <w:spacing w:line="480" w:lineRule="auto"/>
        <w:ind w:firstLine="720"/>
        <w:jc w:val="both"/>
        <w:rPr>
          <w:rFonts w:ascii="Times New Roman" w:hAnsi="Times New Roman" w:cs="Times New Roman"/>
        </w:rPr>
      </w:pPr>
    </w:p>
    <w:p w14:paraId="18E6173B" w14:textId="77777777" w:rsidR="005B1F86" w:rsidRPr="005C3043" w:rsidRDefault="005B1F86" w:rsidP="00276CE1">
      <w:pPr>
        <w:pStyle w:val="Diss2"/>
      </w:pPr>
      <w:bookmarkStart w:id="65" w:name="_Toc100072187"/>
      <w:r w:rsidRPr="005C3043">
        <w:lastRenderedPageBreak/>
        <w:t>Materials and Methods</w:t>
      </w:r>
      <w:bookmarkEnd w:id="65"/>
    </w:p>
    <w:p w14:paraId="4E15ED67" w14:textId="77777777" w:rsidR="005B1F86" w:rsidRPr="005C3043" w:rsidRDefault="005B1F86" w:rsidP="00276CE1">
      <w:pPr>
        <w:pStyle w:val="Diss3"/>
      </w:pPr>
      <w:bookmarkStart w:id="66" w:name="_Toc100072188"/>
      <w:r w:rsidRPr="005C3043">
        <w:t>Animal handling and synchronization of pre-ovulatory follicle development</w:t>
      </w:r>
      <w:bookmarkEnd w:id="66"/>
    </w:p>
    <w:p w14:paraId="3A416062" w14:textId="375BFD67" w:rsidR="005B1F86" w:rsidRPr="005C3043" w:rsidRDefault="005B1F86" w:rsidP="005B1F86">
      <w:pPr>
        <w:spacing w:line="480" w:lineRule="auto"/>
        <w:ind w:firstLine="720"/>
        <w:jc w:val="both"/>
        <w:rPr>
          <w:rFonts w:ascii="Times New Roman" w:hAnsi="Times New Roman" w:cs="Times New Roman"/>
        </w:rPr>
      </w:pPr>
      <w:r w:rsidRPr="005C3043">
        <w:rPr>
          <w:rFonts w:ascii="Times New Roman" w:hAnsi="Times New Roman" w:cs="Times New Roman"/>
        </w:rPr>
        <w:t xml:space="preserve">All animal protocols and procedures were approved by the University of Tennessee Knoxville Institutional Animal Care and Use Committee. Pre-ovulatory follicle development was synchronized in postpartum, suckled beef cattle (Angus; n = 319) according to procedures outlined in Figure 1. The study contained two replicates conducted over two years (year 1: n = 162, year 2: n = 157). Estrous cycles were pre-synchronized by administration of gonadotropin-releasing hormone (GnRH; </w:t>
      </w:r>
      <w:proofErr w:type="spellStart"/>
      <w:r w:rsidRPr="005C3043">
        <w:rPr>
          <w:rFonts w:ascii="Times New Roman" w:hAnsi="Times New Roman" w:cs="Times New Roman"/>
        </w:rPr>
        <w:t>Cystorelin</w:t>
      </w:r>
      <w:proofErr w:type="spellEnd"/>
      <w:r w:rsidRPr="005C3043">
        <w:rPr>
          <w:rFonts w:ascii="Times New Roman" w:hAnsi="Times New Roman" w:cs="Times New Roman"/>
        </w:rPr>
        <w:t xml:space="preserve">, </w:t>
      </w:r>
      <w:proofErr w:type="spellStart"/>
      <w:r w:rsidRPr="005C3043">
        <w:rPr>
          <w:rFonts w:ascii="Times New Roman" w:hAnsi="Times New Roman" w:cs="Times New Roman"/>
        </w:rPr>
        <w:t>Boehriner</w:t>
      </w:r>
      <w:proofErr w:type="spellEnd"/>
      <w:r w:rsidRPr="005C3043">
        <w:rPr>
          <w:rFonts w:ascii="Times New Roman" w:hAnsi="Times New Roman" w:cs="Times New Roman"/>
        </w:rPr>
        <w:t xml:space="preserve"> Ingelheim, Ingelheim am Rhein, Germany) and placement of a controlled internal drug release (CIDR; </w:t>
      </w:r>
      <w:proofErr w:type="spellStart"/>
      <w:r w:rsidRPr="005C3043">
        <w:rPr>
          <w:rFonts w:ascii="Times New Roman" w:hAnsi="Times New Roman" w:cs="Times New Roman"/>
        </w:rPr>
        <w:t>Eazi</w:t>
      </w:r>
      <w:proofErr w:type="spellEnd"/>
      <w:r w:rsidRPr="005C3043">
        <w:rPr>
          <w:rFonts w:ascii="Times New Roman" w:hAnsi="Times New Roman" w:cs="Times New Roman"/>
        </w:rPr>
        <w:t xml:space="preserve">-Breed CIDR, Zoetis Animal Health, Kalamazoo, MI, USA). After seven days, the CIDR was removed and cows were administered prostaglandin F2α (PGF; </w:t>
      </w:r>
      <w:proofErr w:type="spellStart"/>
      <w:r w:rsidRPr="005C3043">
        <w:rPr>
          <w:rFonts w:ascii="Times New Roman" w:hAnsi="Times New Roman" w:cs="Times New Roman"/>
        </w:rPr>
        <w:t>Lutalyse</w:t>
      </w:r>
      <w:proofErr w:type="spellEnd"/>
      <w:r w:rsidRPr="005C3043">
        <w:rPr>
          <w:rFonts w:ascii="Times New Roman" w:hAnsi="Times New Roman" w:cs="Times New Roman"/>
        </w:rPr>
        <w:t xml:space="preserve"> </w:t>
      </w:r>
      <w:proofErr w:type="spellStart"/>
      <w:r w:rsidRPr="005C3043">
        <w:rPr>
          <w:rFonts w:ascii="Times New Roman" w:hAnsi="Times New Roman" w:cs="Times New Roman"/>
        </w:rPr>
        <w:t>HighCon</w:t>
      </w:r>
      <w:proofErr w:type="spellEnd"/>
      <w:r w:rsidRPr="005C3043">
        <w:rPr>
          <w:rFonts w:ascii="Times New Roman" w:hAnsi="Times New Roman" w:cs="Times New Roman"/>
        </w:rPr>
        <w:t xml:space="preserve">, Zoetis Animal Health). Approximately 66 hours later, cows were administered a second dosage of GnRH. Cows were then divided into 4 groups to facilitate transvaginal aspiration with 21 to 44 animals per group. Eight to eleven days after pre-synchronization, cows were administered GnRH on day -9 to start a new follicular wave. On day -2, PGF was administered to lyse corpora lutea. On day 0, cows received a second dosage of GnRH (GnRH2) to induce a pre-ovulatory gonadotropin surge. On day 1, approximately 19 hours after GnRH2 administration, each cow’s largest follicle underwent transvaginal aspiration by one of four experienced technicians to collect the pre-ovulatory follicle contents </w:t>
      </w:r>
      <w:r w:rsidRPr="005C3043">
        <w:rPr>
          <w:rFonts w:ascii="Times New Roman" w:hAnsi="Times New Roman" w:cs="Times New Roman"/>
          <w:noProof/>
        </w:rPr>
        <w:t>(Moorey et al., 2021; Read et al., 2021b)</w:t>
      </w:r>
      <w:r w:rsidRPr="005C3043">
        <w:rPr>
          <w:rFonts w:ascii="Times New Roman" w:hAnsi="Times New Roman" w:cs="Times New Roman"/>
        </w:rPr>
        <w:t xml:space="preserve">. </w:t>
      </w:r>
    </w:p>
    <w:p w14:paraId="590B94B2" w14:textId="4DA7BC1B" w:rsidR="00C1269D" w:rsidRPr="003B6B38" w:rsidRDefault="00C1269D" w:rsidP="00C1269D">
      <w:pPr>
        <w:jc w:val="both"/>
        <w:rPr>
          <w:rFonts w:ascii="Times New Roman" w:hAnsi="Times New Roman" w:cs="Times New Roman"/>
          <w:b/>
        </w:rPr>
      </w:pPr>
      <w:r w:rsidRPr="00A42976">
        <w:rPr>
          <w:rFonts w:ascii="Times New Roman" w:hAnsi="Times New Roman" w:cs="Times New Roman"/>
          <w:b/>
          <w:noProof/>
        </w:rPr>
        <w:lastRenderedPageBreak/>
        <w:drawing>
          <wp:anchor distT="0" distB="0" distL="114300" distR="114300" simplePos="0" relativeHeight="251673600" behindDoc="0" locked="0" layoutInCell="1" allowOverlap="1" wp14:anchorId="31D13112" wp14:editId="2C0020B8">
            <wp:simplePos x="0" y="0"/>
            <wp:positionH relativeFrom="column">
              <wp:posOffset>-20170</wp:posOffset>
            </wp:positionH>
            <wp:positionV relativeFrom="paragraph">
              <wp:posOffset>100852</wp:posOffset>
            </wp:positionV>
            <wp:extent cx="5486400" cy="1688123"/>
            <wp:effectExtent l="0" t="0" r="0" b="7620"/>
            <wp:wrapSquare wrapText="bothSides"/>
            <wp:docPr id="31" name="Picture 3">
              <a:extLst xmlns:a="http://schemas.openxmlformats.org/drawingml/2006/main">
                <a:ext uri="{FF2B5EF4-FFF2-40B4-BE49-F238E27FC236}">
                  <a16:creationId xmlns:a16="http://schemas.microsoft.com/office/drawing/2014/main" id="{085DC68F-F2C8-4CCA-A417-18CCA61521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85DC68F-F2C8-4CCA-A417-18CCA61521B1}"/>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86400" cy="1688123"/>
                    </a:xfrm>
                    <a:prstGeom prst="rect">
                      <a:avLst/>
                    </a:prstGeom>
                  </pic:spPr>
                </pic:pic>
              </a:graphicData>
            </a:graphic>
          </wp:anchor>
        </w:drawing>
      </w:r>
      <w:r w:rsidRPr="00A42976">
        <w:rPr>
          <w:rFonts w:ascii="Times New Roman" w:hAnsi="Times New Roman" w:cs="Times New Roman"/>
          <w:b/>
        </w:rPr>
        <w:t xml:space="preserve">Figure </w:t>
      </w:r>
      <w:r w:rsidR="00001957">
        <w:rPr>
          <w:rFonts w:ascii="Times New Roman" w:hAnsi="Times New Roman" w:cs="Times New Roman"/>
          <w:b/>
        </w:rPr>
        <w:t>8</w:t>
      </w:r>
      <w:r w:rsidRPr="00A42976">
        <w:rPr>
          <w:rFonts w:ascii="Times New Roman" w:hAnsi="Times New Roman" w:cs="Times New Roman"/>
          <w:b/>
        </w:rPr>
        <w:t>.</w:t>
      </w:r>
      <w:r w:rsidRPr="00A42976">
        <w:rPr>
          <w:rFonts w:ascii="Times New Roman" w:hAnsi="Times New Roman" w:cs="Times New Roman"/>
        </w:rPr>
        <w:t xml:space="preserve"> Timeline for synchronization of pre-ovulatory follicle development and sample collection. We collected oocyte and follicular fluid samples ~19 hours after GnRH admin</w:t>
      </w:r>
      <w:r w:rsidRPr="000B5F79">
        <w:rPr>
          <w:rFonts w:ascii="Times New Roman" w:hAnsi="Times New Roman" w:cs="Times New Roman"/>
        </w:rPr>
        <w:t>istration to induce the pre-ovulatory gonadotropin surge to determine the functional significance of varied pre-ovulatory follicle maturity at the time of GnRH administra</w:t>
      </w:r>
      <w:r w:rsidRPr="005C3043">
        <w:rPr>
          <w:rFonts w:ascii="Times New Roman" w:hAnsi="Times New Roman" w:cs="Times New Roman"/>
        </w:rPr>
        <w:t>tion on the follicular fluid metabolome and oocyte metabolic capacity. GnRH1, gonadotr</w:t>
      </w:r>
      <w:r w:rsidRPr="00C87A3E">
        <w:rPr>
          <w:rFonts w:ascii="Times New Roman" w:hAnsi="Times New Roman" w:cs="Times New Roman"/>
        </w:rPr>
        <w:t xml:space="preserve">opin releasing hormone administration to turn over a new follicular wave at the onset of synchronization; PGF, prostaglandin F2α; GnRH2, gonadotropin releasing hormone administration to induce the pre-ovulatory gonadotropin surge. Values depicted as mean </w:t>
      </w:r>
      <w:r w:rsidRPr="00C87A3E">
        <w:rPr>
          <w:rFonts w:ascii="Times New Roman" w:hAnsi="Times New Roman" w:cs="Times New Roman"/>
          <w:u w:val="single"/>
        </w:rPr>
        <w:t>+</w:t>
      </w:r>
      <w:r w:rsidRPr="00DC10CA">
        <w:rPr>
          <w:rFonts w:ascii="Times New Roman" w:hAnsi="Times New Roman" w:cs="Times New Roman"/>
        </w:rPr>
        <w:t xml:space="preserve"> SD.</w:t>
      </w:r>
    </w:p>
    <w:p w14:paraId="31104A9F" w14:textId="3511A153" w:rsidR="00C1269D" w:rsidRDefault="00C1269D" w:rsidP="005B1F86">
      <w:pPr>
        <w:spacing w:line="480" w:lineRule="auto"/>
        <w:rPr>
          <w:rFonts w:ascii="Times New Roman" w:hAnsi="Times New Roman" w:cs="Times New Roman"/>
          <w:b/>
          <w:i/>
        </w:rPr>
      </w:pPr>
    </w:p>
    <w:p w14:paraId="0066CA4B" w14:textId="026B4A42" w:rsidR="00784DB7" w:rsidRDefault="00784DB7" w:rsidP="005B1F86">
      <w:pPr>
        <w:spacing w:line="480" w:lineRule="auto"/>
        <w:rPr>
          <w:rFonts w:ascii="Times New Roman" w:hAnsi="Times New Roman" w:cs="Times New Roman"/>
          <w:b/>
          <w:i/>
        </w:rPr>
      </w:pPr>
    </w:p>
    <w:p w14:paraId="690C837E" w14:textId="201D65DC" w:rsidR="00784DB7" w:rsidRDefault="00784DB7" w:rsidP="005B1F86">
      <w:pPr>
        <w:spacing w:line="480" w:lineRule="auto"/>
        <w:rPr>
          <w:rFonts w:ascii="Times New Roman" w:hAnsi="Times New Roman" w:cs="Times New Roman"/>
          <w:b/>
          <w:i/>
        </w:rPr>
      </w:pPr>
    </w:p>
    <w:p w14:paraId="22D96E75" w14:textId="0A6F4790" w:rsidR="00784DB7" w:rsidRDefault="00784DB7" w:rsidP="005B1F86">
      <w:pPr>
        <w:spacing w:line="480" w:lineRule="auto"/>
        <w:rPr>
          <w:rFonts w:ascii="Times New Roman" w:hAnsi="Times New Roman" w:cs="Times New Roman"/>
          <w:b/>
          <w:i/>
        </w:rPr>
      </w:pPr>
    </w:p>
    <w:p w14:paraId="6A19169B" w14:textId="5F853A75" w:rsidR="00784DB7" w:rsidRDefault="00784DB7" w:rsidP="005B1F86">
      <w:pPr>
        <w:spacing w:line="480" w:lineRule="auto"/>
        <w:rPr>
          <w:rFonts w:ascii="Times New Roman" w:hAnsi="Times New Roman" w:cs="Times New Roman"/>
          <w:b/>
          <w:i/>
        </w:rPr>
      </w:pPr>
    </w:p>
    <w:p w14:paraId="152087E7" w14:textId="1C0A63E4" w:rsidR="00784DB7" w:rsidRDefault="00784DB7" w:rsidP="005B1F86">
      <w:pPr>
        <w:spacing w:line="480" w:lineRule="auto"/>
        <w:rPr>
          <w:rFonts w:ascii="Times New Roman" w:hAnsi="Times New Roman" w:cs="Times New Roman"/>
          <w:b/>
          <w:i/>
        </w:rPr>
      </w:pPr>
    </w:p>
    <w:p w14:paraId="55A6D36E" w14:textId="7C0A063D" w:rsidR="00784DB7" w:rsidRDefault="00784DB7" w:rsidP="005B1F86">
      <w:pPr>
        <w:spacing w:line="480" w:lineRule="auto"/>
        <w:rPr>
          <w:rFonts w:ascii="Times New Roman" w:hAnsi="Times New Roman" w:cs="Times New Roman"/>
          <w:b/>
          <w:i/>
        </w:rPr>
      </w:pPr>
    </w:p>
    <w:p w14:paraId="279E45DA" w14:textId="7DEA810D" w:rsidR="00784DB7" w:rsidRDefault="00784DB7" w:rsidP="005B1F86">
      <w:pPr>
        <w:spacing w:line="480" w:lineRule="auto"/>
        <w:rPr>
          <w:rFonts w:ascii="Times New Roman" w:hAnsi="Times New Roman" w:cs="Times New Roman"/>
          <w:b/>
          <w:i/>
        </w:rPr>
      </w:pPr>
    </w:p>
    <w:p w14:paraId="2865CD28" w14:textId="647C2DB4" w:rsidR="00784DB7" w:rsidRDefault="00784DB7" w:rsidP="005B1F86">
      <w:pPr>
        <w:spacing w:line="480" w:lineRule="auto"/>
        <w:rPr>
          <w:rFonts w:ascii="Times New Roman" w:hAnsi="Times New Roman" w:cs="Times New Roman"/>
          <w:b/>
          <w:i/>
        </w:rPr>
      </w:pPr>
    </w:p>
    <w:p w14:paraId="0AF238BF" w14:textId="0977AF83" w:rsidR="00784DB7" w:rsidRDefault="00784DB7" w:rsidP="005B1F86">
      <w:pPr>
        <w:spacing w:line="480" w:lineRule="auto"/>
        <w:rPr>
          <w:rFonts w:ascii="Times New Roman" w:hAnsi="Times New Roman" w:cs="Times New Roman"/>
          <w:b/>
          <w:i/>
        </w:rPr>
      </w:pPr>
    </w:p>
    <w:p w14:paraId="4F94E9F0" w14:textId="1EDF829E" w:rsidR="00784DB7" w:rsidRDefault="00784DB7" w:rsidP="005B1F86">
      <w:pPr>
        <w:spacing w:line="480" w:lineRule="auto"/>
        <w:rPr>
          <w:rFonts w:ascii="Times New Roman" w:hAnsi="Times New Roman" w:cs="Times New Roman"/>
          <w:b/>
          <w:i/>
        </w:rPr>
      </w:pPr>
    </w:p>
    <w:p w14:paraId="7FA2A67C" w14:textId="1DD9E101" w:rsidR="00784DB7" w:rsidRDefault="00784DB7" w:rsidP="005B1F86">
      <w:pPr>
        <w:spacing w:line="480" w:lineRule="auto"/>
        <w:rPr>
          <w:rFonts w:ascii="Times New Roman" w:hAnsi="Times New Roman" w:cs="Times New Roman"/>
          <w:b/>
          <w:i/>
        </w:rPr>
      </w:pPr>
    </w:p>
    <w:p w14:paraId="4A99A3E0" w14:textId="77777777" w:rsidR="00784DB7" w:rsidRPr="005C3043" w:rsidRDefault="00784DB7" w:rsidP="005B1F86">
      <w:pPr>
        <w:spacing w:line="480" w:lineRule="auto"/>
        <w:rPr>
          <w:rFonts w:ascii="Times New Roman" w:hAnsi="Times New Roman" w:cs="Times New Roman"/>
          <w:b/>
          <w:i/>
        </w:rPr>
      </w:pPr>
    </w:p>
    <w:p w14:paraId="791B72E1" w14:textId="516F2CA3" w:rsidR="005B1F86" w:rsidRPr="005C3043" w:rsidRDefault="005B1F86" w:rsidP="00276CE1">
      <w:pPr>
        <w:pStyle w:val="Diss3"/>
      </w:pPr>
      <w:bookmarkStart w:id="67" w:name="_Toc100072189"/>
      <w:r w:rsidRPr="005C3043">
        <w:lastRenderedPageBreak/>
        <w:t>Transvaginal aspiration of the pre-ovulatory follicle</w:t>
      </w:r>
      <w:bookmarkEnd w:id="67"/>
    </w:p>
    <w:p w14:paraId="2D13156E" w14:textId="77777777" w:rsidR="005B1F86" w:rsidRPr="005C3043" w:rsidRDefault="005B1F86" w:rsidP="005B1F86">
      <w:pPr>
        <w:spacing w:line="480" w:lineRule="auto"/>
        <w:ind w:firstLine="720"/>
        <w:jc w:val="both"/>
        <w:rPr>
          <w:rFonts w:ascii="Times New Roman" w:hAnsi="Times New Roman" w:cs="Times New Roman"/>
        </w:rPr>
      </w:pPr>
      <w:r w:rsidRPr="005C3043">
        <w:rPr>
          <w:rFonts w:ascii="Times New Roman" w:hAnsi="Times New Roman" w:cs="Times New Roman"/>
        </w:rPr>
        <w:t xml:space="preserve">We performed transvaginal aspiration to collect oocyte and follicular fluid samples ~19 hours after GnRH2 administration to induce the pre-ovulatory gonadotropin surge. We aimed to determine the functional significance of variations in pre-ovulatory follicle maturity at the time of GnRH2 administration on follicular fluid metabolome profiles and oocyte metabolic capacity after progression toward oocyte maturation. Prior to aspiration, all cows received a spinal block via administration of lidocaine (2% lidocaine, 5 ml) into the spinal cord at the first intercoccygeal space of the tailhead. The perineal area of each cow was then cleaned of all contaminants and an ultrasound guided aspiration device attached to a Samsung HM70A ultrasound and CF4-9 convex probe was inserted into the anterior vagina. The ultrasound device consisted of an 18-gauge needle and a series of tubing to facilitate removal of follicular contents. The ovary containing the pre-ovulatory follicle was located and positioned for follicle aspiration before the needle was gently pushed through the vaginal wall and guided through the ovarian cortex into the antrum of the pre-ovulatory follicle. Follicular fluid was withdrawn into a clean 12 ml syringe before the syringe was removed, replaced, and the follicle </w:t>
      </w:r>
      <w:proofErr w:type="spellStart"/>
      <w:r w:rsidRPr="005C3043">
        <w:rPr>
          <w:rFonts w:ascii="Times New Roman" w:hAnsi="Times New Roman" w:cs="Times New Roman"/>
        </w:rPr>
        <w:t>lavaged</w:t>
      </w:r>
      <w:proofErr w:type="spellEnd"/>
      <w:r w:rsidRPr="005C3043">
        <w:rPr>
          <w:rFonts w:ascii="Times New Roman" w:hAnsi="Times New Roman" w:cs="Times New Roman"/>
        </w:rPr>
        <w:t xml:space="preserve"> with PVA TL-HEPES (114.0 mM NaCl, 3.2 mM </w:t>
      </w:r>
      <w:proofErr w:type="spellStart"/>
      <w:r w:rsidRPr="005C3043">
        <w:rPr>
          <w:rFonts w:ascii="Times New Roman" w:hAnsi="Times New Roman" w:cs="Times New Roman"/>
        </w:rPr>
        <w:t>KCl</w:t>
      </w:r>
      <w:proofErr w:type="spellEnd"/>
      <w:r w:rsidRPr="005C3043">
        <w:rPr>
          <w:rFonts w:ascii="Times New Roman" w:hAnsi="Times New Roman" w:cs="Times New Roman"/>
        </w:rPr>
        <w:t xml:space="preserve">, 2.0 mM NaHCO3, 0.34 mM NaH2PO4, 0.50 </w:t>
      </w:r>
      <w:proofErr w:type="spellStart"/>
      <w:r w:rsidRPr="005C3043">
        <w:rPr>
          <w:rFonts w:ascii="Times New Roman" w:hAnsi="Times New Roman" w:cs="Times New Roman"/>
        </w:rPr>
        <w:t>μM</w:t>
      </w:r>
      <w:proofErr w:type="spellEnd"/>
      <w:r w:rsidRPr="005C3043">
        <w:rPr>
          <w:rFonts w:ascii="Times New Roman" w:hAnsi="Times New Roman" w:cs="Times New Roman"/>
        </w:rPr>
        <w:t xml:space="preserve"> MgCl2*6H2O, 10.0 mM HEPES, 2.0 mM CaCl2*H2O, </w:t>
      </w:r>
      <w:r w:rsidRPr="005C3043">
        <w:rPr>
          <w:rFonts w:ascii="Times New Roman" w:hAnsi="Times New Roman" w:cs="Times New Roman"/>
          <w:color w:val="000000" w:themeColor="text1"/>
        </w:rPr>
        <w:t xml:space="preserve">2.3 </w:t>
      </w:r>
      <w:proofErr w:type="spellStart"/>
      <w:r w:rsidRPr="005C3043">
        <w:rPr>
          <w:rFonts w:ascii="Times New Roman" w:hAnsi="Times New Roman" w:cs="Times New Roman"/>
          <w:color w:val="000000" w:themeColor="text1"/>
        </w:rPr>
        <w:t>μM</w:t>
      </w:r>
      <w:proofErr w:type="spellEnd"/>
      <w:r w:rsidRPr="005C3043">
        <w:rPr>
          <w:rFonts w:ascii="Times New Roman" w:hAnsi="Times New Roman" w:cs="Times New Roman"/>
          <w:color w:val="000000" w:themeColor="text1"/>
        </w:rPr>
        <w:t xml:space="preserve"> PVA</w:t>
      </w:r>
      <w:r w:rsidRPr="005C3043">
        <w:rPr>
          <w:rFonts w:ascii="Times New Roman" w:hAnsi="Times New Roman" w:cs="Times New Roman"/>
        </w:rPr>
        <w:t>, and 12 mM sorbitol) multiple times to collect remaining follicular cells.</w:t>
      </w:r>
    </w:p>
    <w:p w14:paraId="5029E1D2" w14:textId="77777777" w:rsidR="005B1F86" w:rsidRPr="005C3043" w:rsidRDefault="005B1F86" w:rsidP="00276CE1">
      <w:pPr>
        <w:pStyle w:val="Diss3"/>
      </w:pPr>
      <w:bookmarkStart w:id="68" w:name="_Toc100072190"/>
      <w:r w:rsidRPr="005C3043">
        <w:lastRenderedPageBreak/>
        <w:t>Detection of estrus, ovarian mapping, and determination of cow weight and body condition score</w:t>
      </w:r>
      <w:bookmarkEnd w:id="68"/>
    </w:p>
    <w:p w14:paraId="71C90C5A" w14:textId="77777777" w:rsidR="005B1F86" w:rsidRPr="005C3043" w:rsidRDefault="005B1F86" w:rsidP="005B1F86">
      <w:pPr>
        <w:spacing w:line="480" w:lineRule="auto"/>
        <w:ind w:firstLine="720"/>
        <w:jc w:val="both"/>
        <w:rPr>
          <w:rFonts w:ascii="Times New Roman" w:hAnsi="Times New Roman" w:cs="Times New Roman"/>
        </w:rPr>
      </w:pPr>
      <w:r w:rsidRPr="005C3043">
        <w:rPr>
          <w:rFonts w:ascii="Times New Roman" w:hAnsi="Times New Roman" w:cs="Times New Roman"/>
        </w:rPr>
        <w:t xml:space="preserve">Patches for the detection of estrus </w:t>
      </w:r>
      <w:r w:rsidRPr="005C3043">
        <w:rPr>
          <w:rFonts w:ascii="Times New Roman" w:hAnsi="Times New Roman" w:cs="Times New Roman"/>
          <w:color w:val="000000"/>
        </w:rPr>
        <w:t>(</w:t>
      </w:r>
      <w:proofErr w:type="spellStart"/>
      <w:r w:rsidRPr="005C3043">
        <w:rPr>
          <w:rFonts w:ascii="Times New Roman" w:hAnsi="Times New Roman" w:cs="Times New Roman"/>
          <w:color w:val="000000"/>
        </w:rPr>
        <w:t>Estrotect</w:t>
      </w:r>
      <w:proofErr w:type="spellEnd"/>
      <w:r w:rsidRPr="005C3043">
        <w:rPr>
          <w:rFonts w:ascii="Times New Roman" w:hAnsi="Times New Roman" w:cs="Times New Roman"/>
          <w:color w:val="000000"/>
        </w:rPr>
        <w:t xml:space="preserve">; Rockway Inc; Spring Valley, WI, USA) </w:t>
      </w:r>
      <w:r w:rsidRPr="005C3043">
        <w:rPr>
          <w:rFonts w:ascii="Times New Roman" w:hAnsi="Times New Roman" w:cs="Times New Roman"/>
        </w:rPr>
        <w:t xml:space="preserve">were placed on the tailhead of all cows at the time of PGF administration during pre-synchronization and on day -9 of synchronization. Patches were visually assessed 66 hours after pre-synchronization PGF administration to determine expression of estrus during pre-synchronization and on days -2 and 0 of synchronization to detect any animals that displayed estrus between GnRH1 and PGF (n=0) or between PGF and follicle aspiration (removed from the study, n=5). Patches were scored on a scale of 0-4 with 0 being a missing patch, and 1-4 equating to &lt; 25% rubbed (patch=1), 25-50% rubbed (patch=2), 50-75% rubbed (patch=3), and &gt; 75% rubbed (patch=4). Estrus was recorded if patch score equaled 3 or 4. </w:t>
      </w:r>
    </w:p>
    <w:p w14:paraId="48EBDB72" w14:textId="77777777" w:rsidR="005B1F86" w:rsidRPr="005C3043" w:rsidRDefault="005B1F86" w:rsidP="005B1F86">
      <w:pPr>
        <w:spacing w:line="480" w:lineRule="auto"/>
        <w:ind w:firstLine="720"/>
        <w:jc w:val="both"/>
        <w:rPr>
          <w:rFonts w:ascii="Times New Roman" w:hAnsi="Times New Roman" w:cs="Times New Roman"/>
        </w:rPr>
      </w:pPr>
      <w:r w:rsidRPr="005C3043">
        <w:rPr>
          <w:rFonts w:ascii="Times New Roman" w:hAnsi="Times New Roman" w:cs="Times New Roman"/>
        </w:rPr>
        <w:t>On days -9, -2, 0, and 1, ovaries of all cattle were examined by an experienced technician using trans-rectal ultrasonography with a Samsung HM70A ultrasound and CF4-9 convex probe. All follicles &gt; 7 mm in diameter and all corpora lutea were recorded. Follicle size was calculated for all recorded follicles by averaging the measures of the largest diameter and the diameter perpendicular to it. Body weights of all animals were collected and body condition score (</w:t>
      </w:r>
      <w:r w:rsidRPr="005C3043">
        <w:rPr>
          <w:rFonts w:ascii="Times New Roman" w:hAnsi="Times New Roman" w:cs="Times New Roman"/>
          <w:noProof/>
        </w:rPr>
        <w:t>(Whitman, 1975</w:t>
      </w:r>
      <w:r w:rsidRPr="005C3043">
        <w:rPr>
          <w:rFonts w:ascii="Times New Roman" w:hAnsi="Times New Roman" w:cs="Times New Roman"/>
        </w:rPr>
        <w:t xml:space="preserve">; </w:t>
      </w:r>
      <w:r w:rsidRPr="005C3043">
        <w:rPr>
          <w:rFonts w:ascii="Times New Roman" w:hAnsi="Times New Roman" w:cs="Times New Roman"/>
          <w:noProof/>
        </w:rPr>
        <w:t>s</w:t>
      </w:r>
      <w:r w:rsidRPr="005C3043">
        <w:rPr>
          <w:rFonts w:ascii="Times New Roman" w:hAnsi="Times New Roman" w:cs="Times New Roman"/>
        </w:rPr>
        <w:t>cale of 1, emaciated-9, obese) was assigned on day 1.</w:t>
      </w:r>
    </w:p>
    <w:p w14:paraId="1B4E7CE8" w14:textId="77777777" w:rsidR="005B1F86" w:rsidRPr="005C3043" w:rsidRDefault="005B1F86" w:rsidP="00276CE1">
      <w:pPr>
        <w:pStyle w:val="Diss3"/>
      </w:pPr>
      <w:bookmarkStart w:id="69" w:name="_Toc100072191"/>
      <w:r w:rsidRPr="005C3043">
        <w:t>Blood collection and processing</w:t>
      </w:r>
      <w:bookmarkEnd w:id="69"/>
    </w:p>
    <w:p w14:paraId="2D1A979D" w14:textId="77777777" w:rsidR="005B1F86" w:rsidRPr="005C3043" w:rsidRDefault="005B1F86" w:rsidP="005B1F86">
      <w:pPr>
        <w:spacing w:line="480" w:lineRule="auto"/>
        <w:ind w:firstLine="720"/>
        <w:jc w:val="both"/>
        <w:rPr>
          <w:rFonts w:ascii="Times New Roman" w:hAnsi="Times New Roman" w:cs="Times New Roman"/>
        </w:rPr>
      </w:pPr>
      <w:r w:rsidRPr="005C3043">
        <w:rPr>
          <w:rFonts w:ascii="Times New Roman" w:hAnsi="Times New Roman" w:cs="Times New Roman"/>
        </w:rPr>
        <w:t xml:space="preserve">Blood samples were collected on days -9, -2, 0, and 1. Approximately 10ml of blood was collected via the tail vein using vacutainers for serum collection and 18-gauge, </w:t>
      </w:r>
      <w:proofErr w:type="gramStart"/>
      <w:r w:rsidRPr="005C3043">
        <w:rPr>
          <w:rFonts w:ascii="Times New Roman" w:hAnsi="Times New Roman" w:cs="Times New Roman"/>
        </w:rPr>
        <w:lastRenderedPageBreak/>
        <w:t>1-inch long</w:t>
      </w:r>
      <w:proofErr w:type="gramEnd"/>
      <w:r w:rsidRPr="005C3043">
        <w:rPr>
          <w:rFonts w:ascii="Times New Roman" w:hAnsi="Times New Roman" w:cs="Times New Roman"/>
        </w:rPr>
        <w:t xml:space="preserve"> needles (Becton, Dickinson and Company; Franklin Lakes, NJ, USA). Blood was allowed to clot for at least 1 hour before being refrigerated at 4 </w:t>
      </w:r>
      <w:proofErr w:type="spellStart"/>
      <w:r w:rsidRPr="005C3043">
        <w:rPr>
          <w:rFonts w:ascii="Times New Roman" w:hAnsi="Times New Roman" w:cs="Times New Roman"/>
          <w:vertAlign w:val="superscript"/>
        </w:rPr>
        <w:t>o</w:t>
      </w:r>
      <w:r w:rsidRPr="005C3043">
        <w:rPr>
          <w:rFonts w:ascii="Times New Roman" w:hAnsi="Times New Roman" w:cs="Times New Roman"/>
        </w:rPr>
        <w:t>C</w:t>
      </w:r>
      <w:proofErr w:type="spellEnd"/>
      <w:r w:rsidRPr="005C3043">
        <w:rPr>
          <w:rFonts w:ascii="Times New Roman" w:hAnsi="Times New Roman" w:cs="Times New Roman"/>
        </w:rPr>
        <w:t xml:space="preserve"> for approximately 24 hours. Samples were then centrifuged at 1200 x g for 25 min at 4 </w:t>
      </w:r>
      <w:proofErr w:type="spellStart"/>
      <w:r w:rsidRPr="005C3043">
        <w:rPr>
          <w:rFonts w:ascii="Times New Roman" w:hAnsi="Times New Roman" w:cs="Times New Roman"/>
          <w:vertAlign w:val="superscript"/>
        </w:rPr>
        <w:t>o</w:t>
      </w:r>
      <w:r w:rsidRPr="005C3043">
        <w:rPr>
          <w:rFonts w:ascii="Times New Roman" w:hAnsi="Times New Roman" w:cs="Times New Roman"/>
        </w:rPr>
        <w:t>C</w:t>
      </w:r>
      <w:proofErr w:type="spellEnd"/>
      <w:r w:rsidRPr="005C3043">
        <w:rPr>
          <w:rFonts w:ascii="Times New Roman" w:hAnsi="Times New Roman" w:cs="Times New Roman"/>
        </w:rPr>
        <w:t xml:space="preserve"> and the serum supernatant was collected into borosilicate glass tubes and stored at -20 </w:t>
      </w:r>
      <w:proofErr w:type="spellStart"/>
      <w:r w:rsidRPr="005C3043">
        <w:rPr>
          <w:rFonts w:ascii="Times New Roman" w:hAnsi="Times New Roman" w:cs="Times New Roman"/>
          <w:vertAlign w:val="superscript"/>
        </w:rPr>
        <w:t>o</w:t>
      </w:r>
      <w:r w:rsidRPr="005C3043">
        <w:rPr>
          <w:rFonts w:ascii="Times New Roman" w:hAnsi="Times New Roman" w:cs="Times New Roman"/>
        </w:rPr>
        <w:t>C</w:t>
      </w:r>
      <w:proofErr w:type="spellEnd"/>
      <w:r w:rsidRPr="005C3043">
        <w:rPr>
          <w:rFonts w:ascii="Times New Roman" w:hAnsi="Times New Roman" w:cs="Times New Roman"/>
        </w:rPr>
        <w:t xml:space="preserve"> until processing for estradiol and progesterone hormone assays (VWR, Radnor, PA, USA). Samples collected in year one </w:t>
      </w:r>
      <w:proofErr w:type="gramStart"/>
      <w:r w:rsidRPr="005C3043">
        <w:rPr>
          <w:rFonts w:ascii="Times New Roman" w:hAnsi="Times New Roman" w:cs="Times New Roman"/>
        </w:rPr>
        <w:t>were</w:t>
      </w:r>
      <w:proofErr w:type="gramEnd"/>
      <w:r w:rsidRPr="005C3043">
        <w:rPr>
          <w:rFonts w:ascii="Times New Roman" w:hAnsi="Times New Roman" w:cs="Times New Roman"/>
        </w:rPr>
        <w:t xml:space="preserve"> stored for 19 months and samples collected in year two were stored for 7 months prior to processing. </w:t>
      </w:r>
    </w:p>
    <w:p w14:paraId="703738E0" w14:textId="77777777" w:rsidR="005B1F86" w:rsidRPr="005C3043" w:rsidRDefault="005B1F86" w:rsidP="00276CE1">
      <w:pPr>
        <w:pStyle w:val="Diss3"/>
      </w:pPr>
      <w:bookmarkStart w:id="70" w:name="_Toc100072192"/>
      <w:r w:rsidRPr="005C3043">
        <w:t>Processing of follicular fluid and oocyte samples</w:t>
      </w:r>
      <w:bookmarkEnd w:id="70"/>
    </w:p>
    <w:p w14:paraId="118DD739" w14:textId="77777777" w:rsidR="005B1F86" w:rsidRPr="005C3043" w:rsidRDefault="005B1F86" w:rsidP="005B1F86">
      <w:pPr>
        <w:spacing w:line="480" w:lineRule="auto"/>
        <w:ind w:firstLine="720"/>
        <w:jc w:val="both"/>
        <w:rPr>
          <w:rFonts w:ascii="Times New Roman" w:hAnsi="Times New Roman" w:cs="Times New Roman"/>
        </w:rPr>
      </w:pPr>
      <w:r w:rsidRPr="005C3043">
        <w:rPr>
          <w:rFonts w:ascii="Times New Roman" w:hAnsi="Times New Roman" w:cs="Times New Roman"/>
        </w:rPr>
        <w:t xml:space="preserve">Follicular fluid and PVA TL-HEPES media flushes collected during follicle aspiration were deposited into individual wells of a 4-well petri plate and searched to find the cumulus-oocyte-complex (COC). Once located, the COC was placed into a four-well plate containing 1 ml of 1x trypsin (Thermo Fisher Scientific, Waltham, MA, USA). The oocyte was denuded by gently pipetting the COC within the trypsin using a Cook </w:t>
      </w:r>
      <w:proofErr w:type="spellStart"/>
      <w:r w:rsidRPr="005C3043">
        <w:rPr>
          <w:rFonts w:ascii="Times New Roman" w:hAnsi="Times New Roman" w:cs="Times New Roman"/>
        </w:rPr>
        <w:t>Flexipet</w:t>
      </w:r>
      <w:proofErr w:type="spellEnd"/>
      <w:r w:rsidRPr="005C3043">
        <w:rPr>
          <w:rFonts w:ascii="Times New Roman" w:hAnsi="Times New Roman" w:cs="Times New Roman"/>
        </w:rPr>
        <w:t xml:space="preserve"> Adjustable Handle pipette with a 130 </w:t>
      </w:r>
      <w:proofErr w:type="spellStart"/>
      <w:r w:rsidRPr="005C3043">
        <w:rPr>
          <w:rFonts w:ascii="Times New Roman" w:hAnsi="Times New Roman" w:cs="Times New Roman"/>
        </w:rPr>
        <w:t>μm</w:t>
      </w:r>
      <w:proofErr w:type="spellEnd"/>
      <w:r w:rsidRPr="005C3043">
        <w:rPr>
          <w:rFonts w:ascii="Times New Roman" w:hAnsi="Times New Roman" w:cs="Times New Roman"/>
        </w:rPr>
        <w:t xml:space="preserve"> Cook </w:t>
      </w:r>
      <w:proofErr w:type="spellStart"/>
      <w:r w:rsidRPr="005C3043">
        <w:rPr>
          <w:rFonts w:ascii="Times New Roman" w:hAnsi="Times New Roman" w:cs="Times New Roman"/>
        </w:rPr>
        <w:t>Flexipet</w:t>
      </w:r>
      <w:proofErr w:type="spellEnd"/>
      <w:r w:rsidRPr="005C3043">
        <w:rPr>
          <w:rFonts w:ascii="Times New Roman" w:hAnsi="Times New Roman" w:cs="Times New Roman"/>
        </w:rPr>
        <w:t xml:space="preserve"> pipette tip (Cook Group, Bloomington, IN, USA). The oocyte underwent 3 consecutive washes in phosphate buffered saline (PBS) before being snap frozen in a 2 ml cryovial (Neptune Scientific, San Diego, CA, USA) containing 2 </w:t>
      </w:r>
      <w:proofErr w:type="spellStart"/>
      <w:r w:rsidRPr="005C3043">
        <w:rPr>
          <w:rFonts w:ascii="Times New Roman" w:hAnsi="Times New Roman" w:cs="Times New Roman"/>
        </w:rPr>
        <w:t>μl</w:t>
      </w:r>
      <w:proofErr w:type="spellEnd"/>
      <w:r w:rsidRPr="005C3043">
        <w:rPr>
          <w:rFonts w:ascii="Times New Roman" w:hAnsi="Times New Roman" w:cs="Times New Roman"/>
        </w:rPr>
        <w:t xml:space="preserve"> PBS. The follicular fluid was then collected into 1.7 ml tubes (VWR, Radnor, PA, USA) and centrifuged at 4 </w:t>
      </w:r>
      <w:proofErr w:type="spellStart"/>
      <w:r w:rsidRPr="005C3043">
        <w:rPr>
          <w:rFonts w:ascii="Times New Roman" w:hAnsi="Times New Roman" w:cs="Times New Roman"/>
          <w:vertAlign w:val="superscript"/>
        </w:rPr>
        <w:t>o</w:t>
      </w:r>
      <w:r w:rsidRPr="005C3043">
        <w:rPr>
          <w:rFonts w:ascii="Times New Roman" w:hAnsi="Times New Roman" w:cs="Times New Roman"/>
        </w:rPr>
        <w:t>C</w:t>
      </w:r>
      <w:proofErr w:type="spellEnd"/>
      <w:r w:rsidRPr="005C3043">
        <w:rPr>
          <w:rFonts w:ascii="Times New Roman" w:hAnsi="Times New Roman" w:cs="Times New Roman"/>
        </w:rPr>
        <w:t xml:space="preserve"> for 5 min at 500 x g to remove the remaining cellular debris. The follicular fluid supernatant was distributed between a borosilicate glass tube and 2 ml cryovials. Follicular fluid samples in glass tubes were stored at -20 </w:t>
      </w:r>
      <w:proofErr w:type="spellStart"/>
      <w:r w:rsidRPr="005C3043">
        <w:rPr>
          <w:rFonts w:ascii="Times New Roman" w:hAnsi="Times New Roman" w:cs="Times New Roman"/>
          <w:vertAlign w:val="superscript"/>
        </w:rPr>
        <w:t>o</w:t>
      </w:r>
      <w:r w:rsidRPr="005C3043">
        <w:rPr>
          <w:rFonts w:ascii="Times New Roman" w:hAnsi="Times New Roman" w:cs="Times New Roman"/>
        </w:rPr>
        <w:t>C</w:t>
      </w:r>
      <w:proofErr w:type="spellEnd"/>
      <w:r w:rsidRPr="005C3043">
        <w:rPr>
          <w:rFonts w:ascii="Times New Roman" w:hAnsi="Times New Roman" w:cs="Times New Roman"/>
        </w:rPr>
        <w:t>, and samples stored in cryovials were snap frozen in liquid nitrogen for storage at -80</w:t>
      </w:r>
      <w:r w:rsidRPr="005C3043">
        <w:rPr>
          <w:rFonts w:ascii="Times New Roman" w:hAnsi="Times New Roman" w:cs="Times New Roman"/>
          <w:vertAlign w:val="superscript"/>
        </w:rPr>
        <w:t xml:space="preserve"> </w:t>
      </w:r>
      <w:proofErr w:type="spellStart"/>
      <w:r w:rsidRPr="005C3043">
        <w:rPr>
          <w:rFonts w:ascii="Times New Roman" w:hAnsi="Times New Roman" w:cs="Times New Roman"/>
          <w:vertAlign w:val="superscript"/>
        </w:rPr>
        <w:t>o</w:t>
      </w:r>
      <w:r w:rsidRPr="005C3043">
        <w:rPr>
          <w:rFonts w:ascii="Times New Roman" w:hAnsi="Times New Roman" w:cs="Times New Roman"/>
        </w:rPr>
        <w:t>C</w:t>
      </w:r>
      <w:proofErr w:type="spellEnd"/>
      <w:r w:rsidRPr="005C3043">
        <w:rPr>
          <w:rFonts w:ascii="Times New Roman" w:hAnsi="Times New Roman" w:cs="Times New Roman"/>
        </w:rPr>
        <w:t xml:space="preserve"> until further processing. </w:t>
      </w:r>
    </w:p>
    <w:p w14:paraId="09866447" w14:textId="77777777" w:rsidR="005B1F86" w:rsidRPr="005C3043" w:rsidRDefault="005B1F86" w:rsidP="00276CE1">
      <w:pPr>
        <w:pStyle w:val="Diss3"/>
      </w:pPr>
      <w:bookmarkStart w:id="71" w:name="_Toc100072193"/>
      <w:r w:rsidRPr="005C3043">
        <w:lastRenderedPageBreak/>
        <w:t xml:space="preserve">Oocyte ATP and </w:t>
      </w:r>
      <w:proofErr w:type="spellStart"/>
      <w:r w:rsidRPr="005C3043">
        <w:t>mtDNA</w:t>
      </w:r>
      <w:proofErr w:type="spellEnd"/>
      <w:r w:rsidRPr="005C3043">
        <w:t xml:space="preserve"> copy number quantification</w:t>
      </w:r>
      <w:bookmarkEnd w:id="71"/>
    </w:p>
    <w:p w14:paraId="03C19E9C" w14:textId="77777777" w:rsidR="005B1F86" w:rsidRPr="005C3043" w:rsidRDefault="005B1F86" w:rsidP="005B1F86">
      <w:pPr>
        <w:spacing w:line="480" w:lineRule="auto"/>
        <w:ind w:firstLine="720"/>
        <w:jc w:val="both"/>
        <w:rPr>
          <w:rFonts w:ascii="Times New Roman" w:hAnsi="Times New Roman" w:cs="Times New Roman"/>
        </w:rPr>
      </w:pPr>
      <w:r w:rsidRPr="005C3043">
        <w:rPr>
          <w:rFonts w:ascii="Times New Roman" w:hAnsi="Times New Roman" w:cs="Times New Roman"/>
        </w:rPr>
        <w:t xml:space="preserve">Quantification of oocyte ATP levels and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were performed according to a protocol previously optimized by our lab (n = 110; </w:t>
      </w:r>
      <w:r w:rsidRPr="005C3043">
        <w:rPr>
          <w:rFonts w:ascii="Times New Roman" w:hAnsi="Times New Roman" w:cs="Times New Roman"/>
          <w:noProof/>
        </w:rPr>
        <w:t>Read et al., 2021a)</w:t>
      </w:r>
      <w:r w:rsidRPr="005C3043">
        <w:rPr>
          <w:rFonts w:ascii="Times New Roman" w:hAnsi="Times New Roman" w:cs="Times New Roman"/>
        </w:rPr>
        <w:t xml:space="preserve">. Briefly, oocytes were lysed by adding 8 </w:t>
      </w:r>
      <w:proofErr w:type="spellStart"/>
      <w:r w:rsidRPr="005C3043">
        <w:rPr>
          <w:rFonts w:ascii="Times New Roman" w:hAnsi="Times New Roman" w:cs="Times New Roman"/>
        </w:rPr>
        <w:t>μl</w:t>
      </w:r>
      <w:proofErr w:type="spellEnd"/>
      <w:r w:rsidRPr="005C3043">
        <w:rPr>
          <w:rFonts w:ascii="Times New Roman" w:hAnsi="Times New Roman" w:cs="Times New Roman"/>
        </w:rPr>
        <w:t xml:space="preserve"> of 5 mM Tris HCl to each tube and heating for 10 min at 95 </w:t>
      </w:r>
      <w:proofErr w:type="spellStart"/>
      <w:r w:rsidRPr="005C3043">
        <w:rPr>
          <w:rFonts w:ascii="Times New Roman" w:hAnsi="Times New Roman" w:cs="Times New Roman"/>
          <w:vertAlign w:val="superscript"/>
        </w:rPr>
        <w:t>o</w:t>
      </w:r>
      <w:r w:rsidRPr="005C3043">
        <w:rPr>
          <w:rFonts w:ascii="Times New Roman" w:hAnsi="Times New Roman" w:cs="Times New Roman"/>
        </w:rPr>
        <w:t>C.</w:t>
      </w:r>
      <w:proofErr w:type="spellEnd"/>
      <w:r w:rsidRPr="005C3043">
        <w:rPr>
          <w:rFonts w:ascii="Times New Roman" w:hAnsi="Times New Roman" w:cs="Times New Roman"/>
        </w:rPr>
        <w:t xml:space="preserve"> The lysate was then divided in half with 5 </w:t>
      </w:r>
      <w:proofErr w:type="spellStart"/>
      <w:r w:rsidRPr="005C3043">
        <w:rPr>
          <w:rFonts w:ascii="Times New Roman" w:hAnsi="Times New Roman" w:cs="Times New Roman"/>
        </w:rPr>
        <w:t>μl</w:t>
      </w:r>
      <w:proofErr w:type="spellEnd"/>
      <w:r w:rsidRPr="005C3043">
        <w:rPr>
          <w:rFonts w:ascii="Times New Roman" w:hAnsi="Times New Roman" w:cs="Times New Roman"/>
        </w:rPr>
        <w:t xml:space="preserve"> used to quantify intra-oocyte ATP levels and the remaining 5 </w:t>
      </w:r>
      <w:proofErr w:type="spellStart"/>
      <w:r w:rsidRPr="005C3043">
        <w:rPr>
          <w:rFonts w:ascii="Times New Roman" w:hAnsi="Times New Roman" w:cs="Times New Roman"/>
        </w:rPr>
        <w:t>μl</w:t>
      </w:r>
      <w:proofErr w:type="spellEnd"/>
      <w:r w:rsidRPr="005C3043">
        <w:rPr>
          <w:rFonts w:ascii="Times New Roman" w:hAnsi="Times New Roman" w:cs="Times New Roman"/>
        </w:rPr>
        <w:t xml:space="preserve"> used to quantify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Quantification of ATP levels was performed in duplicate using the ATP Determination Kit according to the manufacturer’s directions (Life Technologies; Carlsbad, CA, USA). The portion of the lysate for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analysis was combined with proteinase K (final concentration of 200 </w:t>
      </w:r>
      <w:proofErr w:type="spellStart"/>
      <w:r w:rsidRPr="005C3043">
        <w:rPr>
          <w:rFonts w:ascii="Times New Roman" w:hAnsi="Times New Roman" w:cs="Times New Roman"/>
        </w:rPr>
        <w:t>μg</w:t>
      </w:r>
      <w:proofErr w:type="spellEnd"/>
      <w:r w:rsidRPr="005C3043">
        <w:rPr>
          <w:rFonts w:ascii="Times New Roman" w:hAnsi="Times New Roman" w:cs="Times New Roman"/>
        </w:rPr>
        <w:t xml:space="preserve">/ml; </w:t>
      </w:r>
      <w:proofErr w:type="spellStart"/>
      <w:r w:rsidRPr="005C3043">
        <w:rPr>
          <w:rFonts w:ascii="Times New Roman" w:hAnsi="Times New Roman" w:cs="Times New Roman"/>
        </w:rPr>
        <w:t>Zymo</w:t>
      </w:r>
      <w:proofErr w:type="spellEnd"/>
      <w:r w:rsidRPr="005C3043">
        <w:rPr>
          <w:rFonts w:ascii="Times New Roman" w:hAnsi="Times New Roman" w:cs="Times New Roman"/>
        </w:rPr>
        <w:t xml:space="preserve"> Research, Irvine, CA, USA) and heated at 55 </w:t>
      </w:r>
      <w:proofErr w:type="spellStart"/>
      <w:r w:rsidRPr="005C3043">
        <w:rPr>
          <w:rFonts w:ascii="Times New Roman" w:hAnsi="Times New Roman" w:cs="Times New Roman"/>
          <w:vertAlign w:val="superscript"/>
        </w:rPr>
        <w:t>o</w:t>
      </w:r>
      <w:r w:rsidRPr="005C3043">
        <w:rPr>
          <w:rFonts w:ascii="Times New Roman" w:hAnsi="Times New Roman" w:cs="Times New Roman"/>
        </w:rPr>
        <w:t>C</w:t>
      </w:r>
      <w:proofErr w:type="spellEnd"/>
      <w:r w:rsidRPr="005C3043">
        <w:rPr>
          <w:rFonts w:ascii="Times New Roman" w:hAnsi="Times New Roman" w:cs="Times New Roman"/>
        </w:rPr>
        <w:t xml:space="preserve"> to expose the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A custom TaqMan assay was designed to determine the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of each oocyte (Thermo Fisher Scientific, Waltham, MA, USA; </w:t>
      </w:r>
      <w:r w:rsidRPr="005C3043">
        <w:rPr>
          <w:rFonts w:ascii="Times New Roman" w:hAnsi="Times New Roman" w:cs="Times New Roman"/>
          <w:noProof/>
        </w:rPr>
        <w:t>Read et al., 2021a)</w:t>
      </w:r>
      <w:r w:rsidRPr="005C3043">
        <w:rPr>
          <w:rFonts w:ascii="Times New Roman" w:hAnsi="Times New Roman" w:cs="Times New Roman"/>
        </w:rPr>
        <w:t xml:space="preserve">. TaqMan primer and probes were combined with the oocyte lysate and Fast Advanced Master Mix (Thermo Fisher Scientific) and analyzed in duplicate using a QuantStudio3 (Thermo Fisher Scientific). The PCR settings were as follows: 2 min at 94°C followed by 40 cycles of 10 seconds at 94 °C, 15 seconds at 57 °C, and 12 seconds at 72 °C. Average sample values for each assay were compared to the values from a known standard curve (ATP: 0.5 </w:t>
      </w:r>
      <w:proofErr w:type="spellStart"/>
      <w:r w:rsidRPr="005C3043">
        <w:rPr>
          <w:rFonts w:ascii="Times New Roman" w:hAnsi="Times New Roman" w:cs="Times New Roman"/>
        </w:rPr>
        <w:t>μM</w:t>
      </w:r>
      <w:proofErr w:type="spellEnd"/>
      <w:r w:rsidRPr="005C3043">
        <w:rPr>
          <w:rFonts w:ascii="Times New Roman" w:hAnsi="Times New Roman" w:cs="Times New Roman"/>
        </w:rPr>
        <w:t xml:space="preserve">, 0.05 </w:t>
      </w:r>
      <w:proofErr w:type="spellStart"/>
      <w:r w:rsidRPr="005C3043">
        <w:rPr>
          <w:rFonts w:ascii="Times New Roman" w:hAnsi="Times New Roman" w:cs="Times New Roman"/>
        </w:rPr>
        <w:t>μM</w:t>
      </w:r>
      <w:proofErr w:type="spellEnd"/>
      <w:r w:rsidRPr="005C3043">
        <w:rPr>
          <w:rFonts w:ascii="Times New Roman" w:hAnsi="Times New Roman" w:cs="Times New Roman"/>
        </w:rPr>
        <w:t xml:space="preserve">, 0.025 </w:t>
      </w:r>
      <w:proofErr w:type="spellStart"/>
      <w:r w:rsidRPr="005C3043">
        <w:rPr>
          <w:rFonts w:ascii="Times New Roman" w:hAnsi="Times New Roman" w:cs="Times New Roman"/>
        </w:rPr>
        <w:t>μM</w:t>
      </w:r>
      <w:proofErr w:type="spellEnd"/>
      <w:r w:rsidRPr="005C3043">
        <w:rPr>
          <w:rFonts w:ascii="Times New Roman" w:hAnsi="Times New Roman" w:cs="Times New Roman"/>
        </w:rPr>
        <w:t xml:space="preserve">, 0.005 </w:t>
      </w:r>
      <w:proofErr w:type="spellStart"/>
      <w:r w:rsidRPr="005C3043">
        <w:rPr>
          <w:rFonts w:ascii="Times New Roman" w:hAnsi="Times New Roman" w:cs="Times New Roman"/>
        </w:rPr>
        <w:t>μM</w:t>
      </w:r>
      <w:proofErr w:type="spellEnd"/>
      <w:r w:rsidRPr="005C3043">
        <w:rPr>
          <w:rFonts w:ascii="Times New Roman" w:hAnsi="Times New Roman" w:cs="Times New Roman"/>
        </w:rPr>
        <w:t xml:space="preserve">, 0.0025 </w:t>
      </w:r>
      <w:proofErr w:type="spellStart"/>
      <w:r w:rsidRPr="005C3043">
        <w:rPr>
          <w:rFonts w:ascii="Times New Roman" w:hAnsi="Times New Roman" w:cs="Times New Roman"/>
        </w:rPr>
        <w:t>μM</w:t>
      </w:r>
      <w:proofErr w:type="spellEnd"/>
      <w:r w:rsidRPr="005C3043">
        <w:rPr>
          <w:rFonts w:ascii="Times New Roman" w:hAnsi="Times New Roman" w:cs="Times New Roman"/>
        </w:rPr>
        <w:t xml:space="preserve">;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10, 100, 1000, 10000, 100000, 1000000 copies) and used to calculate the levels of ATP and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within each oocyte. Intra-assay and inter-assay CV values averaged 0.65% and 4.39% for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and 13.29% and 15.16% for intraoocyte ATP.</w:t>
      </w:r>
    </w:p>
    <w:p w14:paraId="35EE7D98" w14:textId="77777777" w:rsidR="005B1F86" w:rsidRPr="00276CE1" w:rsidRDefault="005B1F86" w:rsidP="00276CE1">
      <w:pPr>
        <w:pStyle w:val="Diss3"/>
      </w:pPr>
      <w:bookmarkStart w:id="72" w:name="_Toc100072194"/>
      <w:r w:rsidRPr="00276CE1">
        <w:lastRenderedPageBreak/>
        <w:t>UHPLC-HRMS metabolomics</w:t>
      </w:r>
      <w:bookmarkEnd w:id="72"/>
    </w:p>
    <w:p w14:paraId="19550F88" w14:textId="415CD055" w:rsidR="005B1F86" w:rsidRPr="005C3043" w:rsidRDefault="005B1F86" w:rsidP="005B1F86">
      <w:pPr>
        <w:spacing w:line="480" w:lineRule="auto"/>
        <w:ind w:firstLine="720"/>
        <w:jc w:val="both"/>
        <w:rPr>
          <w:rFonts w:ascii="Times New Roman" w:hAnsi="Times New Roman" w:cs="Times New Roman"/>
        </w:rPr>
      </w:pPr>
      <w:r w:rsidRPr="005C3043">
        <w:rPr>
          <w:rFonts w:ascii="Times New Roman" w:hAnsi="Times New Roman" w:cs="Times New Roman"/>
        </w:rPr>
        <w:t xml:space="preserve">Follicular fluid samples corresponding to each collected oocyte (n = 45) from year two were selected for metabolomics processing. Cryovial-stored, follicular fluid samples were thawed on ice, and 50 µl aliquots of each sample were placed into individual 2 ml tubes. Each sample was analyzed by ultra-high-performance liquid chromatography – high resolution mass spectrometry (UHPLC-HRMS) at the University of Tennessee Biological and Small Molecule Mass Spectrometry Core (RRID: SCR_021368). Briefly, metabolites were extracted from the follicular fluid using a 20:40:40 water/methanol/acetonitrile (v/v/v) solution with 0.10 M formic acid </w:t>
      </w:r>
      <w:r w:rsidRPr="005C3043">
        <w:rPr>
          <w:rFonts w:ascii="Times New Roman" w:hAnsi="Times New Roman" w:cs="Times New Roman"/>
          <w:noProof/>
        </w:rPr>
        <w:t>(Martens et al., 2011; Greene et al., 2020)</w:t>
      </w:r>
      <w:r w:rsidRPr="005C3043">
        <w:rPr>
          <w:rFonts w:ascii="Times New Roman" w:hAnsi="Times New Roman" w:cs="Times New Roman"/>
        </w:rPr>
        <w:t xml:space="preserve">. The metabolomes of each sample were separated on a Synergy Hydro RP (2.5 </w:t>
      </w:r>
      <w:proofErr w:type="spellStart"/>
      <w:r w:rsidRPr="005C3043">
        <w:rPr>
          <w:rFonts w:ascii="Times New Roman" w:hAnsi="Times New Roman" w:cs="Times New Roman"/>
        </w:rPr>
        <w:t>μm</w:t>
      </w:r>
      <w:proofErr w:type="spellEnd"/>
      <w:r w:rsidRPr="005C3043">
        <w:rPr>
          <w:rFonts w:ascii="Times New Roman" w:hAnsi="Times New Roman" w:cs="Times New Roman"/>
        </w:rPr>
        <w:t>, 100</w:t>
      </w:r>
      <w:r w:rsidR="00DC10CA">
        <w:rPr>
          <w:rFonts w:ascii="Times New Roman" w:hAnsi="Times New Roman" w:cs="Times New Roman"/>
        </w:rPr>
        <w:t xml:space="preserve"> </w:t>
      </w:r>
      <w:r w:rsidRPr="00DC10CA">
        <w:rPr>
          <w:rFonts w:ascii="Times New Roman" w:hAnsi="Times New Roman" w:cs="Times New Roman"/>
        </w:rPr>
        <w:t xml:space="preserve">mm x 2.0 mm column (Phenomenex, Torrance, CA, USA) at 25 </w:t>
      </w:r>
      <w:proofErr w:type="spellStart"/>
      <w:r w:rsidRPr="003B6B38">
        <w:rPr>
          <w:rFonts w:ascii="Times New Roman" w:hAnsi="Times New Roman" w:cs="Times New Roman"/>
          <w:vertAlign w:val="superscript"/>
        </w:rPr>
        <w:t>o</w:t>
      </w:r>
      <w:r w:rsidRPr="003B6B38">
        <w:rPr>
          <w:rFonts w:ascii="Times New Roman" w:hAnsi="Times New Roman" w:cs="Times New Roman"/>
        </w:rPr>
        <w:t>C.</w:t>
      </w:r>
      <w:proofErr w:type="spellEnd"/>
      <w:r w:rsidRPr="003B6B38">
        <w:rPr>
          <w:rFonts w:ascii="Times New Roman" w:hAnsi="Times New Roman" w:cs="Times New Roman"/>
        </w:rPr>
        <w:t xml:space="preserve"> The solvents for the elution were: phase A: 97:3 methanol/water (v/v) with 11mM tributylamine and 15mM acetic ac</w:t>
      </w:r>
      <w:r w:rsidRPr="005C3043">
        <w:rPr>
          <w:rFonts w:ascii="Times New Roman" w:hAnsi="Times New Roman" w:cs="Times New Roman"/>
        </w:rPr>
        <w:t xml:space="preserve">id and phase B: 100% methanol. The solvent gradient from 0 to 5 min was 100% A: 0% B, from 5 to 13 min was 80% A: 20% B, from 13 to 15.5 min was 45% A: 55% B, from 15.5 to19 min was 5% A: 95% B, and from 19 to 25 min was 100% A: 0% B with a flow rate of 200 </w:t>
      </w:r>
      <m:oMath>
        <m:r>
          <w:rPr>
            <w:rFonts w:ascii="Cambria Math" w:hAnsi="Cambria Math" w:cs="Times New Roman"/>
          </w:rPr>
          <m:t>μ</m:t>
        </m:r>
      </m:oMath>
      <w:r w:rsidRPr="005C3043">
        <w:rPr>
          <w:rFonts w:ascii="Times New Roman" w:hAnsi="Times New Roman" w:cs="Times New Roman"/>
        </w:rPr>
        <w:t xml:space="preserve">L/min. Detection of the metabolome components was accomplished using an Exactive Plus Orbitrap mass spectrometer (Thermo Fisher Scientific, Waltham, MA) fitted with an electrospray ionization (ESI) probe operated in negative mode. The scan range was 72-1000 </w:t>
      </w:r>
      <w:r w:rsidRPr="005C3043">
        <w:rPr>
          <w:rFonts w:ascii="Times New Roman" w:hAnsi="Times New Roman" w:cs="Times New Roman"/>
          <w:i/>
          <w:iCs/>
        </w:rPr>
        <w:t>m/z</w:t>
      </w:r>
      <w:r w:rsidRPr="005C3043">
        <w:rPr>
          <w:rFonts w:ascii="Times New Roman" w:hAnsi="Times New Roman" w:cs="Times New Roman"/>
        </w:rPr>
        <w:t xml:space="preserve">, the resolution was set to 140,000, and the acquisition gain control target to 3e6. Files were generated by the HRMS in the </w:t>
      </w:r>
      <w:proofErr w:type="spellStart"/>
      <w:r w:rsidRPr="005C3043">
        <w:rPr>
          <w:rFonts w:ascii="Times New Roman" w:hAnsi="Times New Roman" w:cs="Times New Roman"/>
        </w:rPr>
        <w:t>Xcalibur</w:t>
      </w:r>
      <w:proofErr w:type="spellEnd"/>
      <w:r w:rsidRPr="005C3043">
        <w:rPr>
          <w:rFonts w:ascii="Times New Roman" w:hAnsi="Times New Roman" w:cs="Times New Roman"/>
        </w:rPr>
        <w:t xml:space="preserve"> (RAW) format and were converted to the open-source </w:t>
      </w:r>
      <w:proofErr w:type="spellStart"/>
      <w:r w:rsidRPr="005C3043">
        <w:rPr>
          <w:rFonts w:ascii="Times New Roman" w:hAnsi="Times New Roman" w:cs="Times New Roman"/>
        </w:rPr>
        <w:t>mzML</w:t>
      </w:r>
      <w:proofErr w:type="spellEnd"/>
      <w:r w:rsidRPr="005C3043">
        <w:rPr>
          <w:rFonts w:ascii="Times New Roman" w:hAnsi="Times New Roman" w:cs="Times New Roman"/>
        </w:rPr>
        <w:t xml:space="preserve"> format via the open-source </w:t>
      </w:r>
      <w:proofErr w:type="spellStart"/>
      <w:r w:rsidRPr="005C3043">
        <w:rPr>
          <w:rFonts w:ascii="Times New Roman" w:hAnsi="Times New Roman" w:cs="Times New Roman"/>
        </w:rPr>
        <w:t>msconvert</w:t>
      </w:r>
      <w:proofErr w:type="spellEnd"/>
      <w:r w:rsidRPr="005C3043">
        <w:rPr>
          <w:rFonts w:ascii="Times New Roman" w:hAnsi="Times New Roman" w:cs="Times New Roman"/>
        </w:rPr>
        <w:t xml:space="preserve"> software, which is part of the </w:t>
      </w:r>
      <w:proofErr w:type="spellStart"/>
      <w:r w:rsidRPr="005C3043">
        <w:rPr>
          <w:rFonts w:ascii="Times New Roman" w:hAnsi="Times New Roman" w:cs="Times New Roman"/>
        </w:rPr>
        <w:t>ProteoWizard</w:t>
      </w:r>
      <w:proofErr w:type="spellEnd"/>
      <w:r w:rsidRPr="005C3043">
        <w:rPr>
          <w:rFonts w:ascii="Times New Roman" w:hAnsi="Times New Roman" w:cs="Times New Roman"/>
        </w:rPr>
        <w:t xml:space="preserve"> package </w:t>
      </w:r>
      <w:r w:rsidRPr="005C3043">
        <w:rPr>
          <w:rFonts w:ascii="Times New Roman" w:hAnsi="Times New Roman" w:cs="Times New Roman"/>
          <w:noProof/>
        </w:rPr>
        <w:t>(Chambers et al., 2012; Clasquin et al., 2012)</w:t>
      </w:r>
      <w:r w:rsidRPr="005C3043">
        <w:rPr>
          <w:rFonts w:ascii="Times New Roman" w:hAnsi="Times New Roman" w:cs="Times New Roman"/>
        </w:rPr>
        <w:t>. MAVEN (</w:t>
      </w:r>
      <w:proofErr w:type="spellStart"/>
      <w:r w:rsidRPr="005C3043">
        <w:rPr>
          <w:rFonts w:ascii="Times New Roman" w:hAnsi="Times New Roman" w:cs="Times New Roman"/>
        </w:rPr>
        <w:t>mzroll</w:t>
      </w:r>
      <w:proofErr w:type="spellEnd"/>
      <w:r w:rsidRPr="005C3043">
        <w:rPr>
          <w:rFonts w:ascii="Times New Roman" w:hAnsi="Times New Roman" w:cs="Times New Roman"/>
        </w:rPr>
        <w:t xml:space="preserve">) </w:t>
      </w:r>
      <w:r w:rsidRPr="005C3043">
        <w:rPr>
          <w:rFonts w:ascii="Times New Roman" w:hAnsi="Times New Roman" w:cs="Times New Roman"/>
        </w:rPr>
        <w:lastRenderedPageBreak/>
        <w:t xml:space="preserve">software, Princeton University </w:t>
      </w:r>
      <w:r w:rsidRPr="005C3043">
        <w:rPr>
          <w:rFonts w:ascii="Times New Roman" w:hAnsi="Times New Roman" w:cs="Times New Roman"/>
          <w:noProof/>
        </w:rPr>
        <w:t>(Melamud et al., 2010)</w:t>
      </w:r>
      <w:r w:rsidRPr="005C3043">
        <w:rPr>
          <w:rFonts w:ascii="Times New Roman" w:hAnsi="Times New Roman" w:cs="Times New Roman"/>
        </w:rPr>
        <w:t>, which uses a grouping algorithm for non-linear retention time alignment, was used to pick peaks, integrate intensities, and visualize the data and extracted ion chromatograms. Pre-processed data from MAVEN was used to conduct all further biological and statistical analyses.</w:t>
      </w:r>
    </w:p>
    <w:p w14:paraId="6F4189AD" w14:textId="77777777" w:rsidR="005B1F86" w:rsidRPr="005C3043" w:rsidRDefault="005B1F86" w:rsidP="00276CE1">
      <w:pPr>
        <w:pStyle w:val="Diss3"/>
      </w:pPr>
      <w:bookmarkStart w:id="73" w:name="_Toc100072195"/>
      <w:r w:rsidRPr="005C3043">
        <w:t>Quantification of estradiol and progesterone concentrations in serum and follicular fluid</w:t>
      </w:r>
      <w:bookmarkEnd w:id="73"/>
    </w:p>
    <w:p w14:paraId="404BB7AB" w14:textId="77777777" w:rsidR="005B1F86" w:rsidRPr="005C3043" w:rsidRDefault="005B1F86" w:rsidP="005B1F86">
      <w:pPr>
        <w:spacing w:line="480" w:lineRule="auto"/>
        <w:ind w:firstLine="720"/>
        <w:jc w:val="both"/>
        <w:rPr>
          <w:rFonts w:ascii="Times New Roman" w:hAnsi="Times New Roman" w:cs="Times New Roman"/>
        </w:rPr>
      </w:pPr>
      <w:r w:rsidRPr="005C3043">
        <w:rPr>
          <w:rFonts w:ascii="Times New Roman" w:hAnsi="Times New Roman" w:cs="Times New Roman"/>
        </w:rPr>
        <w:t xml:space="preserve">Serum collected on days -2, 0, and 1 (PGF, GnRH2, and FA timepoints, respectively) that corresponded to each collected oocyte (n = 110) underwent estradiol radioimmunoassay as previously described </w:t>
      </w:r>
      <w:r w:rsidRPr="005C3043">
        <w:rPr>
          <w:rFonts w:ascii="Times New Roman" w:hAnsi="Times New Roman" w:cs="Times New Roman"/>
          <w:noProof/>
        </w:rPr>
        <w:t>(Kirby et al., 1997)</w:t>
      </w:r>
      <w:r w:rsidRPr="005C3043">
        <w:rPr>
          <w:rFonts w:ascii="Times New Roman" w:hAnsi="Times New Roman" w:cs="Times New Roman"/>
        </w:rPr>
        <w:t xml:space="preserve">. Intra-assay and inter-assay CV values averaged 3.49% and 10.74%.  </w:t>
      </w:r>
    </w:p>
    <w:p w14:paraId="7E0DAFA8" w14:textId="27BD8CEA" w:rsidR="00784DB7" w:rsidRPr="005C3043" w:rsidRDefault="005B1F86" w:rsidP="00276CE1">
      <w:pPr>
        <w:spacing w:line="480" w:lineRule="auto"/>
        <w:ind w:firstLine="720"/>
        <w:jc w:val="both"/>
        <w:rPr>
          <w:rFonts w:ascii="Times New Roman" w:hAnsi="Times New Roman" w:cs="Times New Roman"/>
        </w:rPr>
      </w:pPr>
      <w:r w:rsidRPr="005C3043">
        <w:rPr>
          <w:rFonts w:ascii="Times New Roman" w:hAnsi="Times New Roman" w:cs="Times New Roman"/>
        </w:rPr>
        <w:t xml:space="preserve">Serum collected on days -9, -2, 0, and 1 (GnRH1, PGF, GnRH2, and FA timepoints, respectively) that corresponded to each collected oocyte (n = 110) as well as the follicular fluid stored in the glass tubes (n = 106) were analyzed for progesterone concentration using the </w:t>
      </w:r>
      <w:proofErr w:type="spellStart"/>
      <w:r w:rsidRPr="005C3043">
        <w:rPr>
          <w:rFonts w:ascii="Times New Roman" w:hAnsi="Times New Roman" w:cs="Times New Roman"/>
        </w:rPr>
        <w:t>ImmuChem</w:t>
      </w:r>
      <w:proofErr w:type="spellEnd"/>
      <w:r w:rsidRPr="005C3043">
        <w:rPr>
          <w:rFonts w:ascii="Times New Roman" w:hAnsi="Times New Roman" w:cs="Times New Roman"/>
        </w:rPr>
        <w:t xml:space="preserve"> progesterone double antibody radioimmunoassay kit (MP Biomedicals; </w:t>
      </w:r>
      <w:r w:rsidRPr="005C3043">
        <w:rPr>
          <w:rFonts w:ascii="Times New Roman" w:hAnsi="Times New Roman" w:cs="Times New Roman"/>
          <w:noProof/>
        </w:rPr>
        <w:t>Pohler et al., 2016; Rispoli et al., 2019)</w:t>
      </w:r>
      <w:r w:rsidRPr="005C3043">
        <w:rPr>
          <w:rFonts w:ascii="Times New Roman" w:hAnsi="Times New Roman" w:cs="Times New Roman"/>
        </w:rPr>
        <w:t xml:space="preserve"> per manufacturer’s instructions. Due to limitations in sample volume, three serum samples from the GnRH1 timepoint and four follicular fluid samples were not analyzed. Follicular fluid samples were diluted 1:5 to 1:20 to ensure it was within the assay’s range of detection. Intra-assay and inter-assay CV values averaged 5.97% and 5.66% for serum samples and 4.54% and 3.52% for follicular fluid samples. The follicular fluid stored in glass tubes corresponding to the collected oocytes (n = 106) was also analyzed for estradiol concentration using the DetectX1 serum 17β-estradiol multi-species enzyme immunoassay (Arbor Assays, Ann Arbor, MI, USA) per </w:t>
      </w:r>
      <w:r w:rsidRPr="005C3043">
        <w:rPr>
          <w:rFonts w:ascii="Times New Roman" w:hAnsi="Times New Roman" w:cs="Times New Roman"/>
        </w:rPr>
        <w:lastRenderedPageBreak/>
        <w:t xml:space="preserve">manufacturer’s instructions. Samples were diluted from 1:20 to 1:2500 to ensure they were within the detectable range of the assay. Intra-assay and inter-assay CV values were 6.67% and 8.58%. </w:t>
      </w:r>
    </w:p>
    <w:p w14:paraId="1B10B7A0" w14:textId="77777777" w:rsidR="005B1F86" w:rsidRPr="005C3043" w:rsidRDefault="005B1F86" w:rsidP="00276CE1">
      <w:pPr>
        <w:pStyle w:val="Diss3"/>
      </w:pPr>
      <w:bookmarkStart w:id="74" w:name="_Toc100072196"/>
      <w:r w:rsidRPr="005C3043">
        <w:t>Statistical analyses</w:t>
      </w:r>
      <w:bookmarkEnd w:id="74"/>
    </w:p>
    <w:p w14:paraId="6B6130D7" w14:textId="77777777" w:rsidR="005B1F86" w:rsidRPr="00DC10CA" w:rsidRDefault="005B1F86" w:rsidP="00C34188">
      <w:pPr>
        <w:spacing w:line="480" w:lineRule="auto"/>
        <w:ind w:firstLine="720"/>
        <w:jc w:val="both"/>
        <w:rPr>
          <w:rFonts w:ascii="Times New Roman" w:hAnsi="Times New Roman" w:cs="Times New Roman"/>
        </w:rPr>
      </w:pPr>
      <w:r w:rsidRPr="005C3043">
        <w:rPr>
          <w:rFonts w:ascii="Times New Roman" w:hAnsi="Times New Roman" w:cs="Times New Roman"/>
        </w:rPr>
        <w:t xml:space="preserve">Before statistical analyses were performed, steroid hormone profiles in serum, follicle dynamics, and/or follicular fluid estradiol: progesterone ratios were utilized to identify cattle that underwent </w:t>
      </w:r>
      <w:proofErr w:type="spellStart"/>
      <w:r w:rsidRPr="005C3043">
        <w:rPr>
          <w:rFonts w:ascii="Times New Roman" w:hAnsi="Times New Roman" w:cs="Times New Roman"/>
        </w:rPr>
        <w:t>luteolysis</w:t>
      </w:r>
      <w:proofErr w:type="spellEnd"/>
      <w:r w:rsidRPr="005C3043">
        <w:rPr>
          <w:rFonts w:ascii="Times New Roman" w:hAnsi="Times New Roman" w:cs="Times New Roman"/>
        </w:rPr>
        <w:t xml:space="preserve"> following PGF administration, developed a growing pre-ovulatory follicle, and responded to the induced pre-ovulatory gonadotropin surge. Successful </w:t>
      </w:r>
      <w:proofErr w:type="spellStart"/>
      <w:r w:rsidRPr="005C3043">
        <w:rPr>
          <w:rFonts w:ascii="Times New Roman" w:hAnsi="Times New Roman" w:cs="Times New Roman"/>
        </w:rPr>
        <w:t>luteolysis</w:t>
      </w:r>
      <w:proofErr w:type="spellEnd"/>
      <w:r w:rsidRPr="005C3043">
        <w:rPr>
          <w:rFonts w:ascii="Times New Roman" w:hAnsi="Times New Roman" w:cs="Times New Roman"/>
        </w:rPr>
        <w:t xml:space="preserve"> was defined as serum progesterone &lt; 1 ng/ml at the GnRH2 and FA timepoints </w:t>
      </w:r>
      <w:r w:rsidRPr="005C3043">
        <w:rPr>
          <w:rFonts w:ascii="Times New Roman" w:hAnsi="Times New Roman" w:cs="Times New Roman"/>
          <w:noProof/>
        </w:rPr>
        <w:t>(Tenhagen et al., 2000; Rispoli et al., 2019; Madureira et al., 2021)</w:t>
      </w:r>
      <w:r w:rsidRPr="005C3043">
        <w:rPr>
          <w:rFonts w:ascii="Times New Roman" w:hAnsi="Times New Roman" w:cs="Times New Roman"/>
        </w:rPr>
        <w:t xml:space="preserve">. Development of a growing pre-ovulatory follicle was classified as an increase in serum estradiol concentration and follicle diameter between PGF and GnRH2 </w:t>
      </w:r>
      <w:r w:rsidRPr="005C3043">
        <w:rPr>
          <w:rFonts w:ascii="Times New Roman" w:hAnsi="Times New Roman" w:cs="Times New Roman"/>
          <w:noProof/>
        </w:rPr>
        <w:t>(Alvarez et al., 2000; Fortune et al., 2004; Perry et al., 2014)</w:t>
      </w:r>
      <w:r w:rsidRPr="005C3043">
        <w:rPr>
          <w:rFonts w:ascii="Times New Roman" w:hAnsi="Times New Roman" w:cs="Times New Roman"/>
        </w:rPr>
        <w:t xml:space="preserve">. Response to the administration of GnRH2 was verified by a decrease in serum estradiol between GnRH2 and FA and a follicular fluid </w:t>
      </w:r>
      <w:proofErr w:type="spellStart"/>
      <w:r w:rsidRPr="005C3043">
        <w:rPr>
          <w:rFonts w:ascii="Times New Roman" w:hAnsi="Times New Roman" w:cs="Times New Roman"/>
        </w:rPr>
        <w:t>estradiol:progesterone</w:t>
      </w:r>
      <w:proofErr w:type="spellEnd"/>
      <w:r w:rsidRPr="005C3043">
        <w:rPr>
          <w:rFonts w:ascii="Times New Roman" w:hAnsi="Times New Roman" w:cs="Times New Roman"/>
        </w:rPr>
        <w:t xml:space="preserve"> ratio &lt; 3 </w:t>
      </w:r>
      <w:r w:rsidRPr="005C3043">
        <w:rPr>
          <w:rFonts w:ascii="Times New Roman" w:hAnsi="Times New Roman" w:cs="Times New Roman"/>
          <w:noProof/>
        </w:rPr>
        <w:t>(Fortune and Hansel, 1985)</w:t>
      </w:r>
      <w:r w:rsidRPr="005C3043">
        <w:rPr>
          <w:rFonts w:ascii="Times New Roman" w:hAnsi="Times New Roman" w:cs="Times New Roman"/>
        </w:rPr>
        <w:t>. Thirty oocytes were removed from analyses due to their corresponding hormonal profiles not meeting these criteria. All analytical procedures were performed using R software (R Core Team, 2020), and the corresponding code is available online (</w:t>
      </w:r>
      <w:r w:rsidRPr="000C3103">
        <w:rPr>
          <w:rFonts w:ascii="Times New Roman" w:hAnsi="Times New Roman" w:cs="Times New Roman"/>
          <w:sz w:val="22"/>
          <w:szCs w:val="22"/>
        </w:rPr>
        <w:t>https://github.com/CaseyRead/Read_etal_2022_JAS</w:t>
      </w:r>
      <w:r w:rsidRPr="00DC10CA">
        <w:rPr>
          <w:rFonts w:ascii="Times New Roman" w:hAnsi="Times New Roman" w:cs="Times New Roman"/>
        </w:rPr>
        <w:t xml:space="preserve">). Oocytes with ATP and </w:t>
      </w:r>
      <w:proofErr w:type="spellStart"/>
      <w:r w:rsidRPr="00DC10CA">
        <w:rPr>
          <w:rFonts w:ascii="Times New Roman" w:hAnsi="Times New Roman" w:cs="Times New Roman"/>
        </w:rPr>
        <w:t>mtDNA</w:t>
      </w:r>
      <w:proofErr w:type="spellEnd"/>
      <w:r w:rsidRPr="00DC10CA">
        <w:rPr>
          <w:rFonts w:ascii="Times New Roman" w:hAnsi="Times New Roman" w:cs="Times New Roman"/>
        </w:rPr>
        <w:t xml:space="preserve"> values inside the standard curve and ideal hormonal profiles were used for analysis (n = 52). All values are presented as mean </w:t>
      </w:r>
      <w:r w:rsidRPr="00DC10CA">
        <w:rPr>
          <w:rFonts w:ascii="Times New Roman" w:hAnsi="Times New Roman" w:cs="Times New Roman"/>
          <w:u w:val="single"/>
        </w:rPr>
        <w:t>+</w:t>
      </w:r>
      <w:r w:rsidRPr="00DC10CA">
        <w:rPr>
          <w:rFonts w:ascii="Times New Roman" w:hAnsi="Times New Roman" w:cs="Times New Roman"/>
        </w:rPr>
        <w:t xml:space="preserve"> SD.</w:t>
      </w:r>
    </w:p>
    <w:p w14:paraId="0A9B9F65" w14:textId="77777777" w:rsidR="005B1F86" w:rsidRPr="003B6B38" w:rsidRDefault="005B1F86" w:rsidP="000B5F79">
      <w:pPr>
        <w:spacing w:line="480" w:lineRule="auto"/>
        <w:ind w:firstLine="720"/>
        <w:jc w:val="both"/>
        <w:rPr>
          <w:rFonts w:ascii="Times New Roman" w:hAnsi="Times New Roman" w:cs="Times New Roman"/>
        </w:rPr>
      </w:pPr>
      <w:r w:rsidRPr="003B6B38">
        <w:rPr>
          <w:rFonts w:ascii="Times New Roman" w:hAnsi="Times New Roman" w:cs="Times New Roman"/>
        </w:rPr>
        <w:t xml:space="preserve">A mixed effects linear model with the random effect of year was used to perform intraoocyte ATP, </w:t>
      </w:r>
      <w:proofErr w:type="spellStart"/>
      <w:r w:rsidRPr="003B6B38">
        <w:rPr>
          <w:rFonts w:ascii="Times New Roman" w:hAnsi="Times New Roman" w:cs="Times New Roman"/>
        </w:rPr>
        <w:t>mtDNA</w:t>
      </w:r>
      <w:proofErr w:type="spellEnd"/>
      <w:r w:rsidRPr="003B6B38">
        <w:rPr>
          <w:rFonts w:ascii="Times New Roman" w:hAnsi="Times New Roman" w:cs="Times New Roman"/>
        </w:rPr>
        <w:t xml:space="preserve"> copy number, and ATP per </w:t>
      </w:r>
      <w:proofErr w:type="spellStart"/>
      <w:r w:rsidRPr="003B6B38">
        <w:rPr>
          <w:rFonts w:ascii="Times New Roman" w:hAnsi="Times New Roman" w:cs="Times New Roman"/>
        </w:rPr>
        <w:t>mtDNA</w:t>
      </w:r>
      <w:proofErr w:type="spellEnd"/>
      <w:r w:rsidRPr="003B6B38">
        <w:rPr>
          <w:rFonts w:ascii="Times New Roman" w:hAnsi="Times New Roman" w:cs="Times New Roman"/>
        </w:rPr>
        <w:t xml:space="preserve"> copy number analyses and </w:t>
      </w:r>
      <w:r w:rsidRPr="003B6B38">
        <w:rPr>
          <w:rFonts w:ascii="Times New Roman" w:hAnsi="Times New Roman" w:cs="Times New Roman"/>
        </w:rPr>
        <w:lastRenderedPageBreak/>
        <w:t>identify cow trait or synchronization timeline parameter covariates. Linear regression (cow weight, cow age in days, days postpartum at aspiration, hours between PGF and GnRH</w:t>
      </w:r>
      <w:r w:rsidRPr="005C3043">
        <w:rPr>
          <w:rFonts w:ascii="Times New Roman" w:hAnsi="Times New Roman" w:cs="Times New Roman"/>
        </w:rPr>
        <w:t xml:space="preserve">2, </w:t>
      </w:r>
      <w:r w:rsidRPr="000B5F79">
        <w:rPr>
          <w:rFonts w:ascii="Times New Roman" w:hAnsi="Times New Roman" w:cs="Times New Roman"/>
        </w:rPr>
        <w:t xml:space="preserve">follicular fluid progesterone, follicular fluid estradiol, and hours between GnRH2 and aspiration) or analysis of variance (serum progesterone </w:t>
      </w:r>
      <w:r w:rsidRPr="000B5F79">
        <w:rPr>
          <w:rFonts w:ascii="Times New Roman" w:hAnsi="Times New Roman" w:cs="Times New Roman"/>
          <w:u w:val="single"/>
        </w:rPr>
        <w:t>&gt;</w:t>
      </w:r>
      <w:r w:rsidRPr="000B5F79">
        <w:rPr>
          <w:rFonts w:ascii="Times New Roman" w:hAnsi="Times New Roman" w:cs="Times New Roman"/>
        </w:rPr>
        <w:t xml:space="preserve"> 1 vs &lt;1 ng/ml at the start of synchronization, BCS) were used to determine any effects of potential covariat</w:t>
      </w:r>
      <w:r w:rsidRPr="005C3043">
        <w:rPr>
          <w:rFonts w:ascii="Times New Roman" w:hAnsi="Times New Roman" w:cs="Times New Roman"/>
        </w:rPr>
        <w:t xml:space="preserve">es on pre-ovulatory follicle diameter and serum estradiol at GnRH2 or oocyte ATP, oocyte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and oocyte ATP produced per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After initial analyses of each covariate, variables that were significantly related to ATP,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w:t>
      </w:r>
      <w:r w:rsidRPr="00C87A3E">
        <w:rPr>
          <w:rFonts w:ascii="Times New Roman" w:hAnsi="Times New Roman" w:cs="Times New Roman"/>
        </w:rPr>
        <w:t>y number, or ATP/</w:t>
      </w:r>
      <w:proofErr w:type="spellStart"/>
      <w:r w:rsidRPr="00C87A3E">
        <w:rPr>
          <w:rFonts w:ascii="Times New Roman" w:hAnsi="Times New Roman" w:cs="Times New Roman"/>
        </w:rPr>
        <w:t>mtDNA</w:t>
      </w:r>
      <w:proofErr w:type="spellEnd"/>
      <w:r w:rsidRPr="00C87A3E">
        <w:rPr>
          <w:rFonts w:ascii="Times New Roman" w:hAnsi="Times New Roman" w:cs="Times New Roman"/>
        </w:rPr>
        <w:t xml:space="preserve"> copy number were included in the respective models along with follicle diameter and serum estradiol at GnRH2. We then utilized a top down, stepwise approach to remove covariates that lost significance (</w:t>
      </w:r>
      <w:r w:rsidRPr="00C87A3E">
        <w:rPr>
          <w:rFonts w:ascii="Times New Roman" w:hAnsi="Times New Roman" w:cs="Times New Roman"/>
          <w:i/>
        </w:rPr>
        <w:t>P</w:t>
      </w:r>
      <w:r w:rsidRPr="00DC10CA">
        <w:rPr>
          <w:rFonts w:ascii="Times New Roman" w:hAnsi="Times New Roman" w:cs="Times New Roman"/>
        </w:rPr>
        <w:t xml:space="preserve"> &gt; 0.10) in the full model and reach a final model for ATP, </w:t>
      </w:r>
      <w:proofErr w:type="spellStart"/>
      <w:r w:rsidRPr="00DC10CA">
        <w:rPr>
          <w:rFonts w:ascii="Times New Roman" w:hAnsi="Times New Roman" w:cs="Times New Roman"/>
        </w:rPr>
        <w:t>mtDNA</w:t>
      </w:r>
      <w:proofErr w:type="spellEnd"/>
      <w:r w:rsidRPr="00DC10CA">
        <w:rPr>
          <w:rFonts w:ascii="Times New Roman" w:hAnsi="Times New Roman" w:cs="Times New Roman"/>
        </w:rPr>
        <w:t xml:space="preserve"> copy number, or ATP/</w:t>
      </w:r>
      <w:proofErr w:type="spellStart"/>
      <w:r w:rsidRPr="00DC10CA">
        <w:rPr>
          <w:rFonts w:ascii="Times New Roman" w:hAnsi="Times New Roman" w:cs="Times New Roman"/>
        </w:rPr>
        <w:t>mtDNA</w:t>
      </w:r>
      <w:proofErr w:type="spellEnd"/>
      <w:r w:rsidRPr="00DC10CA">
        <w:rPr>
          <w:rFonts w:ascii="Times New Roman" w:hAnsi="Times New Roman" w:cs="Times New Roman"/>
        </w:rPr>
        <w:t xml:space="preserve"> copy number analyses. For ATP and ATP/mitochondrial DNA copy number analyses, the final model contained our independent variables of interest (follicle diameter and serum estradiol at GnRH2) as </w:t>
      </w:r>
      <w:r w:rsidRPr="003B6B38">
        <w:rPr>
          <w:rFonts w:ascii="Times New Roman" w:hAnsi="Times New Roman" w:cs="Times New Roman"/>
        </w:rPr>
        <w:t>well as time from GnRH2 to follicle aspiration. For the mitochondrial DNA copy number analysis, the final model only contained pre-ovulatory follicle diameter and serum estradiol concentration at GnRH2.</w:t>
      </w:r>
    </w:p>
    <w:p w14:paraId="0F3E9FC4" w14:textId="77777777" w:rsidR="005B1F86" w:rsidRPr="005C3043" w:rsidRDefault="005B1F86" w:rsidP="005C3043">
      <w:pPr>
        <w:spacing w:line="480" w:lineRule="auto"/>
        <w:ind w:firstLine="720"/>
        <w:jc w:val="both"/>
        <w:rPr>
          <w:rFonts w:ascii="Times New Roman" w:hAnsi="Times New Roman" w:cs="Times New Roman"/>
        </w:rPr>
      </w:pPr>
      <w:r w:rsidRPr="005C3043">
        <w:rPr>
          <w:rFonts w:ascii="Times New Roman" w:hAnsi="Times New Roman" w:cs="Times New Roman"/>
        </w:rPr>
        <w:t xml:space="preserve">Linear regression and analysis of variance were also performed where appropriate to determine the effects of cow trait and/or synchronization timeline parameters on the 90 individual follicular fluid metabolites. A similar top down, stepwise approach was taken to determine the best model for each individual metabolite. Each cow trait and timeline parameter </w:t>
      </w:r>
      <w:proofErr w:type="gramStart"/>
      <w:r w:rsidRPr="005C3043">
        <w:rPr>
          <w:rFonts w:ascii="Times New Roman" w:hAnsi="Times New Roman" w:cs="Times New Roman"/>
        </w:rPr>
        <w:t>was</w:t>
      </w:r>
      <w:proofErr w:type="gramEnd"/>
      <w:r w:rsidRPr="005C3043">
        <w:rPr>
          <w:rFonts w:ascii="Times New Roman" w:hAnsi="Times New Roman" w:cs="Times New Roman"/>
        </w:rPr>
        <w:t xml:space="preserve"> included in the full model and any covariates with </w:t>
      </w:r>
      <w:r w:rsidRPr="005C3043">
        <w:rPr>
          <w:rFonts w:ascii="Times New Roman" w:hAnsi="Times New Roman" w:cs="Times New Roman"/>
          <w:i/>
        </w:rPr>
        <w:t>P</w:t>
      </w:r>
      <w:r w:rsidRPr="005C3043">
        <w:rPr>
          <w:rFonts w:ascii="Times New Roman" w:hAnsi="Times New Roman" w:cs="Times New Roman"/>
        </w:rPr>
        <w:t xml:space="preserve"> &gt; 0.05 were removed. </w:t>
      </w:r>
      <w:r w:rsidRPr="005C3043">
        <w:rPr>
          <w:rFonts w:ascii="Times New Roman" w:hAnsi="Times New Roman" w:cs="Times New Roman"/>
        </w:rPr>
        <w:lastRenderedPageBreak/>
        <w:t xml:space="preserve">Once the final model was obtained for each metabolite, false discovery rate (FDR) was calculated for the p-values of pre-ovulatory follicle diameter, serum estradiol concentration at GnRH2, and each covariate. Metabolites were considered significantly correlated to each predictive variable if FDR &lt; 0.10 was observed. </w:t>
      </w:r>
      <w:proofErr w:type="spellStart"/>
      <w:r w:rsidRPr="005C3043">
        <w:rPr>
          <w:rFonts w:ascii="Times New Roman" w:hAnsi="Times New Roman" w:cs="Times New Roman"/>
        </w:rPr>
        <w:t>Metaboanalyst</w:t>
      </w:r>
      <w:proofErr w:type="spellEnd"/>
      <w:r w:rsidRPr="005C3043">
        <w:rPr>
          <w:rFonts w:ascii="Times New Roman" w:hAnsi="Times New Roman" w:cs="Times New Roman"/>
        </w:rPr>
        <w:t xml:space="preserve"> 5.0 </w:t>
      </w:r>
      <w:r w:rsidRPr="005C3043">
        <w:rPr>
          <w:rFonts w:ascii="Times New Roman" w:hAnsi="Times New Roman" w:cs="Times New Roman"/>
          <w:noProof/>
        </w:rPr>
        <w:t>(Pang et al., 2021)</w:t>
      </w:r>
      <w:r w:rsidRPr="005C3043">
        <w:rPr>
          <w:rFonts w:ascii="Times New Roman" w:hAnsi="Times New Roman" w:cs="Times New Roman"/>
        </w:rPr>
        <w:t xml:space="preserve"> was used to perform KEGG pathway enrichment analysis of metabolites whose abundance was correlated with variables of interest or covariates. Enrichment of pathways was determined to be significant if FDR was &lt; 0.10. </w:t>
      </w:r>
    </w:p>
    <w:p w14:paraId="431B6E82" w14:textId="2DD3BF6E" w:rsidR="00784DB7" w:rsidRPr="005C3043" w:rsidRDefault="005B1F86" w:rsidP="00276CE1">
      <w:pPr>
        <w:spacing w:line="480" w:lineRule="auto"/>
        <w:ind w:firstLine="720"/>
        <w:jc w:val="both"/>
        <w:rPr>
          <w:rFonts w:ascii="Times New Roman" w:hAnsi="Times New Roman" w:cs="Times New Roman"/>
        </w:rPr>
      </w:pPr>
      <w:r w:rsidRPr="005C3043">
        <w:rPr>
          <w:rFonts w:ascii="Times New Roman" w:hAnsi="Times New Roman" w:cs="Times New Roman"/>
        </w:rPr>
        <w:t>The effects of individual follicular fluid metabolite on intraoocyte ATP level were determined using linear regression with the covariates of serum estradiol at GnRH2 and hours from GnRH2 to follicle aspiration included in the model. After false discovery rate was calculated, no follicular fluid metabolites were found to be significant to intraoocyte ATP (FDR &gt; 0.10).</w:t>
      </w:r>
    </w:p>
    <w:p w14:paraId="0BD14980" w14:textId="77777777" w:rsidR="00C61C4F" w:rsidRPr="00276CE1" w:rsidRDefault="00C61C4F" w:rsidP="00276CE1">
      <w:pPr>
        <w:pStyle w:val="Diss2"/>
      </w:pPr>
      <w:bookmarkStart w:id="75" w:name="_Toc100072197"/>
      <w:r w:rsidRPr="00276CE1">
        <w:t>Results and Discussion</w:t>
      </w:r>
      <w:bookmarkEnd w:id="75"/>
    </w:p>
    <w:p w14:paraId="76FD7B94" w14:textId="77777777" w:rsidR="00C61C4F" w:rsidRPr="005C3043" w:rsidRDefault="00C61C4F" w:rsidP="00276CE1">
      <w:pPr>
        <w:pStyle w:val="Diss3"/>
      </w:pPr>
      <w:bookmarkStart w:id="76" w:name="_Toc100072198"/>
      <w:r w:rsidRPr="005C3043">
        <w:t>Overview of Animal Data</w:t>
      </w:r>
      <w:bookmarkEnd w:id="76"/>
    </w:p>
    <w:p w14:paraId="6D01BD5F" w14:textId="77777777" w:rsidR="005B1F86" w:rsidRPr="005C3043" w:rsidRDefault="005B1F86" w:rsidP="000B5F79">
      <w:pPr>
        <w:spacing w:line="480" w:lineRule="auto"/>
        <w:ind w:firstLine="720"/>
        <w:jc w:val="both"/>
        <w:rPr>
          <w:rFonts w:ascii="Times New Roman" w:hAnsi="Times New Roman" w:cs="Times New Roman"/>
        </w:rPr>
      </w:pPr>
      <w:r w:rsidRPr="005C3043">
        <w:rPr>
          <w:rFonts w:ascii="Times New Roman" w:hAnsi="Times New Roman" w:cs="Times New Roman"/>
        </w:rPr>
        <w:t xml:space="preserve">All samples were collected from suckled, postpartum beef cows managed as part of the productive herd at one of the University of Tennessee </w:t>
      </w:r>
      <w:proofErr w:type="spellStart"/>
      <w:r w:rsidRPr="005C3043">
        <w:rPr>
          <w:rFonts w:ascii="Times New Roman" w:hAnsi="Times New Roman" w:cs="Times New Roman"/>
        </w:rPr>
        <w:t>AgResearch</w:t>
      </w:r>
      <w:proofErr w:type="spellEnd"/>
      <w:r w:rsidRPr="005C3043">
        <w:rPr>
          <w:rFonts w:ascii="Times New Roman" w:hAnsi="Times New Roman" w:cs="Times New Roman"/>
        </w:rPr>
        <w:t xml:space="preserve"> and Education Centers. Age (2068.3 + 648.02 days, 5.2 + 2.3 years), BCS (5.96 + 1.10), and weight (617.40 + 103.19 kg) of the 52 cattle included in our analyses were </w:t>
      </w:r>
      <w:proofErr w:type="gramStart"/>
      <w:r w:rsidRPr="005C3043">
        <w:rPr>
          <w:rFonts w:ascii="Times New Roman" w:hAnsi="Times New Roman" w:cs="Times New Roman"/>
        </w:rPr>
        <w:t>similar to</w:t>
      </w:r>
      <w:proofErr w:type="gramEnd"/>
      <w:r w:rsidRPr="005C3043">
        <w:rPr>
          <w:rFonts w:ascii="Times New Roman" w:hAnsi="Times New Roman" w:cs="Times New Roman"/>
        </w:rPr>
        <w:t xml:space="preserve"> previously reported values for beef cattle operations (Cushman et al., 2007; Cushman et al., 2013; </w:t>
      </w:r>
      <w:proofErr w:type="spellStart"/>
      <w:r w:rsidRPr="005C3043">
        <w:rPr>
          <w:rFonts w:ascii="Times New Roman" w:hAnsi="Times New Roman" w:cs="Times New Roman"/>
        </w:rPr>
        <w:t>Damiran</w:t>
      </w:r>
      <w:proofErr w:type="spellEnd"/>
      <w:r w:rsidRPr="005C3043">
        <w:rPr>
          <w:rFonts w:ascii="Times New Roman" w:hAnsi="Times New Roman" w:cs="Times New Roman"/>
        </w:rPr>
        <w:t xml:space="preserve"> et al., 2018; Bonacker et al., 2020). To maintain the yearly breeding season schedule, animals were 58.36 + 4.12 days postpartum at the time of pre-ovulatory follicle aspiration. There was no effect of days postpartum or serum progesterone concentration at </w:t>
      </w:r>
      <w:r w:rsidRPr="005C3043">
        <w:rPr>
          <w:rFonts w:ascii="Times New Roman" w:hAnsi="Times New Roman" w:cs="Times New Roman"/>
        </w:rPr>
        <w:lastRenderedPageBreak/>
        <w:t xml:space="preserve">onset of synchronization on pre-ovulatory follicle diameter, serum estradiol concentration, oocyte ATP, oocyte ATP per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or oocyte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w:t>
      </w:r>
      <w:r w:rsidRPr="0009357B">
        <w:rPr>
          <w:rFonts w:ascii="Times New Roman" w:hAnsi="Times New Roman" w:cs="Times New Roman"/>
          <w:i/>
        </w:rPr>
        <w:t>P</w:t>
      </w:r>
      <w:r w:rsidRPr="005C3043">
        <w:rPr>
          <w:rFonts w:ascii="Times New Roman" w:hAnsi="Times New Roman" w:cs="Times New Roman"/>
        </w:rPr>
        <w:t xml:space="preserve"> &gt; 0.10). Largest follicle diameter at GnRH administration to induce a pre-ovulatory gonadotropin surge (GnRH2) was 12.33 + 1.53 mm and serum estradiol concentration at the time of GnRH2 administration was 7.23 + 3.69 </w:t>
      </w:r>
      <w:proofErr w:type="spellStart"/>
      <w:r w:rsidRPr="005C3043">
        <w:rPr>
          <w:rFonts w:ascii="Times New Roman" w:hAnsi="Times New Roman" w:cs="Times New Roman"/>
        </w:rPr>
        <w:t>pg</w:t>
      </w:r>
      <w:proofErr w:type="spellEnd"/>
      <w:r w:rsidRPr="005C3043">
        <w:rPr>
          <w:rFonts w:ascii="Times New Roman" w:hAnsi="Times New Roman" w:cs="Times New Roman"/>
        </w:rPr>
        <w:t xml:space="preserve">/ml. These measures are consistent with previously published studies investigating pre-ovulatory follicle diameter or estradiol production (Geary et al., 2001; Lamb et al., 2001; Perry et al., 2005; MacNeil et al., 2006; Perry et al., 2007; Atkins et al., 2013; </w:t>
      </w:r>
      <w:proofErr w:type="spellStart"/>
      <w:r w:rsidRPr="005C3043">
        <w:rPr>
          <w:rFonts w:ascii="Times New Roman" w:hAnsi="Times New Roman" w:cs="Times New Roman"/>
        </w:rPr>
        <w:t>Moorey</w:t>
      </w:r>
      <w:proofErr w:type="spellEnd"/>
      <w:r w:rsidRPr="005C3043">
        <w:rPr>
          <w:rFonts w:ascii="Times New Roman" w:hAnsi="Times New Roman" w:cs="Times New Roman"/>
        </w:rPr>
        <w:t xml:space="preserve"> et al., 2021; Read et al., 2021b). Serum estradiol and follicle diameter at GnRH2 were not significantly associated with cow phenotypic traits of age, BCS, weight, and days postpartum or synchronization timeline parameters of time between GnRH1 and PGF, PGF and GnRH2, or GnRH2 and FA (</w:t>
      </w:r>
      <w:r w:rsidRPr="0009357B">
        <w:rPr>
          <w:rFonts w:ascii="Times New Roman" w:hAnsi="Times New Roman" w:cs="Times New Roman"/>
          <w:i/>
        </w:rPr>
        <w:t>P</w:t>
      </w:r>
      <w:r w:rsidRPr="005C3043">
        <w:rPr>
          <w:rFonts w:ascii="Times New Roman" w:hAnsi="Times New Roman" w:cs="Times New Roman"/>
        </w:rPr>
        <w:t xml:space="preserve"> &gt; 0.05).</w:t>
      </w:r>
    </w:p>
    <w:p w14:paraId="01B51630" w14:textId="77777777" w:rsidR="005B1F86" w:rsidRPr="005C3043" w:rsidRDefault="005B1F86" w:rsidP="00C34188">
      <w:pPr>
        <w:spacing w:line="480" w:lineRule="auto"/>
        <w:ind w:firstLine="720"/>
        <w:jc w:val="both"/>
        <w:rPr>
          <w:rFonts w:ascii="Times New Roman" w:hAnsi="Times New Roman" w:cs="Times New Roman"/>
        </w:rPr>
      </w:pPr>
      <w:r w:rsidRPr="005C3043">
        <w:rPr>
          <w:rFonts w:ascii="Times New Roman" w:hAnsi="Times New Roman" w:cs="Times New Roman"/>
        </w:rPr>
        <w:t xml:space="preserve">Oocytes and follicular fluid samples utilized in this study were collected via transvaginal follicle aspiration of the pre-ovulatory follicle 19.02 </w:t>
      </w:r>
      <w:r w:rsidRPr="005C3043">
        <w:rPr>
          <w:rFonts w:ascii="Times New Roman" w:hAnsi="Times New Roman" w:cs="Times New Roman"/>
          <w:u w:val="single"/>
        </w:rPr>
        <w:t>+</w:t>
      </w:r>
      <w:r w:rsidRPr="005C3043">
        <w:rPr>
          <w:rFonts w:ascii="Times New Roman" w:hAnsi="Times New Roman" w:cs="Times New Roman"/>
        </w:rPr>
        <w:t xml:space="preserve"> 1.90 hours after administration of GnRH2. At this time, the induced luteinizing hormone (LH) surge should have stimulated the follicle’s progression towards ovulation resulting in alterations in the pre-ovulatory follicular environment. At this timepoint after GnRH administration, the somatic follicular cells have begun luteinization and are increasing their production of progesterone, cumulus cells are expanding, and the oocyte has achieved metaphase I (MI) and has reached or is progressing towards metaphase II (MII) </w:t>
      </w:r>
      <w:r w:rsidRPr="005C3043">
        <w:rPr>
          <w:rFonts w:ascii="Times New Roman" w:hAnsi="Times New Roman" w:cs="Times New Roman"/>
          <w:noProof/>
        </w:rPr>
        <w:t>(Hyttel et al., 1986; de Loos et al., 1991; Hyttel et al., 1997; Richards et al., 1998; Iwata et al., 2011; Pulley et al., 2015)</w:t>
      </w:r>
      <w:r w:rsidRPr="005C3043">
        <w:rPr>
          <w:rFonts w:ascii="Times New Roman" w:hAnsi="Times New Roman" w:cs="Times New Roman"/>
        </w:rPr>
        <w:t xml:space="preserve">. The mitochondria within oocytes of this maturation stage would have increased their </w:t>
      </w:r>
      <w:r w:rsidRPr="005C3043">
        <w:rPr>
          <w:rFonts w:ascii="Times New Roman" w:hAnsi="Times New Roman" w:cs="Times New Roman"/>
        </w:rPr>
        <w:lastRenderedPageBreak/>
        <w:t xml:space="preserve">production of ATP </w:t>
      </w:r>
      <w:proofErr w:type="gramStart"/>
      <w:r w:rsidRPr="005C3043">
        <w:rPr>
          <w:rFonts w:ascii="Times New Roman" w:hAnsi="Times New Roman" w:cs="Times New Roman"/>
        </w:rPr>
        <w:t>in order to</w:t>
      </w:r>
      <w:proofErr w:type="gramEnd"/>
      <w:r w:rsidRPr="005C3043">
        <w:rPr>
          <w:rFonts w:ascii="Times New Roman" w:hAnsi="Times New Roman" w:cs="Times New Roman"/>
        </w:rPr>
        <w:t xml:space="preserve"> support progression through meiotic maturation </w:t>
      </w:r>
      <w:r w:rsidRPr="005C3043">
        <w:rPr>
          <w:rFonts w:ascii="Times New Roman" w:hAnsi="Times New Roman" w:cs="Times New Roman"/>
          <w:noProof/>
        </w:rPr>
        <w:t>(Fair et al., 1997; Jeong et al., 2009; Dalbies-Tran et al., 2020)</w:t>
      </w:r>
      <w:r w:rsidRPr="005C3043">
        <w:rPr>
          <w:rFonts w:ascii="Times New Roman" w:hAnsi="Times New Roman" w:cs="Times New Roman"/>
        </w:rPr>
        <w:t>. Measuring the metabolic capacity of the oocyte at this time point should reveal differences in the acquisition of metabolic competence of oocytes within follicles of varied physiological maturity when exposed to an induced pre-ovulatory gonadotropin surge. Alterations in the metabolome of follicular fluid samples collected at this time after premature induction of the gonadotropin surge could highlight both lasting implications of the follicle’s physiological status at the time of the surge as well as impacts of the follicle’s pre-surge developmental status on metabolic processes occurring in cumulus-oocyte complex and granulosa cells.</w:t>
      </w:r>
    </w:p>
    <w:p w14:paraId="449E9630" w14:textId="77777777" w:rsidR="00C61C4F" w:rsidRPr="00513835" w:rsidRDefault="00C61C4F" w:rsidP="00513835">
      <w:pPr>
        <w:pStyle w:val="Diss3"/>
      </w:pPr>
      <w:bookmarkStart w:id="77" w:name="_Toc100072199"/>
      <w:r w:rsidRPr="00513835">
        <w:t>The impact of follicle physiological status on oocyte metabolic capacity</w:t>
      </w:r>
      <w:bookmarkEnd w:id="77"/>
    </w:p>
    <w:p w14:paraId="46C9A24A" w14:textId="77777777" w:rsidR="005B1F86" w:rsidRPr="005C3043" w:rsidRDefault="005B1F86" w:rsidP="00C34188">
      <w:pPr>
        <w:spacing w:line="480" w:lineRule="auto"/>
        <w:ind w:firstLine="720"/>
        <w:jc w:val="both"/>
        <w:rPr>
          <w:rFonts w:ascii="Times New Roman" w:hAnsi="Times New Roman" w:cs="Times New Roman"/>
        </w:rPr>
      </w:pPr>
      <w:r w:rsidRPr="005C3043">
        <w:rPr>
          <w:rFonts w:ascii="Times New Roman" w:hAnsi="Times New Roman" w:cs="Times New Roman"/>
        </w:rPr>
        <w:t>Amount of ATP (</w:t>
      </w:r>
      <w:proofErr w:type="spellStart"/>
      <w:r w:rsidRPr="005C3043">
        <w:rPr>
          <w:rFonts w:ascii="Times New Roman" w:hAnsi="Times New Roman" w:cs="Times New Roman"/>
        </w:rPr>
        <w:t>pg</w:t>
      </w:r>
      <w:proofErr w:type="spellEnd"/>
      <w:r w:rsidRPr="005C3043">
        <w:rPr>
          <w:rFonts w:ascii="Times New Roman" w:hAnsi="Times New Roman" w:cs="Times New Roman"/>
        </w:rPr>
        <w:t xml:space="preserve">) and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were used to quantify the metabolic capacity of individual oocytes. Intraoocyte ATP ranged from 55.31-1111.30 </w:t>
      </w:r>
      <w:proofErr w:type="spellStart"/>
      <w:r w:rsidRPr="005C3043">
        <w:rPr>
          <w:rFonts w:ascii="Times New Roman" w:hAnsi="Times New Roman" w:cs="Times New Roman"/>
        </w:rPr>
        <w:t>pg</w:t>
      </w:r>
      <w:proofErr w:type="spellEnd"/>
      <w:r w:rsidRPr="005C3043">
        <w:rPr>
          <w:rFonts w:ascii="Times New Roman" w:hAnsi="Times New Roman" w:cs="Times New Roman"/>
        </w:rPr>
        <w:t xml:space="preserve"> (532.29 </w:t>
      </w:r>
      <w:r w:rsidRPr="005C3043">
        <w:rPr>
          <w:rFonts w:ascii="Times New Roman" w:hAnsi="Times New Roman" w:cs="Times New Roman"/>
          <w:u w:val="single"/>
        </w:rPr>
        <w:t>+</w:t>
      </w:r>
      <w:r w:rsidRPr="005C3043">
        <w:rPr>
          <w:rFonts w:ascii="Times New Roman" w:hAnsi="Times New Roman" w:cs="Times New Roman"/>
        </w:rPr>
        <w:t xml:space="preserve"> 279.15 </w:t>
      </w:r>
      <w:proofErr w:type="spellStart"/>
      <w:r w:rsidRPr="005C3043">
        <w:rPr>
          <w:rFonts w:ascii="Times New Roman" w:hAnsi="Times New Roman" w:cs="Times New Roman"/>
        </w:rPr>
        <w:t>pg</w:t>
      </w:r>
      <w:proofErr w:type="spellEnd"/>
      <w:r w:rsidRPr="005C3043">
        <w:rPr>
          <w:rFonts w:ascii="Times New Roman" w:hAnsi="Times New Roman" w:cs="Times New Roman"/>
        </w:rPr>
        <w:t xml:space="preserve">) and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ranged from 25355-1070864 copies (535696 </w:t>
      </w:r>
      <w:r w:rsidRPr="005C3043">
        <w:rPr>
          <w:rFonts w:ascii="Times New Roman" w:hAnsi="Times New Roman" w:cs="Times New Roman"/>
          <w:u w:val="single"/>
        </w:rPr>
        <w:t>+</w:t>
      </w:r>
      <w:r w:rsidRPr="005C3043">
        <w:rPr>
          <w:rFonts w:ascii="Times New Roman" w:hAnsi="Times New Roman" w:cs="Times New Roman"/>
        </w:rPr>
        <w:t xml:space="preserve"> 419745.3 copies). ATP values were higher than those previously reported by others, however this could be due to differences in assay sensitivity, dilution factors, and/or other sample processing variations </w:t>
      </w:r>
      <w:r w:rsidRPr="005C3043">
        <w:rPr>
          <w:rFonts w:ascii="Times New Roman" w:hAnsi="Times New Roman" w:cs="Times New Roman"/>
          <w:noProof/>
        </w:rPr>
        <w:t>(Stojkovic et al., 2001; Tamassia et al., 2004; Jiao et al., 2007; Iwata et al., 2011; Scantland et al., 2014; Dadarwal et al., 2017; Payton et al., 2018; Hashimoto et al., 2019)</w:t>
      </w:r>
      <w:r w:rsidRPr="005C3043">
        <w:rPr>
          <w:rFonts w:ascii="Times New Roman" w:hAnsi="Times New Roman" w:cs="Times New Roman"/>
        </w:rPr>
        <w:t xml:space="preserve">. The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values obtained in this study were consistent with previously published literature </w:t>
      </w:r>
      <w:r w:rsidRPr="005C3043">
        <w:rPr>
          <w:rFonts w:ascii="Times New Roman" w:hAnsi="Times New Roman" w:cs="Times New Roman"/>
          <w:noProof/>
        </w:rPr>
        <w:t>(Tamassia et al., 2004; Jiao et al., 2007; Chiaratti et al., 2010; Iwata et al., 2011; Hashimoto et al., 2019)</w:t>
      </w:r>
      <w:r w:rsidRPr="005C3043">
        <w:rPr>
          <w:rFonts w:ascii="Times New Roman" w:hAnsi="Times New Roman" w:cs="Times New Roman"/>
        </w:rPr>
        <w:t xml:space="preserve">. </w:t>
      </w:r>
    </w:p>
    <w:p w14:paraId="43A448B9" w14:textId="1C913C68" w:rsidR="00784DB7" w:rsidRDefault="00125291" w:rsidP="00276CE1">
      <w:pPr>
        <w:spacing w:line="480" w:lineRule="auto"/>
        <w:ind w:firstLine="720"/>
        <w:jc w:val="both"/>
        <w:rPr>
          <w:rFonts w:ascii="Times New Roman" w:hAnsi="Times New Roman" w:cs="Times New Roman"/>
          <w:color w:val="000000" w:themeColor="text1"/>
        </w:rPr>
      </w:pPr>
      <w:r w:rsidRPr="005C3043">
        <w:rPr>
          <w:rFonts w:ascii="Times New Roman" w:hAnsi="Times New Roman" w:cs="Times New Roman"/>
        </w:rPr>
        <w:t xml:space="preserve">Initial correlation analyses determined time between </w:t>
      </w:r>
      <w:proofErr w:type="gramStart"/>
      <w:r w:rsidRPr="005C3043">
        <w:rPr>
          <w:rFonts w:ascii="Times New Roman" w:hAnsi="Times New Roman" w:cs="Times New Roman"/>
        </w:rPr>
        <w:t>GnRH2</w:t>
      </w:r>
      <w:proofErr w:type="gramEnd"/>
      <w:r w:rsidRPr="005C3043">
        <w:rPr>
          <w:rFonts w:ascii="Times New Roman" w:hAnsi="Times New Roman" w:cs="Times New Roman"/>
        </w:rPr>
        <w:t xml:space="preserve"> and follicle aspiration should be included in oocyte ATP modelling and weight should be included in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w:t>
      </w:r>
      <w:r w:rsidRPr="005C3043">
        <w:rPr>
          <w:rFonts w:ascii="Times New Roman" w:hAnsi="Times New Roman" w:cs="Times New Roman"/>
        </w:rPr>
        <w:lastRenderedPageBreak/>
        <w:t xml:space="preserve">copy number modelling (Table </w:t>
      </w:r>
      <w:r w:rsidR="00F37BB6" w:rsidRPr="005C3043">
        <w:rPr>
          <w:rFonts w:ascii="Times New Roman" w:hAnsi="Times New Roman" w:cs="Times New Roman"/>
        </w:rPr>
        <w:t>3</w:t>
      </w:r>
      <w:r w:rsidR="005B1F86" w:rsidRPr="005C3043">
        <w:rPr>
          <w:rFonts w:ascii="Times New Roman" w:hAnsi="Times New Roman" w:cs="Times New Roman"/>
        </w:rPr>
        <w:t>)</w:t>
      </w:r>
      <w:r w:rsidRPr="005C3043">
        <w:rPr>
          <w:rFonts w:ascii="Times New Roman" w:hAnsi="Times New Roman" w:cs="Times New Roman"/>
        </w:rPr>
        <w:t xml:space="preserve">. </w:t>
      </w:r>
      <w:r w:rsidR="005B1F86" w:rsidRPr="005C3043">
        <w:rPr>
          <w:rFonts w:ascii="Times New Roman" w:hAnsi="Times New Roman" w:cs="Times New Roman"/>
        </w:rPr>
        <w:t>Intraoocyte ATP at approximately 19 hours after GnRH2 administration was significantly related to serum estradiol concentration at GnRH2 (</w:t>
      </w:r>
      <w:r w:rsidR="005B1F86" w:rsidRPr="005C3043">
        <w:rPr>
          <w:rFonts w:ascii="Times New Roman" w:hAnsi="Times New Roman" w:cs="Times New Roman"/>
          <w:i/>
        </w:rPr>
        <w:t>P</w:t>
      </w:r>
      <w:r w:rsidR="005B1F86" w:rsidRPr="005C3043">
        <w:rPr>
          <w:rFonts w:ascii="Times New Roman" w:hAnsi="Times New Roman" w:cs="Times New Roman"/>
        </w:rPr>
        <w:t xml:space="preserve"> = 0.014; Figure 2A) and time between GnRH2 and follicle aspiration (</w:t>
      </w:r>
      <w:r w:rsidR="005B1F86" w:rsidRPr="005C3043">
        <w:rPr>
          <w:rFonts w:ascii="Times New Roman" w:hAnsi="Times New Roman" w:cs="Times New Roman"/>
          <w:i/>
        </w:rPr>
        <w:t>P</w:t>
      </w:r>
      <w:r w:rsidR="005B1F86" w:rsidRPr="005C3043">
        <w:rPr>
          <w:rFonts w:ascii="Times New Roman" w:hAnsi="Times New Roman" w:cs="Times New Roman"/>
        </w:rPr>
        <w:t xml:space="preserve"> = 0.004; Figure 2B). Follicle diameter at GnRH2, however, was not significantly related to oocyte ATP level approximately 19 hours after GnRH administration (</w:t>
      </w:r>
      <w:r w:rsidR="005B1F86" w:rsidRPr="005C3043">
        <w:rPr>
          <w:rFonts w:ascii="Times New Roman" w:hAnsi="Times New Roman" w:cs="Times New Roman"/>
          <w:i/>
        </w:rPr>
        <w:t>P</w:t>
      </w:r>
      <w:r w:rsidR="005B1F86" w:rsidRPr="005C3043">
        <w:rPr>
          <w:rFonts w:ascii="Times New Roman" w:hAnsi="Times New Roman" w:cs="Times New Roman"/>
        </w:rPr>
        <w:t xml:space="preserve"> = 0.085). Though samples collected from year two had higher levels of both intraoocyte ATP and serum estradiol (</w:t>
      </w:r>
      <w:r w:rsidR="005B1F86" w:rsidRPr="005C3043">
        <w:rPr>
          <w:rFonts w:ascii="Times New Roman" w:hAnsi="Times New Roman" w:cs="Times New Roman"/>
          <w:i/>
        </w:rPr>
        <w:t>P</w:t>
      </w:r>
      <w:r w:rsidR="005B1F86" w:rsidRPr="005C3043">
        <w:rPr>
          <w:rFonts w:ascii="Times New Roman" w:hAnsi="Times New Roman" w:cs="Times New Roman"/>
        </w:rPr>
        <w:t xml:space="preserve"> &lt; 0.001)), similar trends for the relationship between oocyte ATP level and serum estradiol concentration or time from GnRH2 to follicle aspiration were observed in each year (Figure 2C, Figure 2D). Mitochondrial DNA copy number was not significantly related to follicle diameter at GnRH2, serum estradiol concentration at GnRH2, or any potential covariates (</w:t>
      </w:r>
      <w:r w:rsidR="005B1F86" w:rsidRPr="005C3043">
        <w:rPr>
          <w:rFonts w:ascii="Times New Roman" w:hAnsi="Times New Roman" w:cs="Times New Roman"/>
          <w:i/>
        </w:rPr>
        <w:t>P</w:t>
      </w:r>
      <w:r w:rsidR="005B1F86" w:rsidRPr="005C3043">
        <w:rPr>
          <w:rFonts w:ascii="Times New Roman" w:hAnsi="Times New Roman" w:cs="Times New Roman"/>
        </w:rPr>
        <w:t xml:space="preserve"> &gt; 0.10). The lack of relationship between </w:t>
      </w:r>
      <w:proofErr w:type="spellStart"/>
      <w:r w:rsidR="005B1F86" w:rsidRPr="005C3043">
        <w:rPr>
          <w:rFonts w:ascii="Times New Roman" w:hAnsi="Times New Roman" w:cs="Times New Roman"/>
        </w:rPr>
        <w:t>mtDNA</w:t>
      </w:r>
      <w:proofErr w:type="spellEnd"/>
      <w:r w:rsidR="005B1F86" w:rsidRPr="005C3043">
        <w:rPr>
          <w:rFonts w:ascii="Times New Roman" w:hAnsi="Times New Roman" w:cs="Times New Roman"/>
        </w:rPr>
        <w:t xml:space="preserve"> copy number and physiological status of the follicle and/or intraoocyte ATP is not surprising. There is variation in published literature on the relationship of </w:t>
      </w:r>
      <w:proofErr w:type="spellStart"/>
      <w:r w:rsidR="005B1F86" w:rsidRPr="005C3043">
        <w:rPr>
          <w:rFonts w:ascii="Times New Roman" w:hAnsi="Times New Roman" w:cs="Times New Roman"/>
        </w:rPr>
        <w:t>mtDNA</w:t>
      </w:r>
      <w:proofErr w:type="spellEnd"/>
      <w:r w:rsidR="005B1F86" w:rsidRPr="005C3043">
        <w:rPr>
          <w:rFonts w:ascii="Times New Roman" w:hAnsi="Times New Roman" w:cs="Times New Roman"/>
        </w:rPr>
        <w:t xml:space="preserve"> copy number and oocyte developmental competence </w:t>
      </w:r>
      <w:r w:rsidR="005B1F86" w:rsidRPr="005C3043">
        <w:rPr>
          <w:rFonts w:ascii="Times New Roman" w:hAnsi="Times New Roman" w:cs="Times New Roman"/>
          <w:noProof/>
        </w:rPr>
        <w:t>(Reynier et al., 2001; Tamassia et al., 2004; May-Panloup et al., 2007; Wai et al., 2010; Iwata et al., 2011; Hashimoto et al., 2019)</w:t>
      </w:r>
      <w:r w:rsidR="005B1F86" w:rsidRPr="005C3043">
        <w:rPr>
          <w:rFonts w:ascii="Times New Roman" w:hAnsi="Times New Roman" w:cs="Times New Roman"/>
        </w:rPr>
        <w:t xml:space="preserve">.  A study by van </w:t>
      </w:r>
      <w:proofErr w:type="spellStart"/>
      <w:r w:rsidR="005B1F86" w:rsidRPr="005C3043">
        <w:rPr>
          <w:rFonts w:ascii="Times New Roman" w:hAnsi="Times New Roman" w:cs="Times New Roman"/>
        </w:rPr>
        <w:t>Blerkom</w:t>
      </w:r>
      <w:proofErr w:type="spellEnd"/>
      <w:r w:rsidR="005B1F86" w:rsidRPr="005C3043">
        <w:rPr>
          <w:rFonts w:ascii="Times New Roman" w:hAnsi="Times New Roman" w:cs="Times New Roman"/>
        </w:rPr>
        <w:t xml:space="preserve"> et al in 2004 suggested that </w:t>
      </w:r>
      <w:proofErr w:type="spellStart"/>
      <w:r w:rsidR="005B1F86" w:rsidRPr="005C3043">
        <w:rPr>
          <w:rFonts w:ascii="Times New Roman" w:hAnsi="Times New Roman" w:cs="Times New Roman"/>
        </w:rPr>
        <w:t>mtDNA</w:t>
      </w:r>
      <w:proofErr w:type="spellEnd"/>
      <w:r w:rsidR="005B1F86" w:rsidRPr="005C3043">
        <w:rPr>
          <w:rFonts w:ascii="Times New Roman" w:hAnsi="Times New Roman" w:cs="Times New Roman"/>
        </w:rPr>
        <w:t xml:space="preserve"> copy number could be linked to oocyte developmental competence if metabolic capacity of the oocyte was accounted for. Therefore, we performed an additional analysis to determine if there was an impact of follicle physiological status on the amount of intraoocyte ATP present per </w:t>
      </w:r>
      <w:proofErr w:type="spellStart"/>
      <w:r w:rsidR="005B1F86" w:rsidRPr="005C3043">
        <w:rPr>
          <w:rFonts w:ascii="Times New Roman" w:hAnsi="Times New Roman" w:cs="Times New Roman"/>
        </w:rPr>
        <w:t>mtDNA</w:t>
      </w:r>
      <w:proofErr w:type="spellEnd"/>
      <w:r w:rsidR="005B1F86" w:rsidRPr="005C3043">
        <w:rPr>
          <w:rFonts w:ascii="Times New Roman" w:hAnsi="Times New Roman" w:cs="Times New Roman"/>
        </w:rPr>
        <w:t xml:space="preserve"> copy number. The amount of ATP produced per </w:t>
      </w:r>
      <w:proofErr w:type="spellStart"/>
      <w:r w:rsidR="005B1F86" w:rsidRPr="005C3043">
        <w:rPr>
          <w:rFonts w:ascii="Times New Roman" w:hAnsi="Times New Roman" w:cs="Times New Roman"/>
        </w:rPr>
        <w:t>mtDNA</w:t>
      </w:r>
      <w:proofErr w:type="spellEnd"/>
      <w:r w:rsidR="005B1F86" w:rsidRPr="005C3043">
        <w:rPr>
          <w:rFonts w:ascii="Times New Roman" w:hAnsi="Times New Roman" w:cs="Times New Roman"/>
        </w:rPr>
        <w:t xml:space="preserve"> copy number was significantly related to serum estradiol concentration at GnRH2 (</w:t>
      </w:r>
      <w:r w:rsidR="005B1F86" w:rsidRPr="005C3043">
        <w:rPr>
          <w:rFonts w:ascii="Times New Roman" w:hAnsi="Times New Roman" w:cs="Times New Roman"/>
          <w:i/>
        </w:rPr>
        <w:t>P</w:t>
      </w:r>
      <w:r w:rsidR="005B1F86" w:rsidRPr="005C3043">
        <w:rPr>
          <w:rFonts w:ascii="Times New Roman" w:hAnsi="Times New Roman" w:cs="Times New Roman"/>
        </w:rPr>
        <w:t xml:space="preserve"> = </w:t>
      </w:r>
      <w:proofErr w:type="gramStart"/>
      <w:r w:rsidR="005B1F86" w:rsidRPr="005C3043">
        <w:rPr>
          <w:rFonts w:ascii="Times New Roman" w:hAnsi="Times New Roman" w:cs="Times New Roman"/>
        </w:rPr>
        <w:t>0.015 ;</w:t>
      </w:r>
      <w:proofErr w:type="gramEnd"/>
      <w:r w:rsidR="005B1F86" w:rsidRPr="005C3043">
        <w:rPr>
          <w:rFonts w:ascii="Times New Roman" w:hAnsi="Times New Roman" w:cs="Times New Roman"/>
        </w:rPr>
        <w:t xml:space="preserve"> </w:t>
      </w:r>
      <w:r w:rsidR="005B1F86" w:rsidRPr="005C3043">
        <w:rPr>
          <w:rFonts w:ascii="Times New Roman" w:hAnsi="Times New Roman" w:cs="Times New Roman"/>
          <w:color w:val="000000" w:themeColor="text1"/>
        </w:rPr>
        <w:t>Figure 3A, Figure 3C) and time from GnRH2 to follicle aspiration (</w:t>
      </w:r>
      <w:r w:rsidR="005B1F86" w:rsidRPr="005C3043">
        <w:rPr>
          <w:rFonts w:ascii="Times New Roman" w:hAnsi="Times New Roman" w:cs="Times New Roman"/>
          <w:i/>
          <w:color w:val="000000" w:themeColor="text1"/>
        </w:rPr>
        <w:t>P</w:t>
      </w:r>
      <w:r w:rsidR="005B1F86" w:rsidRPr="005C3043">
        <w:rPr>
          <w:rFonts w:ascii="Times New Roman" w:hAnsi="Times New Roman" w:cs="Times New Roman"/>
          <w:color w:val="000000" w:themeColor="text1"/>
        </w:rPr>
        <w:t xml:space="preserve"> = 0.039 ; Figure 3B, </w:t>
      </w:r>
      <w:r w:rsidR="00F37BB6" w:rsidRPr="005C3043">
        <w:rPr>
          <w:rFonts w:ascii="Times New Roman" w:hAnsi="Times New Roman" w:cs="Times New Roman"/>
          <w:color w:val="000000" w:themeColor="text1"/>
        </w:rPr>
        <w:t>F</w:t>
      </w:r>
      <w:r w:rsidR="005B1F86" w:rsidRPr="005C3043">
        <w:rPr>
          <w:rFonts w:ascii="Times New Roman" w:hAnsi="Times New Roman" w:cs="Times New Roman"/>
          <w:color w:val="000000" w:themeColor="text1"/>
        </w:rPr>
        <w:t>igure 3D).</w:t>
      </w:r>
    </w:p>
    <w:p w14:paraId="0C3779E3" w14:textId="7C704DF4" w:rsidR="00125291" w:rsidRPr="00600C14" w:rsidRDefault="00600C14" w:rsidP="00600C14">
      <w:pPr>
        <w:spacing w:line="480" w:lineRule="auto"/>
        <w:jc w:val="both"/>
        <w:rPr>
          <w:rFonts w:ascii="Times New Roman" w:hAnsi="Times New Roman" w:cs="Times New Roman"/>
          <w:color w:val="000000" w:themeColor="text1"/>
        </w:rPr>
      </w:pPr>
      <w:r>
        <w:rPr>
          <w:rFonts w:ascii="Times New Roman" w:hAnsi="Times New Roman" w:cs="Times New Roman"/>
          <w:b/>
          <w:bCs/>
          <w:color w:val="000000" w:themeColor="text1"/>
        </w:rPr>
        <w:lastRenderedPageBreak/>
        <w:t xml:space="preserve">Table 3: </w:t>
      </w:r>
      <w:r>
        <w:rPr>
          <w:rFonts w:ascii="Times New Roman" w:hAnsi="Times New Roman" w:cs="Times New Roman"/>
          <w:color w:val="000000" w:themeColor="text1"/>
        </w:rPr>
        <w:t>P values for the initial correlations performed to identify covariates to be used in oocyte ATP (</w:t>
      </w:r>
      <w:proofErr w:type="spellStart"/>
      <w:r>
        <w:rPr>
          <w:rFonts w:ascii="Times New Roman" w:hAnsi="Times New Roman" w:cs="Times New Roman"/>
          <w:color w:val="000000" w:themeColor="text1"/>
        </w:rPr>
        <w:t>pg</w:t>
      </w:r>
      <w:proofErr w:type="spellEnd"/>
      <w:r>
        <w:rPr>
          <w:rFonts w:ascii="Times New Roman" w:hAnsi="Times New Roman" w:cs="Times New Roman"/>
          <w:color w:val="000000" w:themeColor="text1"/>
        </w:rPr>
        <w:t xml:space="preserve">) and oocyte </w:t>
      </w:r>
      <w:proofErr w:type="spellStart"/>
      <w:r>
        <w:rPr>
          <w:rFonts w:ascii="Times New Roman" w:hAnsi="Times New Roman" w:cs="Times New Roman"/>
          <w:color w:val="000000" w:themeColor="text1"/>
        </w:rPr>
        <w:t>mtDNA</w:t>
      </w:r>
      <w:proofErr w:type="spellEnd"/>
      <w:r>
        <w:rPr>
          <w:rFonts w:ascii="Times New Roman" w:hAnsi="Times New Roman" w:cs="Times New Roman"/>
          <w:color w:val="000000" w:themeColor="text1"/>
        </w:rPr>
        <w:t xml:space="preserve"> copy number analyses.</w:t>
      </w:r>
    </w:p>
    <w:tbl>
      <w:tblPr>
        <w:tblW w:w="8640" w:type="dxa"/>
        <w:tblInd w:w="-5" w:type="dxa"/>
        <w:tblLook w:val="04A0" w:firstRow="1" w:lastRow="0" w:firstColumn="1" w:lastColumn="0" w:noHBand="0" w:noVBand="1"/>
      </w:tblPr>
      <w:tblGrid>
        <w:gridCol w:w="4140"/>
        <w:gridCol w:w="1080"/>
        <w:gridCol w:w="1266"/>
        <w:gridCol w:w="963"/>
        <w:gridCol w:w="1266"/>
      </w:tblGrid>
      <w:tr w:rsidR="006F3030" w:rsidRPr="005C3043" w14:paraId="40FDE51E" w14:textId="6F7AEF82" w:rsidTr="000C3103">
        <w:trPr>
          <w:trHeight w:val="251"/>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4BBF26" w14:textId="49F2277F" w:rsidR="006F3030" w:rsidRPr="000C3103" w:rsidRDefault="006F3030" w:rsidP="006F3030">
            <w:pPr>
              <w:jc w:val="center"/>
              <w:rPr>
                <w:rFonts w:ascii="Times New Roman" w:hAnsi="Times New Roman" w:cs="Times New Roman"/>
                <w:b/>
                <w:color w:val="000000"/>
                <w:sz w:val="21"/>
                <w:szCs w:val="21"/>
              </w:rPr>
            </w:pPr>
            <w:r w:rsidRPr="000C3103">
              <w:rPr>
                <w:rFonts w:ascii="Times New Roman" w:hAnsi="Times New Roman" w:cs="Times New Roman"/>
                <w:b/>
                <w:color w:val="000000"/>
                <w:sz w:val="21"/>
                <w:szCs w:val="21"/>
              </w:rPr>
              <w:t>Independent</w:t>
            </w:r>
          </w:p>
          <w:p w14:paraId="3FF0EBCC" w14:textId="77777777" w:rsidR="006F3030" w:rsidRPr="000C3103" w:rsidRDefault="006F3030" w:rsidP="006F3030">
            <w:pPr>
              <w:jc w:val="center"/>
              <w:rPr>
                <w:rFonts w:ascii="Times New Roman" w:hAnsi="Times New Roman" w:cs="Times New Roman"/>
                <w:b/>
                <w:bCs/>
                <w:color w:val="000000"/>
                <w:sz w:val="21"/>
                <w:szCs w:val="21"/>
              </w:rPr>
            </w:pPr>
            <w:r w:rsidRPr="000C3103">
              <w:rPr>
                <w:rFonts w:ascii="Times New Roman" w:hAnsi="Times New Roman" w:cs="Times New Roman"/>
                <w:b/>
                <w:color w:val="000000"/>
                <w:sz w:val="21"/>
                <w:szCs w:val="21"/>
              </w:rPr>
              <w:t>Variable</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92C688" w14:textId="77777777" w:rsidR="006F3030" w:rsidRPr="000C3103" w:rsidRDefault="006F3030" w:rsidP="006F3030">
            <w:pPr>
              <w:jc w:val="center"/>
              <w:rPr>
                <w:rFonts w:ascii="Times New Roman" w:hAnsi="Times New Roman" w:cs="Times New Roman"/>
                <w:b/>
                <w:bCs/>
                <w:color w:val="000000"/>
                <w:sz w:val="21"/>
                <w:szCs w:val="21"/>
                <w:vertAlign w:val="superscript"/>
              </w:rPr>
            </w:pPr>
            <w:r w:rsidRPr="000C3103">
              <w:rPr>
                <w:rFonts w:ascii="Times New Roman" w:hAnsi="Times New Roman" w:cs="Times New Roman"/>
                <w:b/>
                <w:color w:val="000000"/>
                <w:sz w:val="21"/>
                <w:szCs w:val="21"/>
              </w:rPr>
              <w:t>Oocyte ATP (</w:t>
            </w:r>
            <w:proofErr w:type="spellStart"/>
            <w:r w:rsidRPr="000C3103">
              <w:rPr>
                <w:rFonts w:ascii="Times New Roman" w:hAnsi="Times New Roman" w:cs="Times New Roman"/>
                <w:b/>
                <w:color w:val="000000"/>
                <w:sz w:val="21"/>
                <w:szCs w:val="21"/>
              </w:rPr>
              <w:t>pg</w:t>
            </w:r>
            <w:proofErr w:type="spellEnd"/>
            <w:r w:rsidRPr="000C3103">
              <w:rPr>
                <w:rFonts w:ascii="Times New Roman" w:hAnsi="Times New Roman" w:cs="Times New Roman"/>
                <w:b/>
                <w:color w:val="000000"/>
                <w:sz w:val="21"/>
                <w:szCs w:val="21"/>
              </w:rPr>
              <w:t>)</w:t>
            </w:r>
          </w:p>
        </w:tc>
        <w:tc>
          <w:tcPr>
            <w:tcW w:w="1266" w:type="dxa"/>
            <w:tcBorders>
              <w:top w:val="single" w:sz="4" w:space="0" w:color="auto"/>
              <w:left w:val="nil"/>
              <w:bottom w:val="single" w:sz="4" w:space="0" w:color="auto"/>
              <w:right w:val="single" w:sz="4" w:space="0" w:color="auto"/>
            </w:tcBorders>
            <w:vAlign w:val="center"/>
          </w:tcPr>
          <w:p w14:paraId="1F7EB37D" w14:textId="04230EE5" w:rsidR="006F3030" w:rsidRPr="000C3103" w:rsidRDefault="006F3030" w:rsidP="006F3030">
            <w:pPr>
              <w:jc w:val="center"/>
              <w:rPr>
                <w:rFonts w:ascii="Times New Roman" w:hAnsi="Times New Roman" w:cs="Times New Roman"/>
                <w:b/>
                <w:color w:val="000000"/>
                <w:sz w:val="21"/>
                <w:szCs w:val="21"/>
              </w:rPr>
            </w:pPr>
            <w:r w:rsidRPr="000C3103">
              <w:rPr>
                <w:rFonts w:ascii="Times New Roman" w:hAnsi="Times New Roman" w:cs="Times New Roman"/>
                <w:b/>
                <w:color w:val="000000"/>
                <w:sz w:val="21"/>
                <w:szCs w:val="21"/>
              </w:rPr>
              <w:t xml:space="preserve">TP </w:t>
            </w:r>
            <w:r w:rsidR="00385683" w:rsidRPr="000C3103">
              <w:rPr>
                <w:rFonts w:ascii="Times New Roman" w:hAnsi="Times New Roman" w:cs="Times New Roman"/>
                <w:b/>
                <w:color w:val="000000"/>
                <w:sz w:val="21"/>
                <w:szCs w:val="21"/>
              </w:rPr>
              <w:t>Correlation</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D70594" w14:textId="58611565" w:rsidR="006F3030" w:rsidRPr="000C3103" w:rsidRDefault="006F3030" w:rsidP="006F3030">
            <w:pPr>
              <w:jc w:val="center"/>
              <w:rPr>
                <w:rFonts w:ascii="Times New Roman" w:hAnsi="Times New Roman" w:cs="Times New Roman"/>
                <w:b/>
                <w:bCs/>
                <w:color w:val="000000"/>
                <w:sz w:val="21"/>
                <w:szCs w:val="21"/>
                <w:vertAlign w:val="superscript"/>
              </w:rPr>
            </w:pPr>
            <w:r w:rsidRPr="000C3103">
              <w:rPr>
                <w:rFonts w:ascii="Times New Roman" w:hAnsi="Times New Roman" w:cs="Times New Roman"/>
                <w:b/>
                <w:color w:val="000000"/>
                <w:sz w:val="21"/>
                <w:szCs w:val="21"/>
              </w:rPr>
              <w:t xml:space="preserve">Oocyte </w:t>
            </w:r>
            <w:proofErr w:type="spellStart"/>
            <w:r w:rsidRPr="000C3103">
              <w:rPr>
                <w:rFonts w:ascii="Times New Roman" w:hAnsi="Times New Roman" w:cs="Times New Roman"/>
                <w:b/>
                <w:color w:val="000000"/>
                <w:sz w:val="21"/>
                <w:szCs w:val="21"/>
              </w:rPr>
              <w:t>mtDNA</w:t>
            </w:r>
            <w:proofErr w:type="spellEnd"/>
            <w:r w:rsidRPr="000C3103">
              <w:rPr>
                <w:rFonts w:ascii="Times New Roman" w:hAnsi="Times New Roman" w:cs="Times New Roman"/>
                <w:b/>
                <w:color w:val="000000"/>
                <w:sz w:val="21"/>
                <w:szCs w:val="21"/>
              </w:rPr>
              <w:t xml:space="preserve"> Copy Number</w:t>
            </w:r>
          </w:p>
        </w:tc>
        <w:tc>
          <w:tcPr>
            <w:tcW w:w="1191" w:type="dxa"/>
            <w:tcBorders>
              <w:top w:val="single" w:sz="4" w:space="0" w:color="auto"/>
              <w:left w:val="single" w:sz="4" w:space="0" w:color="auto"/>
              <w:bottom w:val="single" w:sz="4" w:space="0" w:color="auto"/>
              <w:right w:val="single" w:sz="4" w:space="0" w:color="000000"/>
            </w:tcBorders>
            <w:vAlign w:val="center"/>
          </w:tcPr>
          <w:p w14:paraId="5A433CBF" w14:textId="3D382935" w:rsidR="006F3030" w:rsidRPr="000C3103" w:rsidRDefault="006F3030" w:rsidP="006F3030">
            <w:pPr>
              <w:jc w:val="center"/>
              <w:rPr>
                <w:rFonts w:ascii="Times New Roman" w:hAnsi="Times New Roman" w:cs="Times New Roman"/>
                <w:b/>
                <w:color w:val="000000"/>
                <w:sz w:val="21"/>
                <w:szCs w:val="21"/>
              </w:rPr>
            </w:pPr>
            <w:proofErr w:type="spellStart"/>
            <w:r w:rsidRPr="000C3103">
              <w:rPr>
                <w:rFonts w:ascii="Times New Roman" w:hAnsi="Times New Roman" w:cs="Times New Roman"/>
                <w:b/>
                <w:color w:val="000000"/>
                <w:sz w:val="21"/>
                <w:szCs w:val="21"/>
              </w:rPr>
              <w:t>mtDNA</w:t>
            </w:r>
            <w:proofErr w:type="spellEnd"/>
            <w:r w:rsidRPr="000C3103">
              <w:rPr>
                <w:rFonts w:ascii="Times New Roman" w:hAnsi="Times New Roman" w:cs="Times New Roman"/>
                <w:b/>
                <w:color w:val="000000"/>
                <w:sz w:val="21"/>
                <w:szCs w:val="21"/>
              </w:rPr>
              <w:t xml:space="preserve"> Copy Number </w:t>
            </w:r>
            <w:r w:rsidR="00385683" w:rsidRPr="000C3103">
              <w:rPr>
                <w:rFonts w:ascii="Times New Roman" w:hAnsi="Times New Roman" w:cs="Times New Roman"/>
                <w:b/>
                <w:color w:val="000000"/>
                <w:sz w:val="21"/>
                <w:szCs w:val="21"/>
              </w:rPr>
              <w:t>Correlation</w:t>
            </w:r>
          </w:p>
        </w:tc>
      </w:tr>
      <w:tr w:rsidR="00385683" w:rsidRPr="005C3043" w14:paraId="0D8500DE" w14:textId="5F5A2DC9" w:rsidTr="000C3103">
        <w:trPr>
          <w:trHeight w:val="312"/>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4B8E62" w14:textId="77777777"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Follicle Diameter at GnRH2 (mm)*</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58A22150"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0.11</w:t>
            </w:r>
          </w:p>
        </w:tc>
        <w:tc>
          <w:tcPr>
            <w:tcW w:w="1266" w:type="dxa"/>
            <w:tcBorders>
              <w:top w:val="single" w:sz="4" w:space="0" w:color="auto"/>
              <w:left w:val="nil"/>
              <w:bottom w:val="single" w:sz="4" w:space="0" w:color="auto"/>
              <w:right w:val="single" w:sz="4" w:space="0" w:color="auto"/>
            </w:tcBorders>
            <w:vAlign w:val="bottom"/>
          </w:tcPr>
          <w:p w14:paraId="07AF5019" w14:textId="0604191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0.017</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E4E07D" w14:textId="1A99571A"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0.12</w:t>
            </w:r>
          </w:p>
        </w:tc>
        <w:tc>
          <w:tcPr>
            <w:tcW w:w="1191" w:type="dxa"/>
            <w:tcBorders>
              <w:top w:val="single" w:sz="4" w:space="0" w:color="auto"/>
              <w:left w:val="nil"/>
              <w:bottom w:val="single" w:sz="4" w:space="0" w:color="auto"/>
              <w:right w:val="single" w:sz="4" w:space="0" w:color="auto"/>
            </w:tcBorders>
            <w:vAlign w:val="bottom"/>
          </w:tcPr>
          <w:p w14:paraId="219B5DA0" w14:textId="3C972CC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0.051</w:t>
            </w:r>
          </w:p>
        </w:tc>
      </w:tr>
      <w:tr w:rsidR="00385683" w:rsidRPr="005C3043" w14:paraId="73EFAE24" w14:textId="244AE4BC"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427EF5E0" w14:textId="77777777"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 xml:space="preserve">Cow Age* </w:t>
            </w:r>
          </w:p>
        </w:tc>
        <w:tc>
          <w:tcPr>
            <w:tcW w:w="1080" w:type="dxa"/>
            <w:tcBorders>
              <w:top w:val="nil"/>
              <w:left w:val="nil"/>
              <w:bottom w:val="single" w:sz="4" w:space="0" w:color="auto"/>
              <w:right w:val="single" w:sz="4" w:space="0" w:color="auto"/>
            </w:tcBorders>
            <w:shd w:val="clear" w:color="auto" w:fill="auto"/>
            <w:noWrap/>
            <w:vAlign w:val="bottom"/>
            <w:hideMark/>
          </w:tcPr>
          <w:p w14:paraId="1BAB792E"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0.38</w:t>
            </w:r>
          </w:p>
        </w:tc>
        <w:tc>
          <w:tcPr>
            <w:tcW w:w="1266" w:type="dxa"/>
            <w:tcBorders>
              <w:top w:val="single" w:sz="4" w:space="0" w:color="auto"/>
              <w:left w:val="nil"/>
              <w:bottom w:val="single" w:sz="4" w:space="0" w:color="auto"/>
              <w:right w:val="single" w:sz="4" w:space="0" w:color="auto"/>
            </w:tcBorders>
            <w:vAlign w:val="bottom"/>
          </w:tcPr>
          <w:p w14:paraId="3400D8FC" w14:textId="7980CB05"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0.008</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549548" w14:textId="10C36B8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0.73</w:t>
            </w:r>
          </w:p>
        </w:tc>
        <w:tc>
          <w:tcPr>
            <w:tcW w:w="1191" w:type="dxa"/>
            <w:tcBorders>
              <w:top w:val="nil"/>
              <w:left w:val="nil"/>
              <w:bottom w:val="single" w:sz="4" w:space="0" w:color="auto"/>
              <w:right w:val="single" w:sz="4" w:space="0" w:color="auto"/>
            </w:tcBorders>
            <w:vAlign w:val="bottom"/>
          </w:tcPr>
          <w:p w14:paraId="6835BC3D" w14:textId="5E7E2BD2"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0.0035</w:t>
            </w:r>
          </w:p>
        </w:tc>
      </w:tr>
      <w:tr w:rsidR="00385683" w:rsidRPr="005C3043" w14:paraId="4F5C8E3A" w14:textId="3C8DD588"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4CF883C1" w14:textId="77777777"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Days Postpartum at FA*</w:t>
            </w:r>
          </w:p>
        </w:tc>
        <w:tc>
          <w:tcPr>
            <w:tcW w:w="1080" w:type="dxa"/>
            <w:tcBorders>
              <w:top w:val="nil"/>
              <w:left w:val="nil"/>
              <w:bottom w:val="single" w:sz="4" w:space="0" w:color="auto"/>
              <w:right w:val="single" w:sz="4" w:space="0" w:color="auto"/>
            </w:tcBorders>
            <w:shd w:val="clear" w:color="auto" w:fill="auto"/>
            <w:noWrap/>
            <w:vAlign w:val="bottom"/>
            <w:hideMark/>
          </w:tcPr>
          <w:p w14:paraId="74E35382"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0.17</w:t>
            </w:r>
          </w:p>
        </w:tc>
        <w:tc>
          <w:tcPr>
            <w:tcW w:w="1266" w:type="dxa"/>
            <w:tcBorders>
              <w:top w:val="single" w:sz="4" w:space="0" w:color="auto"/>
              <w:left w:val="nil"/>
              <w:bottom w:val="single" w:sz="4" w:space="0" w:color="auto"/>
              <w:right w:val="single" w:sz="4" w:space="0" w:color="auto"/>
            </w:tcBorders>
            <w:vAlign w:val="bottom"/>
          </w:tcPr>
          <w:p w14:paraId="48ED52BC" w14:textId="664345EB"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0.013</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079E9B" w14:textId="13FC1639"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0.73</w:t>
            </w:r>
          </w:p>
        </w:tc>
        <w:tc>
          <w:tcPr>
            <w:tcW w:w="1191" w:type="dxa"/>
            <w:tcBorders>
              <w:top w:val="nil"/>
              <w:left w:val="nil"/>
              <w:bottom w:val="single" w:sz="4" w:space="0" w:color="auto"/>
              <w:right w:val="single" w:sz="4" w:space="0" w:color="auto"/>
            </w:tcBorders>
            <w:vAlign w:val="bottom"/>
          </w:tcPr>
          <w:p w14:paraId="28458DDC" w14:textId="7E92DDB4"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0.0025</w:t>
            </w:r>
          </w:p>
        </w:tc>
      </w:tr>
      <w:tr w:rsidR="00385683" w:rsidRPr="005C3043" w14:paraId="781AC89C" w14:textId="444B59E6"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tcPr>
          <w:p w14:paraId="2CC932D2" w14:textId="77777777"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Weight*</w:t>
            </w:r>
          </w:p>
        </w:tc>
        <w:tc>
          <w:tcPr>
            <w:tcW w:w="1080" w:type="dxa"/>
            <w:tcBorders>
              <w:top w:val="nil"/>
              <w:left w:val="nil"/>
              <w:bottom w:val="single" w:sz="4" w:space="0" w:color="auto"/>
              <w:right w:val="single" w:sz="4" w:space="0" w:color="auto"/>
            </w:tcBorders>
            <w:shd w:val="clear" w:color="auto" w:fill="auto"/>
            <w:noWrap/>
            <w:vAlign w:val="bottom"/>
          </w:tcPr>
          <w:p w14:paraId="3DAF5D68"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0.46</w:t>
            </w:r>
          </w:p>
        </w:tc>
        <w:tc>
          <w:tcPr>
            <w:tcW w:w="1266" w:type="dxa"/>
            <w:tcBorders>
              <w:top w:val="single" w:sz="4" w:space="0" w:color="auto"/>
              <w:left w:val="nil"/>
              <w:bottom w:val="single" w:sz="4" w:space="0" w:color="auto"/>
              <w:right w:val="single" w:sz="4" w:space="0" w:color="auto"/>
            </w:tcBorders>
            <w:vAlign w:val="bottom"/>
          </w:tcPr>
          <w:p w14:paraId="6DB69422" w14:textId="7B3A2571"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0.001</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9F44B0" w14:textId="494B6D8D"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0.04</w:t>
            </w:r>
          </w:p>
        </w:tc>
        <w:tc>
          <w:tcPr>
            <w:tcW w:w="1191" w:type="dxa"/>
            <w:tcBorders>
              <w:top w:val="nil"/>
              <w:left w:val="nil"/>
              <w:bottom w:val="single" w:sz="4" w:space="0" w:color="auto"/>
              <w:right w:val="single" w:sz="4" w:space="0" w:color="auto"/>
            </w:tcBorders>
            <w:vAlign w:val="bottom"/>
          </w:tcPr>
          <w:p w14:paraId="19C4B049" w14:textId="49EB88F3"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0.062</w:t>
            </w:r>
          </w:p>
        </w:tc>
      </w:tr>
      <w:tr w:rsidR="00385683" w:rsidRPr="005C3043" w14:paraId="4D470BEC" w14:textId="0D9BBE57"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68EFD1D" w14:textId="77777777"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Serum Estradiol at PG (</w:t>
            </w:r>
            <w:proofErr w:type="spellStart"/>
            <w:r w:rsidRPr="000C3103">
              <w:rPr>
                <w:rFonts w:ascii="Times New Roman" w:hAnsi="Times New Roman" w:cs="Times New Roman"/>
                <w:color w:val="000000"/>
                <w:sz w:val="21"/>
                <w:szCs w:val="21"/>
              </w:rPr>
              <w:t>pg</w:t>
            </w:r>
            <w:proofErr w:type="spellEnd"/>
            <w:r w:rsidRPr="000C3103">
              <w:rPr>
                <w:rFonts w:ascii="Times New Roman" w:hAnsi="Times New Roman" w:cs="Times New Roman"/>
                <w:color w:val="000000"/>
                <w:sz w:val="21"/>
                <w:szCs w:val="21"/>
              </w:rPr>
              <w:t>/</w:t>
            </w:r>
            <w:proofErr w:type="gramStart"/>
            <w:r w:rsidRPr="000C3103">
              <w:rPr>
                <w:rFonts w:ascii="Times New Roman" w:hAnsi="Times New Roman" w:cs="Times New Roman"/>
                <w:color w:val="000000"/>
                <w:sz w:val="21"/>
                <w:szCs w:val="21"/>
              </w:rPr>
              <w:t>ml)*</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2690FF81"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0.76</w:t>
            </w:r>
          </w:p>
        </w:tc>
        <w:tc>
          <w:tcPr>
            <w:tcW w:w="1266" w:type="dxa"/>
            <w:tcBorders>
              <w:top w:val="single" w:sz="4" w:space="0" w:color="auto"/>
              <w:left w:val="nil"/>
              <w:bottom w:val="single" w:sz="4" w:space="0" w:color="auto"/>
              <w:right w:val="single" w:sz="4" w:space="0" w:color="auto"/>
            </w:tcBorders>
            <w:vAlign w:val="bottom"/>
          </w:tcPr>
          <w:p w14:paraId="26DCE12C" w14:textId="3D2127C5"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0.014</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A6B3A8" w14:textId="6AE9CFFC"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0.13</w:t>
            </w:r>
          </w:p>
        </w:tc>
        <w:tc>
          <w:tcPr>
            <w:tcW w:w="1191" w:type="dxa"/>
            <w:tcBorders>
              <w:top w:val="nil"/>
              <w:left w:val="nil"/>
              <w:bottom w:val="single" w:sz="4" w:space="0" w:color="auto"/>
              <w:right w:val="single" w:sz="4" w:space="0" w:color="auto"/>
            </w:tcBorders>
            <w:vAlign w:val="bottom"/>
          </w:tcPr>
          <w:p w14:paraId="2AE1D6DD" w14:textId="6FA2A4AA"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0.0003</w:t>
            </w:r>
          </w:p>
        </w:tc>
      </w:tr>
      <w:tr w:rsidR="00385683" w:rsidRPr="005C3043" w14:paraId="34F57B50" w14:textId="3A00288B"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9A1390C" w14:textId="77777777"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Serum Estradiol at GnRH2 (</w:t>
            </w:r>
            <w:proofErr w:type="spellStart"/>
            <w:r w:rsidRPr="000C3103">
              <w:rPr>
                <w:rFonts w:ascii="Times New Roman" w:hAnsi="Times New Roman" w:cs="Times New Roman"/>
                <w:color w:val="000000"/>
                <w:sz w:val="21"/>
                <w:szCs w:val="21"/>
              </w:rPr>
              <w:t>pg</w:t>
            </w:r>
            <w:proofErr w:type="spellEnd"/>
            <w:r w:rsidRPr="000C3103">
              <w:rPr>
                <w:rFonts w:ascii="Times New Roman" w:hAnsi="Times New Roman" w:cs="Times New Roman"/>
                <w:color w:val="000000"/>
                <w:sz w:val="21"/>
                <w:szCs w:val="21"/>
              </w:rPr>
              <w:t>/</w:t>
            </w:r>
            <w:proofErr w:type="gramStart"/>
            <w:r w:rsidRPr="000C3103">
              <w:rPr>
                <w:rFonts w:ascii="Times New Roman" w:hAnsi="Times New Roman" w:cs="Times New Roman"/>
                <w:color w:val="000000"/>
                <w:sz w:val="21"/>
                <w:szCs w:val="21"/>
              </w:rPr>
              <w:t>ml)*</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791652CE" w14:textId="77777777" w:rsidR="00385683" w:rsidRPr="000C3103" w:rsidRDefault="00385683" w:rsidP="00385683">
            <w:pPr>
              <w:jc w:val="center"/>
              <w:rPr>
                <w:rFonts w:ascii="Times New Roman" w:hAnsi="Times New Roman" w:cs="Times New Roman"/>
                <w:color w:val="000000"/>
                <w:sz w:val="21"/>
                <w:szCs w:val="21"/>
                <w:vertAlign w:val="superscript"/>
              </w:rPr>
            </w:pPr>
            <w:r w:rsidRPr="000C3103">
              <w:rPr>
                <w:rFonts w:ascii="Times New Roman" w:hAnsi="Times New Roman" w:cs="Times New Roman"/>
                <w:color w:val="000000"/>
                <w:sz w:val="21"/>
                <w:szCs w:val="21"/>
              </w:rPr>
              <w:t>0.26</w:t>
            </w:r>
          </w:p>
        </w:tc>
        <w:tc>
          <w:tcPr>
            <w:tcW w:w="1266" w:type="dxa"/>
            <w:tcBorders>
              <w:top w:val="single" w:sz="4" w:space="0" w:color="auto"/>
              <w:left w:val="nil"/>
              <w:bottom w:val="single" w:sz="4" w:space="0" w:color="auto"/>
              <w:right w:val="single" w:sz="4" w:space="0" w:color="auto"/>
            </w:tcBorders>
            <w:vAlign w:val="bottom"/>
          </w:tcPr>
          <w:p w14:paraId="085B1E63" w14:textId="7CD55DC5"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0.011</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7393AE" w14:textId="51F03CD8"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0.91</w:t>
            </w:r>
          </w:p>
        </w:tc>
        <w:tc>
          <w:tcPr>
            <w:tcW w:w="1191" w:type="dxa"/>
            <w:tcBorders>
              <w:top w:val="nil"/>
              <w:left w:val="nil"/>
              <w:bottom w:val="single" w:sz="4" w:space="0" w:color="auto"/>
              <w:right w:val="single" w:sz="4" w:space="0" w:color="auto"/>
            </w:tcBorders>
            <w:vAlign w:val="bottom"/>
          </w:tcPr>
          <w:p w14:paraId="33201F42" w14:textId="43EE3EC9"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0.04</w:t>
            </w:r>
          </w:p>
        </w:tc>
      </w:tr>
      <w:tr w:rsidR="00385683" w:rsidRPr="005C3043" w14:paraId="62C7FDAA" w14:textId="5952FCE7"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488884A1" w14:textId="77777777"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Serum Estradiol at FA (</w:t>
            </w:r>
            <w:proofErr w:type="spellStart"/>
            <w:r w:rsidRPr="000C3103">
              <w:rPr>
                <w:rFonts w:ascii="Times New Roman" w:hAnsi="Times New Roman" w:cs="Times New Roman"/>
                <w:color w:val="000000"/>
                <w:sz w:val="21"/>
                <w:szCs w:val="21"/>
              </w:rPr>
              <w:t>pg</w:t>
            </w:r>
            <w:proofErr w:type="spellEnd"/>
            <w:r w:rsidRPr="000C3103">
              <w:rPr>
                <w:rFonts w:ascii="Times New Roman" w:hAnsi="Times New Roman" w:cs="Times New Roman"/>
                <w:color w:val="000000"/>
                <w:sz w:val="21"/>
                <w:szCs w:val="21"/>
              </w:rPr>
              <w:t>/</w:t>
            </w:r>
            <w:proofErr w:type="gramStart"/>
            <w:r w:rsidRPr="000C3103">
              <w:rPr>
                <w:rFonts w:ascii="Times New Roman" w:hAnsi="Times New Roman" w:cs="Times New Roman"/>
                <w:color w:val="000000"/>
                <w:sz w:val="21"/>
                <w:szCs w:val="21"/>
              </w:rPr>
              <w:t>ml)*</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3854E2CA"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0.3</w:t>
            </w:r>
          </w:p>
        </w:tc>
        <w:tc>
          <w:tcPr>
            <w:tcW w:w="1266" w:type="dxa"/>
            <w:tcBorders>
              <w:top w:val="single" w:sz="4" w:space="0" w:color="auto"/>
              <w:left w:val="nil"/>
              <w:bottom w:val="single" w:sz="4" w:space="0" w:color="auto"/>
              <w:right w:val="single" w:sz="4" w:space="0" w:color="auto"/>
            </w:tcBorders>
            <w:vAlign w:val="bottom"/>
          </w:tcPr>
          <w:p w14:paraId="2D63609B" w14:textId="692BB47F"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0.02</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8D321B" w14:textId="582C0FB4"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0.2</w:t>
            </w:r>
          </w:p>
        </w:tc>
        <w:tc>
          <w:tcPr>
            <w:tcW w:w="1191" w:type="dxa"/>
            <w:tcBorders>
              <w:top w:val="nil"/>
              <w:left w:val="nil"/>
              <w:bottom w:val="single" w:sz="4" w:space="0" w:color="auto"/>
              <w:right w:val="single" w:sz="4" w:space="0" w:color="auto"/>
            </w:tcBorders>
            <w:vAlign w:val="bottom"/>
          </w:tcPr>
          <w:p w14:paraId="5FBD0721" w14:textId="53578B85"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0.031</w:t>
            </w:r>
          </w:p>
        </w:tc>
      </w:tr>
      <w:tr w:rsidR="00385683" w:rsidRPr="005C3043" w14:paraId="64EAF6A9" w14:textId="251DF7AA"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2D5B4404" w14:textId="77777777"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Serum Progesterone at PG (ng/</w:t>
            </w:r>
            <w:proofErr w:type="gramStart"/>
            <w:r w:rsidRPr="000C3103">
              <w:rPr>
                <w:rFonts w:ascii="Times New Roman" w:hAnsi="Times New Roman" w:cs="Times New Roman"/>
                <w:color w:val="000000"/>
                <w:sz w:val="21"/>
                <w:szCs w:val="21"/>
              </w:rPr>
              <w:t>ml)*</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214D1E74"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0.43</w:t>
            </w:r>
          </w:p>
        </w:tc>
        <w:tc>
          <w:tcPr>
            <w:tcW w:w="1266" w:type="dxa"/>
            <w:tcBorders>
              <w:top w:val="single" w:sz="4" w:space="0" w:color="auto"/>
              <w:left w:val="nil"/>
              <w:bottom w:val="single" w:sz="4" w:space="0" w:color="auto"/>
              <w:right w:val="single" w:sz="4" w:space="0" w:color="auto"/>
            </w:tcBorders>
            <w:vAlign w:val="bottom"/>
          </w:tcPr>
          <w:p w14:paraId="29AA83C1" w14:textId="047B5ED6"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0.0044</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96092E" w14:textId="778AFA20"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0.18</w:t>
            </w:r>
          </w:p>
        </w:tc>
        <w:tc>
          <w:tcPr>
            <w:tcW w:w="1191" w:type="dxa"/>
            <w:tcBorders>
              <w:top w:val="nil"/>
              <w:left w:val="nil"/>
              <w:bottom w:val="single" w:sz="4" w:space="0" w:color="auto"/>
              <w:right w:val="single" w:sz="4" w:space="0" w:color="auto"/>
            </w:tcBorders>
            <w:vAlign w:val="bottom"/>
          </w:tcPr>
          <w:p w14:paraId="09B3096E" w14:textId="609055D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0.039</w:t>
            </w:r>
          </w:p>
        </w:tc>
      </w:tr>
      <w:tr w:rsidR="00385683" w:rsidRPr="005C3043" w14:paraId="0EAF3C59" w14:textId="3A9D6E99"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2505A024" w14:textId="77777777"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Serum Progesterone at GnRH2 (ng/</w:t>
            </w:r>
            <w:proofErr w:type="gramStart"/>
            <w:r w:rsidRPr="000C3103">
              <w:rPr>
                <w:rFonts w:ascii="Times New Roman" w:hAnsi="Times New Roman" w:cs="Times New Roman"/>
                <w:color w:val="000000"/>
                <w:sz w:val="21"/>
                <w:szCs w:val="21"/>
              </w:rPr>
              <w:t>ml)*</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63DD4A63"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0.91</w:t>
            </w:r>
          </w:p>
        </w:tc>
        <w:tc>
          <w:tcPr>
            <w:tcW w:w="1266" w:type="dxa"/>
            <w:tcBorders>
              <w:top w:val="single" w:sz="4" w:space="0" w:color="auto"/>
              <w:left w:val="nil"/>
              <w:bottom w:val="single" w:sz="4" w:space="0" w:color="auto"/>
              <w:right w:val="single" w:sz="4" w:space="0" w:color="auto"/>
            </w:tcBorders>
            <w:vAlign w:val="bottom"/>
          </w:tcPr>
          <w:p w14:paraId="4F470092" w14:textId="239A9E2F"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0.0001</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7B927B" w14:textId="6A155411"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0.84</w:t>
            </w:r>
          </w:p>
        </w:tc>
        <w:tc>
          <w:tcPr>
            <w:tcW w:w="1191" w:type="dxa"/>
            <w:tcBorders>
              <w:top w:val="nil"/>
              <w:left w:val="nil"/>
              <w:bottom w:val="single" w:sz="4" w:space="0" w:color="auto"/>
              <w:right w:val="single" w:sz="4" w:space="0" w:color="auto"/>
            </w:tcBorders>
            <w:vAlign w:val="bottom"/>
          </w:tcPr>
          <w:p w14:paraId="44A8BC26" w14:textId="15436964"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0.0009</w:t>
            </w:r>
          </w:p>
        </w:tc>
      </w:tr>
      <w:tr w:rsidR="00385683" w:rsidRPr="005C3043" w14:paraId="217472D2" w14:textId="7967FB42"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73AAD6A1" w14:textId="77777777"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Serum Progesterone at FA (ng/</w:t>
            </w:r>
            <w:proofErr w:type="gramStart"/>
            <w:r w:rsidRPr="000C3103">
              <w:rPr>
                <w:rFonts w:ascii="Times New Roman" w:hAnsi="Times New Roman" w:cs="Times New Roman"/>
                <w:color w:val="000000"/>
                <w:sz w:val="21"/>
                <w:szCs w:val="21"/>
              </w:rPr>
              <w:t>ml)*</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7BF8D672"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0.7</w:t>
            </w:r>
          </w:p>
        </w:tc>
        <w:tc>
          <w:tcPr>
            <w:tcW w:w="1266" w:type="dxa"/>
            <w:tcBorders>
              <w:top w:val="single" w:sz="4" w:space="0" w:color="auto"/>
              <w:left w:val="nil"/>
              <w:bottom w:val="single" w:sz="4" w:space="0" w:color="auto"/>
              <w:right w:val="single" w:sz="4" w:space="0" w:color="auto"/>
            </w:tcBorders>
            <w:vAlign w:val="bottom"/>
          </w:tcPr>
          <w:p w14:paraId="479D00ED" w14:textId="3DE9BF61"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0.0011</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47CC47" w14:textId="237E840F"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0.11</w:t>
            </w:r>
          </w:p>
        </w:tc>
        <w:tc>
          <w:tcPr>
            <w:tcW w:w="1191" w:type="dxa"/>
            <w:tcBorders>
              <w:top w:val="nil"/>
              <w:left w:val="nil"/>
              <w:bottom w:val="single" w:sz="4" w:space="0" w:color="auto"/>
              <w:right w:val="single" w:sz="4" w:space="0" w:color="auto"/>
            </w:tcBorders>
            <w:vAlign w:val="bottom"/>
          </w:tcPr>
          <w:p w14:paraId="251F1AAC" w14:textId="1881602E"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0.055</w:t>
            </w:r>
          </w:p>
        </w:tc>
      </w:tr>
      <w:tr w:rsidR="00385683" w:rsidRPr="005C3043" w14:paraId="262220D1" w14:textId="05C449AB"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0B65B085" w14:textId="77777777"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Follicular Fluid Progesterone (ng/</w:t>
            </w:r>
            <w:proofErr w:type="gramStart"/>
            <w:r w:rsidRPr="000C3103">
              <w:rPr>
                <w:rFonts w:ascii="Times New Roman" w:hAnsi="Times New Roman" w:cs="Times New Roman"/>
                <w:color w:val="000000"/>
                <w:sz w:val="21"/>
                <w:szCs w:val="21"/>
              </w:rPr>
              <w:t>ml)*</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573183B4"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0.09</w:t>
            </w:r>
          </w:p>
        </w:tc>
        <w:tc>
          <w:tcPr>
            <w:tcW w:w="1266" w:type="dxa"/>
            <w:tcBorders>
              <w:top w:val="single" w:sz="4" w:space="0" w:color="auto"/>
              <w:left w:val="nil"/>
              <w:bottom w:val="single" w:sz="4" w:space="0" w:color="auto"/>
              <w:right w:val="single" w:sz="4" w:space="0" w:color="auto"/>
            </w:tcBorders>
            <w:vAlign w:val="bottom"/>
          </w:tcPr>
          <w:p w14:paraId="407A1E3A" w14:textId="7DB33328"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0.020</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9682BC" w14:textId="3A6E9C9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0.27</w:t>
            </w:r>
          </w:p>
        </w:tc>
        <w:tc>
          <w:tcPr>
            <w:tcW w:w="1191" w:type="dxa"/>
            <w:tcBorders>
              <w:top w:val="nil"/>
              <w:left w:val="nil"/>
              <w:bottom w:val="single" w:sz="4" w:space="0" w:color="auto"/>
              <w:right w:val="single" w:sz="4" w:space="0" w:color="auto"/>
            </w:tcBorders>
            <w:vAlign w:val="bottom"/>
          </w:tcPr>
          <w:p w14:paraId="564AEA5B" w14:textId="2C8B13A2"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0.028</w:t>
            </w:r>
          </w:p>
        </w:tc>
      </w:tr>
      <w:tr w:rsidR="00385683" w:rsidRPr="005C3043" w14:paraId="15591809" w14:textId="3E9C3EA5"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0651C673" w14:textId="77777777"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Follicular Fluid Estradiol (ng/</w:t>
            </w:r>
            <w:proofErr w:type="gramStart"/>
            <w:r w:rsidRPr="000C3103">
              <w:rPr>
                <w:rFonts w:ascii="Times New Roman" w:hAnsi="Times New Roman" w:cs="Times New Roman"/>
                <w:color w:val="000000"/>
                <w:sz w:val="21"/>
                <w:szCs w:val="21"/>
              </w:rPr>
              <w:t>ml)*</w:t>
            </w:r>
            <w:proofErr w:type="gramEnd"/>
          </w:p>
        </w:tc>
        <w:tc>
          <w:tcPr>
            <w:tcW w:w="1080" w:type="dxa"/>
            <w:tcBorders>
              <w:top w:val="nil"/>
              <w:left w:val="nil"/>
              <w:bottom w:val="single" w:sz="4" w:space="0" w:color="auto"/>
              <w:right w:val="single" w:sz="4" w:space="0" w:color="auto"/>
            </w:tcBorders>
            <w:shd w:val="clear" w:color="auto" w:fill="auto"/>
            <w:noWrap/>
            <w:vAlign w:val="bottom"/>
            <w:hideMark/>
          </w:tcPr>
          <w:p w14:paraId="0A36D910"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0.3</w:t>
            </w:r>
          </w:p>
        </w:tc>
        <w:tc>
          <w:tcPr>
            <w:tcW w:w="1266" w:type="dxa"/>
            <w:tcBorders>
              <w:top w:val="single" w:sz="4" w:space="0" w:color="auto"/>
              <w:left w:val="nil"/>
              <w:bottom w:val="single" w:sz="4" w:space="0" w:color="auto"/>
              <w:right w:val="single" w:sz="4" w:space="0" w:color="auto"/>
            </w:tcBorders>
            <w:vAlign w:val="bottom"/>
          </w:tcPr>
          <w:p w14:paraId="5BE07352" w14:textId="20B73F60"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0.0078</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31DF86" w14:textId="4ED1A62A"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0.94</w:t>
            </w:r>
          </w:p>
        </w:tc>
        <w:tc>
          <w:tcPr>
            <w:tcW w:w="1191" w:type="dxa"/>
            <w:tcBorders>
              <w:top w:val="nil"/>
              <w:left w:val="nil"/>
              <w:bottom w:val="single" w:sz="4" w:space="0" w:color="auto"/>
              <w:right w:val="single" w:sz="4" w:space="0" w:color="auto"/>
            </w:tcBorders>
            <w:vAlign w:val="bottom"/>
          </w:tcPr>
          <w:p w14:paraId="0B1C1510" w14:textId="7CF64A5C"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0.0001</w:t>
            </w:r>
          </w:p>
        </w:tc>
      </w:tr>
      <w:tr w:rsidR="00385683" w:rsidRPr="005C3043" w14:paraId="147ABB39" w14:textId="51EE3FBB"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15FBCA98" w14:textId="77777777"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 xml:space="preserve">Follicular Fluid </w:t>
            </w:r>
            <w:proofErr w:type="spellStart"/>
            <w:proofErr w:type="gramStart"/>
            <w:r w:rsidRPr="000C3103">
              <w:rPr>
                <w:rFonts w:ascii="Times New Roman" w:hAnsi="Times New Roman" w:cs="Times New Roman"/>
                <w:color w:val="000000"/>
                <w:sz w:val="21"/>
                <w:szCs w:val="21"/>
              </w:rPr>
              <w:t>Estradiol:Progesterone</w:t>
            </w:r>
            <w:proofErr w:type="spellEnd"/>
            <w:proofErr w:type="gramEnd"/>
            <w:r w:rsidRPr="000C3103">
              <w:rPr>
                <w:rFonts w:ascii="Times New Roman" w:hAnsi="Times New Roman" w:cs="Times New Roman"/>
                <w:color w:val="000000"/>
                <w:sz w:val="21"/>
                <w:szCs w:val="21"/>
              </w:rPr>
              <w:t xml:space="preserve"> Ratio*</w:t>
            </w:r>
          </w:p>
        </w:tc>
        <w:tc>
          <w:tcPr>
            <w:tcW w:w="1080" w:type="dxa"/>
            <w:tcBorders>
              <w:top w:val="nil"/>
              <w:left w:val="nil"/>
              <w:bottom w:val="single" w:sz="4" w:space="0" w:color="auto"/>
              <w:right w:val="single" w:sz="4" w:space="0" w:color="auto"/>
            </w:tcBorders>
            <w:shd w:val="clear" w:color="auto" w:fill="auto"/>
            <w:noWrap/>
            <w:vAlign w:val="bottom"/>
            <w:hideMark/>
          </w:tcPr>
          <w:p w14:paraId="7797DAF8"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0.74</w:t>
            </w:r>
          </w:p>
        </w:tc>
        <w:tc>
          <w:tcPr>
            <w:tcW w:w="1266" w:type="dxa"/>
            <w:tcBorders>
              <w:top w:val="single" w:sz="4" w:space="0" w:color="auto"/>
              <w:left w:val="nil"/>
              <w:bottom w:val="single" w:sz="4" w:space="0" w:color="auto"/>
              <w:right w:val="single" w:sz="4" w:space="0" w:color="auto"/>
            </w:tcBorders>
            <w:vAlign w:val="bottom"/>
          </w:tcPr>
          <w:p w14:paraId="4C63DB37" w14:textId="7D75AA16"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0.0009</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B84D50" w14:textId="0EFAF3B3"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0.53</w:t>
            </w:r>
          </w:p>
        </w:tc>
        <w:tc>
          <w:tcPr>
            <w:tcW w:w="1191" w:type="dxa"/>
            <w:tcBorders>
              <w:top w:val="nil"/>
              <w:left w:val="nil"/>
              <w:bottom w:val="single" w:sz="4" w:space="0" w:color="auto"/>
              <w:right w:val="single" w:sz="4" w:space="0" w:color="auto"/>
            </w:tcBorders>
            <w:vAlign w:val="bottom"/>
          </w:tcPr>
          <w:p w14:paraId="3C0FD2BC" w14:textId="0D1B46A2"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0.0093</w:t>
            </w:r>
          </w:p>
        </w:tc>
      </w:tr>
      <w:tr w:rsidR="00385683" w:rsidRPr="005C3043" w14:paraId="3535C972" w14:textId="625774A8"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436D4649" w14:textId="77777777"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Days from GnRH1 to PG*</w:t>
            </w:r>
          </w:p>
        </w:tc>
        <w:tc>
          <w:tcPr>
            <w:tcW w:w="1080" w:type="dxa"/>
            <w:tcBorders>
              <w:top w:val="nil"/>
              <w:left w:val="nil"/>
              <w:bottom w:val="single" w:sz="4" w:space="0" w:color="auto"/>
              <w:right w:val="single" w:sz="4" w:space="0" w:color="auto"/>
            </w:tcBorders>
            <w:shd w:val="clear" w:color="auto" w:fill="auto"/>
            <w:noWrap/>
            <w:vAlign w:val="bottom"/>
            <w:hideMark/>
          </w:tcPr>
          <w:p w14:paraId="522E2A6C"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0.87</w:t>
            </w:r>
          </w:p>
        </w:tc>
        <w:tc>
          <w:tcPr>
            <w:tcW w:w="1266" w:type="dxa"/>
            <w:tcBorders>
              <w:top w:val="single" w:sz="4" w:space="0" w:color="auto"/>
              <w:left w:val="nil"/>
              <w:bottom w:val="single" w:sz="4" w:space="0" w:color="auto"/>
              <w:right w:val="single" w:sz="4" w:space="0" w:color="auto"/>
            </w:tcBorders>
            <w:vAlign w:val="bottom"/>
          </w:tcPr>
          <w:p w14:paraId="6B17F08A" w14:textId="0BD0F6CE"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0.0002</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1E4B26" w14:textId="158D5C3B"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0.31</w:t>
            </w:r>
          </w:p>
        </w:tc>
        <w:tc>
          <w:tcPr>
            <w:tcW w:w="1191" w:type="dxa"/>
            <w:tcBorders>
              <w:top w:val="nil"/>
              <w:left w:val="nil"/>
              <w:bottom w:val="single" w:sz="4" w:space="0" w:color="auto"/>
              <w:right w:val="single" w:sz="4" w:space="0" w:color="auto"/>
            </w:tcBorders>
            <w:vAlign w:val="bottom"/>
          </w:tcPr>
          <w:p w14:paraId="50232DF1" w14:textId="6363EA03"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0.024</w:t>
            </w:r>
          </w:p>
        </w:tc>
      </w:tr>
      <w:tr w:rsidR="00385683" w:rsidRPr="005C3043" w14:paraId="6ADC8C5F" w14:textId="3161226C"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6B7DEFAE" w14:textId="77777777"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Hours from PG to GnRH2*</w:t>
            </w:r>
          </w:p>
        </w:tc>
        <w:tc>
          <w:tcPr>
            <w:tcW w:w="1080" w:type="dxa"/>
            <w:tcBorders>
              <w:top w:val="nil"/>
              <w:left w:val="nil"/>
              <w:bottom w:val="single" w:sz="4" w:space="0" w:color="auto"/>
              <w:right w:val="single" w:sz="4" w:space="0" w:color="auto"/>
            </w:tcBorders>
            <w:shd w:val="clear" w:color="auto" w:fill="auto"/>
            <w:noWrap/>
            <w:vAlign w:val="bottom"/>
            <w:hideMark/>
          </w:tcPr>
          <w:p w14:paraId="5960DB2C"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0.33</w:t>
            </w:r>
          </w:p>
        </w:tc>
        <w:tc>
          <w:tcPr>
            <w:tcW w:w="1266" w:type="dxa"/>
            <w:tcBorders>
              <w:top w:val="single" w:sz="4" w:space="0" w:color="auto"/>
              <w:left w:val="nil"/>
              <w:bottom w:val="single" w:sz="4" w:space="0" w:color="auto"/>
              <w:right w:val="single" w:sz="4" w:space="0" w:color="auto"/>
            </w:tcBorders>
            <w:vAlign w:val="bottom"/>
          </w:tcPr>
          <w:p w14:paraId="17BB8973" w14:textId="17B86C41"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0.011</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C515A7" w14:textId="7C4254C8"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w:t>
            </w:r>
          </w:p>
        </w:tc>
        <w:tc>
          <w:tcPr>
            <w:tcW w:w="1191" w:type="dxa"/>
            <w:tcBorders>
              <w:top w:val="nil"/>
              <w:left w:val="nil"/>
              <w:bottom w:val="single" w:sz="4" w:space="0" w:color="auto"/>
              <w:right w:val="single" w:sz="4" w:space="0" w:color="auto"/>
            </w:tcBorders>
            <w:vAlign w:val="bottom"/>
          </w:tcPr>
          <w:p w14:paraId="767245A0" w14:textId="0B156111"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0.074</w:t>
            </w:r>
          </w:p>
        </w:tc>
      </w:tr>
      <w:tr w:rsidR="00385683" w:rsidRPr="005C3043" w14:paraId="6715BE39" w14:textId="0054C329"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2A01F726" w14:textId="77777777"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Hours from GnRH2 to FA*</w:t>
            </w:r>
          </w:p>
        </w:tc>
        <w:tc>
          <w:tcPr>
            <w:tcW w:w="1080" w:type="dxa"/>
            <w:tcBorders>
              <w:top w:val="nil"/>
              <w:left w:val="nil"/>
              <w:bottom w:val="single" w:sz="4" w:space="0" w:color="auto"/>
              <w:right w:val="single" w:sz="4" w:space="0" w:color="auto"/>
            </w:tcBorders>
            <w:shd w:val="clear" w:color="auto" w:fill="auto"/>
            <w:noWrap/>
            <w:vAlign w:val="bottom"/>
            <w:hideMark/>
          </w:tcPr>
          <w:p w14:paraId="2873302B"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0.003</w:t>
            </w:r>
          </w:p>
        </w:tc>
        <w:tc>
          <w:tcPr>
            <w:tcW w:w="1266" w:type="dxa"/>
            <w:tcBorders>
              <w:top w:val="single" w:sz="4" w:space="0" w:color="auto"/>
              <w:left w:val="nil"/>
              <w:bottom w:val="single" w:sz="4" w:space="0" w:color="auto"/>
              <w:right w:val="single" w:sz="4" w:space="0" w:color="auto"/>
            </w:tcBorders>
            <w:vAlign w:val="bottom"/>
          </w:tcPr>
          <w:p w14:paraId="75FB6880" w14:textId="191DBAF4"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0.067</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0BA069" w14:textId="181197DB"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0.39</w:t>
            </w:r>
          </w:p>
        </w:tc>
        <w:tc>
          <w:tcPr>
            <w:tcW w:w="1191" w:type="dxa"/>
            <w:tcBorders>
              <w:top w:val="nil"/>
              <w:left w:val="nil"/>
              <w:bottom w:val="single" w:sz="4" w:space="0" w:color="auto"/>
              <w:right w:val="single" w:sz="4" w:space="0" w:color="auto"/>
            </w:tcBorders>
            <w:vAlign w:val="bottom"/>
          </w:tcPr>
          <w:p w14:paraId="4ECFA016" w14:textId="3AEDC6BF"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0.022</w:t>
            </w:r>
          </w:p>
        </w:tc>
      </w:tr>
      <w:tr w:rsidR="00385683" w:rsidRPr="005C3043" w14:paraId="54C595AB" w14:textId="4E419B2A"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07533F04" w14:textId="7BE3AC24"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Pyruvate**</w:t>
            </w:r>
          </w:p>
        </w:tc>
        <w:tc>
          <w:tcPr>
            <w:tcW w:w="1080" w:type="dxa"/>
            <w:tcBorders>
              <w:top w:val="nil"/>
              <w:left w:val="nil"/>
              <w:bottom w:val="single" w:sz="4" w:space="0" w:color="auto"/>
              <w:right w:val="single" w:sz="4" w:space="0" w:color="auto"/>
            </w:tcBorders>
            <w:shd w:val="clear" w:color="auto" w:fill="auto"/>
            <w:noWrap/>
            <w:vAlign w:val="bottom"/>
            <w:hideMark/>
          </w:tcPr>
          <w:p w14:paraId="1FA51ED9"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0.41</w:t>
            </w:r>
          </w:p>
        </w:tc>
        <w:tc>
          <w:tcPr>
            <w:tcW w:w="1266" w:type="dxa"/>
            <w:tcBorders>
              <w:top w:val="single" w:sz="4" w:space="0" w:color="auto"/>
              <w:left w:val="nil"/>
              <w:bottom w:val="single" w:sz="4" w:space="0" w:color="auto"/>
              <w:right w:val="single" w:sz="4" w:space="0" w:color="auto"/>
            </w:tcBorders>
            <w:vAlign w:val="bottom"/>
          </w:tcPr>
          <w:p w14:paraId="7060F164" w14:textId="23168A90"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-0.014</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9D2C9F" w14:textId="7A036C5C"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0.65</w:t>
            </w:r>
          </w:p>
        </w:tc>
        <w:tc>
          <w:tcPr>
            <w:tcW w:w="1191" w:type="dxa"/>
            <w:tcBorders>
              <w:top w:val="nil"/>
              <w:left w:val="nil"/>
              <w:bottom w:val="single" w:sz="4" w:space="0" w:color="auto"/>
              <w:right w:val="single" w:sz="4" w:space="0" w:color="auto"/>
            </w:tcBorders>
            <w:vAlign w:val="bottom"/>
          </w:tcPr>
          <w:p w14:paraId="45EA7C44" w14:textId="2A9EF1E2"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-0.043</w:t>
            </w:r>
          </w:p>
        </w:tc>
      </w:tr>
      <w:tr w:rsidR="00385683" w:rsidRPr="005C3043" w14:paraId="6A10F345" w14:textId="228E2E31"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B0BAD05" w14:textId="6AB3823B"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Alanine/Sarcosine**</w:t>
            </w:r>
          </w:p>
        </w:tc>
        <w:tc>
          <w:tcPr>
            <w:tcW w:w="1080" w:type="dxa"/>
            <w:tcBorders>
              <w:top w:val="nil"/>
              <w:left w:val="nil"/>
              <w:bottom w:val="single" w:sz="4" w:space="0" w:color="auto"/>
              <w:right w:val="single" w:sz="4" w:space="0" w:color="auto"/>
            </w:tcBorders>
            <w:shd w:val="clear" w:color="auto" w:fill="auto"/>
            <w:noWrap/>
            <w:vAlign w:val="bottom"/>
            <w:hideMark/>
          </w:tcPr>
          <w:p w14:paraId="49F961DF"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0.14</w:t>
            </w:r>
          </w:p>
        </w:tc>
        <w:tc>
          <w:tcPr>
            <w:tcW w:w="1266" w:type="dxa"/>
            <w:tcBorders>
              <w:top w:val="single" w:sz="4" w:space="0" w:color="auto"/>
              <w:left w:val="nil"/>
              <w:bottom w:val="single" w:sz="4" w:space="0" w:color="auto"/>
              <w:right w:val="single" w:sz="4" w:space="0" w:color="auto"/>
            </w:tcBorders>
            <w:vAlign w:val="bottom"/>
          </w:tcPr>
          <w:p w14:paraId="60BCDAC9" w14:textId="377A70FD"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0.06</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2C85AB" w14:textId="6B240ABD"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0.83</w:t>
            </w:r>
          </w:p>
        </w:tc>
        <w:tc>
          <w:tcPr>
            <w:tcW w:w="1191" w:type="dxa"/>
            <w:tcBorders>
              <w:top w:val="nil"/>
              <w:left w:val="nil"/>
              <w:bottom w:val="single" w:sz="4" w:space="0" w:color="auto"/>
              <w:right w:val="single" w:sz="4" w:space="0" w:color="auto"/>
            </w:tcBorders>
            <w:vAlign w:val="bottom"/>
          </w:tcPr>
          <w:p w14:paraId="438ED954" w14:textId="078F8752"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-0.053</w:t>
            </w:r>
          </w:p>
        </w:tc>
      </w:tr>
      <w:tr w:rsidR="00385683" w:rsidRPr="005C3043" w14:paraId="54C3E855" w14:textId="732C0B12"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27518B8A" w14:textId="0C2B0D8D"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Serine**</w:t>
            </w:r>
          </w:p>
        </w:tc>
        <w:tc>
          <w:tcPr>
            <w:tcW w:w="1080" w:type="dxa"/>
            <w:tcBorders>
              <w:top w:val="nil"/>
              <w:left w:val="nil"/>
              <w:bottom w:val="single" w:sz="4" w:space="0" w:color="auto"/>
              <w:right w:val="single" w:sz="4" w:space="0" w:color="auto"/>
            </w:tcBorders>
            <w:shd w:val="clear" w:color="auto" w:fill="auto"/>
            <w:noWrap/>
            <w:vAlign w:val="bottom"/>
            <w:hideMark/>
          </w:tcPr>
          <w:p w14:paraId="7E62EF11"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0.09</w:t>
            </w:r>
          </w:p>
        </w:tc>
        <w:tc>
          <w:tcPr>
            <w:tcW w:w="1266" w:type="dxa"/>
            <w:tcBorders>
              <w:top w:val="single" w:sz="4" w:space="0" w:color="auto"/>
              <w:left w:val="nil"/>
              <w:bottom w:val="single" w:sz="4" w:space="0" w:color="auto"/>
              <w:right w:val="single" w:sz="4" w:space="0" w:color="auto"/>
            </w:tcBorders>
            <w:vAlign w:val="bottom"/>
          </w:tcPr>
          <w:p w14:paraId="63E4ADEA" w14:textId="54E11890"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0.093</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7A5963" w14:textId="79DB0F3E"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0.89</w:t>
            </w:r>
          </w:p>
        </w:tc>
        <w:tc>
          <w:tcPr>
            <w:tcW w:w="1191" w:type="dxa"/>
            <w:tcBorders>
              <w:top w:val="nil"/>
              <w:left w:val="nil"/>
              <w:bottom w:val="single" w:sz="4" w:space="0" w:color="auto"/>
              <w:right w:val="single" w:sz="4" w:space="0" w:color="auto"/>
            </w:tcBorders>
            <w:vAlign w:val="bottom"/>
          </w:tcPr>
          <w:p w14:paraId="7BB1B81B" w14:textId="144CC2DF"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-0.055</w:t>
            </w:r>
          </w:p>
        </w:tc>
      </w:tr>
      <w:tr w:rsidR="00385683" w:rsidRPr="005C3043" w14:paraId="2C4E4C88" w14:textId="1375A57F"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7AB4D5A6" w14:textId="6A6A5425"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Creatinine**</w:t>
            </w:r>
          </w:p>
        </w:tc>
        <w:tc>
          <w:tcPr>
            <w:tcW w:w="1080" w:type="dxa"/>
            <w:tcBorders>
              <w:top w:val="nil"/>
              <w:left w:val="nil"/>
              <w:bottom w:val="single" w:sz="4" w:space="0" w:color="auto"/>
              <w:right w:val="single" w:sz="4" w:space="0" w:color="auto"/>
            </w:tcBorders>
            <w:shd w:val="clear" w:color="auto" w:fill="auto"/>
            <w:noWrap/>
            <w:vAlign w:val="bottom"/>
            <w:hideMark/>
          </w:tcPr>
          <w:p w14:paraId="06753A2B"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0.32</w:t>
            </w:r>
          </w:p>
        </w:tc>
        <w:tc>
          <w:tcPr>
            <w:tcW w:w="1266" w:type="dxa"/>
            <w:tcBorders>
              <w:top w:val="single" w:sz="4" w:space="0" w:color="auto"/>
              <w:left w:val="nil"/>
              <w:bottom w:val="single" w:sz="4" w:space="0" w:color="auto"/>
              <w:right w:val="single" w:sz="4" w:space="0" w:color="auto"/>
            </w:tcBorders>
            <w:vAlign w:val="bottom"/>
          </w:tcPr>
          <w:p w14:paraId="441786C4" w14:textId="644C3572"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0.0014</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4536A5" w14:textId="5E462573"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0.57</w:t>
            </w:r>
          </w:p>
        </w:tc>
        <w:tc>
          <w:tcPr>
            <w:tcW w:w="1191" w:type="dxa"/>
            <w:tcBorders>
              <w:top w:val="nil"/>
              <w:left w:val="nil"/>
              <w:bottom w:val="single" w:sz="4" w:space="0" w:color="auto"/>
              <w:right w:val="single" w:sz="4" w:space="0" w:color="auto"/>
            </w:tcBorders>
            <w:vAlign w:val="bottom"/>
          </w:tcPr>
          <w:p w14:paraId="235AA8F1" w14:textId="5FDC9052"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-0.036</w:t>
            </w:r>
          </w:p>
        </w:tc>
      </w:tr>
      <w:tr w:rsidR="00385683" w:rsidRPr="005C3043" w14:paraId="5D7EC1B6" w14:textId="5D98E8BB"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52DAC928" w14:textId="63C07C38"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Valine/Betaine**</w:t>
            </w:r>
          </w:p>
        </w:tc>
        <w:tc>
          <w:tcPr>
            <w:tcW w:w="1080" w:type="dxa"/>
            <w:tcBorders>
              <w:top w:val="nil"/>
              <w:left w:val="nil"/>
              <w:bottom w:val="single" w:sz="4" w:space="0" w:color="auto"/>
              <w:right w:val="single" w:sz="4" w:space="0" w:color="auto"/>
            </w:tcBorders>
            <w:shd w:val="clear" w:color="auto" w:fill="auto"/>
            <w:noWrap/>
            <w:vAlign w:val="bottom"/>
            <w:hideMark/>
          </w:tcPr>
          <w:p w14:paraId="2E63F5E0"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0.3</w:t>
            </w:r>
          </w:p>
        </w:tc>
        <w:tc>
          <w:tcPr>
            <w:tcW w:w="1266" w:type="dxa"/>
            <w:tcBorders>
              <w:top w:val="single" w:sz="4" w:space="0" w:color="auto"/>
              <w:left w:val="nil"/>
              <w:bottom w:val="single" w:sz="4" w:space="0" w:color="auto"/>
              <w:right w:val="single" w:sz="4" w:space="0" w:color="auto"/>
            </w:tcBorders>
            <w:vAlign w:val="bottom"/>
          </w:tcPr>
          <w:p w14:paraId="2EB4766E" w14:textId="779A3A6D"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0.0062</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DC4CE5" w14:textId="6EA0ED1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0.89</w:t>
            </w:r>
          </w:p>
        </w:tc>
        <w:tc>
          <w:tcPr>
            <w:tcW w:w="1191" w:type="dxa"/>
            <w:tcBorders>
              <w:top w:val="nil"/>
              <w:left w:val="nil"/>
              <w:bottom w:val="single" w:sz="4" w:space="0" w:color="auto"/>
              <w:right w:val="single" w:sz="4" w:space="0" w:color="auto"/>
            </w:tcBorders>
            <w:vAlign w:val="bottom"/>
          </w:tcPr>
          <w:p w14:paraId="4E252CCB" w14:textId="2B99732E"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-0.054</w:t>
            </w:r>
          </w:p>
        </w:tc>
      </w:tr>
      <w:tr w:rsidR="00385683" w:rsidRPr="005C3043" w14:paraId="454D4908" w14:textId="5124B00E"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62DA38C2" w14:textId="0EFEE5BF"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Homoserine/Threonine**</w:t>
            </w:r>
          </w:p>
        </w:tc>
        <w:tc>
          <w:tcPr>
            <w:tcW w:w="1080" w:type="dxa"/>
            <w:tcBorders>
              <w:top w:val="nil"/>
              <w:left w:val="nil"/>
              <w:bottom w:val="single" w:sz="4" w:space="0" w:color="auto"/>
              <w:right w:val="single" w:sz="4" w:space="0" w:color="auto"/>
            </w:tcBorders>
            <w:shd w:val="clear" w:color="auto" w:fill="auto"/>
            <w:noWrap/>
            <w:vAlign w:val="bottom"/>
            <w:hideMark/>
          </w:tcPr>
          <w:p w14:paraId="68C05BEA"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0.22</w:t>
            </w:r>
          </w:p>
        </w:tc>
        <w:tc>
          <w:tcPr>
            <w:tcW w:w="1266" w:type="dxa"/>
            <w:tcBorders>
              <w:top w:val="single" w:sz="4" w:space="0" w:color="auto"/>
              <w:left w:val="nil"/>
              <w:bottom w:val="single" w:sz="4" w:space="0" w:color="auto"/>
              <w:right w:val="single" w:sz="4" w:space="0" w:color="auto"/>
            </w:tcBorders>
            <w:vAlign w:val="bottom"/>
          </w:tcPr>
          <w:p w14:paraId="3D5FD997" w14:textId="56C03ECF"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0.027</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93205C" w14:textId="53CEBE1A"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0.77</w:t>
            </w:r>
          </w:p>
        </w:tc>
        <w:tc>
          <w:tcPr>
            <w:tcW w:w="1191" w:type="dxa"/>
            <w:tcBorders>
              <w:top w:val="nil"/>
              <w:left w:val="nil"/>
              <w:bottom w:val="single" w:sz="4" w:space="0" w:color="auto"/>
              <w:right w:val="single" w:sz="4" w:space="0" w:color="auto"/>
            </w:tcBorders>
            <w:vAlign w:val="bottom"/>
          </w:tcPr>
          <w:p w14:paraId="0782E611" w14:textId="3026B7F1"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-0.05</w:t>
            </w:r>
          </w:p>
        </w:tc>
      </w:tr>
      <w:tr w:rsidR="00385683" w:rsidRPr="005C3043" w14:paraId="1AB8F4E3" w14:textId="731D0902"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40F7890E" w14:textId="3C18659C"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Pyroglutamic Acid**</w:t>
            </w:r>
          </w:p>
        </w:tc>
        <w:tc>
          <w:tcPr>
            <w:tcW w:w="1080" w:type="dxa"/>
            <w:tcBorders>
              <w:top w:val="nil"/>
              <w:left w:val="nil"/>
              <w:bottom w:val="single" w:sz="4" w:space="0" w:color="auto"/>
              <w:right w:val="single" w:sz="4" w:space="0" w:color="auto"/>
            </w:tcBorders>
            <w:shd w:val="clear" w:color="auto" w:fill="auto"/>
            <w:noWrap/>
            <w:vAlign w:val="bottom"/>
            <w:hideMark/>
          </w:tcPr>
          <w:p w14:paraId="7351AD0F"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0.22</w:t>
            </w:r>
          </w:p>
        </w:tc>
        <w:tc>
          <w:tcPr>
            <w:tcW w:w="1266" w:type="dxa"/>
            <w:tcBorders>
              <w:top w:val="single" w:sz="4" w:space="0" w:color="auto"/>
              <w:left w:val="nil"/>
              <w:bottom w:val="single" w:sz="4" w:space="0" w:color="auto"/>
              <w:right w:val="single" w:sz="4" w:space="0" w:color="auto"/>
            </w:tcBorders>
            <w:vAlign w:val="bottom"/>
          </w:tcPr>
          <w:p w14:paraId="6DC8BB4A" w14:textId="1D347093"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0.028</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690386" w14:textId="602104F9"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0.92</w:t>
            </w:r>
          </w:p>
        </w:tc>
        <w:tc>
          <w:tcPr>
            <w:tcW w:w="1191" w:type="dxa"/>
            <w:tcBorders>
              <w:top w:val="nil"/>
              <w:left w:val="nil"/>
              <w:bottom w:val="single" w:sz="4" w:space="0" w:color="auto"/>
              <w:right w:val="single" w:sz="4" w:space="0" w:color="auto"/>
            </w:tcBorders>
            <w:vAlign w:val="bottom"/>
          </w:tcPr>
          <w:p w14:paraId="3BEF89B0" w14:textId="315EAB9E"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-0.055</w:t>
            </w:r>
          </w:p>
        </w:tc>
      </w:tr>
      <w:tr w:rsidR="00385683" w:rsidRPr="005C3043" w14:paraId="0E3F8F5E" w14:textId="1E82F8D6"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44976DB3" w14:textId="3418F269"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N-Acetyl-β-Alanine**</w:t>
            </w:r>
          </w:p>
        </w:tc>
        <w:tc>
          <w:tcPr>
            <w:tcW w:w="1080" w:type="dxa"/>
            <w:tcBorders>
              <w:top w:val="nil"/>
              <w:left w:val="nil"/>
              <w:bottom w:val="single" w:sz="4" w:space="0" w:color="auto"/>
              <w:right w:val="single" w:sz="4" w:space="0" w:color="auto"/>
            </w:tcBorders>
            <w:shd w:val="clear" w:color="auto" w:fill="auto"/>
            <w:noWrap/>
            <w:vAlign w:val="bottom"/>
            <w:hideMark/>
          </w:tcPr>
          <w:p w14:paraId="00583F94"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0.2</w:t>
            </w:r>
          </w:p>
        </w:tc>
        <w:tc>
          <w:tcPr>
            <w:tcW w:w="1266" w:type="dxa"/>
            <w:tcBorders>
              <w:top w:val="single" w:sz="4" w:space="0" w:color="auto"/>
              <w:left w:val="nil"/>
              <w:bottom w:val="single" w:sz="4" w:space="0" w:color="auto"/>
              <w:right w:val="single" w:sz="4" w:space="0" w:color="auto"/>
            </w:tcBorders>
            <w:vAlign w:val="bottom"/>
          </w:tcPr>
          <w:p w14:paraId="7BBA1C6F" w14:textId="5086F3E3"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0.032</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8BB22F" w14:textId="3BC7D16D"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0.73</w:t>
            </w:r>
          </w:p>
        </w:tc>
        <w:tc>
          <w:tcPr>
            <w:tcW w:w="1191" w:type="dxa"/>
            <w:tcBorders>
              <w:top w:val="nil"/>
              <w:left w:val="nil"/>
              <w:bottom w:val="single" w:sz="4" w:space="0" w:color="auto"/>
              <w:right w:val="single" w:sz="4" w:space="0" w:color="auto"/>
            </w:tcBorders>
            <w:vAlign w:val="bottom"/>
          </w:tcPr>
          <w:p w14:paraId="2190F99E" w14:textId="17EAA20B"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-0.048</w:t>
            </w:r>
          </w:p>
        </w:tc>
      </w:tr>
      <w:tr w:rsidR="00385683" w:rsidRPr="005C3043" w14:paraId="37F954E2" w14:textId="01F80A8C"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76BC64A" w14:textId="774BDAE1"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Creatine**</w:t>
            </w:r>
          </w:p>
        </w:tc>
        <w:tc>
          <w:tcPr>
            <w:tcW w:w="1080" w:type="dxa"/>
            <w:tcBorders>
              <w:top w:val="nil"/>
              <w:left w:val="nil"/>
              <w:bottom w:val="single" w:sz="4" w:space="0" w:color="auto"/>
              <w:right w:val="single" w:sz="4" w:space="0" w:color="auto"/>
            </w:tcBorders>
            <w:shd w:val="clear" w:color="auto" w:fill="auto"/>
            <w:noWrap/>
            <w:vAlign w:val="bottom"/>
            <w:hideMark/>
          </w:tcPr>
          <w:p w14:paraId="3CA2E71D"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0.04</w:t>
            </w:r>
          </w:p>
        </w:tc>
        <w:tc>
          <w:tcPr>
            <w:tcW w:w="1266" w:type="dxa"/>
            <w:tcBorders>
              <w:top w:val="single" w:sz="4" w:space="0" w:color="auto"/>
              <w:left w:val="nil"/>
              <w:bottom w:val="single" w:sz="4" w:space="0" w:color="auto"/>
              <w:right w:val="single" w:sz="4" w:space="0" w:color="auto"/>
            </w:tcBorders>
            <w:vAlign w:val="bottom"/>
          </w:tcPr>
          <w:p w14:paraId="274369EB" w14:textId="19E78212"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0.14</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892265" w14:textId="575D098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0.97</w:t>
            </w:r>
          </w:p>
        </w:tc>
        <w:tc>
          <w:tcPr>
            <w:tcW w:w="1191" w:type="dxa"/>
            <w:tcBorders>
              <w:top w:val="nil"/>
              <w:left w:val="nil"/>
              <w:bottom w:val="single" w:sz="4" w:space="0" w:color="auto"/>
              <w:right w:val="single" w:sz="4" w:space="0" w:color="auto"/>
            </w:tcBorders>
            <w:vAlign w:val="bottom"/>
          </w:tcPr>
          <w:p w14:paraId="23B94A45" w14:textId="47379770"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-0.056</w:t>
            </w:r>
          </w:p>
        </w:tc>
      </w:tr>
      <w:tr w:rsidR="00385683" w:rsidRPr="005C3043" w14:paraId="67E5097B" w14:textId="06BE1528"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733A33EC" w14:textId="263C6DC5"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Leucine/Isoleucine**</w:t>
            </w:r>
          </w:p>
        </w:tc>
        <w:tc>
          <w:tcPr>
            <w:tcW w:w="1080" w:type="dxa"/>
            <w:tcBorders>
              <w:top w:val="nil"/>
              <w:left w:val="nil"/>
              <w:bottom w:val="single" w:sz="4" w:space="0" w:color="auto"/>
              <w:right w:val="single" w:sz="4" w:space="0" w:color="auto"/>
            </w:tcBorders>
            <w:shd w:val="clear" w:color="auto" w:fill="auto"/>
            <w:noWrap/>
            <w:vAlign w:val="bottom"/>
            <w:hideMark/>
          </w:tcPr>
          <w:p w14:paraId="1AE6CC10"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0.24</w:t>
            </w:r>
          </w:p>
        </w:tc>
        <w:tc>
          <w:tcPr>
            <w:tcW w:w="1266" w:type="dxa"/>
            <w:tcBorders>
              <w:top w:val="single" w:sz="4" w:space="0" w:color="auto"/>
              <w:left w:val="nil"/>
              <w:bottom w:val="single" w:sz="4" w:space="0" w:color="auto"/>
              <w:right w:val="single" w:sz="4" w:space="0" w:color="auto"/>
            </w:tcBorders>
            <w:vAlign w:val="bottom"/>
          </w:tcPr>
          <w:p w14:paraId="2F2EA72C" w14:textId="27F7031C"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0.02</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2F47DF" w14:textId="27C79868"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0.72</w:t>
            </w:r>
          </w:p>
        </w:tc>
        <w:tc>
          <w:tcPr>
            <w:tcW w:w="1191" w:type="dxa"/>
            <w:tcBorders>
              <w:top w:val="nil"/>
              <w:left w:val="nil"/>
              <w:bottom w:val="single" w:sz="4" w:space="0" w:color="auto"/>
              <w:right w:val="single" w:sz="4" w:space="0" w:color="auto"/>
            </w:tcBorders>
            <w:vAlign w:val="bottom"/>
          </w:tcPr>
          <w:p w14:paraId="453E569B" w14:textId="3AB974D6"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-0.048</w:t>
            </w:r>
          </w:p>
        </w:tc>
      </w:tr>
      <w:tr w:rsidR="00385683" w:rsidRPr="005C3043" w14:paraId="408F7363" w14:textId="02337460"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58A99ADC" w14:textId="4FB9CEB9"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Ornithine**</w:t>
            </w:r>
          </w:p>
        </w:tc>
        <w:tc>
          <w:tcPr>
            <w:tcW w:w="1080" w:type="dxa"/>
            <w:tcBorders>
              <w:top w:val="nil"/>
              <w:left w:val="nil"/>
              <w:bottom w:val="single" w:sz="4" w:space="0" w:color="auto"/>
              <w:right w:val="single" w:sz="4" w:space="0" w:color="auto"/>
            </w:tcBorders>
            <w:shd w:val="clear" w:color="auto" w:fill="auto"/>
            <w:noWrap/>
            <w:vAlign w:val="bottom"/>
            <w:hideMark/>
          </w:tcPr>
          <w:p w14:paraId="7DA6C854"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w:t>
            </w:r>
          </w:p>
        </w:tc>
        <w:tc>
          <w:tcPr>
            <w:tcW w:w="1266" w:type="dxa"/>
            <w:tcBorders>
              <w:top w:val="single" w:sz="4" w:space="0" w:color="auto"/>
              <w:left w:val="nil"/>
              <w:bottom w:val="single" w:sz="4" w:space="0" w:color="auto"/>
              <w:right w:val="single" w:sz="4" w:space="0" w:color="auto"/>
            </w:tcBorders>
            <w:vAlign w:val="bottom"/>
          </w:tcPr>
          <w:p w14:paraId="6E77144A" w14:textId="4A3F20D6"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0.084</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6039A0" w14:textId="3D4DD87D"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0.69</w:t>
            </w:r>
          </w:p>
        </w:tc>
        <w:tc>
          <w:tcPr>
            <w:tcW w:w="1191" w:type="dxa"/>
            <w:tcBorders>
              <w:top w:val="nil"/>
              <w:left w:val="nil"/>
              <w:bottom w:val="single" w:sz="4" w:space="0" w:color="auto"/>
              <w:right w:val="single" w:sz="4" w:space="0" w:color="auto"/>
            </w:tcBorders>
            <w:vAlign w:val="bottom"/>
          </w:tcPr>
          <w:p w14:paraId="0B04430C" w14:textId="77C404B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-0.046</w:t>
            </w:r>
          </w:p>
        </w:tc>
      </w:tr>
      <w:tr w:rsidR="00385683" w:rsidRPr="005C3043" w14:paraId="217D3397" w14:textId="2D0D232A"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5A4A62A6" w14:textId="59BD56DA"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Aspartate**</w:t>
            </w:r>
          </w:p>
        </w:tc>
        <w:tc>
          <w:tcPr>
            <w:tcW w:w="1080" w:type="dxa"/>
            <w:tcBorders>
              <w:top w:val="nil"/>
              <w:left w:val="nil"/>
              <w:bottom w:val="single" w:sz="4" w:space="0" w:color="auto"/>
              <w:right w:val="single" w:sz="4" w:space="0" w:color="auto"/>
            </w:tcBorders>
            <w:shd w:val="clear" w:color="auto" w:fill="auto"/>
            <w:noWrap/>
            <w:vAlign w:val="bottom"/>
            <w:hideMark/>
          </w:tcPr>
          <w:p w14:paraId="72B7684C"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0.47</w:t>
            </w:r>
          </w:p>
        </w:tc>
        <w:tc>
          <w:tcPr>
            <w:tcW w:w="1266" w:type="dxa"/>
            <w:tcBorders>
              <w:top w:val="single" w:sz="4" w:space="0" w:color="auto"/>
              <w:left w:val="nil"/>
              <w:bottom w:val="single" w:sz="4" w:space="0" w:color="auto"/>
              <w:right w:val="single" w:sz="4" w:space="0" w:color="auto"/>
            </w:tcBorders>
            <w:vAlign w:val="bottom"/>
          </w:tcPr>
          <w:p w14:paraId="6CE9F4A2" w14:textId="72DB9F82"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-0.021</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291E54" w14:textId="229FF0EA"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0.08</w:t>
            </w:r>
          </w:p>
        </w:tc>
        <w:tc>
          <w:tcPr>
            <w:tcW w:w="1191" w:type="dxa"/>
            <w:tcBorders>
              <w:top w:val="nil"/>
              <w:left w:val="nil"/>
              <w:bottom w:val="single" w:sz="4" w:space="0" w:color="auto"/>
              <w:right w:val="single" w:sz="4" w:space="0" w:color="auto"/>
            </w:tcBorders>
            <w:vAlign w:val="bottom"/>
          </w:tcPr>
          <w:p w14:paraId="6C0ADA39" w14:textId="35F5CB8E"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0.11</w:t>
            </w:r>
          </w:p>
        </w:tc>
      </w:tr>
      <w:tr w:rsidR="00385683" w:rsidRPr="005C3043" w14:paraId="01F9FEEF" w14:textId="30811AF7"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5B30EEBD" w14:textId="19E0A241"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Malate**</w:t>
            </w:r>
          </w:p>
        </w:tc>
        <w:tc>
          <w:tcPr>
            <w:tcW w:w="1080" w:type="dxa"/>
            <w:tcBorders>
              <w:top w:val="nil"/>
              <w:left w:val="nil"/>
              <w:bottom w:val="single" w:sz="4" w:space="0" w:color="auto"/>
              <w:right w:val="single" w:sz="4" w:space="0" w:color="auto"/>
            </w:tcBorders>
            <w:shd w:val="clear" w:color="auto" w:fill="auto"/>
            <w:noWrap/>
            <w:vAlign w:val="bottom"/>
            <w:hideMark/>
          </w:tcPr>
          <w:p w14:paraId="7F43A78E"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0.24</w:t>
            </w:r>
          </w:p>
        </w:tc>
        <w:tc>
          <w:tcPr>
            <w:tcW w:w="1266" w:type="dxa"/>
            <w:tcBorders>
              <w:top w:val="single" w:sz="4" w:space="0" w:color="auto"/>
              <w:left w:val="nil"/>
              <w:bottom w:val="single" w:sz="4" w:space="0" w:color="auto"/>
              <w:right w:val="single" w:sz="4" w:space="0" w:color="auto"/>
            </w:tcBorders>
            <w:vAlign w:val="bottom"/>
          </w:tcPr>
          <w:p w14:paraId="27747AAC" w14:textId="6E834266"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0.019</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7FE17A" w14:textId="168C826E"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0.73</w:t>
            </w:r>
          </w:p>
        </w:tc>
        <w:tc>
          <w:tcPr>
            <w:tcW w:w="1191" w:type="dxa"/>
            <w:tcBorders>
              <w:top w:val="nil"/>
              <w:left w:val="nil"/>
              <w:bottom w:val="single" w:sz="4" w:space="0" w:color="auto"/>
              <w:right w:val="single" w:sz="4" w:space="0" w:color="auto"/>
            </w:tcBorders>
            <w:vAlign w:val="bottom"/>
          </w:tcPr>
          <w:p w14:paraId="63F44FA4" w14:textId="318ECFCB"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-0.048</w:t>
            </w:r>
          </w:p>
        </w:tc>
      </w:tr>
      <w:tr w:rsidR="00385683" w:rsidRPr="005C3043" w14:paraId="15942AED" w14:textId="18BF29A8"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6EB5C2BB" w14:textId="5BF9D155"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α-Ketoglutarate**</w:t>
            </w:r>
          </w:p>
        </w:tc>
        <w:tc>
          <w:tcPr>
            <w:tcW w:w="1080" w:type="dxa"/>
            <w:tcBorders>
              <w:top w:val="nil"/>
              <w:left w:val="nil"/>
              <w:bottom w:val="single" w:sz="4" w:space="0" w:color="auto"/>
              <w:right w:val="single" w:sz="4" w:space="0" w:color="auto"/>
            </w:tcBorders>
            <w:shd w:val="clear" w:color="auto" w:fill="auto"/>
            <w:noWrap/>
            <w:vAlign w:val="bottom"/>
            <w:hideMark/>
          </w:tcPr>
          <w:p w14:paraId="4DFC6AB5"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0.31</w:t>
            </w:r>
          </w:p>
        </w:tc>
        <w:tc>
          <w:tcPr>
            <w:tcW w:w="1266" w:type="dxa"/>
            <w:tcBorders>
              <w:top w:val="single" w:sz="4" w:space="0" w:color="auto"/>
              <w:left w:val="nil"/>
              <w:bottom w:val="single" w:sz="4" w:space="0" w:color="auto"/>
              <w:right w:val="single" w:sz="4" w:space="0" w:color="auto"/>
            </w:tcBorders>
            <w:vAlign w:val="bottom"/>
          </w:tcPr>
          <w:p w14:paraId="074BF202" w14:textId="5ECFA40B"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0.0027</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968C60" w14:textId="2BB2D96D"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0.97</w:t>
            </w:r>
          </w:p>
        </w:tc>
        <w:tc>
          <w:tcPr>
            <w:tcW w:w="1191" w:type="dxa"/>
            <w:tcBorders>
              <w:top w:val="nil"/>
              <w:left w:val="nil"/>
              <w:bottom w:val="single" w:sz="4" w:space="0" w:color="auto"/>
              <w:right w:val="single" w:sz="4" w:space="0" w:color="auto"/>
            </w:tcBorders>
            <w:vAlign w:val="bottom"/>
          </w:tcPr>
          <w:p w14:paraId="78ADDA42" w14:textId="26F638B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-0.056</w:t>
            </w:r>
          </w:p>
        </w:tc>
      </w:tr>
    </w:tbl>
    <w:p w14:paraId="703F76B9" w14:textId="77777777" w:rsidR="00125291" w:rsidRPr="00C34188" w:rsidRDefault="00125291" w:rsidP="00125291">
      <w:pPr>
        <w:rPr>
          <w:rFonts w:ascii="Times New Roman" w:hAnsi="Times New Roman" w:cs="Times New Roman"/>
          <w:b/>
          <w:sz w:val="18"/>
        </w:rPr>
      </w:pPr>
    </w:p>
    <w:p w14:paraId="4DBA92FD" w14:textId="7B6B8352" w:rsidR="00125291" w:rsidRDefault="00125291" w:rsidP="00125291">
      <w:pPr>
        <w:rPr>
          <w:rFonts w:ascii="Times New Roman" w:hAnsi="Times New Roman" w:cs="Times New Roman"/>
          <w:b/>
          <w:sz w:val="16"/>
        </w:rPr>
      </w:pPr>
    </w:p>
    <w:p w14:paraId="6699E064" w14:textId="3842430E" w:rsidR="00600C14" w:rsidRDefault="00600C14" w:rsidP="00125291">
      <w:pPr>
        <w:rPr>
          <w:rFonts w:ascii="Times New Roman" w:hAnsi="Times New Roman" w:cs="Times New Roman"/>
          <w:b/>
          <w:sz w:val="16"/>
        </w:rPr>
      </w:pPr>
    </w:p>
    <w:p w14:paraId="1610BCB1" w14:textId="4FFF2202" w:rsidR="00125291" w:rsidRDefault="00600C14" w:rsidP="00125291">
      <w:pPr>
        <w:rPr>
          <w:rFonts w:ascii="Times New Roman" w:hAnsi="Times New Roman" w:cs="Times New Roman"/>
          <w:b/>
          <w:szCs w:val="44"/>
        </w:rPr>
      </w:pPr>
      <w:r w:rsidRPr="00600C14">
        <w:rPr>
          <w:rFonts w:ascii="Times New Roman" w:hAnsi="Times New Roman" w:cs="Times New Roman"/>
          <w:b/>
          <w:szCs w:val="44"/>
        </w:rPr>
        <w:lastRenderedPageBreak/>
        <w:t>Table 3 continued</w:t>
      </w:r>
    </w:p>
    <w:p w14:paraId="09C8971F" w14:textId="77777777" w:rsidR="00600C14" w:rsidRPr="00600C14" w:rsidRDefault="00600C14" w:rsidP="00125291">
      <w:pPr>
        <w:rPr>
          <w:rFonts w:ascii="Times New Roman" w:hAnsi="Times New Roman" w:cs="Times New Roman"/>
          <w:b/>
          <w:szCs w:val="44"/>
        </w:rPr>
      </w:pPr>
    </w:p>
    <w:tbl>
      <w:tblPr>
        <w:tblW w:w="8640" w:type="dxa"/>
        <w:tblInd w:w="-5" w:type="dxa"/>
        <w:tblLook w:val="04A0" w:firstRow="1" w:lastRow="0" w:firstColumn="1" w:lastColumn="0" w:noHBand="0" w:noVBand="1"/>
      </w:tblPr>
      <w:tblGrid>
        <w:gridCol w:w="4140"/>
        <w:gridCol w:w="1080"/>
        <w:gridCol w:w="1266"/>
        <w:gridCol w:w="984"/>
        <w:gridCol w:w="1266"/>
      </w:tblGrid>
      <w:tr w:rsidR="006F3030" w:rsidRPr="005C3043" w14:paraId="7D3C9F62" w14:textId="710DBEE7" w:rsidTr="000C3103">
        <w:trPr>
          <w:trHeight w:val="251"/>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2387A7" w14:textId="30D9FAAC" w:rsidR="006F3030" w:rsidRPr="000C3103" w:rsidRDefault="006F3030" w:rsidP="006F3030">
            <w:pPr>
              <w:jc w:val="center"/>
              <w:rPr>
                <w:rFonts w:ascii="Times New Roman" w:hAnsi="Times New Roman" w:cs="Times New Roman"/>
                <w:b/>
                <w:color w:val="000000"/>
                <w:sz w:val="21"/>
                <w:szCs w:val="21"/>
              </w:rPr>
            </w:pPr>
            <w:r w:rsidRPr="000C3103">
              <w:rPr>
                <w:rFonts w:ascii="Times New Roman" w:hAnsi="Times New Roman" w:cs="Times New Roman"/>
                <w:b/>
                <w:color w:val="000000"/>
                <w:sz w:val="21"/>
                <w:szCs w:val="21"/>
              </w:rPr>
              <w:t>Independent</w:t>
            </w:r>
          </w:p>
          <w:p w14:paraId="3D17D1BB" w14:textId="77777777" w:rsidR="006F3030" w:rsidRPr="000C3103" w:rsidRDefault="006F3030" w:rsidP="006F3030">
            <w:pPr>
              <w:jc w:val="center"/>
              <w:rPr>
                <w:rFonts w:ascii="Times New Roman" w:hAnsi="Times New Roman" w:cs="Times New Roman"/>
                <w:b/>
                <w:bCs/>
                <w:color w:val="000000"/>
                <w:sz w:val="21"/>
                <w:szCs w:val="21"/>
              </w:rPr>
            </w:pPr>
            <w:r w:rsidRPr="000C3103">
              <w:rPr>
                <w:rFonts w:ascii="Times New Roman" w:hAnsi="Times New Roman" w:cs="Times New Roman"/>
                <w:b/>
                <w:color w:val="000000"/>
                <w:sz w:val="21"/>
                <w:szCs w:val="21"/>
              </w:rPr>
              <w:t>Variable</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D5D863" w14:textId="77777777" w:rsidR="006F3030" w:rsidRPr="000C3103" w:rsidRDefault="006F3030" w:rsidP="006F3030">
            <w:pPr>
              <w:jc w:val="center"/>
              <w:rPr>
                <w:rFonts w:ascii="Times New Roman" w:hAnsi="Times New Roman" w:cs="Times New Roman"/>
                <w:b/>
                <w:bCs/>
                <w:color w:val="000000"/>
                <w:sz w:val="21"/>
                <w:szCs w:val="21"/>
                <w:vertAlign w:val="superscript"/>
              </w:rPr>
            </w:pPr>
            <w:r w:rsidRPr="000C3103">
              <w:rPr>
                <w:rFonts w:ascii="Times New Roman" w:hAnsi="Times New Roman" w:cs="Times New Roman"/>
                <w:b/>
                <w:color w:val="000000"/>
                <w:sz w:val="21"/>
                <w:szCs w:val="21"/>
              </w:rPr>
              <w:t>Oocyte ATP (</w:t>
            </w:r>
            <w:proofErr w:type="spellStart"/>
            <w:r w:rsidRPr="000C3103">
              <w:rPr>
                <w:rFonts w:ascii="Times New Roman" w:hAnsi="Times New Roman" w:cs="Times New Roman"/>
                <w:b/>
                <w:color w:val="000000"/>
                <w:sz w:val="21"/>
                <w:szCs w:val="21"/>
              </w:rPr>
              <w:t>pg</w:t>
            </w:r>
            <w:proofErr w:type="spellEnd"/>
            <w:r w:rsidRPr="000C3103">
              <w:rPr>
                <w:rFonts w:ascii="Times New Roman" w:hAnsi="Times New Roman" w:cs="Times New Roman"/>
                <w:b/>
                <w:color w:val="000000"/>
                <w:sz w:val="21"/>
                <w:szCs w:val="21"/>
              </w:rPr>
              <w:t>)</w:t>
            </w:r>
          </w:p>
        </w:tc>
        <w:tc>
          <w:tcPr>
            <w:tcW w:w="1266" w:type="dxa"/>
            <w:tcBorders>
              <w:top w:val="single" w:sz="4" w:space="0" w:color="auto"/>
              <w:left w:val="nil"/>
              <w:bottom w:val="single" w:sz="4" w:space="0" w:color="auto"/>
              <w:right w:val="single" w:sz="4" w:space="0" w:color="auto"/>
            </w:tcBorders>
            <w:vAlign w:val="center"/>
          </w:tcPr>
          <w:p w14:paraId="7FDD99B0" w14:textId="3DD56EA1" w:rsidR="006F3030" w:rsidRPr="000C3103" w:rsidRDefault="006F3030" w:rsidP="006F3030">
            <w:pPr>
              <w:jc w:val="center"/>
              <w:rPr>
                <w:rFonts w:ascii="Times New Roman" w:hAnsi="Times New Roman" w:cs="Times New Roman"/>
                <w:b/>
                <w:color w:val="000000"/>
                <w:sz w:val="21"/>
                <w:szCs w:val="21"/>
              </w:rPr>
            </w:pPr>
            <w:r w:rsidRPr="000C3103">
              <w:rPr>
                <w:rFonts w:ascii="Times New Roman" w:hAnsi="Times New Roman" w:cs="Times New Roman"/>
                <w:b/>
                <w:color w:val="000000"/>
                <w:sz w:val="21"/>
                <w:szCs w:val="21"/>
              </w:rPr>
              <w:t>ATP</w:t>
            </w:r>
            <w:r w:rsidR="00385683" w:rsidRPr="000C3103">
              <w:rPr>
                <w:rFonts w:ascii="Times New Roman" w:hAnsi="Times New Roman" w:cs="Times New Roman"/>
                <w:b/>
                <w:color w:val="000000"/>
                <w:sz w:val="21"/>
                <w:szCs w:val="21"/>
              </w:rPr>
              <w:t xml:space="preserve"> Correlation</w:t>
            </w:r>
          </w:p>
        </w:tc>
        <w:tc>
          <w:tcPr>
            <w:tcW w:w="98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7DB258F" w14:textId="280917AA" w:rsidR="006F3030" w:rsidRPr="000C3103" w:rsidRDefault="006F3030" w:rsidP="006F3030">
            <w:pPr>
              <w:jc w:val="center"/>
              <w:rPr>
                <w:rFonts w:ascii="Times New Roman" w:hAnsi="Times New Roman" w:cs="Times New Roman"/>
                <w:b/>
                <w:bCs/>
                <w:color w:val="000000"/>
                <w:sz w:val="21"/>
                <w:szCs w:val="21"/>
                <w:vertAlign w:val="superscript"/>
              </w:rPr>
            </w:pPr>
            <w:r w:rsidRPr="000C3103">
              <w:rPr>
                <w:rFonts w:ascii="Times New Roman" w:hAnsi="Times New Roman" w:cs="Times New Roman"/>
                <w:b/>
                <w:color w:val="000000"/>
                <w:sz w:val="21"/>
                <w:szCs w:val="21"/>
              </w:rPr>
              <w:t xml:space="preserve">Oocyte </w:t>
            </w:r>
            <w:proofErr w:type="spellStart"/>
            <w:r w:rsidRPr="000C3103">
              <w:rPr>
                <w:rFonts w:ascii="Times New Roman" w:hAnsi="Times New Roman" w:cs="Times New Roman"/>
                <w:b/>
                <w:color w:val="000000"/>
                <w:sz w:val="21"/>
                <w:szCs w:val="21"/>
              </w:rPr>
              <w:t>mtDNA</w:t>
            </w:r>
            <w:proofErr w:type="spellEnd"/>
            <w:r w:rsidRPr="000C3103">
              <w:rPr>
                <w:rFonts w:ascii="Times New Roman" w:hAnsi="Times New Roman" w:cs="Times New Roman"/>
                <w:b/>
                <w:color w:val="000000"/>
                <w:sz w:val="21"/>
                <w:szCs w:val="21"/>
              </w:rPr>
              <w:t xml:space="preserve"> Copy Number</w:t>
            </w:r>
          </w:p>
        </w:tc>
        <w:tc>
          <w:tcPr>
            <w:tcW w:w="1170" w:type="dxa"/>
            <w:tcBorders>
              <w:top w:val="single" w:sz="4" w:space="0" w:color="auto"/>
              <w:left w:val="nil"/>
              <w:bottom w:val="single" w:sz="4" w:space="0" w:color="auto"/>
              <w:right w:val="single" w:sz="4" w:space="0" w:color="000000"/>
            </w:tcBorders>
            <w:vAlign w:val="center"/>
          </w:tcPr>
          <w:p w14:paraId="37618600" w14:textId="23B10C61" w:rsidR="006F3030" w:rsidRPr="000C3103" w:rsidRDefault="006F3030" w:rsidP="006F3030">
            <w:pPr>
              <w:jc w:val="center"/>
              <w:rPr>
                <w:rFonts w:ascii="Times New Roman" w:hAnsi="Times New Roman" w:cs="Times New Roman"/>
                <w:b/>
                <w:color w:val="000000"/>
                <w:sz w:val="21"/>
                <w:szCs w:val="21"/>
              </w:rPr>
            </w:pPr>
            <w:proofErr w:type="spellStart"/>
            <w:r w:rsidRPr="000C3103">
              <w:rPr>
                <w:rFonts w:ascii="Times New Roman" w:hAnsi="Times New Roman" w:cs="Times New Roman"/>
                <w:b/>
                <w:color w:val="000000"/>
                <w:sz w:val="21"/>
                <w:szCs w:val="21"/>
              </w:rPr>
              <w:t>mtDNA</w:t>
            </w:r>
            <w:proofErr w:type="spellEnd"/>
            <w:r w:rsidRPr="000C3103">
              <w:rPr>
                <w:rFonts w:ascii="Times New Roman" w:hAnsi="Times New Roman" w:cs="Times New Roman"/>
                <w:b/>
                <w:color w:val="000000"/>
                <w:sz w:val="21"/>
                <w:szCs w:val="21"/>
              </w:rPr>
              <w:t xml:space="preserve"> Copy Number </w:t>
            </w:r>
            <w:r w:rsidR="00385683" w:rsidRPr="000C3103">
              <w:rPr>
                <w:rFonts w:ascii="Times New Roman" w:hAnsi="Times New Roman" w:cs="Times New Roman"/>
                <w:b/>
                <w:color w:val="000000"/>
                <w:sz w:val="21"/>
                <w:szCs w:val="21"/>
              </w:rPr>
              <w:t>Correlation</w:t>
            </w:r>
          </w:p>
        </w:tc>
      </w:tr>
      <w:tr w:rsidR="00385683" w:rsidRPr="005C3043" w14:paraId="62C9A969" w14:textId="2D4B2096" w:rsidTr="000C3103">
        <w:trPr>
          <w:trHeight w:val="312"/>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BB7AE6" w14:textId="21E7FDA1"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Glutamine**</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48668C9E"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w:t>
            </w:r>
          </w:p>
        </w:tc>
        <w:tc>
          <w:tcPr>
            <w:tcW w:w="1266" w:type="dxa"/>
            <w:tcBorders>
              <w:top w:val="single" w:sz="4" w:space="0" w:color="auto"/>
              <w:left w:val="nil"/>
              <w:bottom w:val="single" w:sz="4" w:space="0" w:color="auto"/>
              <w:right w:val="single" w:sz="4" w:space="0" w:color="auto"/>
            </w:tcBorders>
            <w:vAlign w:val="bottom"/>
          </w:tcPr>
          <w:p w14:paraId="622DFA7E" w14:textId="0450C1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0.081</w:t>
            </w: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2D52AE" w14:textId="01DBA3F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0.84</w:t>
            </w:r>
          </w:p>
        </w:tc>
        <w:tc>
          <w:tcPr>
            <w:tcW w:w="1170" w:type="dxa"/>
            <w:tcBorders>
              <w:top w:val="single" w:sz="4" w:space="0" w:color="auto"/>
              <w:left w:val="nil"/>
              <w:bottom w:val="single" w:sz="4" w:space="0" w:color="auto"/>
              <w:right w:val="single" w:sz="4" w:space="0" w:color="auto"/>
            </w:tcBorders>
            <w:vAlign w:val="bottom"/>
          </w:tcPr>
          <w:p w14:paraId="362DE2E0" w14:textId="5E9A4F25"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-0.0539</w:t>
            </w:r>
          </w:p>
        </w:tc>
      </w:tr>
      <w:tr w:rsidR="00385683" w:rsidRPr="005C3043" w14:paraId="5972BE06" w14:textId="298F6A04"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6D7516EE" w14:textId="06666972"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Glutamate**</w:t>
            </w:r>
          </w:p>
        </w:tc>
        <w:tc>
          <w:tcPr>
            <w:tcW w:w="1080" w:type="dxa"/>
            <w:tcBorders>
              <w:top w:val="nil"/>
              <w:left w:val="nil"/>
              <w:bottom w:val="single" w:sz="4" w:space="0" w:color="auto"/>
              <w:right w:val="single" w:sz="4" w:space="0" w:color="auto"/>
            </w:tcBorders>
            <w:shd w:val="clear" w:color="auto" w:fill="auto"/>
            <w:noWrap/>
            <w:vAlign w:val="bottom"/>
            <w:hideMark/>
          </w:tcPr>
          <w:p w14:paraId="3FFD96FB"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0.15</w:t>
            </w:r>
          </w:p>
        </w:tc>
        <w:tc>
          <w:tcPr>
            <w:tcW w:w="1266" w:type="dxa"/>
            <w:tcBorders>
              <w:top w:val="single" w:sz="4" w:space="0" w:color="auto"/>
              <w:left w:val="nil"/>
              <w:bottom w:val="single" w:sz="4" w:space="0" w:color="auto"/>
              <w:right w:val="single" w:sz="4" w:space="0" w:color="auto"/>
            </w:tcBorders>
            <w:vAlign w:val="bottom"/>
          </w:tcPr>
          <w:p w14:paraId="19460FEB" w14:textId="088A8A1F"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0.052</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7E95F206" w14:textId="15312430"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0.69</w:t>
            </w:r>
          </w:p>
        </w:tc>
        <w:tc>
          <w:tcPr>
            <w:tcW w:w="1170" w:type="dxa"/>
            <w:tcBorders>
              <w:top w:val="nil"/>
              <w:left w:val="nil"/>
              <w:bottom w:val="single" w:sz="4" w:space="0" w:color="auto"/>
              <w:right w:val="single" w:sz="4" w:space="0" w:color="auto"/>
            </w:tcBorders>
            <w:vAlign w:val="bottom"/>
          </w:tcPr>
          <w:p w14:paraId="7DE2F61D" w14:textId="52E8952D"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-0.0533</w:t>
            </w:r>
          </w:p>
        </w:tc>
      </w:tr>
      <w:tr w:rsidR="00385683" w:rsidRPr="005C3043" w14:paraId="74D25FB4" w14:textId="7059F02A"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21F0D11C" w14:textId="034B9A2D"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2-Oxo-4-Methylthiobutanoate**</w:t>
            </w:r>
          </w:p>
        </w:tc>
        <w:tc>
          <w:tcPr>
            <w:tcW w:w="1080" w:type="dxa"/>
            <w:tcBorders>
              <w:top w:val="nil"/>
              <w:left w:val="nil"/>
              <w:bottom w:val="single" w:sz="4" w:space="0" w:color="auto"/>
              <w:right w:val="single" w:sz="4" w:space="0" w:color="auto"/>
            </w:tcBorders>
            <w:shd w:val="clear" w:color="auto" w:fill="auto"/>
            <w:noWrap/>
            <w:vAlign w:val="bottom"/>
            <w:hideMark/>
          </w:tcPr>
          <w:p w14:paraId="2E92EC59"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0.91</w:t>
            </w:r>
          </w:p>
        </w:tc>
        <w:tc>
          <w:tcPr>
            <w:tcW w:w="1266" w:type="dxa"/>
            <w:tcBorders>
              <w:top w:val="single" w:sz="4" w:space="0" w:color="auto"/>
              <w:left w:val="nil"/>
              <w:bottom w:val="single" w:sz="4" w:space="0" w:color="auto"/>
              <w:right w:val="single" w:sz="4" w:space="0" w:color="auto"/>
            </w:tcBorders>
            <w:vAlign w:val="bottom"/>
          </w:tcPr>
          <w:p w14:paraId="5EBCF204" w14:textId="77583EBC"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-0.047</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5581EF9E" w14:textId="1464166C"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0.13</w:t>
            </w:r>
          </w:p>
        </w:tc>
        <w:tc>
          <w:tcPr>
            <w:tcW w:w="1170" w:type="dxa"/>
            <w:tcBorders>
              <w:top w:val="nil"/>
              <w:left w:val="nil"/>
              <w:bottom w:val="single" w:sz="4" w:space="0" w:color="auto"/>
              <w:right w:val="single" w:sz="4" w:space="0" w:color="auto"/>
            </w:tcBorders>
            <w:vAlign w:val="bottom"/>
          </w:tcPr>
          <w:p w14:paraId="455F68E1" w14:textId="566B3510"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0.1677</w:t>
            </w:r>
          </w:p>
        </w:tc>
      </w:tr>
      <w:tr w:rsidR="00385683" w:rsidRPr="005C3043" w14:paraId="12A25954" w14:textId="50198CA9"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45AE7E64" w14:textId="4FF19E1D"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Methionine**</w:t>
            </w:r>
          </w:p>
        </w:tc>
        <w:tc>
          <w:tcPr>
            <w:tcW w:w="1080" w:type="dxa"/>
            <w:tcBorders>
              <w:top w:val="nil"/>
              <w:left w:val="nil"/>
              <w:bottom w:val="single" w:sz="4" w:space="0" w:color="auto"/>
              <w:right w:val="single" w:sz="4" w:space="0" w:color="auto"/>
            </w:tcBorders>
            <w:shd w:val="clear" w:color="auto" w:fill="auto"/>
            <w:noWrap/>
            <w:vAlign w:val="bottom"/>
            <w:hideMark/>
          </w:tcPr>
          <w:p w14:paraId="5233A1DC"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0.53</w:t>
            </w:r>
          </w:p>
        </w:tc>
        <w:tc>
          <w:tcPr>
            <w:tcW w:w="1266" w:type="dxa"/>
            <w:tcBorders>
              <w:top w:val="single" w:sz="4" w:space="0" w:color="auto"/>
              <w:left w:val="nil"/>
              <w:bottom w:val="single" w:sz="4" w:space="0" w:color="auto"/>
              <w:right w:val="single" w:sz="4" w:space="0" w:color="auto"/>
            </w:tcBorders>
            <w:vAlign w:val="bottom"/>
          </w:tcPr>
          <w:p w14:paraId="73D35385" w14:textId="7294546D"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-0.028</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21D56577" w14:textId="774A2DFE"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0.89</w:t>
            </w:r>
          </w:p>
        </w:tc>
        <w:tc>
          <w:tcPr>
            <w:tcW w:w="1170" w:type="dxa"/>
            <w:tcBorders>
              <w:top w:val="nil"/>
              <w:left w:val="nil"/>
              <w:bottom w:val="single" w:sz="4" w:space="0" w:color="auto"/>
              <w:right w:val="single" w:sz="4" w:space="0" w:color="auto"/>
            </w:tcBorders>
            <w:vAlign w:val="bottom"/>
          </w:tcPr>
          <w:p w14:paraId="7F360077" w14:textId="3DA2407D"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-0.0522</w:t>
            </w:r>
          </w:p>
        </w:tc>
      </w:tr>
      <w:tr w:rsidR="00385683" w:rsidRPr="005C3043" w14:paraId="1243240F" w14:textId="740881EB"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7949AFD9" w14:textId="14B07127"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Xylose**</w:t>
            </w:r>
          </w:p>
        </w:tc>
        <w:tc>
          <w:tcPr>
            <w:tcW w:w="1080" w:type="dxa"/>
            <w:tcBorders>
              <w:top w:val="nil"/>
              <w:left w:val="nil"/>
              <w:bottom w:val="single" w:sz="4" w:space="0" w:color="auto"/>
              <w:right w:val="single" w:sz="4" w:space="0" w:color="auto"/>
            </w:tcBorders>
            <w:shd w:val="clear" w:color="auto" w:fill="auto"/>
            <w:noWrap/>
            <w:vAlign w:val="bottom"/>
            <w:hideMark/>
          </w:tcPr>
          <w:p w14:paraId="1AEC0AD9" w14:textId="77777777" w:rsidR="00385683" w:rsidRPr="000C3103" w:rsidRDefault="00385683" w:rsidP="00385683">
            <w:pPr>
              <w:jc w:val="center"/>
              <w:rPr>
                <w:rFonts w:ascii="Times New Roman" w:hAnsi="Times New Roman" w:cs="Times New Roman"/>
                <w:color w:val="000000"/>
                <w:sz w:val="21"/>
                <w:szCs w:val="21"/>
                <w:vertAlign w:val="superscript"/>
              </w:rPr>
            </w:pPr>
            <w:r w:rsidRPr="000C3103">
              <w:rPr>
                <w:rFonts w:ascii="Times New Roman" w:hAnsi="Times New Roman" w:cs="Times New Roman"/>
                <w:color w:val="000000"/>
                <w:sz w:val="21"/>
                <w:szCs w:val="21"/>
              </w:rPr>
              <w:t>0.17</w:t>
            </w:r>
          </w:p>
        </w:tc>
        <w:tc>
          <w:tcPr>
            <w:tcW w:w="1266" w:type="dxa"/>
            <w:tcBorders>
              <w:top w:val="single" w:sz="4" w:space="0" w:color="auto"/>
              <w:left w:val="nil"/>
              <w:bottom w:val="single" w:sz="4" w:space="0" w:color="auto"/>
              <w:right w:val="single" w:sz="4" w:space="0" w:color="auto"/>
            </w:tcBorders>
            <w:vAlign w:val="bottom"/>
          </w:tcPr>
          <w:p w14:paraId="7A660C7A" w14:textId="3F77D0F5"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0.043</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6C68F9C6" w14:textId="017B833B"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0.82</w:t>
            </w:r>
          </w:p>
        </w:tc>
        <w:tc>
          <w:tcPr>
            <w:tcW w:w="1170" w:type="dxa"/>
            <w:tcBorders>
              <w:top w:val="nil"/>
              <w:left w:val="nil"/>
              <w:bottom w:val="single" w:sz="4" w:space="0" w:color="auto"/>
              <w:right w:val="single" w:sz="4" w:space="0" w:color="auto"/>
            </w:tcBorders>
            <w:vAlign w:val="bottom"/>
          </w:tcPr>
          <w:p w14:paraId="056CF867" w14:textId="11EA7A1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-0.0475</w:t>
            </w:r>
          </w:p>
        </w:tc>
      </w:tr>
      <w:tr w:rsidR="00385683" w:rsidRPr="005C3043" w14:paraId="79D07953" w14:textId="18BB1820"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4CB0221" w14:textId="3C6F4B81"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3-Methylphenylacetic Acid**</w:t>
            </w:r>
          </w:p>
        </w:tc>
        <w:tc>
          <w:tcPr>
            <w:tcW w:w="1080" w:type="dxa"/>
            <w:tcBorders>
              <w:top w:val="nil"/>
              <w:left w:val="nil"/>
              <w:bottom w:val="single" w:sz="4" w:space="0" w:color="auto"/>
              <w:right w:val="single" w:sz="4" w:space="0" w:color="auto"/>
            </w:tcBorders>
            <w:shd w:val="clear" w:color="auto" w:fill="auto"/>
            <w:noWrap/>
            <w:vAlign w:val="bottom"/>
            <w:hideMark/>
          </w:tcPr>
          <w:p w14:paraId="6B1D8C0B"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0.39</w:t>
            </w:r>
          </w:p>
        </w:tc>
        <w:tc>
          <w:tcPr>
            <w:tcW w:w="1266" w:type="dxa"/>
            <w:tcBorders>
              <w:top w:val="single" w:sz="4" w:space="0" w:color="auto"/>
              <w:left w:val="nil"/>
              <w:bottom w:val="single" w:sz="4" w:space="0" w:color="auto"/>
              <w:right w:val="single" w:sz="4" w:space="0" w:color="auto"/>
            </w:tcBorders>
            <w:vAlign w:val="bottom"/>
          </w:tcPr>
          <w:p w14:paraId="1DA5D48D" w14:textId="3EBD1692"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-0.011</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67927CF4" w14:textId="362DFF3F"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0.68</w:t>
            </w:r>
          </w:p>
        </w:tc>
        <w:tc>
          <w:tcPr>
            <w:tcW w:w="1170" w:type="dxa"/>
            <w:tcBorders>
              <w:top w:val="nil"/>
              <w:left w:val="nil"/>
              <w:bottom w:val="single" w:sz="4" w:space="0" w:color="auto"/>
              <w:right w:val="single" w:sz="4" w:space="0" w:color="auto"/>
            </w:tcBorders>
            <w:vAlign w:val="bottom"/>
          </w:tcPr>
          <w:p w14:paraId="5C993D2B" w14:textId="0B183C82"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0.0034</w:t>
            </w:r>
          </w:p>
        </w:tc>
      </w:tr>
      <w:tr w:rsidR="00385683" w:rsidRPr="005C3043" w14:paraId="03F07E24" w14:textId="05CAFFB0"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4DCB5971" w14:textId="3E256A64"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Allantoin**</w:t>
            </w:r>
          </w:p>
        </w:tc>
        <w:tc>
          <w:tcPr>
            <w:tcW w:w="1080" w:type="dxa"/>
            <w:tcBorders>
              <w:top w:val="nil"/>
              <w:left w:val="nil"/>
              <w:bottom w:val="single" w:sz="4" w:space="0" w:color="auto"/>
              <w:right w:val="single" w:sz="4" w:space="0" w:color="auto"/>
            </w:tcBorders>
            <w:shd w:val="clear" w:color="auto" w:fill="auto"/>
            <w:noWrap/>
            <w:vAlign w:val="bottom"/>
            <w:hideMark/>
          </w:tcPr>
          <w:p w14:paraId="0D331A4C"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0.08</w:t>
            </w:r>
          </w:p>
        </w:tc>
        <w:tc>
          <w:tcPr>
            <w:tcW w:w="1266" w:type="dxa"/>
            <w:tcBorders>
              <w:top w:val="single" w:sz="4" w:space="0" w:color="auto"/>
              <w:left w:val="nil"/>
              <w:bottom w:val="single" w:sz="4" w:space="0" w:color="auto"/>
              <w:right w:val="single" w:sz="4" w:space="0" w:color="auto"/>
            </w:tcBorders>
            <w:vAlign w:val="bottom"/>
          </w:tcPr>
          <w:p w14:paraId="68996D6F" w14:textId="7717A4B8"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0.096</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7C848BB4" w14:textId="6048EC2D"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0.69</w:t>
            </w:r>
          </w:p>
        </w:tc>
        <w:tc>
          <w:tcPr>
            <w:tcW w:w="1170" w:type="dxa"/>
            <w:tcBorders>
              <w:top w:val="nil"/>
              <w:left w:val="nil"/>
              <w:bottom w:val="single" w:sz="4" w:space="0" w:color="auto"/>
              <w:right w:val="single" w:sz="4" w:space="0" w:color="auto"/>
            </w:tcBorders>
            <w:vAlign w:val="bottom"/>
          </w:tcPr>
          <w:p w14:paraId="57BFA58E" w14:textId="1BA095D3"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-0.0467</w:t>
            </w:r>
          </w:p>
        </w:tc>
      </w:tr>
      <w:tr w:rsidR="00385683" w:rsidRPr="005C3043" w14:paraId="24F67C4D" w14:textId="3EBA1E0C"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C23E765" w14:textId="506497EE"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Phenylalanine**</w:t>
            </w:r>
          </w:p>
        </w:tc>
        <w:tc>
          <w:tcPr>
            <w:tcW w:w="1080" w:type="dxa"/>
            <w:tcBorders>
              <w:top w:val="nil"/>
              <w:left w:val="nil"/>
              <w:bottom w:val="single" w:sz="4" w:space="0" w:color="auto"/>
              <w:right w:val="single" w:sz="4" w:space="0" w:color="auto"/>
            </w:tcBorders>
            <w:shd w:val="clear" w:color="auto" w:fill="auto"/>
            <w:noWrap/>
            <w:vAlign w:val="bottom"/>
            <w:hideMark/>
          </w:tcPr>
          <w:p w14:paraId="4870EFFF"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0.32</w:t>
            </w:r>
          </w:p>
        </w:tc>
        <w:tc>
          <w:tcPr>
            <w:tcW w:w="1266" w:type="dxa"/>
            <w:tcBorders>
              <w:top w:val="single" w:sz="4" w:space="0" w:color="auto"/>
              <w:left w:val="nil"/>
              <w:bottom w:val="single" w:sz="4" w:space="0" w:color="auto"/>
              <w:right w:val="single" w:sz="4" w:space="0" w:color="auto"/>
            </w:tcBorders>
            <w:vAlign w:val="bottom"/>
          </w:tcPr>
          <w:p w14:paraId="0E1CDD3D" w14:textId="23AAE5BE"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0.0021</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2FB3EF77" w14:textId="25F6F4DF"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0.77</w:t>
            </w:r>
          </w:p>
        </w:tc>
        <w:tc>
          <w:tcPr>
            <w:tcW w:w="1170" w:type="dxa"/>
            <w:tcBorders>
              <w:top w:val="nil"/>
              <w:left w:val="nil"/>
              <w:bottom w:val="single" w:sz="4" w:space="0" w:color="auto"/>
              <w:right w:val="single" w:sz="4" w:space="0" w:color="auto"/>
            </w:tcBorders>
            <w:vAlign w:val="bottom"/>
          </w:tcPr>
          <w:p w14:paraId="051F9737" w14:textId="78454C78"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-0.0477</w:t>
            </w:r>
          </w:p>
        </w:tc>
      </w:tr>
      <w:tr w:rsidR="00385683" w:rsidRPr="005C3043" w14:paraId="78C8F5FA" w14:textId="6C2DDE67"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1F0B682C" w14:textId="7D3AB5FD" w:rsidR="00385683" w:rsidRPr="000C3103" w:rsidRDefault="00385683" w:rsidP="00385683">
            <w:pPr>
              <w:rPr>
                <w:rFonts w:ascii="Times New Roman" w:hAnsi="Times New Roman" w:cs="Times New Roman"/>
                <w:color w:val="000000"/>
                <w:sz w:val="21"/>
                <w:szCs w:val="21"/>
              </w:rPr>
            </w:pPr>
            <w:proofErr w:type="spellStart"/>
            <w:r w:rsidRPr="000C3103">
              <w:rPr>
                <w:rFonts w:ascii="Times New Roman" w:hAnsi="Times New Roman" w:cs="Times New Roman"/>
                <w:color w:val="000000"/>
                <w:sz w:val="21"/>
                <w:szCs w:val="21"/>
              </w:rPr>
              <w:t>Phenyllactic</w:t>
            </w:r>
            <w:proofErr w:type="spellEnd"/>
            <w:r w:rsidRPr="000C3103">
              <w:rPr>
                <w:rFonts w:ascii="Times New Roman" w:hAnsi="Times New Roman" w:cs="Times New Roman"/>
                <w:color w:val="000000"/>
                <w:sz w:val="21"/>
                <w:szCs w:val="21"/>
              </w:rPr>
              <w:t xml:space="preserve"> Acid**</w:t>
            </w:r>
          </w:p>
        </w:tc>
        <w:tc>
          <w:tcPr>
            <w:tcW w:w="1080" w:type="dxa"/>
            <w:tcBorders>
              <w:top w:val="nil"/>
              <w:left w:val="nil"/>
              <w:bottom w:val="single" w:sz="4" w:space="0" w:color="auto"/>
              <w:right w:val="single" w:sz="4" w:space="0" w:color="auto"/>
            </w:tcBorders>
            <w:shd w:val="clear" w:color="auto" w:fill="auto"/>
            <w:noWrap/>
            <w:vAlign w:val="bottom"/>
            <w:hideMark/>
          </w:tcPr>
          <w:p w14:paraId="13A81D6E"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0.38</w:t>
            </w:r>
          </w:p>
        </w:tc>
        <w:tc>
          <w:tcPr>
            <w:tcW w:w="1266" w:type="dxa"/>
            <w:tcBorders>
              <w:top w:val="single" w:sz="4" w:space="0" w:color="auto"/>
              <w:left w:val="nil"/>
              <w:bottom w:val="single" w:sz="4" w:space="0" w:color="auto"/>
              <w:right w:val="single" w:sz="4" w:space="0" w:color="auto"/>
            </w:tcBorders>
            <w:vAlign w:val="bottom"/>
          </w:tcPr>
          <w:p w14:paraId="3C7BB88E" w14:textId="2162350E"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-0.0086</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337DB657" w14:textId="5721886E"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0.81</w:t>
            </w:r>
          </w:p>
        </w:tc>
        <w:tc>
          <w:tcPr>
            <w:tcW w:w="1170" w:type="dxa"/>
            <w:tcBorders>
              <w:top w:val="nil"/>
              <w:left w:val="nil"/>
              <w:bottom w:val="single" w:sz="4" w:space="0" w:color="auto"/>
              <w:right w:val="single" w:sz="4" w:space="0" w:color="auto"/>
            </w:tcBorders>
            <w:vAlign w:val="bottom"/>
          </w:tcPr>
          <w:p w14:paraId="36B9F494" w14:textId="5747E07B"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-0.0554</w:t>
            </w:r>
          </w:p>
        </w:tc>
      </w:tr>
      <w:tr w:rsidR="00385683" w:rsidRPr="005C3043" w14:paraId="2B690D34" w14:textId="3CD78A11"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509177DF" w14:textId="7F230318"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Uric Acid**</w:t>
            </w:r>
          </w:p>
        </w:tc>
        <w:tc>
          <w:tcPr>
            <w:tcW w:w="1080" w:type="dxa"/>
            <w:tcBorders>
              <w:top w:val="nil"/>
              <w:left w:val="nil"/>
              <w:bottom w:val="single" w:sz="4" w:space="0" w:color="auto"/>
              <w:right w:val="single" w:sz="4" w:space="0" w:color="auto"/>
            </w:tcBorders>
            <w:shd w:val="clear" w:color="auto" w:fill="auto"/>
            <w:noWrap/>
            <w:vAlign w:val="bottom"/>
            <w:hideMark/>
          </w:tcPr>
          <w:p w14:paraId="77B0902F"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0.06</w:t>
            </w:r>
          </w:p>
        </w:tc>
        <w:tc>
          <w:tcPr>
            <w:tcW w:w="1266" w:type="dxa"/>
            <w:tcBorders>
              <w:top w:val="single" w:sz="4" w:space="0" w:color="auto"/>
              <w:left w:val="nil"/>
              <w:bottom w:val="single" w:sz="4" w:space="0" w:color="auto"/>
              <w:right w:val="single" w:sz="4" w:space="0" w:color="auto"/>
            </w:tcBorders>
            <w:vAlign w:val="bottom"/>
          </w:tcPr>
          <w:p w14:paraId="52DFBA1A" w14:textId="01F8E106"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0.12</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4B9843AC" w14:textId="55F92A7C"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0.8</w:t>
            </w:r>
          </w:p>
        </w:tc>
        <w:tc>
          <w:tcPr>
            <w:tcW w:w="1170" w:type="dxa"/>
            <w:tcBorders>
              <w:top w:val="nil"/>
              <w:left w:val="nil"/>
              <w:bottom w:val="single" w:sz="4" w:space="0" w:color="auto"/>
              <w:right w:val="single" w:sz="4" w:space="0" w:color="auto"/>
            </w:tcBorders>
            <w:vAlign w:val="bottom"/>
          </w:tcPr>
          <w:p w14:paraId="33D88D43" w14:textId="528F87C1"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-0.0484</w:t>
            </w:r>
          </w:p>
        </w:tc>
      </w:tr>
      <w:tr w:rsidR="00385683" w:rsidRPr="005C3043" w14:paraId="37E12614" w14:textId="35D4F1DF"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782C570F" w14:textId="18058A99"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N-Acetylornithine**</w:t>
            </w:r>
          </w:p>
        </w:tc>
        <w:tc>
          <w:tcPr>
            <w:tcW w:w="1080" w:type="dxa"/>
            <w:tcBorders>
              <w:top w:val="nil"/>
              <w:left w:val="nil"/>
              <w:bottom w:val="single" w:sz="4" w:space="0" w:color="auto"/>
              <w:right w:val="single" w:sz="4" w:space="0" w:color="auto"/>
            </w:tcBorders>
            <w:shd w:val="clear" w:color="auto" w:fill="auto"/>
            <w:noWrap/>
            <w:vAlign w:val="bottom"/>
            <w:hideMark/>
          </w:tcPr>
          <w:p w14:paraId="5814CC1D"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0.15</w:t>
            </w:r>
          </w:p>
        </w:tc>
        <w:tc>
          <w:tcPr>
            <w:tcW w:w="1266" w:type="dxa"/>
            <w:tcBorders>
              <w:top w:val="single" w:sz="4" w:space="0" w:color="auto"/>
              <w:left w:val="nil"/>
              <w:bottom w:val="single" w:sz="4" w:space="0" w:color="auto"/>
              <w:right w:val="single" w:sz="4" w:space="0" w:color="auto"/>
            </w:tcBorders>
            <w:vAlign w:val="bottom"/>
          </w:tcPr>
          <w:p w14:paraId="4E46877C" w14:textId="535D6C75"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0.052</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30E76381" w14:textId="3B8090F9"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0.85</w:t>
            </w:r>
          </w:p>
        </w:tc>
        <w:tc>
          <w:tcPr>
            <w:tcW w:w="1170" w:type="dxa"/>
            <w:tcBorders>
              <w:top w:val="nil"/>
              <w:left w:val="nil"/>
              <w:bottom w:val="single" w:sz="4" w:space="0" w:color="auto"/>
              <w:right w:val="single" w:sz="4" w:space="0" w:color="auto"/>
            </w:tcBorders>
            <w:vAlign w:val="bottom"/>
          </w:tcPr>
          <w:p w14:paraId="454FD9CB" w14:textId="31E9106E"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-0.0545</w:t>
            </w:r>
          </w:p>
        </w:tc>
      </w:tr>
      <w:tr w:rsidR="00385683" w:rsidRPr="005C3043" w14:paraId="66F3B77E" w14:textId="18F5DA5B"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537E9B6A" w14:textId="1E783E87"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Arginine**</w:t>
            </w:r>
          </w:p>
        </w:tc>
        <w:tc>
          <w:tcPr>
            <w:tcW w:w="1080" w:type="dxa"/>
            <w:tcBorders>
              <w:top w:val="nil"/>
              <w:left w:val="nil"/>
              <w:bottom w:val="single" w:sz="4" w:space="0" w:color="auto"/>
              <w:right w:val="single" w:sz="4" w:space="0" w:color="auto"/>
            </w:tcBorders>
            <w:shd w:val="clear" w:color="auto" w:fill="auto"/>
            <w:noWrap/>
            <w:vAlign w:val="bottom"/>
            <w:hideMark/>
          </w:tcPr>
          <w:p w14:paraId="3B1D1CA8"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0.09</w:t>
            </w:r>
          </w:p>
        </w:tc>
        <w:tc>
          <w:tcPr>
            <w:tcW w:w="1266" w:type="dxa"/>
            <w:tcBorders>
              <w:top w:val="single" w:sz="4" w:space="0" w:color="auto"/>
              <w:left w:val="nil"/>
              <w:bottom w:val="single" w:sz="4" w:space="0" w:color="auto"/>
              <w:right w:val="single" w:sz="4" w:space="0" w:color="auto"/>
            </w:tcBorders>
            <w:vAlign w:val="bottom"/>
          </w:tcPr>
          <w:p w14:paraId="0126E2B2" w14:textId="4216A2C4"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0.092</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66E12921" w14:textId="0E3422C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0.68</w:t>
            </w:r>
          </w:p>
        </w:tc>
        <w:tc>
          <w:tcPr>
            <w:tcW w:w="1170" w:type="dxa"/>
            <w:tcBorders>
              <w:top w:val="nil"/>
              <w:left w:val="nil"/>
              <w:bottom w:val="single" w:sz="4" w:space="0" w:color="auto"/>
              <w:right w:val="single" w:sz="4" w:space="0" w:color="auto"/>
            </w:tcBorders>
            <w:vAlign w:val="bottom"/>
          </w:tcPr>
          <w:p w14:paraId="2AC684CA" w14:textId="7F59057D"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0.0044</w:t>
            </w:r>
          </w:p>
        </w:tc>
      </w:tr>
      <w:tr w:rsidR="00385683" w:rsidRPr="005C3043" w14:paraId="6BD7D7B0" w14:textId="16BC4424"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2ED35B2E" w14:textId="4CEC40A1"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Citrulline**</w:t>
            </w:r>
          </w:p>
        </w:tc>
        <w:tc>
          <w:tcPr>
            <w:tcW w:w="1080" w:type="dxa"/>
            <w:tcBorders>
              <w:top w:val="nil"/>
              <w:left w:val="nil"/>
              <w:bottom w:val="single" w:sz="4" w:space="0" w:color="auto"/>
              <w:right w:val="single" w:sz="4" w:space="0" w:color="auto"/>
            </w:tcBorders>
            <w:shd w:val="clear" w:color="auto" w:fill="auto"/>
            <w:noWrap/>
            <w:vAlign w:val="bottom"/>
            <w:hideMark/>
          </w:tcPr>
          <w:p w14:paraId="7D5DB798"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0.09</w:t>
            </w:r>
          </w:p>
        </w:tc>
        <w:tc>
          <w:tcPr>
            <w:tcW w:w="1266" w:type="dxa"/>
            <w:tcBorders>
              <w:top w:val="single" w:sz="4" w:space="0" w:color="auto"/>
              <w:left w:val="nil"/>
              <w:bottom w:val="single" w:sz="4" w:space="0" w:color="auto"/>
              <w:right w:val="single" w:sz="4" w:space="0" w:color="auto"/>
            </w:tcBorders>
            <w:vAlign w:val="bottom"/>
          </w:tcPr>
          <w:p w14:paraId="0C71DD23" w14:textId="31718F49"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0.089</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0F5931CA" w14:textId="66C0C5D1"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0.71</w:t>
            </w:r>
          </w:p>
        </w:tc>
        <w:tc>
          <w:tcPr>
            <w:tcW w:w="1170" w:type="dxa"/>
            <w:tcBorders>
              <w:top w:val="nil"/>
              <w:left w:val="nil"/>
              <w:bottom w:val="single" w:sz="4" w:space="0" w:color="auto"/>
              <w:right w:val="single" w:sz="4" w:space="0" w:color="auto"/>
            </w:tcBorders>
            <w:vAlign w:val="bottom"/>
          </w:tcPr>
          <w:p w14:paraId="4F8ED53F" w14:textId="199C1076"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-0.0027</w:t>
            </w:r>
          </w:p>
        </w:tc>
      </w:tr>
      <w:tr w:rsidR="00385683" w:rsidRPr="005C3043" w14:paraId="6F209520" w14:textId="336481E5"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527A7BD0" w14:textId="161C0B5A" w:rsidR="00385683" w:rsidRPr="000C3103" w:rsidRDefault="00385683" w:rsidP="00385683">
            <w:pPr>
              <w:rPr>
                <w:rFonts w:ascii="Times New Roman" w:hAnsi="Times New Roman" w:cs="Times New Roman"/>
                <w:color w:val="000000"/>
                <w:sz w:val="21"/>
                <w:szCs w:val="21"/>
              </w:rPr>
            </w:pPr>
            <w:proofErr w:type="spellStart"/>
            <w:r w:rsidRPr="000C3103">
              <w:rPr>
                <w:rFonts w:ascii="Times New Roman" w:hAnsi="Times New Roman" w:cs="Times New Roman"/>
                <w:color w:val="000000"/>
                <w:sz w:val="21"/>
                <w:szCs w:val="21"/>
              </w:rPr>
              <w:t>Tricarballylic</w:t>
            </w:r>
            <w:proofErr w:type="spellEnd"/>
            <w:r w:rsidRPr="000C3103">
              <w:rPr>
                <w:rFonts w:ascii="Times New Roman" w:hAnsi="Times New Roman" w:cs="Times New Roman"/>
                <w:color w:val="000000"/>
                <w:sz w:val="21"/>
                <w:szCs w:val="21"/>
              </w:rPr>
              <w:t xml:space="preserve"> Acid**</w:t>
            </w:r>
          </w:p>
        </w:tc>
        <w:tc>
          <w:tcPr>
            <w:tcW w:w="1080" w:type="dxa"/>
            <w:tcBorders>
              <w:top w:val="nil"/>
              <w:left w:val="nil"/>
              <w:bottom w:val="single" w:sz="4" w:space="0" w:color="auto"/>
              <w:right w:val="single" w:sz="4" w:space="0" w:color="auto"/>
            </w:tcBorders>
            <w:shd w:val="clear" w:color="auto" w:fill="auto"/>
            <w:noWrap/>
            <w:vAlign w:val="bottom"/>
            <w:hideMark/>
          </w:tcPr>
          <w:p w14:paraId="3FECC496"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0.84</w:t>
            </w:r>
          </w:p>
        </w:tc>
        <w:tc>
          <w:tcPr>
            <w:tcW w:w="1266" w:type="dxa"/>
            <w:tcBorders>
              <w:top w:val="single" w:sz="4" w:space="0" w:color="auto"/>
              <w:left w:val="nil"/>
              <w:bottom w:val="single" w:sz="4" w:space="0" w:color="auto"/>
              <w:right w:val="single" w:sz="4" w:space="0" w:color="auto"/>
            </w:tcBorders>
            <w:vAlign w:val="bottom"/>
          </w:tcPr>
          <w:p w14:paraId="160DB61F" w14:textId="6C929F4F"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-0.045</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793E8927" w14:textId="46326306"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0.36</w:t>
            </w:r>
          </w:p>
        </w:tc>
        <w:tc>
          <w:tcPr>
            <w:tcW w:w="1170" w:type="dxa"/>
            <w:tcBorders>
              <w:top w:val="nil"/>
              <w:left w:val="nil"/>
              <w:bottom w:val="single" w:sz="4" w:space="0" w:color="auto"/>
              <w:right w:val="single" w:sz="4" w:space="0" w:color="auto"/>
            </w:tcBorders>
            <w:vAlign w:val="bottom"/>
          </w:tcPr>
          <w:p w14:paraId="31D8076F" w14:textId="3BF1012A"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-0.0549</w:t>
            </w:r>
          </w:p>
        </w:tc>
      </w:tr>
      <w:tr w:rsidR="00385683" w:rsidRPr="005C3043" w14:paraId="551C31C2" w14:textId="79E12222"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5005E57C" w14:textId="0565AC46"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Citrate/Isocitrate**</w:t>
            </w:r>
          </w:p>
        </w:tc>
        <w:tc>
          <w:tcPr>
            <w:tcW w:w="1080" w:type="dxa"/>
            <w:tcBorders>
              <w:top w:val="nil"/>
              <w:left w:val="nil"/>
              <w:bottom w:val="single" w:sz="4" w:space="0" w:color="auto"/>
              <w:right w:val="single" w:sz="4" w:space="0" w:color="auto"/>
            </w:tcBorders>
            <w:shd w:val="clear" w:color="auto" w:fill="auto"/>
            <w:noWrap/>
            <w:vAlign w:val="bottom"/>
            <w:hideMark/>
          </w:tcPr>
          <w:p w14:paraId="0D419F71"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0.5</w:t>
            </w:r>
          </w:p>
        </w:tc>
        <w:tc>
          <w:tcPr>
            <w:tcW w:w="1266" w:type="dxa"/>
            <w:tcBorders>
              <w:top w:val="single" w:sz="4" w:space="0" w:color="auto"/>
              <w:left w:val="nil"/>
              <w:bottom w:val="single" w:sz="4" w:space="0" w:color="auto"/>
              <w:right w:val="single" w:sz="4" w:space="0" w:color="auto"/>
            </w:tcBorders>
            <w:vAlign w:val="bottom"/>
          </w:tcPr>
          <w:p w14:paraId="31BFA45A" w14:textId="51480CF5"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-0.025</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298E59EA" w14:textId="68F8F443"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0.69</w:t>
            </w:r>
          </w:p>
        </w:tc>
        <w:tc>
          <w:tcPr>
            <w:tcW w:w="1170" w:type="dxa"/>
            <w:tcBorders>
              <w:top w:val="nil"/>
              <w:left w:val="nil"/>
              <w:bottom w:val="single" w:sz="4" w:space="0" w:color="auto"/>
              <w:right w:val="single" w:sz="4" w:space="0" w:color="auto"/>
            </w:tcBorders>
            <w:vAlign w:val="bottom"/>
          </w:tcPr>
          <w:p w14:paraId="4CE75A47" w14:textId="072057BF"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-0.0455</w:t>
            </w:r>
          </w:p>
        </w:tc>
      </w:tr>
      <w:tr w:rsidR="00385683" w:rsidRPr="005C3043" w14:paraId="5B96947C" w14:textId="7CEC5091"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5ADD1D1" w14:textId="7D5D7530"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2-Dehydro-D-Gluconate**</w:t>
            </w:r>
          </w:p>
        </w:tc>
        <w:tc>
          <w:tcPr>
            <w:tcW w:w="1080" w:type="dxa"/>
            <w:tcBorders>
              <w:top w:val="nil"/>
              <w:left w:val="nil"/>
              <w:bottom w:val="single" w:sz="4" w:space="0" w:color="auto"/>
              <w:right w:val="single" w:sz="4" w:space="0" w:color="auto"/>
            </w:tcBorders>
            <w:shd w:val="clear" w:color="auto" w:fill="auto"/>
            <w:noWrap/>
            <w:vAlign w:val="bottom"/>
            <w:hideMark/>
          </w:tcPr>
          <w:p w14:paraId="68571FCE"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0.15</w:t>
            </w:r>
          </w:p>
        </w:tc>
        <w:tc>
          <w:tcPr>
            <w:tcW w:w="1266" w:type="dxa"/>
            <w:tcBorders>
              <w:top w:val="single" w:sz="4" w:space="0" w:color="auto"/>
              <w:left w:val="nil"/>
              <w:bottom w:val="single" w:sz="4" w:space="0" w:color="auto"/>
              <w:right w:val="single" w:sz="4" w:space="0" w:color="auto"/>
            </w:tcBorders>
            <w:vAlign w:val="bottom"/>
          </w:tcPr>
          <w:p w14:paraId="767950FE" w14:textId="6BEE1FA9"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0.052</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716C1CB7" w14:textId="2F4EA0BD"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0.92</w:t>
            </w:r>
          </w:p>
        </w:tc>
        <w:tc>
          <w:tcPr>
            <w:tcW w:w="1170" w:type="dxa"/>
            <w:tcBorders>
              <w:top w:val="nil"/>
              <w:left w:val="nil"/>
              <w:bottom w:val="single" w:sz="4" w:space="0" w:color="auto"/>
              <w:right w:val="single" w:sz="4" w:space="0" w:color="auto"/>
            </w:tcBorders>
            <w:vAlign w:val="bottom"/>
          </w:tcPr>
          <w:p w14:paraId="10DBB347" w14:textId="7E1E5BE4"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-0.0536</w:t>
            </w:r>
          </w:p>
        </w:tc>
      </w:tr>
      <w:tr w:rsidR="00385683" w:rsidRPr="005C3043" w14:paraId="6332921B" w14:textId="15844A20"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ACB4A90" w14:textId="3149F58A"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D-Gluconate**</w:t>
            </w:r>
          </w:p>
        </w:tc>
        <w:tc>
          <w:tcPr>
            <w:tcW w:w="1080" w:type="dxa"/>
            <w:tcBorders>
              <w:top w:val="nil"/>
              <w:left w:val="nil"/>
              <w:bottom w:val="single" w:sz="4" w:space="0" w:color="auto"/>
              <w:right w:val="single" w:sz="4" w:space="0" w:color="auto"/>
            </w:tcBorders>
            <w:shd w:val="clear" w:color="auto" w:fill="auto"/>
            <w:noWrap/>
            <w:vAlign w:val="bottom"/>
            <w:hideMark/>
          </w:tcPr>
          <w:p w14:paraId="23F85746"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0.09</w:t>
            </w:r>
          </w:p>
        </w:tc>
        <w:tc>
          <w:tcPr>
            <w:tcW w:w="1266" w:type="dxa"/>
            <w:tcBorders>
              <w:top w:val="single" w:sz="4" w:space="0" w:color="auto"/>
              <w:left w:val="nil"/>
              <w:bottom w:val="single" w:sz="4" w:space="0" w:color="auto"/>
              <w:right w:val="single" w:sz="4" w:space="0" w:color="auto"/>
            </w:tcBorders>
            <w:vAlign w:val="bottom"/>
          </w:tcPr>
          <w:p w14:paraId="6162911E" w14:textId="15EBCCE2"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0.091</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0938CD8F" w14:textId="3DB84602"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0.98</w:t>
            </w:r>
          </w:p>
        </w:tc>
        <w:tc>
          <w:tcPr>
            <w:tcW w:w="1170" w:type="dxa"/>
            <w:tcBorders>
              <w:top w:val="nil"/>
              <w:left w:val="nil"/>
              <w:bottom w:val="single" w:sz="4" w:space="0" w:color="auto"/>
              <w:right w:val="single" w:sz="4" w:space="0" w:color="auto"/>
            </w:tcBorders>
            <w:vAlign w:val="bottom"/>
          </w:tcPr>
          <w:p w14:paraId="0F1C7629" w14:textId="50660D5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-0.0544</w:t>
            </w:r>
          </w:p>
        </w:tc>
      </w:tr>
      <w:tr w:rsidR="00385683" w:rsidRPr="005C3043" w14:paraId="5528DABA" w14:textId="2CC97A16"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261C07A0" w14:textId="7D2937AD"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Kynurenine**</w:t>
            </w:r>
          </w:p>
        </w:tc>
        <w:tc>
          <w:tcPr>
            <w:tcW w:w="1080" w:type="dxa"/>
            <w:tcBorders>
              <w:top w:val="nil"/>
              <w:left w:val="nil"/>
              <w:bottom w:val="single" w:sz="4" w:space="0" w:color="auto"/>
              <w:right w:val="single" w:sz="4" w:space="0" w:color="auto"/>
            </w:tcBorders>
            <w:shd w:val="clear" w:color="auto" w:fill="auto"/>
            <w:noWrap/>
            <w:vAlign w:val="bottom"/>
            <w:hideMark/>
          </w:tcPr>
          <w:p w14:paraId="1C5D5B98"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0.26</w:t>
            </w:r>
          </w:p>
        </w:tc>
        <w:tc>
          <w:tcPr>
            <w:tcW w:w="1266" w:type="dxa"/>
            <w:tcBorders>
              <w:top w:val="single" w:sz="4" w:space="0" w:color="auto"/>
              <w:left w:val="nil"/>
              <w:bottom w:val="single" w:sz="4" w:space="0" w:color="auto"/>
              <w:right w:val="single" w:sz="4" w:space="0" w:color="auto"/>
            </w:tcBorders>
            <w:vAlign w:val="bottom"/>
          </w:tcPr>
          <w:p w14:paraId="0D4F3D42" w14:textId="028D86C2"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0.016</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448FA139" w14:textId="68F8011A"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0.93</w:t>
            </w:r>
          </w:p>
        </w:tc>
        <w:tc>
          <w:tcPr>
            <w:tcW w:w="1170" w:type="dxa"/>
            <w:tcBorders>
              <w:top w:val="nil"/>
              <w:left w:val="nil"/>
              <w:bottom w:val="single" w:sz="4" w:space="0" w:color="auto"/>
              <w:right w:val="single" w:sz="4" w:space="0" w:color="auto"/>
            </w:tcBorders>
            <w:vAlign w:val="bottom"/>
          </w:tcPr>
          <w:p w14:paraId="485D719D" w14:textId="7874761D"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-0.0064</w:t>
            </w:r>
          </w:p>
        </w:tc>
      </w:tr>
      <w:tr w:rsidR="00385683" w:rsidRPr="005C3043" w14:paraId="55C7376A" w14:textId="746FF9EE"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1B5BF54D" w14:textId="7D2485AD"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Uridine**</w:t>
            </w:r>
          </w:p>
        </w:tc>
        <w:tc>
          <w:tcPr>
            <w:tcW w:w="1080" w:type="dxa"/>
            <w:tcBorders>
              <w:top w:val="nil"/>
              <w:left w:val="nil"/>
              <w:bottom w:val="single" w:sz="4" w:space="0" w:color="auto"/>
              <w:right w:val="single" w:sz="4" w:space="0" w:color="auto"/>
            </w:tcBorders>
            <w:shd w:val="clear" w:color="auto" w:fill="auto"/>
            <w:noWrap/>
            <w:vAlign w:val="bottom"/>
            <w:hideMark/>
          </w:tcPr>
          <w:p w14:paraId="31DE5BBF"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0.26</w:t>
            </w:r>
          </w:p>
        </w:tc>
        <w:tc>
          <w:tcPr>
            <w:tcW w:w="1266" w:type="dxa"/>
            <w:tcBorders>
              <w:top w:val="single" w:sz="4" w:space="0" w:color="auto"/>
              <w:left w:val="nil"/>
              <w:bottom w:val="single" w:sz="4" w:space="0" w:color="auto"/>
              <w:right w:val="single" w:sz="4" w:space="0" w:color="auto"/>
            </w:tcBorders>
            <w:vAlign w:val="bottom"/>
          </w:tcPr>
          <w:p w14:paraId="3C5DEFA7" w14:textId="24A51DF0"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0.015</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3A7280E2" w14:textId="4E26AA3E"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0.78</w:t>
            </w:r>
          </w:p>
        </w:tc>
        <w:tc>
          <w:tcPr>
            <w:tcW w:w="1170" w:type="dxa"/>
            <w:tcBorders>
              <w:top w:val="nil"/>
              <w:left w:val="nil"/>
              <w:bottom w:val="single" w:sz="4" w:space="0" w:color="auto"/>
              <w:right w:val="single" w:sz="4" w:space="0" w:color="auto"/>
            </w:tcBorders>
            <w:vAlign w:val="bottom"/>
          </w:tcPr>
          <w:p w14:paraId="06D4030B" w14:textId="1BAD4711"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-0.047</w:t>
            </w:r>
          </w:p>
        </w:tc>
      </w:tr>
      <w:tr w:rsidR="00385683" w:rsidRPr="005C3043" w14:paraId="2FB50DDF" w14:textId="4493665B"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56A5CB20" w14:textId="433FAEDF"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Cholate**</w:t>
            </w:r>
          </w:p>
        </w:tc>
        <w:tc>
          <w:tcPr>
            <w:tcW w:w="1080" w:type="dxa"/>
            <w:tcBorders>
              <w:top w:val="nil"/>
              <w:left w:val="nil"/>
              <w:bottom w:val="single" w:sz="4" w:space="0" w:color="auto"/>
              <w:right w:val="single" w:sz="4" w:space="0" w:color="auto"/>
            </w:tcBorders>
            <w:shd w:val="clear" w:color="auto" w:fill="auto"/>
            <w:noWrap/>
            <w:vAlign w:val="bottom"/>
            <w:hideMark/>
          </w:tcPr>
          <w:p w14:paraId="316E80DD"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0.49</w:t>
            </w:r>
          </w:p>
        </w:tc>
        <w:tc>
          <w:tcPr>
            <w:tcW w:w="1266" w:type="dxa"/>
            <w:tcBorders>
              <w:top w:val="single" w:sz="4" w:space="0" w:color="auto"/>
              <w:left w:val="nil"/>
              <w:bottom w:val="single" w:sz="4" w:space="0" w:color="auto"/>
              <w:right w:val="single" w:sz="4" w:space="0" w:color="auto"/>
            </w:tcBorders>
            <w:vAlign w:val="bottom"/>
          </w:tcPr>
          <w:p w14:paraId="18B7FD41" w14:textId="121FC3E9"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-0.023</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775269E2" w14:textId="33993CA3"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0.63</w:t>
            </w:r>
          </w:p>
        </w:tc>
        <w:tc>
          <w:tcPr>
            <w:tcW w:w="1170" w:type="dxa"/>
            <w:tcBorders>
              <w:top w:val="nil"/>
              <w:left w:val="nil"/>
              <w:bottom w:val="single" w:sz="4" w:space="0" w:color="auto"/>
              <w:right w:val="single" w:sz="4" w:space="0" w:color="auto"/>
            </w:tcBorders>
            <w:vAlign w:val="bottom"/>
          </w:tcPr>
          <w:p w14:paraId="65CA7FBB" w14:textId="54B817E2"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-0.0525</w:t>
            </w:r>
          </w:p>
        </w:tc>
      </w:tr>
      <w:tr w:rsidR="00385683" w:rsidRPr="005C3043" w14:paraId="6EC70267" w14:textId="67CCF3E1"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4FE1E6C6" w14:textId="009DDD4E" w:rsidR="00385683" w:rsidRPr="000C3103" w:rsidRDefault="00385683" w:rsidP="00385683">
            <w:pPr>
              <w:rPr>
                <w:rFonts w:ascii="Times New Roman" w:hAnsi="Times New Roman" w:cs="Times New Roman"/>
                <w:color w:val="000000"/>
                <w:sz w:val="21"/>
                <w:szCs w:val="21"/>
              </w:rPr>
            </w:pPr>
            <w:proofErr w:type="spellStart"/>
            <w:r w:rsidRPr="000C3103">
              <w:rPr>
                <w:rFonts w:ascii="Times New Roman" w:hAnsi="Times New Roman" w:cs="Times New Roman"/>
                <w:color w:val="000000"/>
                <w:sz w:val="21"/>
                <w:szCs w:val="21"/>
              </w:rPr>
              <w:t>Glycodeoxycholate</w:t>
            </w:r>
            <w:proofErr w:type="spellEnd"/>
            <w:r w:rsidRPr="000C3103">
              <w:rPr>
                <w:rFonts w:ascii="Times New Roman" w:hAnsi="Times New Roman" w:cs="Times New Roman"/>
                <w:color w:val="000000"/>
                <w:sz w:val="21"/>
                <w:szCs w:val="21"/>
              </w:rPr>
              <w:t>**</w:t>
            </w:r>
          </w:p>
        </w:tc>
        <w:tc>
          <w:tcPr>
            <w:tcW w:w="1080" w:type="dxa"/>
            <w:tcBorders>
              <w:top w:val="nil"/>
              <w:left w:val="nil"/>
              <w:bottom w:val="single" w:sz="4" w:space="0" w:color="auto"/>
              <w:right w:val="single" w:sz="4" w:space="0" w:color="auto"/>
            </w:tcBorders>
            <w:shd w:val="clear" w:color="auto" w:fill="auto"/>
            <w:noWrap/>
            <w:vAlign w:val="bottom"/>
            <w:hideMark/>
          </w:tcPr>
          <w:p w14:paraId="285F0DB4"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0.42</w:t>
            </w:r>
          </w:p>
        </w:tc>
        <w:tc>
          <w:tcPr>
            <w:tcW w:w="1266" w:type="dxa"/>
            <w:tcBorders>
              <w:top w:val="single" w:sz="4" w:space="0" w:color="auto"/>
              <w:left w:val="nil"/>
              <w:bottom w:val="single" w:sz="4" w:space="0" w:color="auto"/>
              <w:right w:val="single" w:sz="4" w:space="0" w:color="auto"/>
            </w:tcBorders>
            <w:vAlign w:val="bottom"/>
          </w:tcPr>
          <w:p w14:paraId="0E31AEC1" w14:textId="48389BEA"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-0.015</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619D68B6" w14:textId="3D735FDE"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0.77</w:t>
            </w:r>
          </w:p>
        </w:tc>
        <w:tc>
          <w:tcPr>
            <w:tcW w:w="1170" w:type="dxa"/>
            <w:tcBorders>
              <w:top w:val="nil"/>
              <w:left w:val="nil"/>
              <w:bottom w:val="single" w:sz="4" w:space="0" w:color="auto"/>
              <w:right w:val="single" w:sz="4" w:space="0" w:color="auto"/>
            </w:tcBorders>
            <w:vAlign w:val="bottom"/>
          </w:tcPr>
          <w:p w14:paraId="3CB4E47E" w14:textId="008ADCB8"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-0.0542</w:t>
            </w:r>
          </w:p>
        </w:tc>
      </w:tr>
      <w:tr w:rsidR="00385683" w:rsidRPr="005C3043" w14:paraId="1B3AA3DE" w14:textId="4D4AE6BC"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63B42606" w14:textId="1BA413F2"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Cholesterol Sulfate**</w:t>
            </w:r>
          </w:p>
        </w:tc>
        <w:tc>
          <w:tcPr>
            <w:tcW w:w="1080" w:type="dxa"/>
            <w:tcBorders>
              <w:top w:val="nil"/>
              <w:left w:val="nil"/>
              <w:bottom w:val="single" w:sz="4" w:space="0" w:color="auto"/>
              <w:right w:val="single" w:sz="4" w:space="0" w:color="auto"/>
            </w:tcBorders>
            <w:shd w:val="clear" w:color="auto" w:fill="auto"/>
            <w:noWrap/>
            <w:vAlign w:val="bottom"/>
            <w:hideMark/>
          </w:tcPr>
          <w:p w14:paraId="112390B8"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0.49</w:t>
            </w:r>
          </w:p>
        </w:tc>
        <w:tc>
          <w:tcPr>
            <w:tcW w:w="1266" w:type="dxa"/>
            <w:tcBorders>
              <w:top w:val="single" w:sz="4" w:space="0" w:color="auto"/>
              <w:left w:val="nil"/>
              <w:bottom w:val="single" w:sz="4" w:space="0" w:color="auto"/>
              <w:right w:val="single" w:sz="4" w:space="0" w:color="auto"/>
            </w:tcBorders>
            <w:vAlign w:val="bottom"/>
          </w:tcPr>
          <w:p w14:paraId="6A27590F" w14:textId="11FEE9BB"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-0.024</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1C73A2D6" w14:textId="21197EEF"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0.84</w:t>
            </w:r>
          </w:p>
        </w:tc>
        <w:tc>
          <w:tcPr>
            <w:tcW w:w="1170" w:type="dxa"/>
            <w:tcBorders>
              <w:top w:val="nil"/>
              <w:left w:val="nil"/>
              <w:bottom w:val="single" w:sz="4" w:space="0" w:color="auto"/>
              <w:right w:val="single" w:sz="4" w:space="0" w:color="auto"/>
            </w:tcBorders>
            <w:vAlign w:val="bottom"/>
          </w:tcPr>
          <w:p w14:paraId="4D828633" w14:textId="07ED6CD6"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-0.0548</w:t>
            </w:r>
          </w:p>
        </w:tc>
      </w:tr>
      <w:tr w:rsidR="00385683" w:rsidRPr="005C3043" w14:paraId="4F33FC4B" w14:textId="34DC3292"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3AD3100" w14:textId="021285CF"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Glycine**</w:t>
            </w:r>
          </w:p>
        </w:tc>
        <w:tc>
          <w:tcPr>
            <w:tcW w:w="1080" w:type="dxa"/>
            <w:tcBorders>
              <w:top w:val="nil"/>
              <w:left w:val="nil"/>
              <w:bottom w:val="single" w:sz="4" w:space="0" w:color="auto"/>
              <w:right w:val="single" w:sz="4" w:space="0" w:color="auto"/>
            </w:tcBorders>
            <w:shd w:val="clear" w:color="auto" w:fill="auto"/>
            <w:noWrap/>
            <w:vAlign w:val="bottom"/>
            <w:hideMark/>
          </w:tcPr>
          <w:p w14:paraId="163D8D11"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0.34</w:t>
            </w:r>
          </w:p>
        </w:tc>
        <w:tc>
          <w:tcPr>
            <w:tcW w:w="1266" w:type="dxa"/>
            <w:tcBorders>
              <w:top w:val="single" w:sz="4" w:space="0" w:color="auto"/>
              <w:left w:val="nil"/>
              <w:bottom w:val="single" w:sz="4" w:space="0" w:color="auto"/>
              <w:right w:val="single" w:sz="4" w:space="0" w:color="auto"/>
            </w:tcBorders>
            <w:vAlign w:val="bottom"/>
          </w:tcPr>
          <w:p w14:paraId="5B32C541" w14:textId="4F553FE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-0.0021</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52598444" w14:textId="7E2E8F0C"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0.64</w:t>
            </w:r>
          </w:p>
        </w:tc>
        <w:tc>
          <w:tcPr>
            <w:tcW w:w="1170" w:type="dxa"/>
            <w:tcBorders>
              <w:top w:val="nil"/>
              <w:left w:val="nil"/>
              <w:bottom w:val="single" w:sz="4" w:space="0" w:color="auto"/>
              <w:right w:val="single" w:sz="4" w:space="0" w:color="auto"/>
            </w:tcBorders>
            <w:vAlign w:val="bottom"/>
          </w:tcPr>
          <w:p w14:paraId="7E8CD9A3" w14:textId="381837DC"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0.0607</w:t>
            </w:r>
          </w:p>
        </w:tc>
      </w:tr>
      <w:tr w:rsidR="00385683" w:rsidRPr="005C3043" w14:paraId="0D37CE1D" w14:textId="24797DA8"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1862B00D" w14:textId="01465409"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Lactate**</w:t>
            </w:r>
          </w:p>
        </w:tc>
        <w:tc>
          <w:tcPr>
            <w:tcW w:w="1080" w:type="dxa"/>
            <w:tcBorders>
              <w:top w:val="nil"/>
              <w:left w:val="nil"/>
              <w:bottom w:val="single" w:sz="4" w:space="0" w:color="auto"/>
              <w:right w:val="single" w:sz="4" w:space="0" w:color="auto"/>
            </w:tcBorders>
            <w:shd w:val="clear" w:color="auto" w:fill="auto"/>
            <w:noWrap/>
            <w:vAlign w:val="bottom"/>
            <w:hideMark/>
          </w:tcPr>
          <w:p w14:paraId="1D089E4B"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0.67</w:t>
            </w:r>
          </w:p>
        </w:tc>
        <w:tc>
          <w:tcPr>
            <w:tcW w:w="1266" w:type="dxa"/>
            <w:tcBorders>
              <w:top w:val="single" w:sz="4" w:space="0" w:color="auto"/>
              <w:left w:val="nil"/>
              <w:bottom w:val="single" w:sz="4" w:space="0" w:color="auto"/>
              <w:right w:val="single" w:sz="4" w:space="0" w:color="auto"/>
            </w:tcBorders>
            <w:vAlign w:val="bottom"/>
          </w:tcPr>
          <w:p w14:paraId="34E1E382" w14:textId="7B5961A1"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-0.038</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6EAD663B" w14:textId="5071B2B6"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0.29</w:t>
            </w:r>
          </w:p>
        </w:tc>
        <w:tc>
          <w:tcPr>
            <w:tcW w:w="1170" w:type="dxa"/>
            <w:tcBorders>
              <w:top w:val="nil"/>
              <w:left w:val="nil"/>
              <w:bottom w:val="single" w:sz="4" w:space="0" w:color="auto"/>
              <w:right w:val="single" w:sz="4" w:space="0" w:color="auto"/>
            </w:tcBorders>
            <w:vAlign w:val="bottom"/>
          </w:tcPr>
          <w:p w14:paraId="63D65FE9" w14:textId="392BCC4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0.0388</w:t>
            </w:r>
          </w:p>
        </w:tc>
      </w:tr>
      <w:tr w:rsidR="00385683" w:rsidRPr="005C3043" w14:paraId="183F841D" w14:textId="3B11E7C4"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0EAD892" w14:textId="267F6B5B"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Proline**</w:t>
            </w:r>
          </w:p>
        </w:tc>
        <w:tc>
          <w:tcPr>
            <w:tcW w:w="1080" w:type="dxa"/>
            <w:tcBorders>
              <w:top w:val="nil"/>
              <w:left w:val="nil"/>
              <w:bottom w:val="single" w:sz="4" w:space="0" w:color="auto"/>
              <w:right w:val="single" w:sz="4" w:space="0" w:color="auto"/>
            </w:tcBorders>
            <w:shd w:val="clear" w:color="auto" w:fill="auto"/>
            <w:noWrap/>
            <w:vAlign w:val="bottom"/>
            <w:hideMark/>
          </w:tcPr>
          <w:p w14:paraId="3C832F0F"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w:t>
            </w:r>
          </w:p>
        </w:tc>
        <w:tc>
          <w:tcPr>
            <w:tcW w:w="1266" w:type="dxa"/>
            <w:tcBorders>
              <w:top w:val="single" w:sz="4" w:space="0" w:color="auto"/>
              <w:left w:val="nil"/>
              <w:bottom w:val="single" w:sz="4" w:space="0" w:color="auto"/>
              <w:right w:val="single" w:sz="4" w:space="0" w:color="auto"/>
            </w:tcBorders>
            <w:vAlign w:val="bottom"/>
          </w:tcPr>
          <w:p w14:paraId="2A4AA38C" w14:textId="2F034E42"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0.084</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0FB11A02" w14:textId="19F36A88"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0.98</w:t>
            </w:r>
          </w:p>
        </w:tc>
        <w:tc>
          <w:tcPr>
            <w:tcW w:w="1170" w:type="dxa"/>
            <w:tcBorders>
              <w:top w:val="nil"/>
              <w:left w:val="nil"/>
              <w:bottom w:val="single" w:sz="4" w:space="0" w:color="auto"/>
              <w:right w:val="single" w:sz="4" w:space="0" w:color="auto"/>
            </w:tcBorders>
            <w:vAlign w:val="bottom"/>
          </w:tcPr>
          <w:p w14:paraId="38F52B29" w14:textId="58861833"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-0.0555</w:t>
            </w:r>
          </w:p>
        </w:tc>
      </w:tr>
      <w:tr w:rsidR="00385683" w:rsidRPr="005C3043" w14:paraId="63BC8857" w14:textId="69824B13"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57BC07A7" w14:textId="19EFFB11" w:rsidR="00385683" w:rsidRPr="000C3103" w:rsidRDefault="00385683" w:rsidP="00385683">
            <w:pPr>
              <w:rPr>
                <w:rFonts w:ascii="Times New Roman" w:hAnsi="Times New Roman" w:cs="Times New Roman"/>
                <w:color w:val="000000"/>
                <w:sz w:val="21"/>
                <w:szCs w:val="21"/>
              </w:rPr>
            </w:pPr>
            <w:proofErr w:type="spellStart"/>
            <w:r w:rsidRPr="000C3103">
              <w:rPr>
                <w:rFonts w:ascii="Times New Roman" w:hAnsi="Times New Roman" w:cs="Times New Roman"/>
                <w:color w:val="000000"/>
                <w:sz w:val="21"/>
                <w:szCs w:val="21"/>
              </w:rPr>
              <w:t>Guanidoacetic</w:t>
            </w:r>
            <w:proofErr w:type="spellEnd"/>
            <w:r w:rsidRPr="000C3103">
              <w:rPr>
                <w:rFonts w:ascii="Times New Roman" w:hAnsi="Times New Roman" w:cs="Times New Roman"/>
                <w:color w:val="000000"/>
                <w:sz w:val="21"/>
                <w:szCs w:val="21"/>
              </w:rPr>
              <w:t xml:space="preserve"> Acid**</w:t>
            </w:r>
          </w:p>
        </w:tc>
        <w:tc>
          <w:tcPr>
            <w:tcW w:w="1080" w:type="dxa"/>
            <w:tcBorders>
              <w:top w:val="nil"/>
              <w:left w:val="nil"/>
              <w:bottom w:val="single" w:sz="4" w:space="0" w:color="auto"/>
              <w:right w:val="single" w:sz="4" w:space="0" w:color="auto"/>
            </w:tcBorders>
            <w:shd w:val="clear" w:color="auto" w:fill="auto"/>
            <w:noWrap/>
            <w:vAlign w:val="bottom"/>
            <w:hideMark/>
          </w:tcPr>
          <w:p w14:paraId="637E7792"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0.12</w:t>
            </w:r>
          </w:p>
        </w:tc>
        <w:tc>
          <w:tcPr>
            <w:tcW w:w="1266" w:type="dxa"/>
            <w:tcBorders>
              <w:top w:val="single" w:sz="4" w:space="0" w:color="auto"/>
              <w:left w:val="nil"/>
              <w:bottom w:val="single" w:sz="4" w:space="0" w:color="auto"/>
              <w:right w:val="single" w:sz="4" w:space="0" w:color="auto"/>
            </w:tcBorders>
            <w:vAlign w:val="bottom"/>
          </w:tcPr>
          <w:p w14:paraId="075C9892" w14:textId="2CDDFBB1"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0.067</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05BDF715" w14:textId="1129B049"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0.19</w:t>
            </w:r>
          </w:p>
        </w:tc>
        <w:tc>
          <w:tcPr>
            <w:tcW w:w="1170" w:type="dxa"/>
            <w:tcBorders>
              <w:top w:val="nil"/>
              <w:left w:val="nil"/>
              <w:bottom w:val="single" w:sz="4" w:space="0" w:color="auto"/>
              <w:right w:val="single" w:sz="4" w:space="0" w:color="auto"/>
            </w:tcBorders>
            <w:vAlign w:val="bottom"/>
          </w:tcPr>
          <w:p w14:paraId="468714BC" w14:textId="67C568D9"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-0.0456</w:t>
            </w:r>
          </w:p>
        </w:tc>
      </w:tr>
      <w:tr w:rsidR="00385683" w:rsidRPr="005C3043" w14:paraId="751C00CE" w14:textId="4F7CB301"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52C755C9" w14:textId="7BA23C4B"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Succinate/Methylmalonate**</w:t>
            </w:r>
          </w:p>
        </w:tc>
        <w:tc>
          <w:tcPr>
            <w:tcW w:w="1080" w:type="dxa"/>
            <w:tcBorders>
              <w:top w:val="nil"/>
              <w:left w:val="nil"/>
              <w:bottom w:val="single" w:sz="4" w:space="0" w:color="auto"/>
              <w:right w:val="single" w:sz="4" w:space="0" w:color="auto"/>
            </w:tcBorders>
            <w:shd w:val="clear" w:color="auto" w:fill="auto"/>
            <w:noWrap/>
            <w:vAlign w:val="bottom"/>
            <w:hideMark/>
          </w:tcPr>
          <w:p w14:paraId="4432D43D"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0.52</w:t>
            </w:r>
          </w:p>
        </w:tc>
        <w:tc>
          <w:tcPr>
            <w:tcW w:w="1266" w:type="dxa"/>
            <w:tcBorders>
              <w:top w:val="single" w:sz="4" w:space="0" w:color="auto"/>
              <w:left w:val="nil"/>
              <w:bottom w:val="single" w:sz="4" w:space="0" w:color="auto"/>
              <w:right w:val="single" w:sz="4" w:space="0" w:color="auto"/>
            </w:tcBorders>
            <w:vAlign w:val="bottom"/>
          </w:tcPr>
          <w:p w14:paraId="5E280C63" w14:textId="31450565"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-0.027</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6D05084A" w14:textId="06F773F4"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0.77</w:t>
            </w:r>
          </w:p>
        </w:tc>
        <w:tc>
          <w:tcPr>
            <w:tcW w:w="1170" w:type="dxa"/>
            <w:tcBorders>
              <w:top w:val="nil"/>
              <w:left w:val="nil"/>
              <w:bottom w:val="single" w:sz="4" w:space="0" w:color="auto"/>
              <w:right w:val="single" w:sz="4" w:space="0" w:color="auto"/>
            </w:tcBorders>
            <w:vAlign w:val="bottom"/>
          </w:tcPr>
          <w:p w14:paraId="7DEBFE22" w14:textId="0BAEE8DC"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-0.0067</w:t>
            </w:r>
          </w:p>
        </w:tc>
      </w:tr>
      <w:tr w:rsidR="00385683" w:rsidRPr="005C3043" w14:paraId="0AE3CD72" w14:textId="0236F6F5"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4E57DDD7" w14:textId="76321D7D"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3-Hydroxyisovalerate**</w:t>
            </w:r>
          </w:p>
        </w:tc>
        <w:tc>
          <w:tcPr>
            <w:tcW w:w="1080" w:type="dxa"/>
            <w:tcBorders>
              <w:top w:val="nil"/>
              <w:left w:val="nil"/>
              <w:bottom w:val="single" w:sz="4" w:space="0" w:color="auto"/>
              <w:right w:val="single" w:sz="4" w:space="0" w:color="auto"/>
            </w:tcBorders>
            <w:shd w:val="clear" w:color="auto" w:fill="auto"/>
            <w:noWrap/>
            <w:vAlign w:val="bottom"/>
            <w:hideMark/>
          </w:tcPr>
          <w:p w14:paraId="1BE65674"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0.12</w:t>
            </w:r>
          </w:p>
        </w:tc>
        <w:tc>
          <w:tcPr>
            <w:tcW w:w="1266" w:type="dxa"/>
            <w:tcBorders>
              <w:top w:val="single" w:sz="4" w:space="0" w:color="auto"/>
              <w:left w:val="nil"/>
              <w:bottom w:val="single" w:sz="4" w:space="0" w:color="auto"/>
              <w:right w:val="single" w:sz="4" w:space="0" w:color="auto"/>
            </w:tcBorders>
            <w:vAlign w:val="bottom"/>
          </w:tcPr>
          <w:p w14:paraId="4EECC176" w14:textId="051815ED"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0.068</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6E8F4F58" w14:textId="3F7036A2"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0.96</w:t>
            </w:r>
          </w:p>
        </w:tc>
        <w:tc>
          <w:tcPr>
            <w:tcW w:w="1170" w:type="dxa"/>
            <w:tcBorders>
              <w:top w:val="nil"/>
              <w:left w:val="nil"/>
              <w:bottom w:val="single" w:sz="4" w:space="0" w:color="auto"/>
              <w:right w:val="single" w:sz="4" w:space="0" w:color="auto"/>
            </w:tcBorders>
            <w:vAlign w:val="bottom"/>
          </w:tcPr>
          <w:p w14:paraId="11ACBA65" w14:textId="2818DD13"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-0.0245</w:t>
            </w:r>
          </w:p>
        </w:tc>
      </w:tr>
      <w:tr w:rsidR="00385683" w:rsidRPr="005C3043" w14:paraId="515FD0D0" w14:textId="43F5D02E"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604D463C" w14:textId="3A8407F5"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Taurine**</w:t>
            </w:r>
          </w:p>
        </w:tc>
        <w:tc>
          <w:tcPr>
            <w:tcW w:w="1080" w:type="dxa"/>
            <w:tcBorders>
              <w:top w:val="nil"/>
              <w:left w:val="nil"/>
              <w:bottom w:val="single" w:sz="4" w:space="0" w:color="auto"/>
              <w:right w:val="single" w:sz="4" w:space="0" w:color="auto"/>
            </w:tcBorders>
            <w:shd w:val="clear" w:color="auto" w:fill="auto"/>
            <w:noWrap/>
            <w:vAlign w:val="bottom"/>
            <w:hideMark/>
          </w:tcPr>
          <w:p w14:paraId="0F8C5201"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0.33</w:t>
            </w:r>
          </w:p>
        </w:tc>
        <w:tc>
          <w:tcPr>
            <w:tcW w:w="1266" w:type="dxa"/>
            <w:tcBorders>
              <w:top w:val="single" w:sz="4" w:space="0" w:color="auto"/>
              <w:left w:val="nil"/>
              <w:bottom w:val="single" w:sz="4" w:space="0" w:color="auto"/>
              <w:right w:val="single" w:sz="4" w:space="0" w:color="auto"/>
            </w:tcBorders>
            <w:vAlign w:val="bottom"/>
          </w:tcPr>
          <w:p w14:paraId="0C3A1499" w14:textId="480DC1ED"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-0.0011</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15329A8D" w14:textId="47B1D4B6"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0.12</w:t>
            </w:r>
          </w:p>
        </w:tc>
        <w:tc>
          <w:tcPr>
            <w:tcW w:w="1170" w:type="dxa"/>
            <w:tcBorders>
              <w:top w:val="nil"/>
              <w:left w:val="nil"/>
              <w:bottom w:val="single" w:sz="4" w:space="0" w:color="auto"/>
              <w:right w:val="single" w:sz="4" w:space="0" w:color="auto"/>
            </w:tcBorders>
            <w:vAlign w:val="bottom"/>
          </w:tcPr>
          <w:p w14:paraId="48404B2E" w14:textId="78E9F3E4"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0.0279</w:t>
            </w:r>
          </w:p>
        </w:tc>
      </w:tr>
      <w:tr w:rsidR="00385683" w:rsidRPr="005C3043" w14:paraId="0F291EA7" w14:textId="4299D33B"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63DAA13D" w14:textId="40B35300" w:rsidR="00385683" w:rsidRPr="000C3103" w:rsidRDefault="00385683" w:rsidP="00385683">
            <w:pPr>
              <w:rPr>
                <w:rFonts w:ascii="Times New Roman" w:hAnsi="Times New Roman" w:cs="Times New Roman"/>
                <w:color w:val="000000"/>
                <w:sz w:val="21"/>
                <w:szCs w:val="21"/>
              </w:rPr>
            </w:pPr>
            <w:proofErr w:type="spellStart"/>
            <w:r w:rsidRPr="000C3103">
              <w:rPr>
                <w:rFonts w:ascii="Times New Roman" w:hAnsi="Times New Roman" w:cs="Times New Roman"/>
                <w:color w:val="000000"/>
                <w:sz w:val="21"/>
                <w:szCs w:val="21"/>
              </w:rPr>
              <w:t>Citraconate</w:t>
            </w:r>
            <w:proofErr w:type="spellEnd"/>
            <w:r w:rsidRPr="000C3103">
              <w:rPr>
                <w:rFonts w:ascii="Times New Roman" w:hAnsi="Times New Roman" w:cs="Times New Roman"/>
                <w:color w:val="000000"/>
                <w:sz w:val="21"/>
                <w:szCs w:val="21"/>
              </w:rPr>
              <w:t>**</w:t>
            </w:r>
          </w:p>
        </w:tc>
        <w:tc>
          <w:tcPr>
            <w:tcW w:w="1080" w:type="dxa"/>
            <w:tcBorders>
              <w:top w:val="nil"/>
              <w:left w:val="nil"/>
              <w:bottom w:val="single" w:sz="4" w:space="0" w:color="auto"/>
              <w:right w:val="single" w:sz="4" w:space="0" w:color="auto"/>
            </w:tcBorders>
            <w:shd w:val="clear" w:color="auto" w:fill="auto"/>
            <w:noWrap/>
            <w:vAlign w:val="bottom"/>
            <w:hideMark/>
          </w:tcPr>
          <w:p w14:paraId="55688DA8"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0.13</w:t>
            </w:r>
          </w:p>
        </w:tc>
        <w:tc>
          <w:tcPr>
            <w:tcW w:w="1266" w:type="dxa"/>
            <w:tcBorders>
              <w:top w:val="single" w:sz="4" w:space="0" w:color="auto"/>
              <w:left w:val="nil"/>
              <w:bottom w:val="single" w:sz="4" w:space="0" w:color="auto"/>
              <w:right w:val="single" w:sz="4" w:space="0" w:color="auto"/>
            </w:tcBorders>
            <w:vAlign w:val="bottom"/>
          </w:tcPr>
          <w:p w14:paraId="2296C613" w14:textId="080DCB64"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0.064</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270F4079" w14:textId="7A3A1DD1"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0.12</w:t>
            </w:r>
          </w:p>
        </w:tc>
        <w:tc>
          <w:tcPr>
            <w:tcW w:w="1170" w:type="dxa"/>
            <w:tcBorders>
              <w:top w:val="nil"/>
              <w:left w:val="nil"/>
              <w:bottom w:val="single" w:sz="4" w:space="0" w:color="auto"/>
              <w:right w:val="single" w:sz="4" w:space="0" w:color="auto"/>
            </w:tcBorders>
            <w:vAlign w:val="bottom"/>
          </w:tcPr>
          <w:p w14:paraId="22494F35" w14:textId="6CCC9B24"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-0.0518</w:t>
            </w:r>
          </w:p>
        </w:tc>
      </w:tr>
      <w:tr w:rsidR="00385683" w:rsidRPr="005C3043" w14:paraId="0525F1B6" w14:textId="4932BC6F" w:rsidTr="000C3103">
        <w:trPr>
          <w:trHeight w:val="312"/>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789A517" w14:textId="0C5F57AE" w:rsidR="00385683" w:rsidRPr="000C3103" w:rsidRDefault="00385683" w:rsidP="00385683">
            <w:pPr>
              <w:rPr>
                <w:rFonts w:ascii="Times New Roman" w:hAnsi="Times New Roman" w:cs="Times New Roman"/>
                <w:color w:val="000000"/>
                <w:sz w:val="21"/>
                <w:szCs w:val="21"/>
              </w:rPr>
            </w:pPr>
            <w:r w:rsidRPr="000C3103">
              <w:rPr>
                <w:rFonts w:ascii="Times New Roman" w:hAnsi="Times New Roman" w:cs="Times New Roman"/>
                <w:color w:val="000000"/>
                <w:sz w:val="21"/>
                <w:szCs w:val="21"/>
              </w:rPr>
              <w:t>Hydroxyproline**</w:t>
            </w:r>
          </w:p>
        </w:tc>
        <w:tc>
          <w:tcPr>
            <w:tcW w:w="1080" w:type="dxa"/>
            <w:tcBorders>
              <w:top w:val="nil"/>
              <w:left w:val="nil"/>
              <w:bottom w:val="single" w:sz="4" w:space="0" w:color="auto"/>
              <w:right w:val="single" w:sz="4" w:space="0" w:color="auto"/>
            </w:tcBorders>
            <w:shd w:val="clear" w:color="auto" w:fill="auto"/>
            <w:noWrap/>
            <w:vAlign w:val="bottom"/>
            <w:hideMark/>
          </w:tcPr>
          <w:p w14:paraId="368F3494" w14:textId="77777777"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0.04</w:t>
            </w:r>
          </w:p>
        </w:tc>
        <w:tc>
          <w:tcPr>
            <w:tcW w:w="1266" w:type="dxa"/>
            <w:tcBorders>
              <w:top w:val="single" w:sz="4" w:space="0" w:color="auto"/>
              <w:left w:val="nil"/>
              <w:bottom w:val="single" w:sz="4" w:space="0" w:color="auto"/>
              <w:right w:val="single" w:sz="4" w:space="0" w:color="auto"/>
            </w:tcBorders>
            <w:vAlign w:val="bottom"/>
          </w:tcPr>
          <w:p w14:paraId="5C53B56E" w14:textId="5B1132C4"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0.16</w:t>
            </w:r>
          </w:p>
        </w:tc>
        <w:tc>
          <w:tcPr>
            <w:tcW w:w="984" w:type="dxa"/>
            <w:tcBorders>
              <w:top w:val="nil"/>
              <w:left w:val="single" w:sz="4" w:space="0" w:color="auto"/>
              <w:bottom w:val="single" w:sz="4" w:space="0" w:color="auto"/>
              <w:right w:val="single" w:sz="4" w:space="0" w:color="auto"/>
            </w:tcBorders>
            <w:shd w:val="clear" w:color="auto" w:fill="auto"/>
            <w:noWrap/>
            <w:vAlign w:val="bottom"/>
            <w:hideMark/>
          </w:tcPr>
          <w:p w14:paraId="2EE0E7B6" w14:textId="444D160C" w:rsidR="00385683" w:rsidRPr="000C3103" w:rsidRDefault="00385683" w:rsidP="00385683">
            <w:pPr>
              <w:jc w:val="center"/>
              <w:rPr>
                <w:rFonts w:ascii="Times New Roman" w:hAnsi="Times New Roman" w:cs="Times New Roman"/>
                <w:color w:val="000000"/>
                <w:sz w:val="21"/>
                <w:szCs w:val="21"/>
              </w:rPr>
            </w:pPr>
            <w:r w:rsidRPr="000C3103">
              <w:rPr>
                <w:rFonts w:ascii="Times New Roman" w:hAnsi="Times New Roman" w:cs="Times New Roman"/>
                <w:color w:val="000000"/>
                <w:sz w:val="21"/>
                <w:szCs w:val="21"/>
              </w:rPr>
              <w:t>0.79</w:t>
            </w:r>
          </w:p>
        </w:tc>
        <w:tc>
          <w:tcPr>
            <w:tcW w:w="1170" w:type="dxa"/>
            <w:tcBorders>
              <w:top w:val="nil"/>
              <w:left w:val="nil"/>
              <w:bottom w:val="single" w:sz="4" w:space="0" w:color="auto"/>
              <w:right w:val="single" w:sz="4" w:space="0" w:color="auto"/>
            </w:tcBorders>
            <w:vAlign w:val="bottom"/>
          </w:tcPr>
          <w:p w14:paraId="3A73BE33" w14:textId="46CE5A0C"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0.1158</w:t>
            </w:r>
          </w:p>
        </w:tc>
      </w:tr>
    </w:tbl>
    <w:p w14:paraId="1BB67643" w14:textId="6F5A456B" w:rsidR="00125291" w:rsidRDefault="00125291" w:rsidP="00125291">
      <w:pPr>
        <w:rPr>
          <w:rFonts w:ascii="Times New Roman" w:hAnsi="Times New Roman" w:cs="Times New Roman"/>
          <w:b/>
          <w:sz w:val="16"/>
        </w:rPr>
      </w:pPr>
    </w:p>
    <w:p w14:paraId="75260CCF" w14:textId="4FC6539D" w:rsidR="00600C14" w:rsidRDefault="00600C14" w:rsidP="00125291">
      <w:pPr>
        <w:rPr>
          <w:rFonts w:ascii="Times New Roman" w:hAnsi="Times New Roman" w:cs="Times New Roman"/>
          <w:b/>
          <w:sz w:val="16"/>
        </w:rPr>
      </w:pPr>
    </w:p>
    <w:p w14:paraId="068295F7" w14:textId="5ABFD5BB" w:rsidR="00600C14" w:rsidRDefault="00600C14" w:rsidP="00125291">
      <w:pPr>
        <w:rPr>
          <w:rFonts w:ascii="Times New Roman" w:hAnsi="Times New Roman" w:cs="Times New Roman"/>
          <w:b/>
          <w:sz w:val="16"/>
        </w:rPr>
      </w:pPr>
    </w:p>
    <w:p w14:paraId="3FAE85F2" w14:textId="255561CB" w:rsidR="00600C14" w:rsidRDefault="00600C14" w:rsidP="00125291">
      <w:pPr>
        <w:rPr>
          <w:rFonts w:ascii="Times New Roman" w:hAnsi="Times New Roman" w:cs="Times New Roman"/>
          <w:b/>
          <w:sz w:val="16"/>
        </w:rPr>
      </w:pPr>
    </w:p>
    <w:p w14:paraId="57956A28" w14:textId="0867F07A" w:rsidR="00600C14" w:rsidRPr="00600C14" w:rsidRDefault="00600C14" w:rsidP="00125291">
      <w:pPr>
        <w:rPr>
          <w:rFonts w:ascii="Times New Roman" w:hAnsi="Times New Roman" w:cs="Times New Roman"/>
          <w:b/>
        </w:rPr>
      </w:pPr>
      <w:r w:rsidRPr="00600C14">
        <w:rPr>
          <w:rFonts w:ascii="Times New Roman" w:hAnsi="Times New Roman" w:cs="Times New Roman"/>
          <w:b/>
        </w:rPr>
        <w:lastRenderedPageBreak/>
        <w:t>Table 3 continued</w:t>
      </w:r>
    </w:p>
    <w:p w14:paraId="7C69361E" w14:textId="5C0DCE95" w:rsidR="00125291" w:rsidRPr="00A42976" w:rsidRDefault="00125291" w:rsidP="00125291">
      <w:pPr>
        <w:rPr>
          <w:rFonts w:ascii="Times New Roman" w:hAnsi="Times New Roman" w:cs="Times New Roman"/>
          <w:b/>
        </w:rPr>
      </w:pPr>
    </w:p>
    <w:tbl>
      <w:tblPr>
        <w:tblW w:w="8730" w:type="dxa"/>
        <w:tblInd w:w="-5" w:type="dxa"/>
        <w:tblLook w:val="04A0" w:firstRow="1" w:lastRow="0" w:firstColumn="1" w:lastColumn="0" w:noHBand="0" w:noVBand="1"/>
      </w:tblPr>
      <w:tblGrid>
        <w:gridCol w:w="4110"/>
        <w:gridCol w:w="1054"/>
        <w:gridCol w:w="1266"/>
        <w:gridCol w:w="963"/>
        <w:gridCol w:w="1337"/>
      </w:tblGrid>
      <w:tr w:rsidR="00603D3D" w:rsidRPr="005C3043" w14:paraId="1E5BB5F0" w14:textId="57CBE314" w:rsidTr="00DB7B0F">
        <w:trPr>
          <w:trHeight w:val="251"/>
        </w:trPr>
        <w:tc>
          <w:tcPr>
            <w:tcW w:w="41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1C848" w14:textId="77777777" w:rsidR="00566176" w:rsidRPr="00DB7B0F" w:rsidRDefault="00566176" w:rsidP="00566176">
            <w:pPr>
              <w:jc w:val="center"/>
              <w:rPr>
                <w:rFonts w:ascii="Times New Roman" w:hAnsi="Times New Roman" w:cs="Times New Roman"/>
                <w:b/>
                <w:color w:val="000000"/>
                <w:sz w:val="21"/>
                <w:szCs w:val="21"/>
              </w:rPr>
            </w:pPr>
            <w:r w:rsidRPr="00DB7B0F">
              <w:rPr>
                <w:rFonts w:ascii="Times New Roman" w:hAnsi="Times New Roman" w:cs="Times New Roman"/>
                <w:b/>
                <w:color w:val="000000"/>
                <w:sz w:val="21"/>
                <w:szCs w:val="21"/>
              </w:rPr>
              <w:t>Independent</w:t>
            </w:r>
          </w:p>
          <w:p w14:paraId="2C18DEB7" w14:textId="19DD36B8" w:rsidR="00566176" w:rsidRPr="00DB7B0F" w:rsidRDefault="00566176" w:rsidP="00603D3D">
            <w:pPr>
              <w:jc w:val="center"/>
              <w:rPr>
                <w:rFonts w:ascii="Times New Roman" w:hAnsi="Times New Roman" w:cs="Times New Roman"/>
                <w:bCs/>
                <w:color w:val="000000"/>
                <w:sz w:val="21"/>
                <w:szCs w:val="21"/>
              </w:rPr>
            </w:pPr>
            <w:r w:rsidRPr="00DB7B0F">
              <w:rPr>
                <w:rFonts w:ascii="Times New Roman" w:hAnsi="Times New Roman" w:cs="Times New Roman"/>
                <w:b/>
                <w:color w:val="000000"/>
                <w:sz w:val="21"/>
                <w:szCs w:val="21"/>
              </w:rPr>
              <w:t>Variable</w:t>
            </w:r>
          </w:p>
        </w:tc>
        <w:tc>
          <w:tcPr>
            <w:tcW w:w="1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24DA09" w14:textId="5DD40224" w:rsidR="00566176" w:rsidRPr="00DB7B0F" w:rsidRDefault="00566176" w:rsidP="00566176">
            <w:pPr>
              <w:jc w:val="center"/>
              <w:rPr>
                <w:rFonts w:ascii="Times New Roman" w:hAnsi="Times New Roman" w:cs="Times New Roman"/>
                <w:b/>
                <w:bCs/>
                <w:color w:val="000000"/>
                <w:sz w:val="21"/>
                <w:szCs w:val="21"/>
                <w:vertAlign w:val="superscript"/>
              </w:rPr>
            </w:pPr>
            <w:r w:rsidRPr="00DB7B0F">
              <w:rPr>
                <w:rFonts w:ascii="Times New Roman" w:hAnsi="Times New Roman" w:cs="Times New Roman"/>
                <w:b/>
                <w:color w:val="000000"/>
                <w:sz w:val="21"/>
                <w:szCs w:val="21"/>
              </w:rPr>
              <w:t>Oocyte ATP (</w:t>
            </w:r>
            <w:proofErr w:type="spellStart"/>
            <w:r w:rsidRPr="00DB7B0F">
              <w:rPr>
                <w:rFonts w:ascii="Times New Roman" w:hAnsi="Times New Roman" w:cs="Times New Roman"/>
                <w:b/>
                <w:color w:val="000000"/>
                <w:sz w:val="21"/>
                <w:szCs w:val="21"/>
              </w:rPr>
              <w:t>pg</w:t>
            </w:r>
            <w:proofErr w:type="spellEnd"/>
            <w:r w:rsidRPr="00DB7B0F">
              <w:rPr>
                <w:rFonts w:ascii="Times New Roman" w:hAnsi="Times New Roman" w:cs="Times New Roman"/>
                <w:b/>
                <w:color w:val="000000"/>
                <w:sz w:val="21"/>
                <w:szCs w:val="21"/>
              </w:rPr>
              <w:t>)</w:t>
            </w:r>
          </w:p>
        </w:tc>
        <w:tc>
          <w:tcPr>
            <w:tcW w:w="1257" w:type="dxa"/>
            <w:tcBorders>
              <w:top w:val="single" w:sz="4" w:space="0" w:color="auto"/>
              <w:left w:val="nil"/>
              <w:bottom w:val="single" w:sz="4" w:space="0" w:color="auto"/>
              <w:right w:val="single" w:sz="4" w:space="0" w:color="auto"/>
            </w:tcBorders>
            <w:vAlign w:val="center"/>
          </w:tcPr>
          <w:p w14:paraId="32EC2E9E" w14:textId="762E452A" w:rsidR="00566176" w:rsidRPr="00DB7B0F" w:rsidRDefault="00566176" w:rsidP="00566176">
            <w:pPr>
              <w:jc w:val="center"/>
              <w:rPr>
                <w:rFonts w:ascii="Times New Roman" w:hAnsi="Times New Roman" w:cs="Times New Roman"/>
                <w:b/>
                <w:color w:val="000000"/>
                <w:sz w:val="21"/>
                <w:szCs w:val="21"/>
              </w:rPr>
            </w:pPr>
            <w:r w:rsidRPr="00DB7B0F">
              <w:rPr>
                <w:rFonts w:ascii="Times New Roman" w:hAnsi="Times New Roman" w:cs="Times New Roman"/>
                <w:b/>
                <w:color w:val="000000"/>
                <w:sz w:val="21"/>
                <w:szCs w:val="21"/>
              </w:rPr>
              <w:t xml:space="preserve">ATP </w:t>
            </w:r>
            <w:r w:rsidR="00385683" w:rsidRPr="00DB7B0F">
              <w:rPr>
                <w:rFonts w:ascii="Times New Roman" w:hAnsi="Times New Roman" w:cs="Times New Roman"/>
                <w:b/>
                <w:color w:val="000000"/>
                <w:sz w:val="21"/>
                <w:szCs w:val="21"/>
              </w:rPr>
              <w:t>Correlation</w:t>
            </w:r>
          </w:p>
        </w:tc>
        <w:tc>
          <w:tcPr>
            <w:tcW w:w="95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DCD7705" w14:textId="67EA5AA6" w:rsidR="00566176" w:rsidRPr="00DB7B0F" w:rsidRDefault="00566176" w:rsidP="00566176">
            <w:pPr>
              <w:jc w:val="center"/>
              <w:rPr>
                <w:rFonts w:ascii="Times New Roman" w:hAnsi="Times New Roman" w:cs="Times New Roman"/>
                <w:b/>
                <w:bCs/>
                <w:color w:val="000000"/>
                <w:sz w:val="21"/>
                <w:szCs w:val="21"/>
                <w:vertAlign w:val="superscript"/>
              </w:rPr>
            </w:pPr>
            <w:r w:rsidRPr="00DB7B0F">
              <w:rPr>
                <w:rFonts w:ascii="Times New Roman" w:hAnsi="Times New Roman" w:cs="Times New Roman"/>
                <w:b/>
                <w:color w:val="000000"/>
                <w:sz w:val="21"/>
                <w:szCs w:val="21"/>
              </w:rPr>
              <w:t xml:space="preserve">Oocyte </w:t>
            </w:r>
            <w:proofErr w:type="spellStart"/>
            <w:r w:rsidRPr="00DB7B0F">
              <w:rPr>
                <w:rFonts w:ascii="Times New Roman" w:hAnsi="Times New Roman" w:cs="Times New Roman"/>
                <w:b/>
                <w:color w:val="000000"/>
                <w:sz w:val="21"/>
                <w:szCs w:val="21"/>
              </w:rPr>
              <w:t>mtDNA</w:t>
            </w:r>
            <w:proofErr w:type="spellEnd"/>
            <w:r w:rsidRPr="00DB7B0F">
              <w:rPr>
                <w:rFonts w:ascii="Times New Roman" w:hAnsi="Times New Roman" w:cs="Times New Roman"/>
                <w:b/>
                <w:color w:val="000000"/>
                <w:sz w:val="21"/>
                <w:szCs w:val="21"/>
              </w:rPr>
              <w:t xml:space="preserve"> Copy Number</w:t>
            </w:r>
          </w:p>
        </w:tc>
        <w:tc>
          <w:tcPr>
            <w:tcW w:w="1352" w:type="dxa"/>
            <w:tcBorders>
              <w:top w:val="single" w:sz="4" w:space="0" w:color="auto"/>
              <w:left w:val="nil"/>
              <w:bottom w:val="single" w:sz="4" w:space="0" w:color="auto"/>
              <w:right w:val="single" w:sz="4" w:space="0" w:color="000000"/>
            </w:tcBorders>
            <w:vAlign w:val="center"/>
          </w:tcPr>
          <w:p w14:paraId="43D35EB7" w14:textId="163C76BD" w:rsidR="00566176" w:rsidRPr="00DB7B0F" w:rsidRDefault="00566176" w:rsidP="00566176">
            <w:pPr>
              <w:jc w:val="center"/>
              <w:rPr>
                <w:rFonts w:ascii="Times New Roman" w:hAnsi="Times New Roman" w:cs="Times New Roman"/>
                <w:b/>
                <w:color w:val="000000"/>
                <w:sz w:val="21"/>
                <w:szCs w:val="21"/>
              </w:rPr>
            </w:pPr>
            <w:proofErr w:type="spellStart"/>
            <w:r w:rsidRPr="00DB7B0F">
              <w:rPr>
                <w:rFonts w:ascii="Times New Roman" w:hAnsi="Times New Roman" w:cs="Times New Roman"/>
                <w:b/>
                <w:color w:val="000000"/>
                <w:sz w:val="21"/>
                <w:szCs w:val="21"/>
              </w:rPr>
              <w:t>mtDNA</w:t>
            </w:r>
            <w:proofErr w:type="spellEnd"/>
            <w:r w:rsidRPr="00DB7B0F">
              <w:rPr>
                <w:rFonts w:ascii="Times New Roman" w:hAnsi="Times New Roman" w:cs="Times New Roman"/>
                <w:b/>
                <w:color w:val="000000"/>
                <w:sz w:val="21"/>
                <w:szCs w:val="21"/>
              </w:rPr>
              <w:t xml:space="preserve"> Copy Number </w:t>
            </w:r>
            <w:r w:rsidR="00385683" w:rsidRPr="00DB7B0F">
              <w:rPr>
                <w:rFonts w:ascii="Times New Roman" w:hAnsi="Times New Roman" w:cs="Times New Roman"/>
                <w:b/>
                <w:color w:val="000000"/>
                <w:sz w:val="21"/>
                <w:szCs w:val="21"/>
              </w:rPr>
              <w:t>Correlation</w:t>
            </w:r>
          </w:p>
        </w:tc>
      </w:tr>
      <w:tr w:rsidR="00385683" w:rsidRPr="005C3043" w14:paraId="67439690" w14:textId="0D44FBAC" w:rsidTr="00DB7B0F">
        <w:trPr>
          <w:trHeight w:val="312"/>
        </w:trPr>
        <w:tc>
          <w:tcPr>
            <w:tcW w:w="41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5F77BA" w14:textId="32694A97" w:rsidR="00385683" w:rsidRPr="00DB7B0F" w:rsidRDefault="00385683" w:rsidP="0038568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Asparagine**</w:t>
            </w:r>
          </w:p>
        </w:tc>
        <w:tc>
          <w:tcPr>
            <w:tcW w:w="1054" w:type="dxa"/>
            <w:tcBorders>
              <w:top w:val="single" w:sz="4" w:space="0" w:color="auto"/>
              <w:left w:val="nil"/>
              <w:bottom w:val="single" w:sz="4" w:space="0" w:color="auto"/>
              <w:right w:val="single" w:sz="4" w:space="0" w:color="auto"/>
            </w:tcBorders>
            <w:shd w:val="clear" w:color="auto" w:fill="auto"/>
            <w:noWrap/>
            <w:vAlign w:val="bottom"/>
            <w:hideMark/>
          </w:tcPr>
          <w:p w14:paraId="4C80F59C"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0.12</w:t>
            </w:r>
          </w:p>
        </w:tc>
        <w:tc>
          <w:tcPr>
            <w:tcW w:w="1257" w:type="dxa"/>
            <w:tcBorders>
              <w:top w:val="single" w:sz="4" w:space="0" w:color="auto"/>
              <w:left w:val="nil"/>
              <w:bottom w:val="single" w:sz="4" w:space="0" w:color="auto"/>
              <w:right w:val="single" w:sz="4" w:space="0" w:color="auto"/>
            </w:tcBorders>
            <w:vAlign w:val="bottom"/>
          </w:tcPr>
          <w:p w14:paraId="5B748A6F" w14:textId="7E948150"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0.068</w:t>
            </w:r>
          </w:p>
        </w:tc>
        <w:tc>
          <w:tcPr>
            <w:tcW w:w="9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5B2FC0" w14:textId="020380E5"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0.87</w:t>
            </w:r>
          </w:p>
        </w:tc>
        <w:tc>
          <w:tcPr>
            <w:tcW w:w="1352" w:type="dxa"/>
            <w:tcBorders>
              <w:top w:val="single" w:sz="4" w:space="0" w:color="auto"/>
              <w:left w:val="nil"/>
              <w:bottom w:val="single" w:sz="4" w:space="0" w:color="auto"/>
              <w:right w:val="single" w:sz="4" w:space="0" w:color="auto"/>
            </w:tcBorders>
            <w:vAlign w:val="bottom"/>
          </w:tcPr>
          <w:p w14:paraId="2A779EB2" w14:textId="1489710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-0.054</w:t>
            </w:r>
          </w:p>
        </w:tc>
      </w:tr>
      <w:tr w:rsidR="00385683" w:rsidRPr="005C3043" w14:paraId="42D9391F" w14:textId="2D6ECCA1"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26F40CE6" w14:textId="466F2EF5" w:rsidR="00385683" w:rsidRPr="00DB7B0F" w:rsidRDefault="00385683" w:rsidP="0038568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Homocysteine**</w:t>
            </w:r>
          </w:p>
        </w:tc>
        <w:tc>
          <w:tcPr>
            <w:tcW w:w="1054" w:type="dxa"/>
            <w:tcBorders>
              <w:top w:val="nil"/>
              <w:left w:val="nil"/>
              <w:bottom w:val="single" w:sz="4" w:space="0" w:color="auto"/>
              <w:right w:val="single" w:sz="4" w:space="0" w:color="auto"/>
            </w:tcBorders>
            <w:shd w:val="clear" w:color="auto" w:fill="auto"/>
            <w:noWrap/>
            <w:vAlign w:val="bottom"/>
            <w:hideMark/>
          </w:tcPr>
          <w:p w14:paraId="7B9F8D52"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0.45</w:t>
            </w:r>
          </w:p>
        </w:tc>
        <w:tc>
          <w:tcPr>
            <w:tcW w:w="1257" w:type="dxa"/>
            <w:tcBorders>
              <w:top w:val="single" w:sz="4" w:space="0" w:color="auto"/>
              <w:left w:val="nil"/>
              <w:bottom w:val="single" w:sz="4" w:space="0" w:color="auto"/>
              <w:right w:val="single" w:sz="4" w:space="0" w:color="auto"/>
            </w:tcBorders>
            <w:vAlign w:val="bottom"/>
          </w:tcPr>
          <w:p w14:paraId="5B872F26" w14:textId="00D064F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-0.019</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32FD84B7" w14:textId="057102DB"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0.85</w:t>
            </w:r>
          </w:p>
        </w:tc>
        <w:tc>
          <w:tcPr>
            <w:tcW w:w="1352" w:type="dxa"/>
            <w:tcBorders>
              <w:top w:val="nil"/>
              <w:left w:val="nil"/>
              <w:bottom w:val="single" w:sz="4" w:space="0" w:color="auto"/>
              <w:right w:val="single" w:sz="4" w:space="0" w:color="auto"/>
            </w:tcBorders>
            <w:vAlign w:val="bottom"/>
          </w:tcPr>
          <w:p w14:paraId="0EACF7FC" w14:textId="77C1D2B6"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-0.053</w:t>
            </w:r>
          </w:p>
        </w:tc>
      </w:tr>
      <w:tr w:rsidR="00385683" w:rsidRPr="005C3043" w14:paraId="535673BD" w14:textId="7881691E"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22712F88" w14:textId="49010024" w:rsidR="00385683" w:rsidRPr="00DB7B0F" w:rsidRDefault="00385683" w:rsidP="00385683">
            <w:pPr>
              <w:rPr>
                <w:rFonts w:ascii="Times New Roman" w:hAnsi="Times New Roman" w:cs="Times New Roman"/>
                <w:color w:val="000000"/>
                <w:sz w:val="21"/>
                <w:szCs w:val="21"/>
              </w:rPr>
            </w:pPr>
            <w:proofErr w:type="spellStart"/>
            <w:r w:rsidRPr="00DB7B0F">
              <w:rPr>
                <w:rFonts w:ascii="Times New Roman" w:hAnsi="Times New Roman" w:cs="Times New Roman"/>
                <w:color w:val="000000"/>
                <w:sz w:val="21"/>
                <w:szCs w:val="21"/>
              </w:rPr>
              <w:t>Phosphorylethanolamine*</w:t>
            </w:r>
            <w:proofErr w:type="spellEnd"/>
            <w:r w:rsidRPr="00DB7B0F">
              <w:rPr>
                <w:rFonts w:ascii="Times New Roman" w:hAnsi="Times New Roman" w:cs="Times New Roman"/>
                <w:color w:val="000000"/>
                <w:sz w:val="21"/>
                <w:szCs w:val="21"/>
              </w:rPr>
              <w:t>*</w:t>
            </w:r>
          </w:p>
        </w:tc>
        <w:tc>
          <w:tcPr>
            <w:tcW w:w="1054" w:type="dxa"/>
            <w:tcBorders>
              <w:top w:val="nil"/>
              <w:left w:val="nil"/>
              <w:bottom w:val="single" w:sz="4" w:space="0" w:color="auto"/>
              <w:right w:val="single" w:sz="4" w:space="0" w:color="auto"/>
            </w:tcBorders>
            <w:shd w:val="clear" w:color="auto" w:fill="auto"/>
            <w:noWrap/>
            <w:vAlign w:val="bottom"/>
            <w:hideMark/>
          </w:tcPr>
          <w:p w14:paraId="6B394301"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0.6</w:t>
            </w:r>
          </w:p>
        </w:tc>
        <w:tc>
          <w:tcPr>
            <w:tcW w:w="1257" w:type="dxa"/>
            <w:tcBorders>
              <w:top w:val="single" w:sz="4" w:space="0" w:color="auto"/>
              <w:left w:val="nil"/>
              <w:bottom w:val="single" w:sz="4" w:space="0" w:color="auto"/>
              <w:right w:val="single" w:sz="4" w:space="0" w:color="auto"/>
            </w:tcBorders>
            <w:vAlign w:val="bottom"/>
          </w:tcPr>
          <w:p w14:paraId="048BE9C5" w14:textId="40432434"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-0.034</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0ECC6BF6" w14:textId="6E4913DD"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w:t>
            </w:r>
          </w:p>
        </w:tc>
        <w:tc>
          <w:tcPr>
            <w:tcW w:w="1352" w:type="dxa"/>
            <w:tcBorders>
              <w:top w:val="nil"/>
              <w:left w:val="nil"/>
              <w:bottom w:val="single" w:sz="4" w:space="0" w:color="auto"/>
              <w:right w:val="single" w:sz="4" w:space="0" w:color="auto"/>
            </w:tcBorders>
            <w:vAlign w:val="bottom"/>
          </w:tcPr>
          <w:p w14:paraId="17AA9CE9" w14:textId="4E76769B"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0.17</w:t>
            </w:r>
          </w:p>
        </w:tc>
      </w:tr>
      <w:tr w:rsidR="00385683" w:rsidRPr="005C3043" w14:paraId="7091453A" w14:textId="47CD1688"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36A2FC6B" w14:textId="175C3F9C" w:rsidR="00385683" w:rsidRPr="00DB7B0F" w:rsidRDefault="00385683" w:rsidP="0038568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Lysine**</w:t>
            </w:r>
          </w:p>
        </w:tc>
        <w:tc>
          <w:tcPr>
            <w:tcW w:w="1054" w:type="dxa"/>
            <w:tcBorders>
              <w:top w:val="nil"/>
              <w:left w:val="nil"/>
              <w:bottom w:val="single" w:sz="4" w:space="0" w:color="auto"/>
              <w:right w:val="single" w:sz="4" w:space="0" w:color="auto"/>
            </w:tcBorders>
            <w:shd w:val="clear" w:color="auto" w:fill="auto"/>
            <w:noWrap/>
            <w:vAlign w:val="bottom"/>
            <w:hideMark/>
          </w:tcPr>
          <w:p w14:paraId="25BA57C9"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0.3</w:t>
            </w:r>
          </w:p>
        </w:tc>
        <w:tc>
          <w:tcPr>
            <w:tcW w:w="1257" w:type="dxa"/>
            <w:tcBorders>
              <w:top w:val="single" w:sz="4" w:space="0" w:color="auto"/>
              <w:left w:val="nil"/>
              <w:bottom w:val="single" w:sz="4" w:space="0" w:color="auto"/>
              <w:right w:val="single" w:sz="4" w:space="0" w:color="auto"/>
            </w:tcBorders>
            <w:vAlign w:val="bottom"/>
          </w:tcPr>
          <w:p w14:paraId="41CF1E80" w14:textId="3E848D8B"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0.006</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78C6755C" w14:textId="5D347DE8"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0.81</w:t>
            </w:r>
          </w:p>
        </w:tc>
        <w:tc>
          <w:tcPr>
            <w:tcW w:w="1352" w:type="dxa"/>
            <w:tcBorders>
              <w:top w:val="nil"/>
              <w:left w:val="nil"/>
              <w:bottom w:val="single" w:sz="4" w:space="0" w:color="auto"/>
              <w:right w:val="single" w:sz="4" w:space="0" w:color="auto"/>
            </w:tcBorders>
            <w:vAlign w:val="bottom"/>
          </w:tcPr>
          <w:p w14:paraId="21E64AC8" w14:textId="6B57D835"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w:t>
            </w:r>
          </w:p>
        </w:tc>
      </w:tr>
      <w:tr w:rsidR="00385683" w:rsidRPr="005C3043" w14:paraId="344EC2D9" w14:textId="0313E148"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1019B730" w14:textId="749F1E59" w:rsidR="00385683" w:rsidRPr="00DB7B0F" w:rsidRDefault="00385683" w:rsidP="00385683">
            <w:pPr>
              <w:rPr>
                <w:rFonts w:ascii="Times New Roman" w:hAnsi="Times New Roman" w:cs="Times New Roman"/>
                <w:color w:val="000000"/>
                <w:sz w:val="21"/>
                <w:szCs w:val="21"/>
              </w:rPr>
            </w:pPr>
            <w:proofErr w:type="spellStart"/>
            <w:r w:rsidRPr="00DB7B0F">
              <w:rPr>
                <w:rFonts w:ascii="Times New Roman" w:hAnsi="Times New Roman" w:cs="Times New Roman"/>
                <w:color w:val="000000"/>
                <w:sz w:val="21"/>
                <w:szCs w:val="21"/>
              </w:rPr>
              <w:t>Hydroxyphenylacetate</w:t>
            </w:r>
            <w:proofErr w:type="spellEnd"/>
            <w:r w:rsidRPr="00DB7B0F">
              <w:rPr>
                <w:rFonts w:ascii="Times New Roman" w:hAnsi="Times New Roman" w:cs="Times New Roman"/>
                <w:color w:val="000000"/>
                <w:sz w:val="21"/>
                <w:szCs w:val="21"/>
              </w:rPr>
              <w:t>**</w:t>
            </w:r>
          </w:p>
        </w:tc>
        <w:tc>
          <w:tcPr>
            <w:tcW w:w="1054" w:type="dxa"/>
            <w:tcBorders>
              <w:top w:val="nil"/>
              <w:left w:val="nil"/>
              <w:bottom w:val="single" w:sz="4" w:space="0" w:color="auto"/>
              <w:right w:val="single" w:sz="4" w:space="0" w:color="auto"/>
            </w:tcBorders>
            <w:shd w:val="clear" w:color="auto" w:fill="auto"/>
            <w:noWrap/>
            <w:vAlign w:val="bottom"/>
            <w:hideMark/>
          </w:tcPr>
          <w:p w14:paraId="45955C51" w14:textId="77777777" w:rsidR="00385683" w:rsidRPr="00DB7B0F" w:rsidRDefault="00385683" w:rsidP="00385683">
            <w:pPr>
              <w:jc w:val="center"/>
              <w:rPr>
                <w:rFonts w:ascii="Times New Roman" w:hAnsi="Times New Roman" w:cs="Times New Roman"/>
                <w:color w:val="000000"/>
                <w:sz w:val="21"/>
                <w:szCs w:val="21"/>
                <w:vertAlign w:val="superscript"/>
              </w:rPr>
            </w:pPr>
            <w:r w:rsidRPr="00DB7B0F">
              <w:rPr>
                <w:rFonts w:ascii="Times New Roman" w:hAnsi="Times New Roman" w:cs="Times New Roman"/>
                <w:color w:val="000000"/>
                <w:sz w:val="21"/>
                <w:szCs w:val="21"/>
              </w:rPr>
              <w:t>0.42</w:t>
            </w:r>
          </w:p>
        </w:tc>
        <w:tc>
          <w:tcPr>
            <w:tcW w:w="1257" w:type="dxa"/>
            <w:tcBorders>
              <w:top w:val="single" w:sz="4" w:space="0" w:color="auto"/>
              <w:left w:val="nil"/>
              <w:bottom w:val="single" w:sz="4" w:space="0" w:color="auto"/>
              <w:right w:val="single" w:sz="4" w:space="0" w:color="auto"/>
            </w:tcBorders>
            <w:vAlign w:val="bottom"/>
          </w:tcPr>
          <w:p w14:paraId="159D1323" w14:textId="6AD0AB3E"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-0.015</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0E036BE4" w14:textId="34575678"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0.71</w:t>
            </w:r>
          </w:p>
        </w:tc>
        <w:tc>
          <w:tcPr>
            <w:tcW w:w="1352" w:type="dxa"/>
            <w:tcBorders>
              <w:top w:val="nil"/>
              <w:left w:val="nil"/>
              <w:bottom w:val="single" w:sz="4" w:space="0" w:color="auto"/>
              <w:right w:val="single" w:sz="4" w:space="0" w:color="auto"/>
            </w:tcBorders>
            <w:vAlign w:val="bottom"/>
          </w:tcPr>
          <w:p w14:paraId="2CB6407A" w14:textId="24D735D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-0.048</w:t>
            </w:r>
          </w:p>
        </w:tc>
      </w:tr>
      <w:tr w:rsidR="00385683" w:rsidRPr="005C3043" w14:paraId="0E057EB0" w14:textId="03C3D8E2"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4C95E170" w14:textId="44C5D592" w:rsidR="00385683" w:rsidRPr="00DB7B0F" w:rsidRDefault="00385683" w:rsidP="0038568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Xylitol**</w:t>
            </w:r>
          </w:p>
        </w:tc>
        <w:tc>
          <w:tcPr>
            <w:tcW w:w="1054" w:type="dxa"/>
            <w:tcBorders>
              <w:top w:val="nil"/>
              <w:left w:val="nil"/>
              <w:bottom w:val="single" w:sz="4" w:space="0" w:color="auto"/>
              <w:right w:val="single" w:sz="4" w:space="0" w:color="auto"/>
            </w:tcBorders>
            <w:shd w:val="clear" w:color="auto" w:fill="auto"/>
            <w:noWrap/>
            <w:vAlign w:val="bottom"/>
            <w:hideMark/>
          </w:tcPr>
          <w:p w14:paraId="2CF66107"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0.75</w:t>
            </w:r>
          </w:p>
        </w:tc>
        <w:tc>
          <w:tcPr>
            <w:tcW w:w="1257" w:type="dxa"/>
            <w:tcBorders>
              <w:top w:val="single" w:sz="4" w:space="0" w:color="auto"/>
              <w:left w:val="nil"/>
              <w:bottom w:val="single" w:sz="4" w:space="0" w:color="auto"/>
              <w:right w:val="single" w:sz="4" w:space="0" w:color="auto"/>
            </w:tcBorders>
            <w:vAlign w:val="bottom"/>
          </w:tcPr>
          <w:p w14:paraId="6B3F77D7" w14:textId="624646E2"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-0.042</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02F50D22" w14:textId="24B913F6"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0.32</w:t>
            </w:r>
          </w:p>
        </w:tc>
        <w:tc>
          <w:tcPr>
            <w:tcW w:w="1352" w:type="dxa"/>
            <w:tcBorders>
              <w:top w:val="nil"/>
              <w:left w:val="nil"/>
              <w:bottom w:val="single" w:sz="4" w:space="0" w:color="auto"/>
              <w:right w:val="single" w:sz="4" w:space="0" w:color="auto"/>
            </w:tcBorders>
            <w:vAlign w:val="bottom"/>
          </w:tcPr>
          <w:p w14:paraId="0B63F640" w14:textId="47A48548"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0.0034</w:t>
            </w:r>
          </w:p>
        </w:tc>
      </w:tr>
      <w:tr w:rsidR="00385683" w:rsidRPr="005C3043" w14:paraId="4EB30BF4" w14:textId="38B0372E"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03D9D54C" w14:textId="00F7FD87" w:rsidR="00385683" w:rsidRPr="00DB7B0F" w:rsidRDefault="00385683" w:rsidP="0038568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2-3-Dihydroxybenzoate**</w:t>
            </w:r>
          </w:p>
        </w:tc>
        <w:tc>
          <w:tcPr>
            <w:tcW w:w="1054" w:type="dxa"/>
            <w:tcBorders>
              <w:top w:val="nil"/>
              <w:left w:val="nil"/>
              <w:bottom w:val="single" w:sz="4" w:space="0" w:color="auto"/>
              <w:right w:val="single" w:sz="4" w:space="0" w:color="auto"/>
            </w:tcBorders>
            <w:shd w:val="clear" w:color="auto" w:fill="auto"/>
            <w:noWrap/>
            <w:vAlign w:val="bottom"/>
            <w:hideMark/>
          </w:tcPr>
          <w:p w14:paraId="56D8874B"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0.69</w:t>
            </w:r>
          </w:p>
        </w:tc>
        <w:tc>
          <w:tcPr>
            <w:tcW w:w="1257" w:type="dxa"/>
            <w:tcBorders>
              <w:top w:val="single" w:sz="4" w:space="0" w:color="auto"/>
              <w:left w:val="nil"/>
              <w:bottom w:val="single" w:sz="4" w:space="0" w:color="auto"/>
              <w:right w:val="single" w:sz="4" w:space="0" w:color="auto"/>
            </w:tcBorders>
            <w:vAlign w:val="bottom"/>
          </w:tcPr>
          <w:p w14:paraId="3BECC1B2" w14:textId="3D1A328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-0.039</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4BCB3B69" w14:textId="6B1912A2"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0.7</w:t>
            </w:r>
          </w:p>
        </w:tc>
        <w:tc>
          <w:tcPr>
            <w:tcW w:w="1352" w:type="dxa"/>
            <w:tcBorders>
              <w:top w:val="nil"/>
              <w:left w:val="nil"/>
              <w:bottom w:val="single" w:sz="4" w:space="0" w:color="auto"/>
              <w:right w:val="single" w:sz="4" w:space="0" w:color="auto"/>
            </w:tcBorders>
            <w:vAlign w:val="bottom"/>
          </w:tcPr>
          <w:p w14:paraId="5B419F53" w14:textId="685A62A4"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-0.047</w:t>
            </w:r>
          </w:p>
        </w:tc>
      </w:tr>
      <w:tr w:rsidR="00385683" w:rsidRPr="005C3043" w14:paraId="0D6B01D4" w14:textId="004D5C77"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45DE5D31" w14:textId="083F56F7" w:rsidR="00385683" w:rsidRPr="00DB7B0F" w:rsidRDefault="00385683" w:rsidP="0038568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Histidine**</w:t>
            </w:r>
          </w:p>
        </w:tc>
        <w:tc>
          <w:tcPr>
            <w:tcW w:w="1054" w:type="dxa"/>
            <w:tcBorders>
              <w:top w:val="nil"/>
              <w:left w:val="nil"/>
              <w:bottom w:val="single" w:sz="4" w:space="0" w:color="auto"/>
              <w:right w:val="single" w:sz="4" w:space="0" w:color="auto"/>
            </w:tcBorders>
            <w:shd w:val="clear" w:color="auto" w:fill="auto"/>
            <w:noWrap/>
            <w:vAlign w:val="bottom"/>
            <w:hideMark/>
          </w:tcPr>
          <w:p w14:paraId="7EA9FA90"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0.43</w:t>
            </w:r>
          </w:p>
        </w:tc>
        <w:tc>
          <w:tcPr>
            <w:tcW w:w="1257" w:type="dxa"/>
            <w:tcBorders>
              <w:top w:val="single" w:sz="4" w:space="0" w:color="auto"/>
              <w:left w:val="nil"/>
              <w:bottom w:val="single" w:sz="4" w:space="0" w:color="auto"/>
              <w:right w:val="single" w:sz="4" w:space="0" w:color="auto"/>
            </w:tcBorders>
            <w:vAlign w:val="bottom"/>
          </w:tcPr>
          <w:p w14:paraId="0553C6E5" w14:textId="310BE360"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-0.017</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59FE5761" w14:textId="341ADB1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0.72</w:t>
            </w:r>
          </w:p>
        </w:tc>
        <w:tc>
          <w:tcPr>
            <w:tcW w:w="1352" w:type="dxa"/>
            <w:tcBorders>
              <w:top w:val="nil"/>
              <w:left w:val="nil"/>
              <w:bottom w:val="single" w:sz="4" w:space="0" w:color="auto"/>
              <w:right w:val="single" w:sz="4" w:space="0" w:color="auto"/>
            </w:tcBorders>
            <w:vAlign w:val="bottom"/>
          </w:tcPr>
          <w:p w14:paraId="32E0F29C" w14:textId="736096CC"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-0.048</w:t>
            </w:r>
          </w:p>
        </w:tc>
      </w:tr>
      <w:tr w:rsidR="00385683" w:rsidRPr="005C3043" w14:paraId="18D1D97A" w14:textId="66BD8CB3"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5D31D078" w14:textId="549F8F0A" w:rsidR="00385683" w:rsidRPr="00DB7B0F" w:rsidRDefault="00385683" w:rsidP="0038568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Orotate**</w:t>
            </w:r>
          </w:p>
        </w:tc>
        <w:tc>
          <w:tcPr>
            <w:tcW w:w="1054" w:type="dxa"/>
            <w:tcBorders>
              <w:top w:val="nil"/>
              <w:left w:val="nil"/>
              <w:bottom w:val="single" w:sz="4" w:space="0" w:color="auto"/>
              <w:right w:val="single" w:sz="4" w:space="0" w:color="auto"/>
            </w:tcBorders>
            <w:shd w:val="clear" w:color="auto" w:fill="auto"/>
            <w:noWrap/>
            <w:vAlign w:val="bottom"/>
            <w:hideMark/>
          </w:tcPr>
          <w:p w14:paraId="5B177D1C"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0.59</w:t>
            </w:r>
          </w:p>
        </w:tc>
        <w:tc>
          <w:tcPr>
            <w:tcW w:w="1257" w:type="dxa"/>
            <w:tcBorders>
              <w:top w:val="single" w:sz="4" w:space="0" w:color="auto"/>
              <w:left w:val="nil"/>
              <w:bottom w:val="single" w:sz="4" w:space="0" w:color="auto"/>
              <w:right w:val="single" w:sz="4" w:space="0" w:color="auto"/>
            </w:tcBorders>
            <w:vAlign w:val="bottom"/>
          </w:tcPr>
          <w:p w14:paraId="61FD2343" w14:textId="5F0DEDF0"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-0.033</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2F277C21" w14:textId="787CACC6"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0.96</w:t>
            </w:r>
          </w:p>
        </w:tc>
        <w:tc>
          <w:tcPr>
            <w:tcW w:w="1352" w:type="dxa"/>
            <w:tcBorders>
              <w:top w:val="nil"/>
              <w:left w:val="nil"/>
              <w:bottom w:val="single" w:sz="4" w:space="0" w:color="auto"/>
              <w:right w:val="single" w:sz="4" w:space="0" w:color="auto"/>
            </w:tcBorders>
            <w:vAlign w:val="bottom"/>
          </w:tcPr>
          <w:p w14:paraId="10CBA604" w14:textId="5B86030C"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-0.055</w:t>
            </w:r>
          </w:p>
        </w:tc>
      </w:tr>
      <w:tr w:rsidR="00385683" w:rsidRPr="005C3043" w14:paraId="27CE50E5" w14:textId="670436F6"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4590EED8" w14:textId="781EE762" w:rsidR="00385683" w:rsidRPr="00DB7B0F" w:rsidRDefault="00385683" w:rsidP="0038568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Methionine Sulfoxide**</w:t>
            </w:r>
          </w:p>
        </w:tc>
        <w:tc>
          <w:tcPr>
            <w:tcW w:w="1054" w:type="dxa"/>
            <w:tcBorders>
              <w:top w:val="nil"/>
              <w:left w:val="nil"/>
              <w:bottom w:val="single" w:sz="4" w:space="0" w:color="auto"/>
              <w:right w:val="single" w:sz="4" w:space="0" w:color="auto"/>
            </w:tcBorders>
            <w:shd w:val="clear" w:color="auto" w:fill="auto"/>
            <w:noWrap/>
            <w:vAlign w:val="bottom"/>
            <w:hideMark/>
          </w:tcPr>
          <w:p w14:paraId="64279FEB"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0.07</w:t>
            </w:r>
          </w:p>
        </w:tc>
        <w:tc>
          <w:tcPr>
            <w:tcW w:w="1257" w:type="dxa"/>
            <w:tcBorders>
              <w:top w:val="single" w:sz="4" w:space="0" w:color="auto"/>
              <w:left w:val="nil"/>
              <w:bottom w:val="single" w:sz="4" w:space="0" w:color="auto"/>
              <w:right w:val="single" w:sz="4" w:space="0" w:color="auto"/>
            </w:tcBorders>
            <w:vAlign w:val="bottom"/>
          </w:tcPr>
          <w:p w14:paraId="1829B1E1" w14:textId="6A07A6BA"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0.11</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5F2EF733" w14:textId="39AC0ADE"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0.73</w:t>
            </w:r>
          </w:p>
        </w:tc>
        <w:tc>
          <w:tcPr>
            <w:tcW w:w="1352" w:type="dxa"/>
            <w:tcBorders>
              <w:top w:val="nil"/>
              <w:left w:val="nil"/>
              <w:bottom w:val="single" w:sz="4" w:space="0" w:color="auto"/>
              <w:right w:val="single" w:sz="4" w:space="0" w:color="auto"/>
            </w:tcBorders>
            <w:vAlign w:val="bottom"/>
          </w:tcPr>
          <w:p w14:paraId="27BD6039" w14:textId="3F2FD5C6"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-0.048</w:t>
            </w:r>
          </w:p>
        </w:tc>
      </w:tr>
      <w:tr w:rsidR="00385683" w:rsidRPr="005C3043" w14:paraId="64CE204D" w14:textId="22F25B72"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31023437" w14:textId="2BC9CDF1" w:rsidR="00385683" w:rsidRPr="00DB7B0F" w:rsidRDefault="00385683" w:rsidP="00385683">
            <w:pPr>
              <w:rPr>
                <w:rFonts w:ascii="Times New Roman" w:hAnsi="Times New Roman" w:cs="Times New Roman"/>
                <w:color w:val="000000"/>
                <w:sz w:val="21"/>
                <w:szCs w:val="21"/>
              </w:rPr>
            </w:pPr>
            <w:proofErr w:type="spellStart"/>
            <w:r w:rsidRPr="00DB7B0F">
              <w:rPr>
                <w:rFonts w:ascii="Times New Roman" w:hAnsi="Times New Roman" w:cs="Times New Roman"/>
                <w:color w:val="000000"/>
                <w:sz w:val="21"/>
                <w:szCs w:val="21"/>
              </w:rPr>
              <w:t>Quinolinate</w:t>
            </w:r>
            <w:proofErr w:type="spellEnd"/>
            <w:r w:rsidRPr="00DB7B0F">
              <w:rPr>
                <w:rFonts w:ascii="Times New Roman" w:hAnsi="Times New Roman" w:cs="Times New Roman"/>
                <w:color w:val="000000"/>
                <w:sz w:val="21"/>
                <w:szCs w:val="21"/>
              </w:rPr>
              <w:t>**</w:t>
            </w:r>
          </w:p>
        </w:tc>
        <w:tc>
          <w:tcPr>
            <w:tcW w:w="1054" w:type="dxa"/>
            <w:tcBorders>
              <w:top w:val="nil"/>
              <w:left w:val="nil"/>
              <w:bottom w:val="single" w:sz="4" w:space="0" w:color="auto"/>
              <w:right w:val="single" w:sz="4" w:space="0" w:color="auto"/>
            </w:tcBorders>
            <w:shd w:val="clear" w:color="auto" w:fill="auto"/>
            <w:noWrap/>
            <w:vAlign w:val="bottom"/>
            <w:hideMark/>
          </w:tcPr>
          <w:p w14:paraId="3C99DF59"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0.68</w:t>
            </w:r>
          </w:p>
        </w:tc>
        <w:tc>
          <w:tcPr>
            <w:tcW w:w="1257" w:type="dxa"/>
            <w:tcBorders>
              <w:top w:val="single" w:sz="4" w:space="0" w:color="auto"/>
              <w:left w:val="nil"/>
              <w:bottom w:val="single" w:sz="4" w:space="0" w:color="auto"/>
              <w:right w:val="single" w:sz="4" w:space="0" w:color="auto"/>
            </w:tcBorders>
            <w:vAlign w:val="bottom"/>
          </w:tcPr>
          <w:p w14:paraId="2078B2CC" w14:textId="30A0906E"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-0.039</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761A2A1A" w14:textId="6D458E80"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0.9</w:t>
            </w:r>
          </w:p>
        </w:tc>
        <w:tc>
          <w:tcPr>
            <w:tcW w:w="1352" w:type="dxa"/>
            <w:tcBorders>
              <w:top w:val="nil"/>
              <w:left w:val="nil"/>
              <w:bottom w:val="single" w:sz="4" w:space="0" w:color="auto"/>
              <w:right w:val="single" w:sz="4" w:space="0" w:color="auto"/>
            </w:tcBorders>
            <w:vAlign w:val="bottom"/>
          </w:tcPr>
          <w:p w14:paraId="46AADD36" w14:textId="6CBB881A"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-0.055</w:t>
            </w:r>
          </w:p>
        </w:tc>
      </w:tr>
      <w:tr w:rsidR="00385683" w:rsidRPr="005C3043" w14:paraId="30105544" w14:textId="3B43D173"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52BA29B9" w14:textId="5E66E0C5" w:rsidR="00385683" w:rsidRPr="00DB7B0F" w:rsidRDefault="00385683" w:rsidP="0038568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Phosphoenolpyruvate**</w:t>
            </w:r>
          </w:p>
        </w:tc>
        <w:tc>
          <w:tcPr>
            <w:tcW w:w="1054" w:type="dxa"/>
            <w:tcBorders>
              <w:top w:val="nil"/>
              <w:left w:val="nil"/>
              <w:bottom w:val="single" w:sz="4" w:space="0" w:color="auto"/>
              <w:right w:val="single" w:sz="4" w:space="0" w:color="auto"/>
            </w:tcBorders>
            <w:shd w:val="clear" w:color="auto" w:fill="auto"/>
            <w:noWrap/>
            <w:vAlign w:val="bottom"/>
            <w:hideMark/>
          </w:tcPr>
          <w:p w14:paraId="4ADF92CC"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0.83</w:t>
            </w:r>
          </w:p>
        </w:tc>
        <w:tc>
          <w:tcPr>
            <w:tcW w:w="1257" w:type="dxa"/>
            <w:tcBorders>
              <w:top w:val="single" w:sz="4" w:space="0" w:color="auto"/>
              <w:left w:val="nil"/>
              <w:bottom w:val="single" w:sz="4" w:space="0" w:color="auto"/>
              <w:right w:val="single" w:sz="4" w:space="0" w:color="auto"/>
            </w:tcBorders>
            <w:vAlign w:val="bottom"/>
          </w:tcPr>
          <w:p w14:paraId="5A684076" w14:textId="42942442"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-0.045</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7E0F67DC" w14:textId="4E52D2A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0.31</w:t>
            </w:r>
          </w:p>
        </w:tc>
        <w:tc>
          <w:tcPr>
            <w:tcW w:w="1352" w:type="dxa"/>
            <w:tcBorders>
              <w:top w:val="nil"/>
              <w:left w:val="nil"/>
              <w:bottom w:val="single" w:sz="4" w:space="0" w:color="auto"/>
              <w:right w:val="single" w:sz="4" w:space="0" w:color="auto"/>
            </w:tcBorders>
            <w:vAlign w:val="bottom"/>
          </w:tcPr>
          <w:p w14:paraId="33C7070A" w14:textId="65C22032"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0.0044</w:t>
            </w:r>
          </w:p>
        </w:tc>
      </w:tr>
      <w:tr w:rsidR="00385683" w:rsidRPr="005C3043" w14:paraId="25F9D8B5" w14:textId="25EC34A7"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7DA3CC5E" w14:textId="0CF642A1" w:rsidR="00385683" w:rsidRPr="00DB7B0F" w:rsidRDefault="00385683" w:rsidP="00385683">
            <w:pPr>
              <w:rPr>
                <w:rFonts w:ascii="Times New Roman" w:hAnsi="Times New Roman" w:cs="Times New Roman"/>
                <w:color w:val="000000"/>
                <w:sz w:val="21"/>
                <w:szCs w:val="21"/>
              </w:rPr>
            </w:pPr>
            <w:proofErr w:type="spellStart"/>
            <w:r w:rsidRPr="00DB7B0F">
              <w:rPr>
                <w:rFonts w:ascii="Times New Roman" w:hAnsi="Times New Roman" w:cs="Times New Roman"/>
                <w:color w:val="000000"/>
                <w:sz w:val="21"/>
                <w:szCs w:val="21"/>
              </w:rPr>
              <w:t>Sulfolactate</w:t>
            </w:r>
            <w:proofErr w:type="spellEnd"/>
            <w:r w:rsidRPr="00DB7B0F">
              <w:rPr>
                <w:rFonts w:ascii="Times New Roman" w:hAnsi="Times New Roman" w:cs="Times New Roman"/>
                <w:color w:val="000000"/>
                <w:sz w:val="21"/>
                <w:szCs w:val="21"/>
              </w:rPr>
              <w:t>**</w:t>
            </w:r>
          </w:p>
        </w:tc>
        <w:tc>
          <w:tcPr>
            <w:tcW w:w="1054" w:type="dxa"/>
            <w:tcBorders>
              <w:top w:val="nil"/>
              <w:left w:val="nil"/>
              <w:bottom w:val="single" w:sz="4" w:space="0" w:color="auto"/>
              <w:right w:val="single" w:sz="4" w:space="0" w:color="auto"/>
            </w:tcBorders>
            <w:shd w:val="clear" w:color="auto" w:fill="auto"/>
            <w:noWrap/>
            <w:vAlign w:val="bottom"/>
            <w:hideMark/>
          </w:tcPr>
          <w:p w14:paraId="0FE43AF9"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0.33</w:t>
            </w:r>
          </w:p>
        </w:tc>
        <w:tc>
          <w:tcPr>
            <w:tcW w:w="1257" w:type="dxa"/>
            <w:tcBorders>
              <w:top w:val="single" w:sz="4" w:space="0" w:color="auto"/>
              <w:left w:val="nil"/>
              <w:bottom w:val="single" w:sz="4" w:space="0" w:color="auto"/>
              <w:right w:val="single" w:sz="4" w:space="0" w:color="auto"/>
            </w:tcBorders>
            <w:vAlign w:val="bottom"/>
          </w:tcPr>
          <w:p w14:paraId="2FD58FB0" w14:textId="54218A2E"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0.0004</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41B709A5" w14:textId="62E96BB3"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0.34</w:t>
            </w:r>
          </w:p>
        </w:tc>
        <w:tc>
          <w:tcPr>
            <w:tcW w:w="1352" w:type="dxa"/>
            <w:tcBorders>
              <w:top w:val="nil"/>
              <w:left w:val="nil"/>
              <w:bottom w:val="single" w:sz="4" w:space="0" w:color="auto"/>
              <w:right w:val="single" w:sz="4" w:space="0" w:color="auto"/>
            </w:tcBorders>
            <w:vAlign w:val="bottom"/>
          </w:tcPr>
          <w:p w14:paraId="71ACA675" w14:textId="0E1609D5"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-0.0027</w:t>
            </w:r>
          </w:p>
        </w:tc>
      </w:tr>
      <w:tr w:rsidR="00385683" w:rsidRPr="005C3043" w14:paraId="5DE5EA9C" w14:textId="6CB1E0B3"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7CFB6274" w14:textId="3A7A9D6D" w:rsidR="00385683" w:rsidRPr="00DB7B0F" w:rsidRDefault="00385683" w:rsidP="0038568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SN-Glycerol-3-Phosphate**</w:t>
            </w:r>
          </w:p>
        </w:tc>
        <w:tc>
          <w:tcPr>
            <w:tcW w:w="1054" w:type="dxa"/>
            <w:tcBorders>
              <w:top w:val="nil"/>
              <w:left w:val="nil"/>
              <w:bottom w:val="single" w:sz="4" w:space="0" w:color="auto"/>
              <w:right w:val="single" w:sz="4" w:space="0" w:color="auto"/>
            </w:tcBorders>
            <w:shd w:val="clear" w:color="auto" w:fill="auto"/>
            <w:noWrap/>
            <w:vAlign w:val="bottom"/>
            <w:hideMark/>
          </w:tcPr>
          <w:p w14:paraId="52FD0003"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0.65</w:t>
            </w:r>
          </w:p>
        </w:tc>
        <w:tc>
          <w:tcPr>
            <w:tcW w:w="1257" w:type="dxa"/>
            <w:tcBorders>
              <w:top w:val="single" w:sz="4" w:space="0" w:color="auto"/>
              <w:left w:val="nil"/>
              <w:bottom w:val="single" w:sz="4" w:space="0" w:color="auto"/>
              <w:right w:val="single" w:sz="4" w:space="0" w:color="auto"/>
            </w:tcBorders>
            <w:vAlign w:val="bottom"/>
          </w:tcPr>
          <w:p w14:paraId="42D2B73C" w14:textId="25BEF9F4"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-0.037</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4EF6674E" w14:textId="1A978B96"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0.92</w:t>
            </w:r>
          </w:p>
        </w:tc>
        <w:tc>
          <w:tcPr>
            <w:tcW w:w="1352" w:type="dxa"/>
            <w:tcBorders>
              <w:top w:val="nil"/>
              <w:left w:val="nil"/>
              <w:bottom w:val="single" w:sz="4" w:space="0" w:color="auto"/>
              <w:right w:val="single" w:sz="4" w:space="0" w:color="auto"/>
            </w:tcBorders>
            <w:vAlign w:val="bottom"/>
          </w:tcPr>
          <w:p w14:paraId="7F0619C0" w14:textId="434E04D5"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-0.055</w:t>
            </w:r>
          </w:p>
        </w:tc>
      </w:tr>
      <w:tr w:rsidR="00385683" w:rsidRPr="005C3043" w14:paraId="1C3FF469" w14:textId="33E21893"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58664341" w14:textId="05DE4145" w:rsidR="00385683" w:rsidRPr="00DB7B0F" w:rsidRDefault="00385683" w:rsidP="0038568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Aconitate**</w:t>
            </w:r>
          </w:p>
        </w:tc>
        <w:tc>
          <w:tcPr>
            <w:tcW w:w="1054" w:type="dxa"/>
            <w:tcBorders>
              <w:top w:val="nil"/>
              <w:left w:val="nil"/>
              <w:bottom w:val="single" w:sz="4" w:space="0" w:color="auto"/>
              <w:right w:val="single" w:sz="4" w:space="0" w:color="auto"/>
            </w:tcBorders>
            <w:shd w:val="clear" w:color="auto" w:fill="auto"/>
            <w:noWrap/>
            <w:vAlign w:val="bottom"/>
            <w:hideMark/>
          </w:tcPr>
          <w:p w14:paraId="662EF39F"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0.6</w:t>
            </w:r>
          </w:p>
        </w:tc>
        <w:tc>
          <w:tcPr>
            <w:tcW w:w="1257" w:type="dxa"/>
            <w:tcBorders>
              <w:top w:val="single" w:sz="4" w:space="0" w:color="auto"/>
              <w:left w:val="nil"/>
              <w:bottom w:val="single" w:sz="4" w:space="0" w:color="auto"/>
              <w:right w:val="single" w:sz="4" w:space="0" w:color="auto"/>
            </w:tcBorders>
            <w:vAlign w:val="bottom"/>
          </w:tcPr>
          <w:p w14:paraId="58FE8EB8" w14:textId="409AFB18"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-0.034</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324500E4" w14:textId="2FAB4839"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0.68</w:t>
            </w:r>
          </w:p>
        </w:tc>
        <w:tc>
          <w:tcPr>
            <w:tcW w:w="1352" w:type="dxa"/>
            <w:tcBorders>
              <w:top w:val="nil"/>
              <w:left w:val="nil"/>
              <w:bottom w:val="single" w:sz="4" w:space="0" w:color="auto"/>
              <w:right w:val="single" w:sz="4" w:space="0" w:color="auto"/>
            </w:tcBorders>
            <w:vAlign w:val="bottom"/>
          </w:tcPr>
          <w:p w14:paraId="03D58F81" w14:textId="3EC02216"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-0.046</w:t>
            </w:r>
          </w:p>
        </w:tc>
      </w:tr>
      <w:tr w:rsidR="00385683" w:rsidRPr="005C3043" w14:paraId="47025C3B" w14:textId="526AEF73"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5C9021DB" w14:textId="2C3B9C0C" w:rsidR="00385683" w:rsidRPr="00DB7B0F" w:rsidRDefault="00385683" w:rsidP="0038568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N-Carbamoyl-L-Aspartate**</w:t>
            </w:r>
          </w:p>
        </w:tc>
        <w:tc>
          <w:tcPr>
            <w:tcW w:w="1054" w:type="dxa"/>
            <w:tcBorders>
              <w:top w:val="nil"/>
              <w:left w:val="nil"/>
              <w:bottom w:val="single" w:sz="4" w:space="0" w:color="auto"/>
              <w:right w:val="single" w:sz="4" w:space="0" w:color="auto"/>
            </w:tcBorders>
            <w:shd w:val="clear" w:color="auto" w:fill="auto"/>
            <w:noWrap/>
            <w:vAlign w:val="bottom"/>
            <w:hideMark/>
          </w:tcPr>
          <w:p w14:paraId="206FB3DD"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0.16</w:t>
            </w:r>
          </w:p>
        </w:tc>
        <w:tc>
          <w:tcPr>
            <w:tcW w:w="1257" w:type="dxa"/>
            <w:tcBorders>
              <w:top w:val="single" w:sz="4" w:space="0" w:color="auto"/>
              <w:left w:val="nil"/>
              <w:bottom w:val="single" w:sz="4" w:space="0" w:color="auto"/>
              <w:right w:val="single" w:sz="4" w:space="0" w:color="auto"/>
            </w:tcBorders>
            <w:vAlign w:val="bottom"/>
          </w:tcPr>
          <w:p w14:paraId="6A69C6B1" w14:textId="149F8EE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0.048</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7853EEF0" w14:textId="37FC703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0.86</w:t>
            </w:r>
          </w:p>
        </w:tc>
        <w:tc>
          <w:tcPr>
            <w:tcW w:w="1352" w:type="dxa"/>
            <w:tcBorders>
              <w:top w:val="nil"/>
              <w:left w:val="nil"/>
              <w:bottom w:val="single" w:sz="4" w:space="0" w:color="auto"/>
              <w:right w:val="single" w:sz="4" w:space="0" w:color="auto"/>
            </w:tcBorders>
            <w:vAlign w:val="bottom"/>
          </w:tcPr>
          <w:p w14:paraId="6B70FE58" w14:textId="7C101060"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-0.054</w:t>
            </w:r>
          </w:p>
        </w:tc>
      </w:tr>
      <w:tr w:rsidR="00385683" w:rsidRPr="005C3043" w14:paraId="6A8AD23E" w14:textId="03CA117E"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409924C4" w14:textId="79A78F91" w:rsidR="00385683" w:rsidRPr="00DB7B0F" w:rsidRDefault="00385683" w:rsidP="00385683">
            <w:pPr>
              <w:rPr>
                <w:rFonts w:ascii="Times New Roman" w:hAnsi="Times New Roman" w:cs="Times New Roman"/>
                <w:color w:val="000000"/>
                <w:sz w:val="21"/>
                <w:szCs w:val="21"/>
              </w:rPr>
            </w:pPr>
            <w:proofErr w:type="spellStart"/>
            <w:r w:rsidRPr="00DB7B0F">
              <w:rPr>
                <w:rFonts w:ascii="Times New Roman" w:hAnsi="Times New Roman" w:cs="Times New Roman"/>
                <w:color w:val="000000"/>
                <w:sz w:val="21"/>
                <w:szCs w:val="21"/>
              </w:rPr>
              <w:t>Allantoate</w:t>
            </w:r>
            <w:proofErr w:type="spellEnd"/>
            <w:r w:rsidRPr="00DB7B0F">
              <w:rPr>
                <w:rFonts w:ascii="Times New Roman" w:hAnsi="Times New Roman" w:cs="Times New Roman"/>
                <w:color w:val="000000"/>
                <w:sz w:val="21"/>
                <w:szCs w:val="21"/>
              </w:rPr>
              <w:t>**</w:t>
            </w:r>
          </w:p>
        </w:tc>
        <w:tc>
          <w:tcPr>
            <w:tcW w:w="1054" w:type="dxa"/>
            <w:tcBorders>
              <w:top w:val="nil"/>
              <w:left w:val="nil"/>
              <w:bottom w:val="single" w:sz="4" w:space="0" w:color="auto"/>
              <w:right w:val="single" w:sz="4" w:space="0" w:color="auto"/>
            </w:tcBorders>
            <w:shd w:val="clear" w:color="auto" w:fill="auto"/>
            <w:noWrap/>
            <w:vAlign w:val="bottom"/>
            <w:hideMark/>
          </w:tcPr>
          <w:p w14:paraId="4E244B2B"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0.36</w:t>
            </w:r>
          </w:p>
        </w:tc>
        <w:tc>
          <w:tcPr>
            <w:tcW w:w="1257" w:type="dxa"/>
            <w:tcBorders>
              <w:top w:val="single" w:sz="4" w:space="0" w:color="auto"/>
              <w:left w:val="nil"/>
              <w:bottom w:val="single" w:sz="4" w:space="0" w:color="auto"/>
              <w:right w:val="single" w:sz="4" w:space="0" w:color="auto"/>
            </w:tcBorders>
            <w:vAlign w:val="bottom"/>
          </w:tcPr>
          <w:p w14:paraId="3FEF105A" w14:textId="26B3A2F8"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-0.0063</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616493E6" w14:textId="66F77FCF"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0.89</w:t>
            </w:r>
          </w:p>
        </w:tc>
        <w:tc>
          <w:tcPr>
            <w:tcW w:w="1352" w:type="dxa"/>
            <w:tcBorders>
              <w:top w:val="nil"/>
              <w:left w:val="nil"/>
              <w:bottom w:val="single" w:sz="4" w:space="0" w:color="auto"/>
              <w:right w:val="single" w:sz="4" w:space="0" w:color="auto"/>
            </w:tcBorders>
            <w:vAlign w:val="bottom"/>
          </w:tcPr>
          <w:p w14:paraId="7A0DC2B2" w14:textId="0F513D32"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-0.054</w:t>
            </w:r>
          </w:p>
        </w:tc>
      </w:tr>
      <w:tr w:rsidR="00385683" w:rsidRPr="005C3043" w14:paraId="11A7BA76" w14:textId="26BDE825"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6AB07FBE" w14:textId="3B2AF28B" w:rsidR="00385683" w:rsidRPr="00DB7B0F" w:rsidRDefault="00385683" w:rsidP="0038568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Myo-Inositol**</w:t>
            </w:r>
          </w:p>
        </w:tc>
        <w:tc>
          <w:tcPr>
            <w:tcW w:w="1054" w:type="dxa"/>
            <w:tcBorders>
              <w:top w:val="nil"/>
              <w:left w:val="nil"/>
              <w:bottom w:val="single" w:sz="4" w:space="0" w:color="auto"/>
              <w:right w:val="single" w:sz="4" w:space="0" w:color="auto"/>
            </w:tcBorders>
            <w:shd w:val="clear" w:color="auto" w:fill="auto"/>
            <w:noWrap/>
            <w:vAlign w:val="bottom"/>
            <w:hideMark/>
          </w:tcPr>
          <w:p w14:paraId="10219975"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0.45</w:t>
            </w:r>
          </w:p>
        </w:tc>
        <w:tc>
          <w:tcPr>
            <w:tcW w:w="1257" w:type="dxa"/>
            <w:tcBorders>
              <w:top w:val="single" w:sz="4" w:space="0" w:color="auto"/>
              <w:left w:val="nil"/>
              <w:bottom w:val="single" w:sz="4" w:space="0" w:color="auto"/>
              <w:right w:val="single" w:sz="4" w:space="0" w:color="auto"/>
            </w:tcBorders>
            <w:vAlign w:val="bottom"/>
          </w:tcPr>
          <w:p w14:paraId="2487AE6B" w14:textId="1B2618E8"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-0.019</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7408D386" w14:textId="6B9DEC86"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0.36</w:t>
            </w:r>
          </w:p>
        </w:tc>
        <w:tc>
          <w:tcPr>
            <w:tcW w:w="1352" w:type="dxa"/>
            <w:tcBorders>
              <w:top w:val="nil"/>
              <w:left w:val="nil"/>
              <w:bottom w:val="single" w:sz="4" w:space="0" w:color="auto"/>
              <w:right w:val="single" w:sz="4" w:space="0" w:color="auto"/>
            </w:tcBorders>
            <w:vAlign w:val="bottom"/>
          </w:tcPr>
          <w:p w14:paraId="5E7F9108" w14:textId="2BC8D4E5"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-0.0064</w:t>
            </w:r>
          </w:p>
        </w:tc>
      </w:tr>
      <w:tr w:rsidR="00385683" w:rsidRPr="005C3043" w14:paraId="262CA446" w14:textId="4501C190"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6AA9013A" w14:textId="310580CC" w:rsidR="00385683" w:rsidRPr="00DB7B0F" w:rsidRDefault="00385683" w:rsidP="0038568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Tyrosine**</w:t>
            </w:r>
          </w:p>
        </w:tc>
        <w:tc>
          <w:tcPr>
            <w:tcW w:w="1054" w:type="dxa"/>
            <w:tcBorders>
              <w:top w:val="nil"/>
              <w:left w:val="nil"/>
              <w:bottom w:val="single" w:sz="4" w:space="0" w:color="auto"/>
              <w:right w:val="single" w:sz="4" w:space="0" w:color="auto"/>
            </w:tcBorders>
            <w:shd w:val="clear" w:color="auto" w:fill="auto"/>
            <w:noWrap/>
            <w:vAlign w:val="bottom"/>
            <w:hideMark/>
          </w:tcPr>
          <w:p w14:paraId="70A10F65"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0.3</w:t>
            </w:r>
          </w:p>
        </w:tc>
        <w:tc>
          <w:tcPr>
            <w:tcW w:w="1257" w:type="dxa"/>
            <w:tcBorders>
              <w:top w:val="single" w:sz="4" w:space="0" w:color="auto"/>
              <w:left w:val="nil"/>
              <w:bottom w:val="single" w:sz="4" w:space="0" w:color="auto"/>
              <w:right w:val="single" w:sz="4" w:space="0" w:color="auto"/>
            </w:tcBorders>
            <w:vAlign w:val="bottom"/>
          </w:tcPr>
          <w:p w14:paraId="6FCA17AB" w14:textId="19227AB1"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0.006</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6DD88329" w14:textId="6B712CA1"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0.71</w:t>
            </w:r>
          </w:p>
        </w:tc>
        <w:tc>
          <w:tcPr>
            <w:tcW w:w="1352" w:type="dxa"/>
            <w:tcBorders>
              <w:top w:val="nil"/>
              <w:left w:val="nil"/>
              <w:bottom w:val="single" w:sz="4" w:space="0" w:color="auto"/>
              <w:right w:val="single" w:sz="4" w:space="0" w:color="auto"/>
            </w:tcBorders>
            <w:vAlign w:val="bottom"/>
          </w:tcPr>
          <w:p w14:paraId="6F6B945D" w14:textId="4B49A8A6"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-0.047</w:t>
            </w:r>
          </w:p>
        </w:tc>
      </w:tr>
      <w:tr w:rsidR="00385683" w:rsidRPr="005C3043" w14:paraId="79A8B6F8" w14:textId="22CFD42D"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19A6C5F5" w14:textId="6AB4B15F" w:rsidR="00385683" w:rsidRPr="00DB7B0F" w:rsidRDefault="00385683" w:rsidP="00385683">
            <w:pPr>
              <w:rPr>
                <w:rFonts w:ascii="Times New Roman" w:hAnsi="Times New Roman" w:cs="Times New Roman"/>
                <w:color w:val="000000"/>
                <w:sz w:val="21"/>
                <w:szCs w:val="21"/>
              </w:rPr>
            </w:pPr>
            <w:proofErr w:type="spellStart"/>
            <w:r w:rsidRPr="00DB7B0F">
              <w:rPr>
                <w:rFonts w:ascii="Times New Roman" w:hAnsi="Times New Roman" w:cs="Times New Roman"/>
                <w:color w:val="000000"/>
                <w:sz w:val="21"/>
                <w:szCs w:val="21"/>
              </w:rPr>
              <w:t>Acetyllysine</w:t>
            </w:r>
            <w:proofErr w:type="spellEnd"/>
            <w:r w:rsidRPr="00DB7B0F">
              <w:rPr>
                <w:rFonts w:ascii="Times New Roman" w:hAnsi="Times New Roman" w:cs="Times New Roman"/>
                <w:color w:val="000000"/>
                <w:sz w:val="21"/>
                <w:szCs w:val="21"/>
              </w:rPr>
              <w:t>**</w:t>
            </w:r>
          </w:p>
        </w:tc>
        <w:tc>
          <w:tcPr>
            <w:tcW w:w="1054" w:type="dxa"/>
            <w:tcBorders>
              <w:top w:val="nil"/>
              <w:left w:val="nil"/>
              <w:bottom w:val="single" w:sz="4" w:space="0" w:color="auto"/>
              <w:right w:val="single" w:sz="4" w:space="0" w:color="auto"/>
            </w:tcBorders>
            <w:shd w:val="clear" w:color="auto" w:fill="auto"/>
            <w:noWrap/>
            <w:vAlign w:val="bottom"/>
            <w:hideMark/>
          </w:tcPr>
          <w:p w14:paraId="2E050825"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0.12</w:t>
            </w:r>
          </w:p>
        </w:tc>
        <w:tc>
          <w:tcPr>
            <w:tcW w:w="1257" w:type="dxa"/>
            <w:tcBorders>
              <w:top w:val="single" w:sz="4" w:space="0" w:color="auto"/>
              <w:left w:val="nil"/>
              <w:bottom w:val="single" w:sz="4" w:space="0" w:color="auto"/>
              <w:right w:val="single" w:sz="4" w:space="0" w:color="auto"/>
            </w:tcBorders>
            <w:vAlign w:val="bottom"/>
          </w:tcPr>
          <w:p w14:paraId="6EAEFE5E" w14:textId="7D1082A3"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0.067</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12163981" w14:textId="0076F559"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0.82</w:t>
            </w:r>
          </w:p>
        </w:tc>
        <w:tc>
          <w:tcPr>
            <w:tcW w:w="1352" w:type="dxa"/>
            <w:tcBorders>
              <w:top w:val="nil"/>
              <w:left w:val="nil"/>
              <w:bottom w:val="single" w:sz="4" w:space="0" w:color="auto"/>
              <w:right w:val="single" w:sz="4" w:space="0" w:color="auto"/>
            </w:tcBorders>
            <w:vAlign w:val="bottom"/>
          </w:tcPr>
          <w:p w14:paraId="1A0B7ED1" w14:textId="35F1FA26"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-0.053</w:t>
            </w:r>
          </w:p>
        </w:tc>
      </w:tr>
      <w:tr w:rsidR="00385683" w:rsidRPr="005C3043" w14:paraId="1083CB41" w14:textId="5921F90D"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58802F45" w14:textId="1B7821C8" w:rsidR="00385683" w:rsidRPr="00DB7B0F" w:rsidRDefault="00385683" w:rsidP="00385683">
            <w:pPr>
              <w:rPr>
                <w:rFonts w:ascii="Times New Roman" w:hAnsi="Times New Roman" w:cs="Times New Roman"/>
                <w:color w:val="000000"/>
                <w:sz w:val="21"/>
                <w:szCs w:val="21"/>
              </w:rPr>
            </w:pPr>
            <w:proofErr w:type="spellStart"/>
            <w:r w:rsidRPr="00DB7B0F">
              <w:rPr>
                <w:rFonts w:ascii="Times New Roman" w:hAnsi="Times New Roman" w:cs="Times New Roman"/>
                <w:color w:val="000000"/>
                <w:sz w:val="21"/>
                <w:szCs w:val="21"/>
              </w:rPr>
              <w:t>Homocitrulline</w:t>
            </w:r>
            <w:proofErr w:type="spellEnd"/>
            <w:r w:rsidRPr="00DB7B0F">
              <w:rPr>
                <w:rFonts w:ascii="Times New Roman" w:hAnsi="Times New Roman" w:cs="Times New Roman"/>
                <w:color w:val="000000"/>
                <w:sz w:val="21"/>
                <w:szCs w:val="21"/>
              </w:rPr>
              <w:t>**</w:t>
            </w:r>
          </w:p>
        </w:tc>
        <w:tc>
          <w:tcPr>
            <w:tcW w:w="1054" w:type="dxa"/>
            <w:tcBorders>
              <w:top w:val="nil"/>
              <w:left w:val="nil"/>
              <w:bottom w:val="single" w:sz="4" w:space="0" w:color="auto"/>
              <w:right w:val="single" w:sz="4" w:space="0" w:color="auto"/>
            </w:tcBorders>
            <w:shd w:val="clear" w:color="auto" w:fill="auto"/>
            <w:noWrap/>
            <w:vAlign w:val="bottom"/>
            <w:hideMark/>
          </w:tcPr>
          <w:p w14:paraId="48A2488D"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0.03</w:t>
            </w:r>
          </w:p>
        </w:tc>
        <w:tc>
          <w:tcPr>
            <w:tcW w:w="1257" w:type="dxa"/>
            <w:tcBorders>
              <w:top w:val="single" w:sz="4" w:space="0" w:color="auto"/>
              <w:left w:val="nil"/>
              <w:bottom w:val="single" w:sz="4" w:space="0" w:color="auto"/>
              <w:right w:val="single" w:sz="4" w:space="0" w:color="auto"/>
            </w:tcBorders>
            <w:vAlign w:val="bottom"/>
          </w:tcPr>
          <w:p w14:paraId="1E05769B" w14:textId="66BC5B11"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0.17</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14C624F0" w14:textId="3AE5D411"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0.88</w:t>
            </w:r>
          </w:p>
        </w:tc>
        <w:tc>
          <w:tcPr>
            <w:tcW w:w="1352" w:type="dxa"/>
            <w:tcBorders>
              <w:top w:val="nil"/>
              <w:left w:val="nil"/>
              <w:bottom w:val="single" w:sz="4" w:space="0" w:color="auto"/>
              <w:right w:val="single" w:sz="4" w:space="0" w:color="auto"/>
            </w:tcBorders>
            <w:vAlign w:val="bottom"/>
          </w:tcPr>
          <w:p w14:paraId="075C593E" w14:textId="1F164153"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-0.054</w:t>
            </w:r>
          </w:p>
        </w:tc>
      </w:tr>
      <w:tr w:rsidR="00385683" w:rsidRPr="005C3043" w14:paraId="1166B37C" w14:textId="6A16038F"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2B193BB4" w14:textId="7F6D3430" w:rsidR="00385683" w:rsidRPr="00DB7B0F" w:rsidRDefault="00385683" w:rsidP="0038568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Tryptophan**</w:t>
            </w:r>
          </w:p>
        </w:tc>
        <w:tc>
          <w:tcPr>
            <w:tcW w:w="1054" w:type="dxa"/>
            <w:tcBorders>
              <w:top w:val="nil"/>
              <w:left w:val="nil"/>
              <w:bottom w:val="single" w:sz="4" w:space="0" w:color="auto"/>
              <w:right w:val="single" w:sz="4" w:space="0" w:color="auto"/>
            </w:tcBorders>
            <w:shd w:val="clear" w:color="auto" w:fill="auto"/>
            <w:noWrap/>
            <w:vAlign w:val="bottom"/>
            <w:hideMark/>
          </w:tcPr>
          <w:p w14:paraId="02143FFC"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0.87</w:t>
            </w:r>
          </w:p>
        </w:tc>
        <w:tc>
          <w:tcPr>
            <w:tcW w:w="1257" w:type="dxa"/>
            <w:tcBorders>
              <w:top w:val="single" w:sz="4" w:space="0" w:color="auto"/>
              <w:left w:val="nil"/>
              <w:bottom w:val="single" w:sz="4" w:space="0" w:color="auto"/>
              <w:right w:val="single" w:sz="4" w:space="0" w:color="auto"/>
            </w:tcBorders>
            <w:vAlign w:val="bottom"/>
          </w:tcPr>
          <w:p w14:paraId="4C74CDF4" w14:textId="62FE801A"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-0.046</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5DE766FC" w14:textId="627C0FBE"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0.91</w:t>
            </w:r>
          </w:p>
        </w:tc>
        <w:tc>
          <w:tcPr>
            <w:tcW w:w="1352" w:type="dxa"/>
            <w:tcBorders>
              <w:top w:val="nil"/>
              <w:left w:val="nil"/>
              <w:bottom w:val="single" w:sz="4" w:space="0" w:color="auto"/>
              <w:right w:val="single" w:sz="4" w:space="0" w:color="auto"/>
            </w:tcBorders>
            <w:vAlign w:val="bottom"/>
          </w:tcPr>
          <w:p w14:paraId="69937DBB" w14:textId="77168B2D"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-0.055</w:t>
            </w:r>
          </w:p>
        </w:tc>
      </w:tr>
      <w:tr w:rsidR="00385683" w:rsidRPr="005C3043" w14:paraId="4A5A199F" w14:textId="72B74949"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2C004FAD" w14:textId="0EB6371E" w:rsidR="00385683" w:rsidRPr="00DB7B0F" w:rsidRDefault="00385683" w:rsidP="0038568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Xanthurenic Acid**</w:t>
            </w:r>
          </w:p>
        </w:tc>
        <w:tc>
          <w:tcPr>
            <w:tcW w:w="1054" w:type="dxa"/>
            <w:tcBorders>
              <w:top w:val="nil"/>
              <w:left w:val="nil"/>
              <w:bottom w:val="single" w:sz="4" w:space="0" w:color="auto"/>
              <w:right w:val="single" w:sz="4" w:space="0" w:color="auto"/>
            </w:tcBorders>
            <w:shd w:val="clear" w:color="auto" w:fill="auto"/>
            <w:noWrap/>
            <w:vAlign w:val="bottom"/>
            <w:hideMark/>
          </w:tcPr>
          <w:p w14:paraId="22FD5918"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0.28</w:t>
            </w:r>
          </w:p>
        </w:tc>
        <w:tc>
          <w:tcPr>
            <w:tcW w:w="1257" w:type="dxa"/>
            <w:tcBorders>
              <w:top w:val="single" w:sz="4" w:space="0" w:color="auto"/>
              <w:left w:val="nil"/>
              <w:bottom w:val="single" w:sz="4" w:space="0" w:color="auto"/>
              <w:right w:val="single" w:sz="4" w:space="0" w:color="auto"/>
            </w:tcBorders>
            <w:vAlign w:val="bottom"/>
          </w:tcPr>
          <w:p w14:paraId="35409EFA" w14:textId="588558FC"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0.011</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6C4FBEDD" w14:textId="646296D0"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0.15</w:t>
            </w:r>
          </w:p>
        </w:tc>
        <w:tc>
          <w:tcPr>
            <w:tcW w:w="1352" w:type="dxa"/>
            <w:tcBorders>
              <w:top w:val="nil"/>
              <w:left w:val="nil"/>
              <w:bottom w:val="single" w:sz="4" w:space="0" w:color="auto"/>
              <w:right w:val="single" w:sz="4" w:space="0" w:color="auto"/>
            </w:tcBorders>
            <w:vAlign w:val="bottom"/>
          </w:tcPr>
          <w:p w14:paraId="7C836B01" w14:textId="473062D8"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0.061</w:t>
            </w:r>
          </w:p>
        </w:tc>
      </w:tr>
      <w:tr w:rsidR="00385683" w:rsidRPr="005C3043" w14:paraId="643EC777" w14:textId="54942316"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7D95D3FB" w14:textId="0BE5ECB3" w:rsidR="00385683" w:rsidRPr="00DB7B0F" w:rsidRDefault="00385683" w:rsidP="00385683">
            <w:pPr>
              <w:rPr>
                <w:rFonts w:ascii="Times New Roman" w:hAnsi="Times New Roman" w:cs="Times New Roman"/>
                <w:color w:val="000000"/>
                <w:sz w:val="21"/>
                <w:szCs w:val="21"/>
              </w:rPr>
            </w:pPr>
            <w:proofErr w:type="spellStart"/>
            <w:r w:rsidRPr="00DB7B0F">
              <w:rPr>
                <w:rFonts w:ascii="Times New Roman" w:hAnsi="Times New Roman" w:cs="Times New Roman"/>
                <w:color w:val="000000"/>
                <w:sz w:val="21"/>
                <w:szCs w:val="21"/>
              </w:rPr>
              <w:t>Jasmonate</w:t>
            </w:r>
            <w:proofErr w:type="spellEnd"/>
            <w:r w:rsidRPr="00DB7B0F">
              <w:rPr>
                <w:rFonts w:ascii="Times New Roman" w:hAnsi="Times New Roman" w:cs="Times New Roman"/>
                <w:color w:val="000000"/>
                <w:sz w:val="21"/>
                <w:szCs w:val="21"/>
              </w:rPr>
              <w:t>**</w:t>
            </w:r>
          </w:p>
        </w:tc>
        <w:tc>
          <w:tcPr>
            <w:tcW w:w="1054" w:type="dxa"/>
            <w:tcBorders>
              <w:top w:val="nil"/>
              <w:left w:val="nil"/>
              <w:bottom w:val="single" w:sz="4" w:space="0" w:color="auto"/>
              <w:right w:val="single" w:sz="4" w:space="0" w:color="auto"/>
            </w:tcBorders>
            <w:shd w:val="clear" w:color="auto" w:fill="auto"/>
            <w:noWrap/>
            <w:vAlign w:val="bottom"/>
            <w:hideMark/>
          </w:tcPr>
          <w:p w14:paraId="77F2419C"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0.38</w:t>
            </w:r>
          </w:p>
        </w:tc>
        <w:tc>
          <w:tcPr>
            <w:tcW w:w="1257" w:type="dxa"/>
            <w:tcBorders>
              <w:top w:val="single" w:sz="4" w:space="0" w:color="auto"/>
              <w:left w:val="nil"/>
              <w:bottom w:val="single" w:sz="4" w:space="0" w:color="auto"/>
              <w:right w:val="single" w:sz="4" w:space="0" w:color="auto"/>
            </w:tcBorders>
            <w:vAlign w:val="bottom"/>
          </w:tcPr>
          <w:p w14:paraId="5E739E94" w14:textId="75F240F6"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-0.0082</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23CC0093" w14:textId="26B08F3B"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0.2</w:t>
            </w:r>
          </w:p>
        </w:tc>
        <w:tc>
          <w:tcPr>
            <w:tcW w:w="1352" w:type="dxa"/>
            <w:tcBorders>
              <w:top w:val="nil"/>
              <w:left w:val="nil"/>
              <w:bottom w:val="single" w:sz="4" w:space="0" w:color="auto"/>
              <w:right w:val="single" w:sz="4" w:space="0" w:color="auto"/>
            </w:tcBorders>
            <w:vAlign w:val="bottom"/>
          </w:tcPr>
          <w:p w14:paraId="5212F602" w14:textId="368FF1E8"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0.039</w:t>
            </w:r>
          </w:p>
        </w:tc>
      </w:tr>
      <w:tr w:rsidR="00385683" w:rsidRPr="005C3043" w14:paraId="72E8BD61" w14:textId="00CA37E5"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577705AF" w14:textId="6D4BB183" w:rsidR="00385683" w:rsidRPr="00DB7B0F" w:rsidRDefault="00385683" w:rsidP="0038568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Cystathionine**</w:t>
            </w:r>
          </w:p>
        </w:tc>
        <w:tc>
          <w:tcPr>
            <w:tcW w:w="1054" w:type="dxa"/>
            <w:tcBorders>
              <w:top w:val="nil"/>
              <w:left w:val="nil"/>
              <w:bottom w:val="single" w:sz="4" w:space="0" w:color="auto"/>
              <w:right w:val="single" w:sz="4" w:space="0" w:color="auto"/>
            </w:tcBorders>
            <w:shd w:val="clear" w:color="auto" w:fill="auto"/>
            <w:noWrap/>
            <w:vAlign w:val="bottom"/>
            <w:hideMark/>
          </w:tcPr>
          <w:p w14:paraId="0C21E22B"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0.51</w:t>
            </w:r>
          </w:p>
        </w:tc>
        <w:tc>
          <w:tcPr>
            <w:tcW w:w="1257" w:type="dxa"/>
            <w:tcBorders>
              <w:top w:val="single" w:sz="4" w:space="0" w:color="auto"/>
              <w:left w:val="nil"/>
              <w:bottom w:val="single" w:sz="4" w:space="0" w:color="auto"/>
              <w:right w:val="single" w:sz="4" w:space="0" w:color="auto"/>
            </w:tcBorders>
            <w:vAlign w:val="bottom"/>
          </w:tcPr>
          <w:p w14:paraId="07D5A5CE" w14:textId="2AA2F594"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-0.026</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0AEE4C10" w14:textId="39D0518F"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0.97</w:t>
            </w:r>
          </w:p>
        </w:tc>
        <w:tc>
          <w:tcPr>
            <w:tcW w:w="1352" w:type="dxa"/>
            <w:tcBorders>
              <w:top w:val="nil"/>
              <w:left w:val="nil"/>
              <w:bottom w:val="single" w:sz="4" w:space="0" w:color="auto"/>
              <w:right w:val="single" w:sz="4" w:space="0" w:color="auto"/>
            </w:tcBorders>
            <w:vAlign w:val="bottom"/>
          </w:tcPr>
          <w:p w14:paraId="68CEF793" w14:textId="5F068A0E"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-0.056</w:t>
            </w:r>
          </w:p>
        </w:tc>
      </w:tr>
      <w:tr w:rsidR="00385683" w:rsidRPr="005C3043" w14:paraId="77E8C5BE" w14:textId="756CC840"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65B61B96" w14:textId="76531B50" w:rsidR="00385683" w:rsidRPr="00DB7B0F" w:rsidRDefault="00385683" w:rsidP="0038568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Deoxycytidine**</w:t>
            </w:r>
          </w:p>
        </w:tc>
        <w:tc>
          <w:tcPr>
            <w:tcW w:w="1054" w:type="dxa"/>
            <w:tcBorders>
              <w:top w:val="nil"/>
              <w:left w:val="nil"/>
              <w:bottom w:val="single" w:sz="4" w:space="0" w:color="auto"/>
              <w:right w:val="single" w:sz="4" w:space="0" w:color="auto"/>
            </w:tcBorders>
            <w:shd w:val="clear" w:color="auto" w:fill="auto"/>
            <w:noWrap/>
            <w:vAlign w:val="bottom"/>
            <w:hideMark/>
          </w:tcPr>
          <w:p w14:paraId="164D3252"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0.22</w:t>
            </w:r>
          </w:p>
        </w:tc>
        <w:tc>
          <w:tcPr>
            <w:tcW w:w="1257" w:type="dxa"/>
            <w:tcBorders>
              <w:top w:val="single" w:sz="4" w:space="0" w:color="auto"/>
              <w:left w:val="nil"/>
              <w:bottom w:val="single" w:sz="4" w:space="0" w:color="auto"/>
              <w:right w:val="single" w:sz="4" w:space="0" w:color="auto"/>
            </w:tcBorders>
            <w:vAlign w:val="bottom"/>
          </w:tcPr>
          <w:p w14:paraId="4221EBD0" w14:textId="09FBFB5B"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0.027</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2A902BB0" w14:textId="5976EAFE"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0.68</w:t>
            </w:r>
          </w:p>
        </w:tc>
        <w:tc>
          <w:tcPr>
            <w:tcW w:w="1352" w:type="dxa"/>
            <w:tcBorders>
              <w:top w:val="nil"/>
              <w:left w:val="nil"/>
              <w:bottom w:val="single" w:sz="4" w:space="0" w:color="auto"/>
              <w:right w:val="single" w:sz="4" w:space="0" w:color="auto"/>
            </w:tcBorders>
            <w:vAlign w:val="bottom"/>
          </w:tcPr>
          <w:p w14:paraId="694B43B9" w14:textId="69644306"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-0.046</w:t>
            </w:r>
          </w:p>
        </w:tc>
      </w:tr>
      <w:tr w:rsidR="00385683" w:rsidRPr="005C3043" w14:paraId="456FAA70" w14:textId="26D1F46D"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37F6FCD0" w14:textId="0A5B9440" w:rsidR="00385683" w:rsidRPr="00DB7B0F" w:rsidRDefault="00385683" w:rsidP="00385683">
            <w:pPr>
              <w:rPr>
                <w:rFonts w:ascii="Times New Roman" w:hAnsi="Times New Roman" w:cs="Times New Roman"/>
                <w:color w:val="000000"/>
                <w:sz w:val="21"/>
                <w:szCs w:val="21"/>
              </w:rPr>
            </w:pPr>
            <w:proofErr w:type="spellStart"/>
            <w:r w:rsidRPr="00DB7B0F">
              <w:rPr>
                <w:rFonts w:ascii="Times New Roman" w:hAnsi="Times New Roman" w:cs="Times New Roman"/>
                <w:color w:val="000000"/>
                <w:sz w:val="21"/>
                <w:szCs w:val="21"/>
              </w:rPr>
              <w:t>Deoxyuridine</w:t>
            </w:r>
            <w:proofErr w:type="spellEnd"/>
            <w:r w:rsidRPr="00DB7B0F">
              <w:rPr>
                <w:rFonts w:ascii="Times New Roman" w:hAnsi="Times New Roman" w:cs="Times New Roman"/>
                <w:color w:val="000000"/>
                <w:sz w:val="21"/>
                <w:szCs w:val="21"/>
              </w:rPr>
              <w:t>**</w:t>
            </w:r>
          </w:p>
        </w:tc>
        <w:tc>
          <w:tcPr>
            <w:tcW w:w="1054" w:type="dxa"/>
            <w:tcBorders>
              <w:top w:val="nil"/>
              <w:left w:val="nil"/>
              <w:bottom w:val="single" w:sz="4" w:space="0" w:color="auto"/>
              <w:right w:val="single" w:sz="4" w:space="0" w:color="auto"/>
            </w:tcBorders>
            <w:shd w:val="clear" w:color="auto" w:fill="auto"/>
            <w:noWrap/>
            <w:vAlign w:val="bottom"/>
            <w:hideMark/>
          </w:tcPr>
          <w:p w14:paraId="194D9BE5"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0.9</w:t>
            </w:r>
          </w:p>
        </w:tc>
        <w:tc>
          <w:tcPr>
            <w:tcW w:w="1257" w:type="dxa"/>
            <w:tcBorders>
              <w:top w:val="single" w:sz="4" w:space="0" w:color="auto"/>
              <w:left w:val="nil"/>
              <w:bottom w:val="single" w:sz="4" w:space="0" w:color="auto"/>
              <w:right w:val="single" w:sz="4" w:space="0" w:color="auto"/>
            </w:tcBorders>
            <w:vAlign w:val="bottom"/>
          </w:tcPr>
          <w:p w14:paraId="73A25FE5" w14:textId="00238A64"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-0.047</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51625BFC" w14:textId="0C033F5C"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0.36</w:t>
            </w:r>
          </w:p>
        </w:tc>
        <w:tc>
          <w:tcPr>
            <w:tcW w:w="1352" w:type="dxa"/>
            <w:tcBorders>
              <w:top w:val="nil"/>
              <w:left w:val="nil"/>
              <w:bottom w:val="single" w:sz="4" w:space="0" w:color="auto"/>
              <w:right w:val="single" w:sz="4" w:space="0" w:color="auto"/>
            </w:tcBorders>
            <w:vAlign w:val="bottom"/>
          </w:tcPr>
          <w:p w14:paraId="5F9ABC6F" w14:textId="410B8F51"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-0.0067</w:t>
            </w:r>
          </w:p>
        </w:tc>
      </w:tr>
      <w:tr w:rsidR="00385683" w:rsidRPr="005C3043" w14:paraId="186600EE" w14:textId="3A2EAE8A"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67EA66FF" w14:textId="73E3EF2D" w:rsidR="00385683" w:rsidRPr="00DB7B0F" w:rsidRDefault="00385683" w:rsidP="0038568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Ribose Phosphate**</w:t>
            </w:r>
          </w:p>
        </w:tc>
        <w:tc>
          <w:tcPr>
            <w:tcW w:w="1054" w:type="dxa"/>
            <w:tcBorders>
              <w:top w:val="nil"/>
              <w:left w:val="nil"/>
              <w:bottom w:val="single" w:sz="4" w:space="0" w:color="auto"/>
              <w:right w:val="single" w:sz="4" w:space="0" w:color="auto"/>
            </w:tcBorders>
            <w:shd w:val="clear" w:color="auto" w:fill="auto"/>
            <w:noWrap/>
            <w:vAlign w:val="bottom"/>
            <w:hideMark/>
          </w:tcPr>
          <w:p w14:paraId="267E3C73"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0.17</w:t>
            </w:r>
          </w:p>
        </w:tc>
        <w:tc>
          <w:tcPr>
            <w:tcW w:w="1257" w:type="dxa"/>
            <w:tcBorders>
              <w:top w:val="single" w:sz="4" w:space="0" w:color="auto"/>
              <w:left w:val="nil"/>
              <w:bottom w:val="single" w:sz="4" w:space="0" w:color="auto"/>
              <w:right w:val="single" w:sz="4" w:space="0" w:color="auto"/>
            </w:tcBorders>
            <w:vAlign w:val="bottom"/>
          </w:tcPr>
          <w:p w14:paraId="38C6F741" w14:textId="6E80CBE2"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0.044</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53E1CC43" w14:textId="45DC8AD5"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0.47</w:t>
            </w:r>
          </w:p>
        </w:tc>
        <w:tc>
          <w:tcPr>
            <w:tcW w:w="1352" w:type="dxa"/>
            <w:tcBorders>
              <w:top w:val="nil"/>
              <w:left w:val="nil"/>
              <w:bottom w:val="single" w:sz="4" w:space="0" w:color="auto"/>
              <w:right w:val="single" w:sz="4" w:space="0" w:color="auto"/>
            </w:tcBorders>
            <w:vAlign w:val="bottom"/>
          </w:tcPr>
          <w:p w14:paraId="2BEAB6DB" w14:textId="36240A64"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-0.025</w:t>
            </w:r>
          </w:p>
        </w:tc>
      </w:tr>
      <w:tr w:rsidR="00385683" w:rsidRPr="005C3043" w14:paraId="44B55FF1" w14:textId="1D16B634"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1C3E7518" w14:textId="71520DAF" w:rsidR="00385683" w:rsidRPr="00DB7B0F" w:rsidRDefault="00385683" w:rsidP="0038568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Cystine**</w:t>
            </w:r>
          </w:p>
        </w:tc>
        <w:tc>
          <w:tcPr>
            <w:tcW w:w="1054" w:type="dxa"/>
            <w:tcBorders>
              <w:top w:val="nil"/>
              <w:left w:val="nil"/>
              <w:bottom w:val="single" w:sz="4" w:space="0" w:color="auto"/>
              <w:right w:val="single" w:sz="4" w:space="0" w:color="auto"/>
            </w:tcBorders>
            <w:shd w:val="clear" w:color="auto" w:fill="auto"/>
            <w:noWrap/>
            <w:vAlign w:val="bottom"/>
            <w:hideMark/>
          </w:tcPr>
          <w:p w14:paraId="231EC9E6"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0.27</w:t>
            </w:r>
          </w:p>
        </w:tc>
        <w:tc>
          <w:tcPr>
            <w:tcW w:w="1257" w:type="dxa"/>
            <w:tcBorders>
              <w:top w:val="single" w:sz="4" w:space="0" w:color="auto"/>
              <w:left w:val="nil"/>
              <w:bottom w:val="single" w:sz="4" w:space="0" w:color="auto"/>
              <w:right w:val="single" w:sz="4" w:space="0" w:color="auto"/>
            </w:tcBorders>
            <w:vAlign w:val="bottom"/>
          </w:tcPr>
          <w:p w14:paraId="4F32A462" w14:textId="691BDF30"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0.013</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6F344E86" w14:textId="4BA68B16"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0.23</w:t>
            </w:r>
          </w:p>
        </w:tc>
        <w:tc>
          <w:tcPr>
            <w:tcW w:w="1352" w:type="dxa"/>
            <w:tcBorders>
              <w:top w:val="nil"/>
              <w:left w:val="nil"/>
              <w:bottom w:val="single" w:sz="4" w:space="0" w:color="auto"/>
              <w:right w:val="single" w:sz="4" w:space="0" w:color="auto"/>
            </w:tcBorders>
            <w:vAlign w:val="bottom"/>
          </w:tcPr>
          <w:p w14:paraId="0B58A9EF" w14:textId="6CF1D689"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0.028</w:t>
            </w:r>
          </w:p>
        </w:tc>
      </w:tr>
      <w:tr w:rsidR="00385683" w:rsidRPr="005C3043" w14:paraId="6F42FB9B" w14:textId="67806E22"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7D2E84BA" w14:textId="788A6BAF" w:rsidR="00385683" w:rsidRPr="00DB7B0F" w:rsidRDefault="00385683" w:rsidP="0038568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Cytidine**</w:t>
            </w:r>
          </w:p>
        </w:tc>
        <w:tc>
          <w:tcPr>
            <w:tcW w:w="1054" w:type="dxa"/>
            <w:tcBorders>
              <w:top w:val="nil"/>
              <w:left w:val="nil"/>
              <w:bottom w:val="single" w:sz="4" w:space="0" w:color="auto"/>
              <w:right w:val="single" w:sz="4" w:space="0" w:color="auto"/>
            </w:tcBorders>
            <w:shd w:val="clear" w:color="auto" w:fill="auto"/>
            <w:noWrap/>
            <w:vAlign w:val="bottom"/>
            <w:hideMark/>
          </w:tcPr>
          <w:p w14:paraId="7CA6CE26"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0.19</w:t>
            </w:r>
          </w:p>
        </w:tc>
        <w:tc>
          <w:tcPr>
            <w:tcW w:w="1257" w:type="dxa"/>
            <w:tcBorders>
              <w:top w:val="single" w:sz="4" w:space="0" w:color="auto"/>
              <w:left w:val="nil"/>
              <w:bottom w:val="single" w:sz="4" w:space="0" w:color="auto"/>
              <w:right w:val="single" w:sz="4" w:space="0" w:color="auto"/>
            </w:tcBorders>
            <w:vAlign w:val="bottom"/>
          </w:tcPr>
          <w:p w14:paraId="7E598786" w14:textId="46BB60F5"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0.038</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263F8E4E" w14:textId="36B5FA8B"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0.8</w:t>
            </w:r>
          </w:p>
        </w:tc>
        <w:tc>
          <w:tcPr>
            <w:tcW w:w="1352" w:type="dxa"/>
            <w:tcBorders>
              <w:top w:val="nil"/>
              <w:left w:val="nil"/>
              <w:bottom w:val="single" w:sz="4" w:space="0" w:color="auto"/>
              <w:right w:val="single" w:sz="4" w:space="0" w:color="auto"/>
            </w:tcBorders>
            <w:vAlign w:val="bottom"/>
          </w:tcPr>
          <w:p w14:paraId="450E0F3A" w14:textId="482AB198"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-0.052</w:t>
            </w:r>
          </w:p>
        </w:tc>
      </w:tr>
      <w:tr w:rsidR="00385683" w:rsidRPr="005C3043" w14:paraId="0628D619" w14:textId="6F8B4632" w:rsidTr="00DB7B0F">
        <w:trPr>
          <w:trHeight w:val="312"/>
        </w:trPr>
        <w:tc>
          <w:tcPr>
            <w:tcW w:w="4110" w:type="dxa"/>
            <w:tcBorders>
              <w:top w:val="nil"/>
              <w:left w:val="single" w:sz="4" w:space="0" w:color="auto"/>
              <w:bottom w:val="single" w:sz="4" w:space="0" w:color="auto"/>
              <w:right w:val="single" w:sz="4" w:space="0" w:color="auto"/>
            </w:tcBorders>
            <w:shd w:val="clear" w:color="auto" w:fill="auto"/>
            <w:noWrap/>
            <w:vAlign w:val="bottom"/>
            <w:hideMark/>
          </w:tcPr>
          <w:p w14:paraId="77BB6F21" w14:textId="0F6A3546" w:rsidR="00385683" w:rsidRPr="00DB7B0F" w:rsidRDefault="00385683" w:rsidP="0038568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Biotin**</w:t>
            </w:r>
          </w:p>
        </w:tc>
        <w:tc>
          <w:tcPr>
            <w:tcW w:w="1054" w:type="dxa"/>
            <w:tcBorders>
              <w:top w:val="nil"/>
              <w:left w:val="nil"/>
              <w:bottom w:val="single" w:sz="4" w:space="0" w:color="auto"/>
              <w:right w:val="single" w:sz="4" w:space="0" w:color="auto"/>
            </w:tcBorders>
            <w:shd w:val="clear" w:color="auto" w:fill="auto"/>
            <w:noWrap/>
            <w:vAlign w:val="bottom"/>
            <w:hideMark/>
          </w:tcPr>
          <w:p w14:paraId="6CA32EB6" w14:textId="77777777"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0.82</w:t>
            </w:r>
          </w:p>
        </w:tc>
        <w:tc>
          <w:tcPr>
            <w:tcW w:w="1257" w:type="dxa"/>
            <w:tcBorders>
              <w:top w:val="single" w:sz="4" w:space="0" w:color="auto"/>
              <w:left w:val="nil"/>
              <w:bottom w:val="single" w:sz="4" w:space="0" w:color="auto"/>
              <w:right w:val="single" w:sz="4" w:space="0" w:color="auto"/>
            </w:tcBorders>
            <w:vAlign w:val="bottom"/>
          </w:tcPr>
          <w:p w14:paraId="68A6461D" w14:textId="4C8DD44F"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-0.045</w:t>
            </w:r>
          </w:p>
        </w:tc>
        <w:tc>
          <w:tcPr>
            <w:tcW w:w="957" w:type="dxa"/>
            <w:tcBorders>
              <w:top w:val="nil"/>
              <w:left w:val="single" w:sz="4" w:space="0" w:color="auto"/>
              <w:bottom w:val="single" w:sz="4" w:space="0" w:color="auto"/>
              <w:right w:val="single" w:sz="4" w:space="0" w:color="auto"/>
            </w:tcBorders>
            <w:shd w:val="clear" w:color="auto" w:fill="auto"/>
            <w:noWrap/>
            <w:vAlign w:val="bottom"/>
            <w:hideMark/>
          </w:tcPr>
          <w:p w14:paraId="4B43E158" w14:textId="45B5C07D"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0.08</w:t>
            </w:r>
          </w:p>
        </w:tc>
        <w:tc>
          <w:tcPr>
            <w:tcW w:w="1352" w:type="dxa"/>
            <w:tcBorders>
              <w:top w:val="nil"/>
              <w:left w:val="nil"/>
              <w:bottom w:val="single" w:sz="4" w:space="0" w:color="auto"/>
              <w:right w:val="single" w:sz="4" w:space="0" w:color="auto"/>
            </w:tcBorders>
            <w:vAlign w:val="bottom"/>
          </w:tcPr>
          <w:p w14:paraId="4D10E506" w14:textId="3CBACF76" w:rsidR="00385683" w:rsidRPr="00DB7B0F" w:rsidRDefault="00385683" w:rsidP="0038568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0.12</w:t>
            </w:r>
          </w:p>
        </w:tc>
      </w:tr>
    </w:tbl>
    <w:p w14:paraId="396AD8F8" w14:textId="73EA493F" w:rsidR="00125291" w:rsidRDefault="00125291" w:rsidP="00125291">
      <w:pPr>
        <w:rPr>
          <w:rFonts w:ascii="Times New Roman" w:hAnsi="Times New Roman" w:cs="Times New Roman"/>
          <w:b/>
        </w:rPr>
      </w:pPr>
    </w:p>
    <w:p w14:paraId="7E08DD82" w14:textId="3526CC86" w:rsidR="00600C14" w:rsidRDefault="00600C14" w:rsidP="00125291">
      <w:pPr>
        <w:rPr>
          <w:rFonts w:ascii="Times New Roman" w:hAnsi="Times New Roman" w:cs="Times New Roman"/>
          <w:b/>
        </w:rPr>
      </w:pPr>
    </w:p>
    <w:p w14:paraId="2C80F3BE" w14:textId="6A13894D" w:rsidR="00600C14" w:rsidRDefault="00600C14" w:rsidP="00125291">
      <w:pPr>
        <w:rPr>
          <w:rFonts w:ascii="Times New Roman" w:hAnsi="Times New Roman" w:cs="Times New Roman"/>
          <w:b/>
        </w:rPr>
      </w:pPr>
    </w:p>
    <w:p w14:paraId="0A87418B" w14:textId="51A18917" w:rsidR="00600C14" w:rsidRDefault="00600C14" w:rsidP="00125291">
      <w:pPr>
        <w:rPr>
          <w:rFonts w:ascii="Times New Roman" w:hAnsi="Times New Roman" w:cs="Times New Roman"/>
          <w:b/>
        </w:rPr>
      </w:pPr>
      <w:r>
        <w:rPr>
          <w:rFonts w:ascii="Times New Roman" w:hAnsi="Times New Roman" w:cs="Times New Roman"/>
          <w:b/>
        </w:rPr>
        <w:lastRenderedPageBreak/>
        <w:t>Table 3 continued</w:t>
      </w:r>
    </w:p>
    <w:p w14:paraId="3D150D39" w14:textId="77777777" w:rsidR="00600C14" w:rsidRPr="00A42976" w:rsidRDefault="00600C14" w:rsidP="00125291">
      <w:pPr>
        <w:rPr>
          <w:rFonts w:ascii="Times New Roman" w:hAnsi="Times New Roman" w:cs="Times New Roman"/>
          <w:b/>
        </w:rPr>
      </w:pPr>
    </w:p>
    <w:tbl>
      <w:tblPr>
        <w:tblW w:w="8640" w:type="dxa"/>
        <w:tblInd w:w="-5" w:type="dxa"/>
        <w:tblLook w:val="04A0" w:firstRow="1" w:lastRow="0" w:firstColumn="1" w:lastColumn="0" w:noHBand="0" w:noVBand="1"/>
      </w:tblPr>
      <w:tblGrid>
        <w:gridCol w:w="4230"/>
        <w:gridCol w:w="1080"/>
        <w:gridCol w:w="1266"/>
        <w:gridCol w:w="963"/>
        <w:gridCol w:w="1266"/>
      </w:tblGrid>
      <w:tr w:rsidR="00603D3D" w:rsidRPr="005C3043" w14:paraId="0AEEC141" w14:textId="27BE5411" w:rsidTr="00DB7B0F">
        <w:trPr>
          <w:trHeight w:val="251"/>
        </w:trPr>
        <w:tc>
          <w:tcPr>
            <w:tcW w:w="4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0034CC" w14:textId="77777777" w:rsidR="00603D3D" w:rsidRPr="00DB7B0F" w:rsidRDefault="00603D3D" w:rsidP="00603D3D">
            <w:pPr>
              <w:jc w:val="center"/>
              <w:rPr>
                <w:rFonts w:ascii="Times New Roman" w:hAnsi="Times New Roman" w:cs="Times New Roman"/>
                <w:b/>
                <w:color w:val="000000"/>
                <w:sz w:val="21"/>
                <w:szCs w:val="21"/>
              </w:rPr>
            </w:pPr>
            <w:r w:rsidRPr="00DB7B0F">
              <w:rPr>
                <w:rFonts w:ascii="Times New Roman" w:hAnsi="Times New Roman" w:cs="Times New Roman"/>
                <w:b/>
                <w:color w:val="000000"/>
                <w:sz w:val="21"/>
                <w:szCs w:val="21"/>
              </w:rPr>
              <w:t>Independent</w:t>
            </w:r>
          </w:p>
          <w:p w14:paraId="0440D2FF" w14:textId="11F63A4C" w:rsidR="00603D3D" w:rsidRPr="00DB7B0F" w:rsidRDefault="00603D3D" w:rsidP="00603D3D">
            <w:pPr>
              <w:jc w:val="center"/>
              <w:rPr>
                <w:rFonts w:ascii="Times New Roman" w:hAnsi="Times New Roman" w:cs="Times New Roman"/>
                <w:b/>
                <w:bCs/>
                <w:color w:val="000000"/>
                <w:sz w:val="21"/>
                <w:szCs w:val="21"/>
              </w:rPr>
            </w:pPr>
            <w:r w:rsidRPr="00DB7B0F">
              <w:rPr>
                <w:rFonts w:ascii="Times New Roman" w:hAnsi="Times New Roman" w:cs="Times New Roman"/>
                <w:b/>
                <w:color w:val="000000"/>
                <w:sz w:val="21"/>
                <w:szCs w:val="21"/>
              </w:rPr>
              <w:t>Variable</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EB2CD8" w14:textId="310F2F44" w:rsidR="00603D3D" w:rsidRPr="00DB7B0F" w:rsidRDefault="00603D3D" w:rsidP="00603D3D">
            <w:pPr>
              <w:jc w:val="center"/>
              <w:rPr>
                <w:rFonts w:ascii="Times New Roman" w:hAnsi="Times New Roman" w:cs="Times New Roman"/>
                <w:b/>
                <w:bCs/>
                <w:color w:val="000000"/>
                <w:sz w:val="21"/>
                <w:szCs w:val="21"/>
                <w:vertAlign w:val="superscript"/>
              </w:rPr>
            </w:pPr>
            <w:r w:rsidRPr="00DB7B0F">
              <w:rPr>
                <w:rFonts w:ascii="Times New Roman" w:hAnsi="Times New Roman" w:cs="Times New Roman"/>
                <w:b/>
                <w:color w:val="000000"/>
                <w:sz w:val="21"/>
                <w:szCs w:val="21"/>
              </w:rPr>
              <w:t>Oocyte ATP (</w:t>
            </w:r>
            <w:proofErr w:type="spellStart"/>
            <w:r w:rsidRPr="00DB7B0F">
              <w:rPr>
                <w:rFonts w:ascii="Times New Roman" w:hAnsi="Times New Roman" w:cs="Times New Roman"/>
                <w:b/>
                <w:color w:val="000000"/>
                <w:sz w:val="21"/>
                <w:szCs w:val="21"/>
              </w:rPr>
              <w:t>pg</w:t>
            </w:r>
            <w:proofErr w:type="spellEnd"/>
            <w:r w:rsidRPr="00DB7B0F">
              <w:rPr>
                <w:rFonts w:ascii="Times New Roman" w:hAnsi="Times New Roman" w:cs="Times New Roman"/>
                <w:b/>
                <w:color w:val="000000"/>
                <w:sz w:val="21"/>
                <w:szCs w:val="21"/>
              </w:rPr>
              <w:t>)</w:t>
            </w:r>
          </w:p>
        </w:tc>
        <w:tc>
          <w:tcPr>
            <w:tcW w:w="1266" w:type="dxa"/>
            <w:tcBorders>
              <w:top w:val="single" w:sz="4" w:space="0" w:color="auto"/>
              <w:left w:val="nil"/>
              <w:bottom w:val="single" w:sz="4" w:space="0" w:color="auto"/>
              <w:right w:val="single" w:sz="4" w:space="0" w:color="auto"/>
            </w:tcBorders>
            <w:vAlign w:val="center"/>
          </w:tcPr>
          <w:p w14:paraId="15553E72" w14:textId="336BB7A3" w:rsidR="00603D3D" w:rsidRPr="00DB7B0F" w:rsidRDefault="00603D3D" w:rsidP="00603D3D">
            <w:pPr>
              <w:jc w:val="center"/>
              <w:rPr>
                <w:rFonts w:ascii="Times New Roman" w:hAnsi="Times New Roman" w:cs="Times New Roman"/>
                <w:b/>
                <w:color w:val="000000"/>
                <w:sz w:val="21"/>
                <w:szCs w:val="21"/>
              </w:rPr>
            </w:pPr>
            <w:r w:rsidRPr="00DB7B0F">
              <w:rPr>
                <w:rFonts w:ascii="Times New Roman" w:hAnsi="Times New Roman" w:cs="Times New Roman"/>
                <w:b/>
                <w:color w:val="000000"/>
                <w:sz w:val="21"/>
                <w:szCs w:val="21"/>
              </w:rPr>
              <w:t xml:space="preserve">ATP </w:t>
            </w:r>
            <w:r w:rsidR="00385683" w:rsidRPr="00DB7B0F">
              <w:rPr>
                <w:rFonts w:ascii="Times New Roman" w:hAnsi="Times New Roman" w:cs="Times New Roman"/>
                <w:b/>
                <w:color w:val="000000"/>
                <w:sz w:val="21"/>
                <w:szCs w:val="21"/>
              </w:rPr>
              <w:t>Correlation</w:t>
            </w:r>
          </w:p>
        </w:tc>
        <w:tc>
          <w:tcPr>
            <w:tcW w:w="963"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A243AC0" w14:textId="2FD2E502" w:rsidR="00603D3D" w:rsidRPr="00DB7B0F" w:rsidRDefault="00603D3D" w:rsidP="00603D3D">
            <w:pPr>
              <w:jc w:val="center"/>
              <w:rPr>
                <w:rFonts w:ascii="Times New Roman" w:hAnsi="Times New Roman" w:cs="Times New Roman"/>
                <w:b/>
                <w:bCs/>
                <w:color w:val="000000"/>
                <w:sz w:val="21"/>
                <w:szCs w:val="21"/>
                <w:vertAlign w:val="superscript"/>
              </w:rPr>
            </w:pPr>
            <w:r w:rsidRPr="00DB7B0F">
              <w:rPr>
                <w:rFonts w:ascii="Times New Roman" w:hAnsi="Times New Roman" w:cs="Times New Roman"/>
                <w:b/>
                <w:color w:val="000000"/>
                <w:sz w:val="21"/>
                <w:szCs w:val="21"/>
              </w:rPr>
              <w:t xml:space="preserve">Oocyte </w:t>
            </w:r>
            <w:proofErr w:type="spellStart"/>
            <w:r w:rsidRPr="00DB7B0F">
              <w:rPr>
                <w:rFonts w:ascii="Times New Roman" w:hAnsi="Times New Roman" w:cs="Times New Roman"/>
                <w:b/>
                <w:color w:val="000000"/>
                <w:sz w:val="21"/>
                <w:szCs w:val="21"/>
              </w:rPr>
              <w:t>mtDNA</w:t>
            </w:r>
            <w:proofErr w:type="spellEnd"/>
            <w:r w:rsidRPr="00DB7B0F">
              <w:rPr>
                <w:rFonts w:ascii="Times New Roman" w:hAnsi="Times New Roman" w:cs="Times New Roman"/>
                <w:b/>
                <w:color w:val="000000"/>
                <w:sz w:val="21"/>
                <w:szCs w:val="21"/>
              </w:rPr>
              <w:t xml:space="preserve"> Copy Number</w:t>
            </w:r>
          </w:p>
        </w:tc>
        <w:tc>
          <w:tcPr>
            <w:tcW w:w="1101" w:type="dxa"/>
            <w:tcBorders>
              <w:top w:val="single" w:sz="4" w:space="0" w:color="auto"/>
              <w:left w:val="nil"/>
              <w:bottom w:val="single" w:sz="4" w:space="0" w:color="auto"/>
              <w:right w:val="single" w:sz="4" w:space="0" w:color="000000"/>
            </w:tcBorders>
            <w:vAlign w:val="center"/>
          </w:tcPr>
          <w:p w14:paraId="4BABDC27" w14:textId="23844F04" w:rsidR="00603D3D" w:rsidRPr="00DB7B0F" w:rsidRDefault="00603D3D" w:rsidP="00603D3D">
            <w:pPr>
              <w:jc w:val="center"/>
              <w:rPr>
                <w:rFonts w:ascii="Times New Roman" w:hAnsi="Times New Roman" w:cs="Times New Roman"/>
                <w:b/>
                <w:color w:val="000000"/>
                <w:sz w:val="21"/>
                <w:szCs w:val="21"/>
              </w:rPr>
            </w:pPr>
            <w:proofErr w:type="spellStart"/>
            <w:r w:rsidRPr="00DB7B0F">
              <w:rPr>
                <w:rFonts w:ascii="Times New Roman" w:hAnsi="Times New Roman" w:cs="Times New Roman"/>
                <w:b/>
                <w:color w:val="000000"/>
                <w:sz w:val="21"/>
                <w:szCs w:val="21"/>
              </w:rPr>
              <w:t>mtDNA</w:t>
            </w:r>
            <w:proofErr w:type="spellEnd"/>
            <w:r w:rsidRPr="00DB7B0F">
              <w:rPr>
                <w:rFonts w:ascii="Times New Roman" w:hAnsi="Times New Roman" w:cs="Times New Roman"/>
                <w:b/>
                <w:color w:val="000000"/>
                <w:sz w:val="21"/>
                <w:szCs w:val="21"/>
              </w:rPr>
              <w:t xml:space="preserve"> Copy Number </w:t>
            </w:r>
            <w:r w:rsidR="00385683" w:rsidRPr="00DB7B0F">
              <w:rPr>
                <w:rFonts w:ascii="Times New Roman" w:hAnsi="Times New Roman" w:cs="Times New Roman"/>
                <w:b/>
                <w:color w:val="000000"/>
                <w:sz w:val="21"/>
                <w:szCs w:val="21"/>
              </w:rPr>
              <w:t>Correlation</w:t>
            </w:r>
          </w:p>
        </w:tc>
      </w:tr>
      <w:tr w:rsidR="00F70D5F" w:rsidRPr="005C3043" w14:paraId="2656E019" w14:textId="4E81F82A" w:rsidTr="00DB7B0F">
        <w:trPr>
          <w:trHeight w:val="312"/>
        </w:trPr>
        <w:tc>
          <w:tcPr>
            <w:tcW w:w="42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788481" w14:textId="0D36EE8C" w:rsidR="00F70D5F" w:rsidRPr="00DB7B0F" w:rsidRDefault="00F70D5F" w:rsidP="00F70D5F">
            <w:pPr>
              <w:rPr>
                <w:rFonts w:ascii="Times New Roman" w:hAnsi="Times New Roman" w:cs="Times New Roman"/>
                <w:color w:val="000000"/>
                <w:sz w:val="21"/>
                <w:szCs w:val="21"/>
              </w:rPr>
            </w:pPr>
            <w:r w:rsidRPr="00DB7B0F">
              <w:rPr>
                <w:rFonts w:ascii="Times New Roman" w:hAnsi="Times New Roman" w:cs="Times New Roman"/>
                <w:color w:val="000000"/>
                <w:sz w:val="21"/>
                <w:szCs w:val="21"/>
              </w:rPr>
              <w:t>Thiamine**</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1E7FEA95" w14:textId="77777777"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0.18</w:t>
            </w:r>
          </w:p>
        </w:tc>
        <w:tc>
          <w:tcPr>
            <w:tcW w:w="1266" w:type="dxa"/>
            <w:tcBorders>
              <w:top w:val="single" w:sz="4" w:space="0" w:color="auto"/>
              <w:left w:val="nil"/>
              <w:bottom w:val="single" w:sz="4" w:space="0" w:color="auto"/>
              <w:right w:val="single" w:sz="4" w:space="0" w:color="auto"/>
            </w:tcBorders>
            <w:vAlign w:val="bottom"/>
          </w:tcPr>
          <w:p w14:paraId="087F0EF1" w14:textId="6B84474E"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0.042</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5725EE" w14:textId="08679300"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0.92</w:t>
            </w:r>
          </w:p>
        </w:tc>
        <w:tc>
          <w:tcPr>
            <w:tcW w:w="1101" w:type="dxa"/>
            <w:tcBorders>
              <w:top w:val="single" w:sz="4" w:space="0" w:color="auto"/>
              <w:left w:val="nil"/>
              <w:bottom w:val="single" w:sz="4" w:space="0" w:color="auto"/>
              <w:right w:val="single" w:sz="4" w:space="0" w:color="auto"/>
            </w:tcBorders>
            <w:vAlign w:val="bottom"/>
          </w:tcPr>
          <w:p w14:paraId="3DE6F140" w14:textId="242B28BA" w:rsidR="00F70D5F" w:rsidRPr="00DB7B0F" w:rsidRDefault="00F70D5F" w:rsidP="00F70D5F">
            <w:pPr>
              <w:jc w:val="center"/>
              <w:rPr>
                <w:rFonts w:ascii="Times New Roman" w:hAnsi="Times New Roman" w:cs="Times New Roman"/>
                <w:sz w:val="21"/>
                <w:szCs w:val="21"/>
              </w:rPr>
            </w:pPr>
            <w:r w:rsidRPr="00DB7B0F">
              <w:rPr>
                <w:rFonts w:ascii="Times New Roman" w:hAnsi="Times New Roman" w:cs="Times New Roman"/>
                <w:color w:val="000000"/>
                <w:sz w:val="21"/>
                <w:szCs w:val="21"/>
              </w:rPr>
              <w:t>-0.055</w:t>
            </w:r>
          </w:p>
        </w:tc>
      </w:tr>
      <w:tr w:rsidR="00F70D5F" w:rsidRPr="005C3043" w14:paraId="1E5C37E1" w14:textId="03F084E9" w:rsidTr="00DB7B0F">
        <w:trPr>
          <w:trHeight w:val="312"/>
        </w:trPr>
        <w:tc>
          <w:tcPr>
            <w:tcW w:w="4230" w:type="dxa"/>
            <w:tcBorders>
              <w:top w:val="nil"/>
              <w:left w:val="single" w:sz="4" w:space="0" w:color="auto"/>
              <w:bottom w:val="single" w:sz="4" w:space="0" w:color="auto"/>
              <w:right w:val="single" w:sz="4" w:space="0" w:color="auto"/>
            </w:tcBorders>
            <w:shd w:val="clear" w:color="auto" w:fill="auto"/>
            <w:noWrap/>
            <w:vAlign w:val="bottom"/>
            <w:hideMark/>
          </w:tcPr>
          <w:p w14:paraId="6DDFE13E" w14:textId="283B7CFE" w:rsidR="00F70D5F" w:rsidRPr="00DB7B0F" w:rsidRDefault="00F70D5F" w:rsidP="00F70D5F">
            <w:pPr>
              <w:rPr>
                <w:rFonts w:ascii="Times New Roman" w:hAnsi="Times New Roman" w:cs="Times New Roman"/>
                <w:color w:val="000000"/>
                <w:sz w:val="21"/>
                <w:szCs w:val="21"/>
              </w:rPr>
            </w:pPr>
            <w:r w:rsidRPr="00DB7B0F">
              <w:rPr>
                <w:rFonts w:ascii="Times New Roman" w:hAnsi="Times New Roman" w:cs="Times New Roman"/>
                <w:color w:val="000000"/>
                <w:sz w:val="21"/>
                <w:szCs w:val="21"/>
              </w:rPr>
              <w:t>6-Phospho-D-Gluconate**</w:t>
            </w:r>
          </w:p>
        </w:tc>
        <w:tc>
          <w:tcPr>
            <w:tcW w:w="1080" w:type="dxa"/>
            <w:tcBorders>
              <w:top w:val="nil"/>
              <w:left w:val="nil"/>
              <w:bottom w:val="single" w:sz="4" w:space="0" w:color="auto"/>
              <w:right w:val="single" w:sz="4" w:space="0" w:color="auto"/>
            </w:tcBorders>
            <w:shd w:val="clear" w:color="auto" w:fill="auto"/>
            <w:noWrap/>
            <w:vAlign w:val="bottom"/>
            <w:hideMark/>
          </w:tcPr>
          <w:p w14:paraId="40D0F046" w14:textId="77777777"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0.09</w:t>
            </w:r>
          </w:p>
        </w:tc>
        <w:tc>
          <w:tcPr>
            <w:tcW w:w="1266" w:type="dxa"/>
            <w:tcBorders>
              <w:top w:val="single" w:sz="4" w:space="0" w:color="auto"/>
              <w:left w:val="nil"/>
              <w:bottom w:val="single" w:sz="4" w:space="0" w:color="auto"/>
              <w:right w:val="single" w:sz="4" w:space="0" w:color="auto"/>
            </w:tcBorders>
            <w:vAlign w:val="bottom"/>
          </w:tcPr>
          <w:p w14:paraId="333E737A" w14:textId="72D5353C"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0.086</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14:paraId="2A9E84DF" w14:textId="5BFDD0C1"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0.36</w:t>
            </w:r>
          </w:p>
        </w:tc>
        <w:tc>
          <w:tcPr>
            <w:tcW w:w="1101" w:type="dxa"/>
            <w:tcBorders>
              <w:top w:val="nil"/>
              <w:left w:val="nil"/>
              <w:bottom w:val="single" w:sz="4" w:space="0" w:color="auto"/>
              <w:right w:val="single" w:sz="4" w:space="0" w:color="auto"/>
            </w:tcBorders>
            <w:vAlign w:val="bottom"/>
          </w:tcPr>
          <w:p w14:paraId="3D278A1A" w14:textId="7B0F527D"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-0.0068</w:t>
            </w:r>
          </w:p>
        </w:tc>
      </w:tr>
      <w:tr w:rsidR="00F70D5F" w:rsidRPr="005C3043" w14:paraId="26937EE1" w14:textId="74C2C882" w:rsidTr="00DB7B0F">
        <w:trPr>
          <w:trHeight w:val="312"/>
        </w:trPr>
        <w:tc>
          <w:tcPr>
            <w:tcW w:w="4230" w:type="dxa"/>
            <w:tcBorders>
              <w:top w:val="nil"/>
              <w:left w:val="single" w:sz="4" w:space="0" w:color="auto"/>
              <w:bottom w:val="single" w:sz="4" w:space="0" w:color="auto"/>
              <w:right w:val="single" w:sz="4" w:space="0" w:color="auto"/>
            </w:tcBorders>
            <w:shd w:val="clear" w:color="auto" w:fill="auto"/>
            <w:noWrap/>
            <w:vAlign w:val="bottom"/>
            <w:hideMark/>
          </w:tcPr>
          <w:p w14:paraId="52D8768C" w14:textId="041156CC" w:rsidR="00F70D5F" w:rsidRPr="00DB7B0F" w:rsidRDefault="00F70D5F" w:rsidP="00F70D5F">
            <w:pPr>
              <w:rPr>
                <w:rFonts w:ascii="Times New Roman" w:hAnsi="Times New Roman" w:cs="Times New Roman"/>
                <w:color w:val="000000"/>
                <w:sz w:val="21"/>
                <w:szCs w:val="21"/>
              </w:rPr>
            </w:pPr>
            <w:r w:rsidRPr="00DB7B0F">
              <w:rPr>
                <w:rFonts w:ascii="Times New Roman" w:hAnsi="Times New Roman" w:cs="Times New Roman"/>
                <w:color w:val="000000"/>
                <w:sz w:val="21"/>
                <w:szCs w:val="21"/>
              </w:rPr>
              <w:t>1-Methyladenosine**</w:t>
            </w:r>
          </w:p>
        </w:tc>
        <w:tc>
          <w:tcPr>
            <w:tcW w:w="1080" w:type="dxa"/>
            <w:tcBorders>
              <w:top w:val="nil"/>
              <w:left w:val="nil"/>
              <w:bottom w:val="single" w:sz="4" w:space="0" w:color="auto"/>
              <w:right w:val="single" w:sz="4" w:space="0" w:color="auto"/>
            </w:tcBorders>
            <w:shd w:val="clear" w:color="auto" w:fill="auto"/>
            <w:noWrap/>
            <w:vAlign w:val="bottom"/>
            <w:hideMark/>
          </w:tcPr>
          <w:p w14:paraId="5548C175" w14:textId="77777777"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0.11</w:t>
            </w:r>
          </w:p>
        </w:tc>
        <w:tc>
          <w:tcPr>
            <w:tcW w:w="1266" w:type="dxa"/>
            <w:tcBorders>
              <w:top w:val="single" w:sz="4" w:space="0" w:color="auto"/>
              <w:left w:val="nil"/>
              <w:bottom w:val="single" w:sz="4" w:space="0" w:color="auto"/>
              <w:right w:val="single" w:sz="4" w:space="0" w:color="auto"/>
            </w:tcBorders>
            <w:vAlign w:val="bottom"/>
          </w:tcPr>
          <w:p w14:paraId="56DBFE28" w14:textId="78682D2A"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0.077</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14:paraId="63329538" w14:textId="651AF954"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0.79</w:t>
            </w:r>
          </w:p>
        </w:tc>
        <w:tc>
          <w:tcPr>
            <w:tcW w:w="1101" w:type="dxa"/>
            <w:tcBorders>
              <w:top w:val="nil"/>
              <w:left w:val="nil"/>
              <w:bottom w:val="single" w:sz="4" w:space="0" w:color="auto"/>
              <w:right w:val="single" w:sz="4" w:space="0" w:color="auto"/>
            </w:tcBorders>
            <w:vAlign w:val="bottom"/>
          </w:tcPr>
          <w:p w14:paraId="6F930E85" w14:textId="76DB3335"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-0.051</w:t>
            </w:r>
          </w:p>
        </w:tc>
      </w:tr>
      <w:tr w:rsidR="00F70D5F" w:rsidRPr="005C3043" w14:paraId="4314CA27" w14:textId="3B3C541F" w:rsidTr="00DB7B0F">
        <w:trPr>
          <w:trHeight w:val="312"/>
        </w:trPr>
        <w:tc>
          <w:tcPr>
            <w:tcW w:w="4230" w:type="dxa"/>
            <w:tcBorders>
              <w:top w:val="nil"/>
              <w:left w:val="single" w:sz="4" w:space="0" w:color="auto"/>
              <w:bottom w:val="single" w:sz="4" w:space="0" w:color="auto"/>
              <w:right w:val="single" w:sz="4" w:space="0" w:color="auto"/>
            </w:tcBorders>
            <w:shd w:val="clear" w:color="auto" w:fill="auto"/>
            <w:noWrap/>
            <w:vAlign w:val="bottom"/>
            <w:hideMark/>
          </w:tcPr>
          <w:p w14:paraId="0377490C" w14:textId="6BBB1B40" w:rsidR="00F70D5F" w:rsidRPr="00DB7B0F" w:rsidRDefault="00F70D5F" w:rsidP="00F70D5F">
            <w:pPr>
              <w:rPr>
                <w:rFonts w:ascii="Times New Roman" w:hAnsi="Times New Roman" w:cs="Times New Roman"/>
                <w:color w:val="000000"/>
                <w:sz w:val="21"/>
                <w:szCs w:val="21"/>
              </w:rPr>
            </w:pPr>
            <w:proofErr w:type="spellStart"/>
            <w:r w:rsidRPr="00DB7B0F">
              <w:rPr>
                <w:rFonts w:ascii="Times New Roman" w:hAnsi="Times New Roman" w:cs="Times New Roman"/>
                <w:color w:val="000000"/>
                <w:sz w:val="21"/>
                <w:szCs w:val="21"/>
              </w:rPr>
              <w:t>Ophthalmate</w:t>
            </w:r>
            <w:proofErr w:type="spellEnd"/>
            <w:r w:rsidRPr="00DB7B0F">
              <w:rPr>
                <w:rFonts w:ascii="Times New Roman" w:hAnsi="Times New Roman" w:cs="Times New Roman"/>
                <w:color w:val="000000"/>
                <w:sz w:val="21"/>
                <w:szCs w:val="21"/>
              </w:rPr>
              <w:t>**</w:t>
            </w:r>
          </w:p>
        </w:tc>
        <w:tc>
          <w:tcPr>
            <w:tcW w:w="1080" w:type="dxa"/>
            <w:tcBorders>
              <w:top w:val="nil"/>
              <w:left w:val="nil"/>
              <w:bottom w:val="single" w:sz="4" w:space="0" w:color="auto"/>
              <w:right w:val="single" w:sz="4" w:space="0" w:color="auto"/>
            </w:tcBorders>
            <w:shd w:val="clear" w:color="auto" w:fill="auto"/>
            <w:noWrap/>
            <w:vAlign w:val="bottom"/>
            <w:hideMark/>
          </w:tcPr>
          <w:p w14:paraId="1239F388" w14:textId="77777777"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0.14</w:t>
            </w:r>
          </w:p>
        </w:tc>
        <w:tc>
          <w:tcPr>
            <w:tcW w:w="1266" w:type="dxa"/>
            <w:tcBorders>
              <w:top w:val="single" w:sz="4" w:space="0" w:color="auto"/>
              <w:left w:val="nil"/>
              <w:bottom w:val="single" w:sz="4" w:space="0" w:color="auto"/>
              <w:right w:val="single" w:sz="4" w:space="0" w:color="auto"/>
            </w:tcBorders>
            <w:vAlign w:val="bottom"/>
          </w:tcPr>
          <w:p w14:paraId="75F8A220" w14:textId="51BD71D7"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0.06</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14:paraId="5440554A" w14:textId="6554817E"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0.19</w:t>
            </w:r>
          </w:p>
        </w:tc>
        <w:tc>
          <w:tcPr>
            <w:tcW w:w="1101" w:type="dxa"/>
            <w:tcBorders>
              <w:top w:val="nil"/>
              <w:left w:val="nil"/>
              <w:bottom w:val="single" w:sz="4" w:space="0" w:color="auto"/>
              <w:right w:val="single" w:sz="4" w:space="0" w:color="auto"/>
            </w:tcBorders>
            <w:vAlign w:val="bottom"/>
          </w:tcPr>
          <w:p w14:paraId="14740F64" w14:textId="03BD2A5F"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0.045</w:t>
            </w:r>
          </w:p>
        </w:tc>
      </w:tr>
      <w:tr w:rsidR="00F70D5F" w:rsidRPr="005C3043" w14:paraId="12DFFD8B" w14:textId="422EFC5D" w:rsidTr="00DB7B0F">
        <w:trPr>
          <w:trHeight w:val="312"/>
        </w:trPr>
        <w:tc>
          <w:tcPr>
            <w:tcW w:w="4230" w:type="dxa"/>
            <w:tcBorders>
              <w:top w:val="nil"/>
              <w:left w:val="single" w:sz="4" w:space="0" w:color="auto"/>
              <w:bottom w:val="single" w:sz="4" w:space="0" w:color="auto"/>
              <w:right w:val="single" w:sz="4" w:space="0" w:color="auto"/>
            </w:tcBorders>
            <w:shd w:val="clear" w:color="auto" w:fill="auto"/>
            <w:noWrap/>
            <w:vAlign w:val="bottom"/>
            <w:hideMark/>
          </w:tcPr>
          <w:p w14:paraId="0F9C24F2" w14:textId="4504FF18" w:rsidR="00F70D5F" w:rsidRPr="00DB7B0F" w:rsidRDefault="00F70D5F" w:rsidP="00F70D5F">
            <w:pPr>
              <w:rPr>
                <w:rFonts w:ascii="Times New Roman" w:hAnsi="Times New Roman" w:cs="Times New Roman"/>
                <w:color w:val="000000"/>
                <w:sz w:val="21"/>
                <w:szCs w:val="21"/>
              </w:rPr>
            </w:pPr>
            <w:r w:rsidRPr="00DB7B0F">
              <w:rPr>
                <w:rFonts w:ascii="Times New Roman" w:hAnsi="Times New Roman" w:cs="Times New Roman"/>
                <w:color w:val="000000"/>
                <w:sz w:val="21"/>
                <w:szCs w:val="21"/>
              </w:rPr>
              <w:t>S-Methyl-5-Thioadenosine**</w:t>
            </w:r>
          </w:p>
        </w:tc>
        <w:tc>
          <w:tcPr>
            <w:tcW w:w="1080" w:type="dxa"/>
            <w:tcBorders>
              <w:top w:val="nil"/>
              <w:left w:val="nil"/>
              <w:bottom w:val="single" w:sz="4" w:space="0" w:color="auto"/>
              <w:right w:val="single" w:sz="4" w:space="0" w:color="auto"/>
            </w:tcBorders>
            <w:shd w:val="clear" w:color="auto" w:fill="auto"/>
            <w:noWrap/>
            <w:vAlign w:val="bottom"/>
            <w:hideMark/>
          </w:tcPr>
          <w:p w14:paraId="7442052B" w14:textId="77777777" w:rsidR="00F70D5F" w:rsidRPr="00DB7B0F" w:rsidRDefault="00F70D5F" w:rsidP="00F70D5F">
            <w:pPr>
              <w:jc w:val="center"/>
              <w:rPr>
                <w:rFonts w:ascii="Times New Roman" w:hAnsi="Times New Roman" w:cs="Times New Roman"/>
                <w:color w:val="000000"/>
                <w:sz w:val="21"/>
                <w:szCs w:val="21"/>
                <w:vertAlign w:val="superscript"/>
              </w:rPr>
            </w:pPr>
            <w:r w:rsidRPr="00DB7B0F">
              <w:rPr>
                <w:rFonts w:ascii="Times New Roman" w:hAnsi="Times New Roman" w:cs="Times New Roman"/>
                <w:color w:val="000000"/>
                <w:sz w:val="21"/>
                <w:szCs w:val="21"/>
              </w:rPr>
              <w:t>0.3</w:t>
            </w:r>
          </w:p>
        </w:tc>
        <w:tc>
          <w:tcPr>
            <w:tcW w:w="1266" w:type="dxa"/>
            <w:tcBorders>
              <w:top w:val="single" w:sz="4" w:space="0" w:color="auto"/>
              <w:left w:val="nil"/>
              <w:bottom w:val="single" w:sz="4" w:space="0" w:color="auto"/>
              <w:right w:val="single" w:sz="4" w:space="0" w:color="auto"/>
            </w:tcBorders>
            <w:vAlign w:val="bottom"/>
          </w:tcPr>
          <w:p w14:paraId="47E153A0" w14:textId="50B3A2BC"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0.0056</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14:paraId="23CD37BC" w14:textId="2388884A"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0.82</w:t>
            </w:r>
          </w:p>
        </w:tc>
        <w:tc>
          <w:tcPr>
            <w:tcW w:w="1101" w:type="dxa"/>
            <w:tcBorders>
              <w:top w:val="nil"/>
              <w:left w:val="nil"/>
              <w:bottom w:val="single" w:sz="4" w:space="0" w:color="auto"/>
              <w:right w:val="single" w:sz="4" w:space="0" w:color="auto"/>
            </w:tcBorders>
            <w:vAlign w:val="bottom"/>
          </w:tcPr>
          <w:p w14:paraId="1F944572" w14:textId="52486BCB"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-0.052</w:t>
            </w:r>
          </w:p>
        </w:tc>
      </w:tr>
      <w:tr w:rsidR="00F70D5F" w:rsidRPr="005C3043" w14:paraId="6961EF8F" w14:textId="5FE5385C" w:rsidTr="00DB7B0F">
        <w:trPr>
          <w:trHeight w:val="312"/>
        </w:trPr>
        <w:tc>
          <w:tcPr>
            <w:tcW w:w="4230" w:type="dxa"/>
            <w:tcBorders>
              <w:top w:val="nil"/>
              <w:left w:val="single" w:sz="4" w:space="0" w:color="auto"/>
              <w:bottom w:val="single" w:sz="4" w:space="0" w:color="auto"/>
              <w:right w:val="single" w:sz="4" w:space="0" w:color="auto"/>
            </w:tcBorders>
            <w:shd w:val="clear" w:color="auto" w:fill="auto"/>
            <w:noWrap/>
            <w:vAlign w:val="bottom"/>
            <w:hideMark/>
          </w:tcPr>
          <w:p w14:paraId="360E7398" w14:textId="79EAEFF8" w:rsidR="00F70D5F" w:rsidRPr="00DB7B0F" w:rsidRDefault="00F70D5F" w:rsidP="00F70D5F">
            <w:pPr>
              <w:rPr>
                <w:rFonts w:ascii="Times New Roman" w:hAnsi="Times New Roman" w:cs="Times New Roman"/>
                <w:color w:val="000000"/>
                <w:sz w:val="21"/>
                <w:szCs w:val="21"/>
              </w:rPr>
            </w:pPr>
            <w:r w:rsidRPr="00DB7B0F">
              <w:rPr>
                <w:rFonts w:ascii="Times New Roman" w:hAnsi="Times New Roman" w:cs="Times New Roman"/>
                <w:color w:val="000000"/>
                <w:sz w:val="21"/>
                <w:szCs w:val="21"/>
              </w:rPr>
              <w:t>N-Acetylglucosamine-1-6-Phosphate**</w:t>
            </w:r>
          </w:p>
        </w:tc>
        <w:tc>
          <w:tcPr>
            <w:tcW w:w="1080" w:type="dxa"/>
            <w:tcBorders>
              <w:top w:val="nil"/>
              <w:left w:val="nil"/>
              <w:bottom w:val="single" w:sz="4" w:space="0" w:color="auto"/>
              <w:right w:val="single" w:sz="4" w:space="0" w:color="auto"/>
            </w:tcBorders>
            <w:shd w:val="clear" w:color="auto" w:fill="auto"/>
            <w:noWrap/>
            <w:vAlign w:val="bottom"/>
            <w:hideMark/>
          </w:tcPr>
          <w:p w14:paraId="63756D9A" w14:textId="77777777"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0.41</w:t>
            </w:r>
          </w:p>
        </w:tc>
        <w:tc>
          <w:tcPr>
            <w:tcW w:w="1266" w:type="dxa"/>
            <w:tcBorders>
              <w:top w:val="single" w:sz="4" w:space="0" w:color="auto"/>
              <w:left w:val="nil"/>
              <w:bottom w:val="single" w:sz="4" w:space="0" w:color="auto"/>
              <w:right w:val="single" w:sz="4" w:space="0" w:color="auto"/>
            </w:tcBorders>
            <w:vAlign w:val="bottom"/>
          </w:tcPr>
          <w:p w14:paraId="02E6F7A5" w14:textId="70FD3BEA"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-0.014</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14:paraId="2AFA8F8D" w14:textId="371A316D"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0.47</w:t>
            </w:r>
          </w:p>
        </w:tc>
        <w:tc>
          <w:tcPr>
            <w:tcW w:w="1101" w:type="dxa"/>
            <w:tcBorders>
              <w:top w:val="nil"/>
              <w:left w:val="nil"/>
              <w:bottom w:val="single" w:sz="4" w:space="0" w:color="auto"/>
              <w:right w:val="single" w:sz="4" w:space="0" w:color="auto"/>
            </w:tcBorders>
            <w:vAlign w:val="bottom"/>
          </w:tcPr>
          <w:p w14:paraId="77B00CDE" w14:textId="4D160A22"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-0.024</w:t>
            </w:r>
          </w:p>
        </w:tc>
      </w:tr>
      <w:tr w:rsidR="00F70D5F" w:rsidRPr="005C3043" w14:paraId="5EA3CD16" w14:textId="6C32FB6D" w:rsidTr="00DB7B0F">
        <w:trPr>
          <w:trHeight w:val="312"/>
        </w:trPr>
        <w:tc>
          <w:tcPr>
            <w:tcW w:w="4230" w:type="dxa"/>
            <w:tcBorders>
              <w:top w:val="nil"/>
              <w:left w:val="single" w:sz="4" w:space="0" w:color="auto"/>
              <w:bottom w:val="single" w:sz="4" w:space="0" w:color="auto"/>
              <w:right w:val="single" w:sz="4" w:space="0" w:color="auto"/>
            </w:tcBorders>
            <w:shd w:val="clear" w:color="auto" w:fill="auto"/>
            <w:noWrap/>
            <w:vAlign w:val="bottom"/>
            <w:hideMark/>
          </w:tcPr>
          <w:p w14:paraId="6D302AE5" w14:textId="7BFED2D3" w:rsidR="00F70D5F" w:rsidRPr="00DB7B0F" w:rsidRDefault="00F70D5F" w:rsidP="00F70D5F">
            <w:pPr>
              <w:rPr>
                <w:rFonts w:ascii="Times New Roman" w:hAnsi="Times New Roman" w:cs="Times New Roman"/>
                <w:color w:val="000000"/>
                <w:sz w:val="21"/>
                <w:szCs w:val="21"/>
              </w:rPr>
            </w:pPr>
            <w:r w:rsidRPr="00DB7B0F">
              <w:rPr>
                <w:rFonts w:ascii="Times New Roman" w:hAnsi="Times New Roman" w:cs="Times New Roman"/>
                <w:color w:val="000000"/>
                <w:sz w:val="21"/>
                <w:szCs w:val="21"/>
              </w:rPr>
              <w:t>Trehalose/Sucrose**</w:t>
            </w:r>
          </w:p>
        </w:tc>
        <w:tc>
          <w:tcPr>
            <w:tcW w:w="1080" w:type="dxa"/>
            <w:tcBorders>
              <w:top w:val="nil"/>
              <w:left w:val="nil"/>
              <w:bottom w:val="single" w:sz="4" w:space="0" w:color="auto"/>
              <w:right w:val="single" w:sz="4" w:space="0" w:color="auto"/>
            </w:tcBorders>
            <w:shd w:val="clear" w:color="auto" w:fill="auto"/>
            <w:noWrap/>
            <w:vAlign w:val="bottom"/>
            <w:hideMark/>
          </w:tcPr>
          <w:p w14:paraId="6BEA8D3F" w14:textId="77777777"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0.52</w:t>
            </w:r>
          </w:p>
        </w:tc>
        <w:tc>
          <w:tcPr>
            <w:tcW w:w="1266" w:type="dxa"/>
            <w:tcBorders>
              <w:top w:val="single" w:sz="4" w:space="0" w:color="auto"/>
              <w:left w:val="nil"/>
              <w:bottom w:val="single" w:sz="4" w:space="0" w:color="auto"/>
              <w:right w:val="single" w:sz="4" w:space="0" w:color="auto"/>
            </w:tcBorders>
            <w:vAlign w:val="bottom"/>
          </w:tcPr>
          <w:p w14:paraId="0FB616D2" w14:textId="26DB3C91"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-0.027</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14:paraId="2039A60C" w14:textId="5723B3D0"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0.82</w:t>
            </w:r>
          </w:p>
        </w:tc>
        <w:tc>
          <w:tcPr>
            <w:tcW w:w="1101" w:type="dxa"/>
            <w:tcBorders>
              <w:top w:val="nil"/>
              <w:left w:val="nil"/>
              <w:bottom w:val="single" w:sz="4" w:space="0" w:color="auto"/>
              <w:right w:val="single" w:sz="4" w:space="0" w:color="auto"/>
            </w:tcBorders>
            <w:vAlign w:val="bottom"/>
          </w:tcPr>
          <w:p w14:paraId="7AE48300" w14:textId="034DDF67"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-0.053</w:t>
            </w:r>
          </w:p>
        </w:tc>
      </w:tr>
      <w:tr w:rsidR="00F70D5F" w:rsidRPr="005C3043" w14:paraId="3F580AB8" w14:textId="747CC07F" w:rsidTr="00DB7B0F">
        <w:trPr>
          <w:trHeight w:val="312"/>
        </w:trPr>
        <w:tc>
          <w:tcPr>
            <w:tcW w:w="4230" w:type="dxa"/>
            <w:tcBorders>
              <w:top w:val="nil"/>
              <w:left w:val="single" w:sz="4" w:space="0" w:color="auto"/>
              <w:bottom w:val="single" w:sz="4" w:space="0" w:color="auto"/>
              <w:right w:val="single" w:sz="4" w:space="0" w:color="auto"/>
            </w:tcBorders>
            <w:shd w:val="clear" w:color="auto" w:fill="auto"/>
            <w:noWrap/>
            <w:vAlign w:val="bottom"/>
            <w:hideMark/>
          </w:tcPr>
          <w:p w14:paraId="4CFF9DB5" w14:textId="0E4EB191" w:rsidR="00F70D5F" w:rsidRPr="00DB7B0F" w:rsidRDefault="00F70D5F" w:rsidP="00F70D5F">
            <w:pPr>
              <w:rPr>
                <w:rFonts w:ascii="Times New Roman" w:hAnsi="Times New Roman" w:cs="Times New Roman"/>
                <w:color w:val="000000"/>
                <w:sz w:val="21"/>
                <w:szCs w:val="21"/>
              </w:rPr>
            </w:pPr>
            <w:r w:rsidRPr="00DB7B0F">
              <w:rPr>
                <w:rFonts w:ascii="Times New Roman" w:hAnsi="Times New Roman" w:cs="Times New Roman"/>
                <w:color w:val="000000"/>
                <w:sz w:val="21"/>
                <w:szCs w:val="21"/>
              </w:rPr>
              <w:t>GMP**</w:t>
            </w:r>
          </w:p>
        </w:tc>
        <w:tc>
          <w:tcPr>
            <w:tcW w:w="1080" w:type="dxa"/>
            <w:tcBorders>
              <w:top w:val="nil"/>
              <w:left w:val="nil"/>
              <w:bottom w:val="single" w:sz="4" w:space="0" w:color="auto"/>
              <w:right w:val="single" w:sz="4" w:space="0" w:color="auto"/>
            </w:tcBorders>
            <w:shd w:val="clear" w:color="auto" w:fill="auto"/>
            <w:noWrap/>
            <w:vAlign w:val="bottom"/>
            <w:hideMark/>
          </w:tcPr>
          <w:p w14:paraId="055204FF" w14:textId="77777777"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0.2</w:t>
            </w:r>
          </w:p>
        </w:tc>
        <w:tc>
          <w:tcPr>
            <w:tcW w:w="1266" w:type="dxa"/>
            <w:tcBorders>
              <w:top w:val="single" w:sz="4" w:space="0" w:color="auto"/>
              <w:left w:val="nil"/>
              <w:bottom w:val="single" w:sz="4" w:space="0" w:color="auto"/>
              <w:right w:val="single" w:sz="4" w:space="0" w:color="auto"/>
            </w:tcBorders>
            <w:vAlign w:val="bottom"/>
          </w:tcPr>
          <w:p w14:paraId="34A6D014" w14:textId="6AB16936"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0.035</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14:paraId="36964EC1" w14:textId="35C07DCC"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0.44</w:t>
            </w:r>
          </w:p>
        </w:tc>
        <w:tc>
          <w:tcPr>
            <w:tcW w:w="1101" w:type="dxa"/>
            <w:tcBorders>
              <w:top w:val="nil"/>
              <w:left w:val="nil"/>
              <w:bottom w:val="single" w:sz="4" w:space="0" w:color="auto"/>
              <w:right w:val="single" w:sz="4" w:space="0" w:color="auto"/>
            </w:tcBorders>
            <w:vAlign w:val="bottom"/>
          </w:tcPr>
          <w:p w14:paraId="70F1BE4C" w14:textId="37A89E63"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-0.021</w:t>
            </w:r>
          </w:p>
        </w:tc>
      </w:tr>
      <w:tr w:rsidR="00F70D5F" w:rsidRPr="005C3043" w14:paraId="2E80CE09" w14:textId="57766BE4" w:rsidTr="00DB7B0F">
        <w:trPr>
          <w:trHeight w:val="312"/>
        </w:trPr>
        <w:tc>
          <w:tcPr>
            <w:tcW w:w="4230" w:type="dxa"/>
            <w:tcBorders>
              <w:top w:val="nil"/>
              <w:left w:val="single" w:sz="4" w:space="0" w:color="auto"/>
              <w:bottom w:val="single" w:sz="4" w:space="0" w:color="auto"/>
              <w:right w:val="single" w:sz="4" w:space="0" w:color="auto"/>
            </w:tcBorders>
            <w:shd w:val="clear" w:color="auto" w:fill="auto"/>
            <w:noWrap/>
            <w:vAlign w:val="bottom"/>
            <w:hideMark/>
          </w:tcPr>
          <w:p w14:paraId="2FA00F0F" w14:textId="1A7825CC" w:rsidR="00F70D5F" w:rsidRPr="00DB7B0F" w:rsidRDefault="00F70D5F" w:rsidP="00F70D5F">
            <w:pPr>
              <w:rPr>
                <w:rFonts w:ascii="Times New Roman" w:hAnsi="Times New Roman" w:cs="Times New Roman"/>
                <w:color w:val="000000"/>
                <w:sz w:val="21"/>
                <w:szCs w:val="21"/>
              </w:rPr>
            </w:pPr>
            <w:proofErr w:type="spellStart"/>
            <w:r w:rsidRPr="00DB7B0F">
              <w:rPr>
                <w:rFonts w:ascii="Times New Roman" w:hAnsi="Times New Roman" w:cs="Times New Roman"/>
                <w:color w:val="000000"/>
                <w:sz w:val="21"/>
                <w:szCs w:val="21"/>
              </w:rPr>
              <w:t>Octulose</w:t>
            </w:r>
            <w:proofErr w:type="spellEnd"/>
            <w:r w:rsidRPr="00DB7B0F">
              <w:rPr>
                <w:rFonts w:ascii="Times New Roman" w:hAnsi="Times New Roman" w:cs="Times New Roman"/>
                <w:color w:val="000000"/>
                <w:sz w:val="21"/>
                <w:szCs w:val="21"/>
              </w:rPr>
              <w:t xml:space="preserve"> Bisphosphate**</w:t>
            </w:r>
          </w:p>
        </w:tc>
        <w:tc>
          <w:tcPr>
            <w:tcW w:w="1080" w:type="dxa"/>
            <w:tcBorders>
              <w:top w:val="nil"/>
              <w:left w:val="nil"/>
              <w:bottom w:val="single" w:sz="4" w:space="0" w:color="auto"/>
              <w:right w:val="single" w:sz="4" w:space="0" w:color="auto"/>
            </w:tcBorders>
            <w:shd w:val="clear" w:color="auto" w:fill="auto"/>
            <w:noWrap/>
            <w:vAlign w:val="bottom"/>
            <w:hideMark/>
          </w:tcPr>
          <w:p w14:paraId="2A6E809A" w14:textId="77777777"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0.86</w:t>
            </w:r>
          </w:p>
        </w:tc>
        <w:tc>
          <w:tcPr>
            <w:tcW w:w="1266" w:type="dxa"/>
            <w:tcBorders>
              <w:top w:val="single" w:sz="4" w:space="0" w:color="auto"/>
              <w:left w:val="nil"/>
              <w:bottom w:val="single" w:sz="4" w:space="0" w:color="auto"/>
              <w:right w:val="single" w:sz="4" w:space="0" w:color="auto"/>
            </w:tcBorders>
            <w:vAlign w:val="bottom"/>
          </w:tcPr>
          <w:p w14:paraId="6D3F3F2C" w14:textId="1EC7464E"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-0.046</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14:paraId="6C4858BA" w14:textId="45B5DF2B"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0.87</w:t>
            </w:r>
          </w:p>
        </w:tc>
        <w:tc>
          <w:tcPr>
            <w:tcW w:w="1101" w:type="dxa"/>
            <w:tcBorders>
              <w:top w:val="nil"/>
              <w:left w:val="nil"/>
              <w:bottom w:val="single" w:sz="4" w:space="0" w:color="auto"/>
              <w:right w:val="single" w:sz="4" w:space="0" w:color="auto"/>
            </w:tcBorders>
            <w:vAlign w:val="bottom"/>
          </w:tcPr>
          <w:p w14:paraId="7515DD5F" w14:textId="52E9741D"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-0.054</w:t>
            </w:r>
          </w:p>
        </w:tc>
      </w:tr>
      <w:tr w:rsidR="00F70D5F" w:rsidRPr="005C3043" w14:paraId="7FB41393" w14:textId="4E64B4A6" w:rsidTr="00DB7B0F">
        <w:trPr>
          <w:trHeight w:val="312"/>
        </w:trPr>
        <w:tc>
          <w:tcPr>
            <w:tcW w:w="4230" w:type="dxa"/>
            <w:tcBorders>
              <w:top w:val="nil"/>
              <w:left w:val="single" w:sz="4" w:space="0" w:color="auto"/>
              <w:bottom w:val="single" w:sz="4" w:space="0" w:color="auto"/>
              <w:right w:val="single" w:sz="4" w:space="0" w:color="auto"/>
            </w:tcBorders>
            <w:shd w:val="clear" w:color="auto" w:fill="auto"/>
            <w:noWrap/>
            <w:vAlign w:val="bottom"/>
            <w:hideMark/>
          </w:tcPr>
          <w:p w14:paraId="1E6CE97E" w14:textId="23499840" w:rsidR="00F70D5F" w:rsidRPr="00DB7B0F" w:rsidRDefault="00F70D5F" w:rsidP="00F70D5F">
            <w:pPr>
              <w:rPr>
                <w:rFonts w:ascii="Times New Roman" w:hAnsi="Times New Roman" w:cs="Times New Roman"/>
                <w:color w:val="000000"/>
                <w:sz w:val="21"/>
                <w:szCs w:val="21"/>
              </w:rPr>
            </w:pPr>
            <w:proofErr w:type="spellStart"/>
            <w:r w:rsidRPr="00DB7B0F">
              <w:rPr>
                <w:rFonts w:ascii="Times New Roman" w:hAnsi="Times New Roman" w:cs="Times New Roman"/>
                <w:color w:val="000000"/>
                <w:sz w:val="21"/>
                <w:szCs w:val="21"/>
              </w:rPr>
              <w:t>Taurodeoxycholate</w:t>
            </w:r>
            <w:proofErr w:type="spellEnd"/>
            <w:r w:rsidRPr="00DB7B0F">
              <w:rPr>
                <w:rFonts w:ascii="Times New Roman" w:hAnsi="Times New Roman" w:cs="Times New Roman"/>
                <w:color w:val="000000"/>
                <w:sz w:val="21"/>
                <w:szCs w:val="21"/>
              </w:rPr>
              <w:t>**</w:t>
            </w:r>
          </w:p>
        </w:tc>
        <w:tc>
          <w:tcPr>
            <w:tcW w:w="1080" w:type="dxa"/>
            <w:tcBorders>
              <w:top w:val="nil"/>
              <w:left w:val="nil"/>
              <w:bottom w:val="single" w:sz="4" w:space="0" w:color="auto"/>
              <w:right w:val="single" w:sz="4" w:space="0" w:color="auto"/>
            </w:tcBorders>
            <w:shd w:val="clear" w:color="auto" w:fill="auto"/>
            <w:noWrap/>
            <w:vAlign w:val="bottom"/>
            <w:hideMark/>
          </w:tcPr>
          <w:p w14:paraId="53463F6B" w14:textId="77777777"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0.13</w:t>
            </w:r>
          </w:p>
        </w:tc>
        <w:tc>
          <w:tcPr>
            <w:tcW w:w="1266" w:type="dxa"/>
            <w:tcBorders>
              <w:top w:val="single" w:sz="4" w:space="0" w:color="auto"/>
              <w:left w:val="nil"/>
              <w:bottom w:val="single" w:sz="4" w:space="0" w:color="auto"/>
              <w:right w:val="single" w:sz="4" w:space="0" w:color="auto"/>
            </w:tcBorders>
            <w:vAlign w:val="bottom"/>
          </w:tcPr>
          <w:p w14:paraId="77B60B89" w14:textId="5DE0EAB0"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0.065</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14:paraId="48FBD200" w14:textId="002DCA49"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0.93</w:t>
            </w:r>
          </w:p>
        </w:tc>
        <w:tc>
          <w:tcPr>
            <w:tcW w:w="1101" w:type="dxa"/>
            <w:tcBorders>
              <w:top w:val="nil"/>
              <w:left w:val="nil"/>
              <w:bottom w:val="single" w:sz="4" w:space="0" w:color="auto"/>
              <w:right w:val="single" w:sz="4" w:space="0" w:color="auto"/>
            </w:tcBorders>
            <w:vAlign w:val="bottom"/>
          </w:tcPr>
          <w:p w14:paraId="0873233E" w14:textId="5AD0FA9B"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-0.055</w:t>
            </w:r>
          </w:p>
        </w:tc>
      </w:tr>
      <w:tr w:rsidR="00F70D5F" w:rsidRPr="005C3043" w14:paraId="3B20ED0B" w14:textId="64BE081C" w:rsidTr="00DB7B0F">
        <w:trPr>
          <w:trHeight w:val="312"/>
        </w:trPr>
        <w:tc>
          <w:tcPr>
            <w:tcW w:w="4230" w:type="dxa"/>
            <w:tcBorders>
              <w:top w:val="nil"/>
              <w:left w:val="single" w:sz="4" w:space="0" w:color="auto"/>
              <w:bottom w:val="single" w:sz="4" w:space="0" w:color="auto"/>
              <w:right w:val="single" w:sz="4" w:space="0" w:color="auto"/>
            </w:tcBorders>
            <w:shd w:val="clear" w:color="auto" w:fill="auto"/>
            <w:noWrap/>
            <w:vAlign w:val="bottom"/>
            <w:hideMark/>
          </w:tcPr>
          <w:p w14:paraId="3A5FFCD7" w14:textId="586E874E" w:rsidR="00F70D5F" w:rsidRPr="00DB7B0F" w:rsidRDefault="00F70D5F" w:rsidP="00F70D5F">
            <w:pPr>
              <w:rPr>
                <w:rFonts w:ascii="Times New Roman" w:hAnsi="Times New Roman" w:cs="Times New Roman"/>
                <w:color w:val="000000"/>
                <w:sz w:val="21"/>
                <w:szCs w:val="21"/>
              </w:rPr>
            </w:pPr>
            <w:r w:rsidRPr="00DB7B0F">
              <w:rPr>
                <w:rFonts w:ascii="Times New Roman" w:hAnsi="Times New Roman" w:cs="Times New Roman"/>
                <w:color w:val="000000"/>
                <w:sz w:val="21"/>
                <w:szCs w:val="21"/>
              </w:rPr>
              <w:t>Cysteine**</w:t>
            </w:r>
          </w:p>
        </w:tc>
        <w:tc>
          <w:tcPr>
            <w:tcW w:w="1080" w:type="dxa"/>
            <w:tcBorders>
              <w:top w:val="nil"/>
              <w:left w:val="nil"/>
              <w:bottom w:val="single" w:sz="4" w:space="0" w:color="auto"/>
              <w:right w:val="single" w:sz="4" w:space="0" w:color="auto"/>
            </w:tcBorders>
            <w:shd w:val="clear" w:color="auto" w:fill="auto"/>
            <w:noWrap/>
            <w:vAlign w:val="bottom"/>
            <w:hideMark/>
          </w:tcPr>
          <w:p w14:paraId="0F73A97D" w14:textId="77777777"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0.2</w:t>
            </w:r>
          </w:p>
        </w:tc>
        <w:tc>
          <w:tcPr>
            <w:tcW w:w="1266" w:type="dxa"/>
            <w:tcBorders>
              <w:top w:val="single" w:sz="4" w:space="0" w:color="auto"/>
              <w:left w:val="nil"/>
              <w:bottom w:val="single" w:sz="4" w:space="0" w:color="auto"/>
              <w:right w:val="single" w:sz="4" w:space="0" w:color="auto"/>
            </w:tcBorders>
            <w:vAlign w:val="bottom"/>
          </w:tcPr>
          <w:p w14:paraId="5F067931" w14:textId="44E3D7FB"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0.032</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14:paraId="6339CAAB" w14:textId="3CCEA7C1"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0.76</w:t>
            </w:r>
          </w:p>
        </w:tc>
        <w:tc>
          <w:tcPr>
            <w:tcW w:w="1101" w:type="dxa"/>
            <w:tcBorders>
              <w:top w:val="nil"/>
              <w:left w:val="nil"/>
              <w:bottom w:val="single" w:sz="4" w:space="0" w:color="auto"/>
              <w:right w:val="single" w:sz="4" w:space="0" w:color="auto"/>
            </w:tcBorders>
            <w:vAlign w:val="bottom"/>
          </w:tcPr>
          <w:p w14:paraId="694A02FF" w14:textId="6F7B9B01"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-0.05</w:t>
            </w:r>
          </w:p>
        </w:tc>
      </w:tr>
      <w:tr w:rsidR="00F70D5F" w:rsidRPr="005C3043" w14:paraId="0FAA8C8A" w14:textId="01590037" w:rsidTr="00DB7B0F">
        <w:trPr>
          <w:trHeight w:val="312"/>
        </w:trPr>
        <w:tc>
          <w:tcPr>
            <w:tcW w:w="4230" w:type="dxa"/>
            <w:tcBorders>
              <w:top w:val="nil"/>
              <w:left w:val="single" w:sz="4" w:space="0" w:color="auto"/>
              <w:bottom w:val="single" w:sz="4" w:space="0" w:color="auto"/>
              <w:right w:val="single" w:sz="4" w:space="0" w:color="auto"/>
            </w:tcBorders>
            <w:shd w:val="clear" w:color="auto" w:fill="auto"/>
            <w:noWrap/>
            <w:vAlign w:val="bottom"/>
            <w:hideMark/>
          </w:tcPr>
          <w:p w14:paraId="7932A08D" w14:textId="3664E9EA" w:rsidR="00F70D5F" w:rsidRPr="00DB7B0F" w:rsidRDefault="00F70D5F" w:rsidP="00F70D5F">
            <w:pPr>
              <w:rPr>
                <w:rFonts w:ascii="Times New Roman" w:hAnsi="Times New Roman" w:cs="Times New Roman"/>
                <w:color w:val="000000"/>
                <w:sz w:val="21"/>
                <w:szCs w:val="21"/>
              </w:rPr>
            </w:pPr>
            <w:r w:rsidRPr="00DB7B0F">
              <w:rPr>
                <w:rFonts w:ascii="Times New Roman" w:hAnsi="Times New Roman" w:cs="Times New Roman"/>
                <w:color w:val="000000"/>
                <w:sz w:val="21"/>
                <w:szCs w:val="21"/>
              </w:rPr>
              <w:t>Uracil**</w:t>
            </w:r>
          </w:p>
        </w:tc>
        <w:tc>
          <w:tcPr>
            <w:tcW w:w="1080" w:type="dxa"/>
            <w:tcBorders>
              <w:top w:val="nil"/>
              <w:left w:val="nil"/>
              <w:bottom w:val="single" w:sz="4" w:space="0" w:color="auto"/>
              <w:right w:val="single" w:sz="4" w:space="0" w:color="auto"/>
            </w:tcBorders>
            <w:shd w:val="clear" w:color="auto" w:fill="auto"/>
            <w:noWrap/>
            <w:vAlign w:val="bottom"/>
            <w:hideMark/>
          </w:tcPr>
          <w:p w14:paraId="26462E18" w14:textId="77777777"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0.11</w:t>
            </w:r>
          </w:p>
        </w:tc>
        <w:tc>
          <w:tcPr>
            <w:tcW w:w="1266" w:type="dxa"/>
            <w:tcBorders>
              <w:top w:val="single" w:sz="4" w:space="0" w:color="auto"/>
              <w:left w:val="nil"/>
              <w:bottom w:val="single" w:sz="4" w:space="0" w:color="auto"/>
              <w:right w:val="single" w:sz="4" w:space="0" w:color="auto"/>
            </w:tcBorders>
            <w:vAlign w:val="bottom"/>
          </w:tcPr>
          <w:p w14:paraId="1DA53C7E" w14:textId="73E19804"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0.078</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14:paraId="6D6325B5" w14:textId="2D7286AC"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0.19</w:t>
            </w:r>
          </w:p>
        </w:tc>
        <w:tc>
          <w:tcPr>
            <w:tcW w:w="1101" w:type="dxa"/>
            <w:tcBorders>
              <w:top w:val="nil"/>
              <w:left w:val="nil"/>
              <w:bottom w:val="single" w:sz="4" w:space="0" w:color="auto"/>
              <w:right w:val="single" w:sz="4" w:space="0" w:color="auto"/>
            </w:tcBorders>
            <w:vAlign w:val="bottom"/>
          </w:tcPr>
          <w:p w14:paraId="4E69FBF2" w14:textId="4BE3A67F"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0.045</w:t>
            </w:r>
          </w:p>
        </w:tc>
      </w:tr>
      <w:tr w:rsidR="00F70D5F" w:rsidRPr="005C3043" w14:paraId="14F596F3" w14:textId="71C5037C" w:rsidTr="00DB7B0F">
        <w:trPr>
          <w:trHeight w:val="312"/>
        </w:trPr>
        <w:tc>
          <w:tcPr>
            <w:tcW w:w="4230" w:type="dxa"/>
            <w:tcBorders>
              <w:top w:val="nil"/>
              <w:left w:val="single" w:sz="4" w:space="0" w:color="auto"/>
              <w:bottom w:val="single" w:sz="4" w:space="0" w:color="auto"/>
              <w:right w:val="single" w:sz="4" w:space="0" w:color="auto"/>
            </w:tcBorders>
            <w:shd w:val="clear" w:color="auto" w:fill="auto"/>
            <w:noWrap/>
            <w:vAlign w:val="bottom"/>
            <w:hideMark/>
          </w:tcPr>
          <w:p w14:paraId="1CDE404F" w14:textId="4B091484" w:rsidR="00F70D5F" w:rsidRPr="00DB7B0F" w:rsidRDefault="00F70D5F" w:rsidP="00F70D5F">
            <w:pPr>
              <w:rPr>
                <w:rFonts w:ascii="Times New Roman" w:hAnsi="Times New Roman" w:cs="Times New Roman"/>
                <w:color w:val="000000"/>
                <w:sz w:val="21"/>
                <w:szCs w:val="21"/>
              </w:rPr>
            </w:pPr>
            <w:r w:rsidRPr="00DB7B0F">
              <w:rPr>
                <w:rFonts w:ascii="Times New Roman" w:hAnsi="Times New Roman" w:cs="Times New Roman"/>
                <w:color w:val="000000"/>
                <w:sz w:val="21"/>
                <w:szCs w:val="21"/>
              </w:rPr>
              <w:t>Aminocaproic Acid**</w:t>
            </w:r>
          </w:p>
        </w:tc>
        <w:tc>
          <w:tcPr>
            <w:tcW w:w="1080" w:type="dxa"/>
            <w:tcBorders>
              <w:top w:val="nil"/>
              <w:left w:val="nil"/>
              <w:bottom w:val="single" w:sz="4" w:space="0" w:color="auto"/>
              <w:right w:val="single" w:sz="4" w:space="0" w:color="auto"/>
            </w:tcBorders>
            <w:shd w:val="clear" w:color="auto" w:fill="auto"/>
            <w:noWrap/>
            <w:vAlign w:val="bottom"/>
            <w:hideMark/>
          </w:tcPr>
          <w:p w14:paraId="1555D6B1" w14:textId="77777777"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0.24</w:t>
            </w:r>
          </w:p>
        </w:tc>
        <w:tc>
          <w:tcPr>
            <w:tcW w:w="1266" w:type="dxa"/>
            <w:tcBorders>
              <w:top w:val="single" w:sz="4" w:space="0" w:color="auto"/>
              <w:left w:val="nil"/>
              <w:bottom w:val="single" w:sz="4" w:space="0" w:color="auto"/>
              <w:right w:val="single" w:sz="4" w:space="0" w:color="auto"/>
            </w:tcBorders>
            <w:vAlign w:val="bottom"/>
          </w:tcPr>
          <w:p w14:paraId="69246BA3" w14:textId="3FCD10E6"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0.02</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14:paraId="1919FC6D" w14:textId="710F0AF6"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0.72</w:t>
            </w:r>
          </w:p>
        </w:tc>
        <w:tc>
          <w:tcPr>
            <w:tcW w:w="1101" w:type="dxa"/>
            <w:tcBorders>
              <w:top w:val="nil"/>
              <w:left w:val="nil"/>
              <w:bottom w:val="single" w:sz="4" w:space="0" w:color="auto"/>
              <w:right w:val="single" w:sz="4" w:space="0" w:color="auto"/>
            </w:tcBorders>
            <w:vAlign w:val="bottom"/>
          </w:tcPr>
          <w:p w14:paraId="2E239326" w14:textId="5403CE58"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-0.048</w:t>
            </w:r>
          </w:p>
        </w:tc>
      </w:tr>
      <w:tr w:rsidR="00F70D5F" w:rsidRPr="005C3043" w14:paraId="2562B083" w14:textId="4354A4EC" w:rsidTr="00DB7B0F">
        <w:trPr>
          <w:trHeight w:val="312"/>
        </w:trPr>
        <w:tc>
          <w:tcPr>
            <w:tcW w:w="4230" w:type="dxa"/>
            <w:tcBorders>
              <w:top w:val="nil"/>
              <w:left w:val="single" w:sz="4" w:space="0" w:color="auto"/>
              <w:bottom w:val="single" w:sz="4" w:space="0" w:color="auto"/>
              <w:right w:val="single" w:sz="4" w:space="0" w:color="auto"/>
            </w:tcBorders>
            <w:shd w:val="clear" w:color="auto" w:fill="auto"/>
            <w:noWrap/>
            <w:vAlign w:val="bottom"/>
            <w:hideMark/>
          </w:tcPr>
          <w:p w14:paraId="2CACA858" w14:textId="5AF6D9A9" w:rsidR="00F70D5F" w:rsidRPr="00DB7B0F" w:rsidRDefault="00F70D5F" w:rsidP="00F70D5F">
            <w:pPr>
              <w:rPr>
                <w:rFonts w:ascii="Times New Roman" w:hAnsi="Times New Roman" w:cs="Times New Roman"/>
                <w:color w:val="000000"/>
                <w:sz w:val="21"/>
                <w:szCs w:val="21"/>
              </w:rPr>
            </w:pPr>
            <w:r w:rsidRPr="00DB7B0F">
              <w:rPr>
                <w:rFonts w:ascii="Times New Roman" w:hAnsi="Times New Roman" w:cs="Times New Roman"/>
                <w:color w:val="000000"/>
                <w:sz w:val="21"/>
                <w:szCs w:val="21"/>
              </w:rPr>
              <w:t>Trehalose-6-Phosphate**</w:t>
            </w:r>
          </w:p>
        </w:tc>
        <w:tc>
          <w:tcPr>
            <w:tcW w:w="1080" w:type="dxa"/>
            <w:tcBorders>
              <w:top w:val="nil"/>
              <w:left w:val="nil"/>
              <w:bottom w:val="single" w:sz="4" w:space="0" w:color="auto"/>
              <w:right w:val="single" w:sz="4" w:space="0" w:color="auto"/>
            </w:tcBorders>
            <w:shd w:val="clear" w:color="auto" w:fill="auto"/>
            <w:noWrap/>
            <w:vAlign w:val="bottom"/>
            <w:hideMark/>
          </w:tcPr>
          <w:p w14:paraId="76C2F70E" w14:textId="77777777"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0.18</w:t>
            </w:r>
          </w:p>
        </w:tc>
        <w:tc>
          <w:tcPr>
            <w:tcW w:w="1266" w:type="dxa"/>
            <w:tcBorders>
              <w:top w:val="single" w:sz="4" w:space="0" w:color="auto"/>
              <w:left w:val="nil"/>
              <w:bottom w:val="single" w:sz="4" w:space="0" w:color="auto"/>
              <w:right w:val="single" w:sz="4" w:space="0" w:color="auto"/>
            </w:tcBorders>
            <w:vAlign w:val="bottom"/>
          </w:tcPr>
          <w:p w14:paraId="31E0BAF2" w14:textId="6C5DC5CB"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0.04</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14:paraId="308CD20B" w14:textId="65DEDD68"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0.32</w:t>
            </w:r>
          </w:p>
        </w:tc>
        <w:tc>
          <w:tcPr>
            <w:tcW w:w="1101" w:type="dxa"/>
            <w:tcBorders>
              <w:top w:val="nil"/>
              <w:left w:val="nil"/>
              <w:bottom w:val="single" w:sz="4" w:space="0" w:color="auto"/>
              <w:right w:val="single" w:sz="4" w:space="0" w:color="auto"/>
            </w:tcBorders>
            <w:vAlign w:val="bottom"/>
          </w:tcPr>
          <w:p w14:paraId="2147DA56" w14:textId="4CDE0DC5" w:rsidR="00F70D5F" w:rsidRPr="00DB7B0F" w:rsidRDefault="00F70D5F" w:rsidP="00F70D5F">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0.0019</w:t>
            </w:r>
          </w:p>
        </w:tc>
      </w:tr>
      <w:tr w:rsidR="00815100" w:rsidRPr="005C3043" w14:paraId="3984C83A" w14:textId="77777777" w:rsidTr="00DB7B0F">
        <w:trPr>
          <w:trHeight w:val="312"/>
        </w:trPr>
        <w:tc>
          <w:tcPr>
            <w:tcW w:w="4230" w:type="dxa"/>
            <w:tcBorders>
              <w:top w:val="nil"/>
              <w:left w:val="single" w:sz="4" w:space="0" w:color="auto"/>
              <w:bottom w:val="single" w:sz="4" w:space="0" w:color="auto"/>
              <w:right w:val="single" w:sz="4" w:space="0" w:color="auto"/>
            </w:tcBorders>
            <w:shd w:val="clear" w:color="auto" w:fill="auto"/>
            <w:noWrap/>
            <w:vAlign w:val="bottom"/>
          </w:tcPr>
          <w:p w14:paraId="4ED940F3" w14:textId="164685BE" w:rsidR="00815100" w:rsidRPr="00DB7B0F" w:rsidRDefault="00815100" w:rsidP="00815100">
            <w:pPr>
              <w:rPr>
                <w:rFonts w:ascii="Times New Roman" w:hAnsi="Times New Roman" w:cs="Times New Roman"/>
                <w:color w:val="000000"/>
                <w:sz w:val="21"/>
                <w:szCs w:val="21"/>
              </w:rPr>
            </w:pPr>
            <w:r w:rsidRPr="00DB7B0F">
              <w:rPr>
                <w:rFonts w:ascii="Times New Roman" w:hAnsi="Times New Roman" w:cs="Times New Roman"/>
                <w:color w:val="000000"/>
                <w:sz w:val="21"/>
                <w:szCs w:val="21"/>
              </w:rPr>
              <w:t>BCS***</w:t>
            </w:r>
          </w:p>
        </w:tc>
        <w:tc>
          <w:tcPr>
            <w:tcW w:w="1080" w:type="dxa"/>
            <w:tcBorders>
              <w:top w:val="nil"/>
              <w:left w:val="nil"/>
              <w:bottom w:val="single" w:sz="4" w:space="0" w:color="auto"/>
              <w:right w:val="single" w:sz="4" w:space="0" w:color="auto"/>
            </w:tcBorders>
            <w:shd w:val="clear" w:color="auto" w:fill="auto"/>
            <w:noWrap/>
            <w:vAlign w:val="bottom"/>
          </w:tcPr>
          <w:p w14:paraId="7F9D9053" w14:textId="2A8586F1" w:rsidR="00815100" w:rsidRPr="00DB7B0F" w:rsidRDefault="00815100" w:rsidP="00815100">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0.87</w:t>
            </w:r>
          </w:p>
        </w:tc>
        <w:tc>
          <w:tcPr>
            <w:tcW w:w="1266" w:type="dxa"/>
            <w:tcBorders>
              <w:top w:val="single" w:sz="4" w:space="0" w:color="auto"/>
              <w:left w:val="nil"/>
              <w:bottom w:val="single" w:sz="4" w:space="0" w:color="auto"/>
              <w:right w:val="single" w:sz="4" w:space="0" w:color="auto"/>
            </w:tcBorders>
          </w:tcPr>
          <w:p w14:paraId="5AB6CF7D" w14:textId="5F9698E0" w:rsidR="00815100" w:rsidRPr="00DB7B0F" w:rsidRDefault="00815100" w:rsidP="00815100">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w:t>
            </w:r>
          </w:p>
        </w:tc>
        <w:tc>
          <w:tcPr>
            <w:tcW w:w="963" w:type="dxa"/>
            <w:tcBorders>
              <w:top w:val="nil"/>
              <w:left w:val="single" w:sz="4" w:space="0" w:color="auto"/>
              <w:bottom w:val="single" w:sz="4" w:space="0" w:color="auto"/>
              <w:right w:val="single" w:sz="4" w:space="0" w:color="auto"/>
            </w:tcBorders>
            <w:shd w:val="clear" w:color="auto" w:fill="auto"/>
            <w:noWrap/>
            <w:vAlign w:val="bottom"/>
          </w:tcPr>
          <w:p w14:paraId="3242DAAF" w14:textId="2F73B499" w:rsidR="00815100" w:rsidRPr="00DB7B0F" w:rsidRDefault="00815100" w:rsidP="00815100">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0.33</w:t>
            </w:r>
          </w:p>
        </w:tc>
        <w:tc>
          <w:tcPr>
            <w:tcW w:w="1101" w:type="dxa"/>
            <w:tcBorders>
              <w:top w:val="nil"/>
              <w:left w:val="nil"/>
              <w:bottom w:val="single" w:sz="4" w:space="0" w:color="auto"/>
              <w:right w:val="single" w:sz="4" w:space="0" w:color="auto"/>
            </w:tcBorders>
          </w:tcPr>
          <w:p w14:paraId="49CC311B" w14:textId="04E428A7" w:rsidR="00815100" w:rsidRPr="00DB7B0F" w:rsidRDefault="00815100" w:rsidP="00815100">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w:t>
            </w:r>
          </w:p>
        </w:tc>
      </w:tr>
      <w:tr w:rsidR="000D3143" w:rsidRPr="005C3043" w14:paraId="5F89BE45" w14:textId="77777777" w:rsidTr="00DB7B0F">
        <w:trPr>
          <w:trHeight w:val="312"/>
        </w:trPr>
        <w:tc>
          <w:tcPr>
            <w:tcW w:w="42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29A258" w14:textId="6AAD6D19" w:rsidR="000D3143" w:rsidRPr="00DB7B0F" w:rsidRDefault="000D3143" w:rsidP="000D314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BCS 5 x BCS 4****</w:t>
            </w: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1245B1AF" w14:textId="770CEA98" w:rsidR="000D3143" w:rsidRPr="00DB7B0F" w:rsidRDefault="000D3143"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0.97</w:t>
            </w:r>
          </w:p>
        </w:tc>
        <w:tc>
          <w:tcPr>
            <w:tcW w:w="1266" w:type="dxa"/>
            <w:tcBorders>
              <w:top w:val="single" w:sz="4" w:space="0" w:color="auto"/>
              <w:left w:val="nil"/>
              <w:bottom w:val="single" w:sz="4" w:space="0" w:color="auto"/>
              <w:right w:val="single" w:sz="4" w:space="0" w:color="auto"/>
            </w:tcBorders>
            <w:vAlign w:val="bottom"/>
          </w:tcPr>
          <w:p w14:paraId="16BE4465" w14:textId="3E43B138" w:rsidR="000D3143" w:rsidRPr="00DB7B0F" w:rsidRDefault="00F70D5F"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529B8E" w14:textId="343C8F63" w:rsidR="000D3143" w:rsidRPr="00DB7B0F" w:rsidRDefault="000D3143"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1.0</w:t>
            </w:r>
          </w:p>
        </w:tc>
        <w:tc>
          <w:tcPr>
            <w:tcW w:w="1101" w:type="dxa"/>
            <w:tcBorders>
              <w:top w:val="single" w:sz="4" w:space="0" w:color="auto"/>
              <w:left w:val="nil"/>
              <w:bottom w:val="single" w:sz="4" w:space="0" w:color="auto"/>
              <w:right w:val="single" w:sz="4" w:space="0" w:color="auto"/>
            </w:tcBorders>
            <w:vAlign w:val="bottom"/>
          </w:tcPr>
          <w:p w14:paraId="2826474B" w14:textId="253C82A4" w:rsidR="000D3143" w:rsidRPr="00DB7B0F" w:rsidRDefault="00F70D5F"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w:t>
            </w:r>
          </w:p>
        </w:tc>
      </w:tr>
      <w:tr w:rsidR="000D3143" w:rsidRPr="005C3043" w14:paraId="7DA56CF3" w14:textId="77777777" w:rsidTr="00DB7B0F">
        <w:trPr>
          <w:trHeight w:val="312"/>
        </w:trPr>
        <w:tc>
          <w:tcPr>
            <w:tcW w:w="42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AB3291" w14:textId="1A3F3FEF" w:rsidR="000D3143" w:rsidRPr="00DB7B0F" w:rsidRDefault="000D3143" w:rsidP="000D314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BCS 6 x BCS 4****</w:t>
            </w: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26BFA1F8" w14:textId="30C684C1" w:rsidR="000D3143" w:rsidRPr="00DB7B0F" w:rsidRDefault="000D3143"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0.9</w:t>
            </w:r>
          </w:p>
        </w:tc>
        <w:tc>
          <w:tcPr>
            <w:tcW w:w="1266" w:type="dxa"/>
            <w:tcBorders>
              <w:top w:val="single" w:sz="4" w:space="0" w:color="auto"/>
              <w:left w:val="nil"/>
              <w:bottom w:val="single" w:sz="4" w:space="0" w:color="auto"/>
              <w:right w:val="single" w:sz="4" w:space="0" w:color="auto"/>
            </w:tcBorders>
            <w:vAlign w:val="bottom"/>
          </w:tcPr>
          <w:p w14:paraId="20B570E6" w14:textId="02FF9A5A" w:rsidR="000D3143" w:rsidRPr="00DB7B0F" w:rsidRDefault="00F70D5F"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B8FE2B" w14:textId="1255A940" w:rsidR="000D3143" w:rsidRPr="00DB7B0F" w:rsidRDefault="000D3143"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0.86</w:t>
            </w:r>
          </w:p>
        </w:tc>
        <w:tc>
          <w:tcPr>
            <w:tcW w:w="1101" w:type="dxa"/>
            <w:tcBorders>
              <w:top w:val="single" w:sz="4" w:space="0" w:color="auto"/>
              <w:left w:val="nil"/>
              <w:bottom w:val="single" w:sz="4" w:space="0" w:color="auto"/>
              <w:right w:val="single" w:sz="4" w:space="0" w:color="auto"/>
            </w:tcBorders>
            <w:vAlign w:val="bottom"/>
          </w:tcPr>
          <w:p w14:paraId="32FBB6ED" w14:textId="4C8EF952" w:rsidR="000D3143" w:rsidRPr="00DB7B0F" w:rsidRDefault="00F70D5F"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w:t>
            </w:r>
          </w:p>
        </w:tc>
      </w:tr>
      <w:tr w:rsidR="000D3143" w:rsidRPr="005C3043" w14:paraId="26F03EF1" w14:textId="77777777" w:rsidTr="00DB7B0F">
        <w:trPr>
          <w:trHeight w:val="312"/>
        </w:trPr>
        <w:tc>
          <w:tcPr>
            <w:tcW w:w="42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6AB287" w14:textId="0784843A" w:rsidR="000D3143" w:rsidRPr="00DB7B0F" w:rsidRDefault="000D3143" w:rsidP="000D314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BCS 7 x BCS 4****</w:t>
            </w: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0E4FD54A" w14:textId="379044A2" w:rsidR="000D3143" w:rsidRPr="00DB7B0F" w:rsidRDefault="000D3143"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0.98</w:t>
            </w:r>
          </w:p>
        </w:tc>
        <w:tc>
          <w:tcPr>
            <w:tcW w:w="1266" w:type="dxa"/>
            <w:tcBorders>
              <w:top w:val="single" w:sz="4" w:space="0" w:color="auto"/>
              <w:left w:val="nil"/>
              <w:bottom w:val="single" w:sz="4" w:space="0" w:color="auto"/>
              <w:right w:val="single" w:sz="4" w:space="0" w:color="auto"/>
            </w:tcBorders>
            <w:vAlign w:val="bottom"/>
          </w:tcPr>
          <w:p w14:paraId="27B62F42" w14:textId="345AA42F" w:rsidR="000D3143" w:rsidRPr="00DB7B0F" w:rsidRDefault="00F70D5F"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3FB35F" w14:textId="7B4ABF62" w:rsidR="000D3143" w:rsidRPr="00DB7B0F" w:rsidRDefault="000D3143"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0.99</w:t>
            </w:r>
          </w:p>
        </w:tc>
        <w:tc>
          <w:tcPr>
            <w:tcW w:w="1101" w:type="dxa"/>
            <w:tcBorders>
              <w:top w:val="single" w:sz="4" w:space="0" w:color="auto"/>
              <w:left w:val="nil"/>
              <w:bottom w:val="single" w:sz="4" w:space="0" w:color="auto"/>
              <w:right w:val="single" w:sz="4" w:space="0" w:color="auto"/>
            </w:tcBorders>
            <w:vAlign w:val="bottom"/>
          </w:tcPr>
          <w:p w14:paraId="0DD1066D" w14:textId="52016EAC" w:rsidR="000D3143" w:rsidRPr="00DB7B0F" w:rsidRDefault="00F70D5F"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w:t>
            </w:r>
          </w:p>
        </w:tc>
      </w:tr>
      <w:tr w:rsidR="000D3143" w:rsidRPr="005C3043" w14:paraId="2FFE4956" w14:textId="77777777" w:rsidTr="00DB7B0F">
        <w:trPr>
          <w:trHeight w:val="312"/>
        </w:trPr>
        <w:tc>
          <w:tcPr>
            <w:tcW w:w="42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B01336" w14:textId="25FF5660" w:rsidR="000D3143" w:rsidRPr="00DB7B0F" w:rsidRDefault="000D3143" w:rsidP="000D314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BCS 8 x BCS 4****</w:t>
            </w: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0DDDCC19" w14:textId="45B8800D" w:rsidR="000D3143" w:rsidRPr="00DB7B0F" w:rsidRDefault="000D3143"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0.85</w:t>
            </w:r>
          </w:p>
        </w:tc>
        <w:tc>
          <w:tcPr>
            <w:tcW w:w="1266" w:type="dxa"/>
            <w:tcBorders>
              <w:top w:val="single" w:sz="4" w:space="0" w:color="auto"/>
              <w:left w:val="nil"/>
              <w:bottom w:val="single" w:sz="4" w:space="0" w:color="auto"/>
              <w:right w:val="single" w:sz="4" w:space="0" w:color="auto"/>
            </w:tcBorders>
            <w:vAlign w:val="bottom"/>
          </w:tcPr>
          <w:p w14:paraId="10EB8785" w14:textId="40FF139B" w:rsidR="000D3143" w:rsidRPr="00DB7B0F" w:rsidRDefault="00F70D5F"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BAA1C7" w14:textId="7D9D0936" w:rsidR="000D3143" w:rsidRPr="00DB7B0F" w:rsidRDefault="000D3143"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0.36</w:t>
            </w:r>
          </w:p>
        </w:tc>
        <w:tc>
          <w:tcPr>
            <w:tcW w:w="1101" w:type="dxa"/>
            <w:tcBorders>
              <w:top w:val="single" w:sz="4" w:space="0" w:color="auto"/>
              <w:left w:val="nil"/>
              <w:bottom w:val="single" w:sz="4" w:space="0" w:color="auto"/>
              <w:right w:val="single" w:sz="4" w:space="0" w:color="auto"/>
            </w:tcBorders>
            <w:vAlign w:val="bottom"/>
          </w:tcPr>
          <w:p w14:paraId="30DD2C6E" w14:textId="4D08C08B" w:rsidR="000D3143" w:rsidRPr="00DB7B0F" w:rsidRDefault="00F70D5F"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w:t>
            </w:r>
          </w:p>
        </w:tc>
      </w:tr>
      <w:tr w:rsidR="000D3143" w:rsidRPr="005C3043" w14:paraId="7AEEE820" w14:textId="77777777" w:rsidTr="00DB7B0F">
        <w:trPr>
          <w:trHeight w:val="312"/>
        </w:trPr>
        <w:tc>
          <w:tcPr>
            <w:tcW w:w="42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77C3D1" w14:textId="4FA172FF" w:rsidR="000D3143" w:rsidRPr="00DB7B0F" w:rsidRDefault="000D3143" w:rsidP="000D314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BCS 6 x BCS 5****</w:t>
            </w: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5E9FD1E9" w14:textId="3F0CEC10" w:rsidR="000D3143" w:rsidRPr="00DB7B0F" w:rsidRDefault="000D3143"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1.0</w:t>
            </w:r>
          </w:p>
        </w:tc>
        <w:tc>
          <w:tcPr>
            <w:tcW w:w="1266" w:type="dxa"/>
            <w:tcBorders>
              <w:top w:val="single" w:sz="4" w:space="0" w:color="auto"/>
              <w:left w:val="nil"/>
              <w:bottom w:val="single" w:sz="4" w:space="0" w:color="auto"/>
              <w:right w:val="single" w:sz="4" w:space="0" w:color="auto"/>
            </w:tcBorders>
            <w:vAlign w:val="bottom"/>
          </w:tcPr>
          <w:p w14:paraId="3444BF32" w14:textId="275E2FC0" w:rsidR="000D3143" w:rsidRPr="00DB7B0F" w:rsidRDefault="00F70D5F"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67BC0D" w14:textId="0C774B24" w:rsidR="000D3143" w:rsidRPr="00DB7B0F" w:rsidRDefault="000D3143"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0.82</w:t>
            </w:r>
          </w:p>
        </w:tc>
        <w:tc>
          <w:tcPr>
            <w:tcW w:w="1101" w:type="dxa"/>
            <w:tcBorders>
              <w:top w:val="single" w:sz="4" w:space="0" w:color="auto"/>
              <w:left w:val="nil"/>
              <w:bottom w:val="single" w:sz="4" w:space="0" w:color="auto"/>
              <w:right w:val="single" w:sz="4" w:space="0" w:color="auto"/>
            </w:tcBorders>
            <w:vAlign w:val="bottom"/>
          </w:tcPr>
          <w:p w14:paraId="42A6253A" w14:textId="3E1971B3" w:rsidR="000D3143" w:rsidRPr="00DB7B0F" w:rsidRDefault="00F70D5F"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w:t>
            </w:r>
          </w:p>
        </w:tc>
      </w:tr>
      <w:tr w:rsidR="000D3143" w:rsidRPr="005C3043" w14:paraId="18D58B97" w14:textId="77777777" w:rsidTr="00DB7B0F">
        <w:trPr>
          <w:trHeight w:val="312"/>
        </w:trPr>
        <w:tc>
          <w:tcPr>
            <w:tcW w:w="42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BF77F7" w14:textId="7FC57D78" w:rsidR="000D3143" w:rsidRPr="00DB7B0F" w:rsidRDefault="000D3143" w:rsidP="000D314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BCS 7 x BCS 5****</w:t>
            </w: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1D69F0B6" w14:textId="3A360323" w:rsidR="000D3143" w:rsidRPr="00DB7B0F" w:rsidRDefault="000D3143"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1.0</w:t>
            </w:r>
          </w:p>
        </w:tc>
        <w:tc>
          <w:tcPr>
            <w:tcW w:w="1266" w:type="dxa"/>
            <w:tcBorders>
              <w:top w:val="single" w:sz="4" w:space="0" w:color="auto"/>
              <w:left w:val="nil"/>
              <w:bottom w:val="single" w:sz="4" w:space="0" w:color="auto"/>
              <w:right w:val="single" w:sz="4" w:space="0" w:color="auto"/>
            </w:tcBorders>
            <w:vAlign w:val="bottom"/>
          </w:tcPr>
          <w:p w14:paraId="04442F84" w14:textId="160D8787" w:rsidR="000D3143" w:rsidRPr="00DB7B0F" w:rsidRDefault="00F70D5F"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DF93AC" w14:textId="578A548E" w:rsidR="000D3143" w:rsidRPr="00DB7B0F" w:rsidRDefault="000D3143"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0.99</w:t>
            </w:r>
          </w:p>
        </w:tc>
        <w:tc>
          <w:tcPr>
            <w:tcW w:w="1101" w:type="dxa"/>
            <w:tcBorders>
              <w:top w:val="single" w:sz="4" w:space="0" w:color="auto"/>
              <w:left w:val="nil"/>
              <w:bottom w:val="single" w:sz="4" w:space="0" w:color="auto"/>
              <w:right w:val="single" w:sz="4" w:space="0" w:color="auto"/>
            </w:tcBorders>
            <w:vAlign w:val="bottom"/>
          </w:tcPr>
          <w:p w14:paraId="0A311A95" w14:textId="60CEEB0C" w:rsidR="000D3143" w:rsidRPr="00DB7B0F" w:rsidRDefault="00F70D5F"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w:t>
            </w:r>
          </w:p>
        </w:tc>
      </w:tr>
      <w:tr w:rsidR="000D3143" w:rsidRPr="005C3043" w14:paraId="6AC4A225" w14:textId="77777777" w:rsidTr="00DB7B0F">
        <w:trPr>
          <w:trHeight w:val="312"/>
        </w:trPr>
        <w:tc>
          <w:tcPr>
            <w:tcW w:w="42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74FD74" w14:textId="566B66D1" w:rsidR="000D3143" w:rsidRPr="00DB7B0F" w:rsidRDefault="000D3143" w:rsidP="000D314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BCS 8 x BCS 5****</w:t>
            </w: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432C19AB" w14:textId="405FDCA3" w:rsidR="000D3143" w:rsidRPr="00DB7B0F" w:rsidRDefault="000D3143"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0.97</w:t>
            </w:r>
          </w:p>
        </w:tc>
        <w:tc>
          <w:tcPr>
            <w:tcW w:w="1266" w:type="dxa"/>
            <w:tcBorders>
              <w:top w:val="single" w:sz="4" w:space="0" w:color="auto"/>
              <w:left w:val="nil"/>
              <w:bottom w:val="single" w:sz="4" w:space="0" w:color="auto"/>
              <w:right w:val="single" w:sz="4" w:space="0" w:color="auto"/>
            </w:tcBorders>
            <w:vAlign w:val="bottom"/>
          </w:tcPr>
          <w:p w14:paraId="0DE18D64" w14:textId="31C0D5CF" w:rsidR="000D3143" w:rsidRPr="00DB7B0F" w:rsidRDefault="00F70D5F"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F9E7C2" w14:textId="70DAB96E" w:rsidR="000D3143" w:rsidRPr="00DB7B0F" w:rsidRDefault="000D3143"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0.30</w:t>
            </w:r>
          </w:p>
        </w:tc>
        <w:tc>
          <w:tcPr>
            <w:tcW w:w="1101" w:type="dxa"/>
            <w:tcBorders>
              <w:top w:val="single" w:sz="4" w:space="0" w:color="auto"/>
              <w:left w:val="nil"/>
              <w:bottom w:val="single" w:sz="4" w:space="0" w:color="auto"/>
              <w:right w:val="single" w:sz="4" w:space="0" w:color="auto"/>
            </w:tcBorders>
            <w:vAlign w:val="bottom"/>
          </w:tcPr>
          <w:p w14:paraId="2E3CBA52" w14:textId="044C4A44" w:rsidR="000D3143" w:rsidRPr="00DB7B0F" w:rsidRDefault="00F70D5F"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w:t>
            </w:r>
          </w:p>
        </w:tc>
      </w:tr>
      <w:tr w:rsidR="000D3143" w:rsidRPr="005C3043" w14:paraId="2E4765B0" w14:textId="77777777" w:rsidTr="00DB7B0F">
        <w:trPr>
          <w:trHeight w:val="312"/>
        </w:trPr>
        <w:tc>
          <w:tcPr>
            <w:tcW w:w="42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2D7B33" w14:textId="71545470" w:rsidR="000D3143" w:rsidRPr="00DB7B0F" w:rsidRDefault="000D3143" w:rsidP="000D314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BCS 7 x BCS 6****</w:t>
            </w: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2FDC09DA" w14:textId="5F684B53" w:rsidR="000D3143" w:rsidRPr="00DB7B0F" w:rsidRDefault="000D3143"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1.0</w:t>
            </w:r>
          </w:p>
        </w:tc>
        <w:tc>
          <w:tcPr>
            <w:tcW w:w="1266" w:type="dxa"/>
            <w:tcBorders>
              <w:top w:val="single" w:sz="4" w:space="0" w:color="auto"/>
              <w:left w:val="nil"/>
              <w:bottom w:val="single" w:sz="4" w:space="0" w:color="auto"/>
              <w:right w:val="single" w:sz="4" w:space="0" w:color="auto"/>
            </w:tcBorders>
            <w:vAlign w:val="bottom"/>
          </w:tcPr>
          <w:p w14:paraId="2772BE1F" w14:textId="1554722B" w:rsidR="000D3143" w:rsidRPr="00DB7B0F" w:rsidRDefault="00F70D5F"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F48180" w14:textId="120895BE" w:rsidR="000D3143" w:rsidRPr="00DB7B0F" w:rsidRDefault="000D3143"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0.98</w:t>
            </w:r>
          </w:p>
        </w:tc>
        <w:tc>
          <w:tcPr>
            <w:tcW w:w="1101" w:type="dxa"/>
            <w:tcBorders>
              <w:top w:val="single" w:sz="4" w:space="0" w:color="auto"/>
              <w:left w:val="nil"/>
              <w:bottom w:val="single" w:sz="4" w:space="0" w:color="auto"/>
              <w:right w:val="single" w:sz="4" w:space="0" w:color="auto"/>
            </w:tcBorders>
            <w:vAlign w:val="bottom"/>
          </w:tcPr>
          <w:p w14:paraId="7A190E52" w14:textId="38E8E835" w:rsidR="000D3143" w:rsidRPr="00DB7B0F" w:rsidRDefault="00F70D5F"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w:t>
            </w:r>
          </w:p>
        </w:tc>
      </w:tr>
      <w:tr w:rsidR="000D3143" w:rsidRPr="005C3043" w14:paraId="31822A2E" w14:textId="77777777" w:rsidTr="00DB7B0F">
        <w:trPr>
          <w:trHeight w:val="312"/>
        </w:trPr>
        <w:tc>
          <w:tcPr>
            <w:tcW w:w="42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4F16B2" w14:textId="4B3837D6" w:rsidR="000D3143" w:rsidRPr="00DB7B0F" w:rsidRDefault="000D3143" w:rsidP="000D314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BCS 8 x BCS 6****</w:t>
            </w: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1D26858E" w14:textId="53774B65" w:rsidR="000D3143" w:rsidRPr="00DB7B0F" w:rsidRDefault="000D3143"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1.0</w:t>
            </w:r>
          </w:p>
        </w:tc>
        <w:tc>
          <w:tcPr>
            <w:tcW w:w="1266" w:type="dxa"/>
            <w:tcBorders>
              <w:top w:val="single" w:sz="4" w:space="0" w:color="auto"/>
              <w:left w:val="nil"/>
              <w:bottom w:val="single" w:sz="4" w:space="0" w:color="auto"/>
              <w:right w:val="single" w:sz="4" w:space="0" w:color="auto"/>
            </w:tcBorders>
            <w:vAlign w:val="bottom"/>
          </w:tcPr>
          <w:p w14:paraId="69DE58B9" w14:textId="621088B8" w:rsidR="000D3143" w:rsidRPr="00DB7B0F" w:rsidRDefault="00F70D5F"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FE9DA2" w14:textId="6E655956" w:rsidR="000D3143" w:rsidRPr="00DB7B0F" w:rsidRDefault="000D3143"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0.71</w:t>
            </w:r>
          </w:p>
        </w:tc>
        <w:tc>
          <w:tcPr>
            <w:tcW w:w="1101" w:type="dxa"/>
            <w:tcBorders>
              <w:top w:val="single" w:sz="4" w:space="0" w:color="auto"/>
              <w:left w:val="nil"/>
              <w:bottom w:val="single" w:sz="4" w:space="0" w:color="auto"/>
              <w:right w:val="single" w:sz="4" w:space="0" w:color="auto"/>
            </w:tcBorders>
            <w:vAlign w:val="bottom"/>
          </w:tcPr>
          <w:p w14:paraId="6FF1FCF5" w14:textId="4468E055" w:rsidR="000D3143" w:rsidRPr="00DB7B0F" w:rsidRDefault="00F70D5F"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w:t>
            </w:r>
          </w:p>
        </w:tc>
      </w:tr>
      <w:tr w:rsidR="000D3143" w:rsidRPr="005C3043" w14:paraId="0511EA0E" w14:textId="77777777" w:rsidTr="00DB7B0F">
        <w:trPr>
          <w:trHeight w:val="312"/>
        </w:trPr>
        <w:tc>
          <w:tcPr>
            <w:tcW w:w="42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0337BE" w14:textId="6CBE9C78" w:rsidR="000D3143" w:rsidRPr="00DB7B0F" w:rsidRDefault="000D3143" w:rsidP="000D3143">
            <w:pPr>
              <w:rPr>
                <w:rFonts w:ascii="Times New Roman" w:hAnsi="Times New Roman" w:cs="Times New Roman"/>
                <w:color w:val="000000"/>
                <w:sz w:val="21"/>
                <w:szCs w:val="21"/>
              </w:rPr>
            </w:pPr>
            <w:r w:rsidRPr="00DB7B0F">
              <w:rPr>
                <w:rFonts w:ascii="Times New Roman" w:hAnsi="Times New Roman" w:cs="Times New Roman"/>
                <w:color w:val="000000"/>
                <w:sz w:val="21"/>
                <w:szCs w:val="21"/>
              </w:rPr>
              <w:t>BCS 8 x BCS 7****</w:t>
            </w: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407E2F97" w14:textId="5BCEB710" w:rsidR="000D3143" w:rsidRPr="00DB7B0F" w:rsidRDefault="000D3143"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0.97</w:t>
            </w:r>
          </w:p>
        </w:tc>
        <w:tc>
          <w:tcPr>
            <w:tcW w:w="1266" w:type="dxa"/>
            <w:tcBorders>
              <w:top w:val="single" w:sz="4" w:space="0" w:color="auto"/>
              <w:left w:val="nil"/>
              <w:bottom w:val="single" w:sz="4" w:space="0" w:color="auto"/>
              <w:right w:val="single" w:sz="4" w:space="0" w:color="auto"/>
            </w:tcBorders>
            <w:vAlign w:val="bottom"/>
          </w:tcPr>
          <w:p w14:paraId="43F49D34" w14:textId="56AAAF3A" w:rsidR="000D3143" w:rsidRPr="00DB7B0F" w:rsidRDefault="00F70D5F"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3FBC91" w14:textId="412124BD" w:rsidR="000D3143" w:rsidRPr="00DB7B0F" w:rsidRDefault="000D3143"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0.50</w:t>
            </w:r>
          </w:p>
        </w:tc>
        <w:tc>
          <w:tcPr>
            <w:tcW w:w="1101" w:type="dxa"/>
            <w:tcBorders>
              <w:top w:val="single" w:sz="4" w:space="0" w:color="auto"/>
              <w:left w:val="nil"/>
              <w:bottom w:val="single" w:sz="4" w:space="0" w:color="auto"/>
              <w:right w:val="single" w:sz="4" w:space="0" w:color="auto"/>
            </w:tcBorders>
            <w:vAlign w:val="bottom"/>
          </w:tcPr>
          <w:p w14:paraId="1A31D700" w14:textId="14AB5289" w:rsidR="000D3143" w:rsidRPr="00DB7B0F" w:rsidRDefault="00F70D5F" w:rsidP="000D3143">
            <w:pPr>
              <w:jc w:val="center"/>
              <w:rPr>
                <w:rFonts w:ascii="Times New Roman" w:hAnsi="Times New Roman" w:cs="Times New Roman"/>
                <w:color w:val="000000"/>
                <w:sz w:val="21"/>
                <w:szCs w:val="21"/>
              </w:rPr>
            </w:pPr>
            <w:r w:rsidRPr="00DB7B0F">
              <w:rPr>
                <w:rFonts w:ascii="Times New Roman" w:hAnsi="Times New Roman" w:cs="Times New Roman"/>
                <w:color w:val="000000"/>
                <w:sz w:val="21"/>
                <w:szCs w:val="21"/>
              </w:rPr>
              <w:t>---</w:t>
            </w:r>
          </w:p>
        </w:tc>
      </w:tr>
    </w:tbl>
    <w:p w14:paraId="5E78E3F2" w14:textId="6F7C562B" w:rsidR="00125291" w:rsidRPr="00A42976" w:rsidRDefault="00125291" w:rsidP="00064157">
      <w:pPr>
        <w:spacing w:line="480" w:lineRule="auto"/>
        <w:rPr>
          <w:rFonts w:ascii="Times New Roman" w:hAnsi="Times New Roman" w:cs="Times New Roman"/>
          <w:color w:val="000000" w:themeColor="text1"/>
        </w:rPr>
      </w:pPr>
      <w:r w:rsidRPr="00A42976">
        <w:rPr>
          <w:rFonts w:ascii="Times New Roman" w:hAnsi="Times New Roman" w:cs="Times New Roman"/>
          <w:b/>
          <w:noProof/>
        </w:rPr>
        <mc:AlternateContent>
          <mc:Choice Requires="wps">
            <w:drawing>
              <wp:anchor distT="0" distB="0" distL="114300" distR="114300" simplePos="0" relativeHeight="251667456" behindDoc="0" locked="0" layoutInCell="1" allowOverlap="1" wp14:anchorId="08793C11" wp14:editId="1002AC88">
                <wp:simplePos x="0" y="0"/>
                <wp:positionH relativeFrom="column">
                  <wp:posOffset>-34119</wp:posOffset>
                </wp:positionH>
                <wp:positionV relativeFrom="paragraph">
                  <wp:posOffset>63406</wp:posOffset>
                </wp:positionV>
                <wp:extent cx="4537710" cy="479425"/>
                <wp:effectExtent l="0" t="0" r="0" b="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7710" cy="479425"/>
                        </a:xfrm>
                        <a:prstGeom prst="rect">
                          <a:avLst/>
                        </a:prstGeom>
                        <a:solidFill>
                          <a:srgbClr val="FFFFFF"/>
                        </a:solidFill>
                        <a:ln w="9525">
                          <a:noFill/>
                          <a:miter lim="800000"/>
                          <a:headEnd/>
                          <a:tailEnd/>
                        </a:ln>
                      </wps:spPr>
                      <wps:txbx>
                        <w:txbxContent>
                          <w:p w14:paraId="00ACBF7B" w14:textId="32D557F5" w:rsidR="00385683" w:rsidRDefault="00385683" w:rsidP="00125291">
                            <w:pPr>
                              <w:rPr>
                                <w:rFonts w:ascii="Times New Roman" w:hAnsi="Times New Roman" w:cs="Times New Roman"/>
                                <w:sz w:val="12"/>
                              </w:rPr>
                            </w:pPr>
                            <w:r>
                              <w:rPr>
                                <w:rFonts w:ascii="Times New Roman" w:hAnsi="Times New Roman" w:cs="Times New Roman"/>
                                <w:sz w:val="12"/>
                              </w:rPr>
                              <w:t xml:space="preserve">      </w:t>
                            </w:r>
                            <w:r w:rsidRPr="005C4985">
                              <w:rPr>
                                <w:rFonts w:ascii="Times New Roman" w:hAnsi="Times New Roman" w:cs="Times New Roman"/>
                                <w:sz w:val="12"/>
                              </w:rPr>
                              <w:t>*</w:t>
                            </w:r>
                            <w:r>
                              <w:rPr>
                                <w:rFonts w:ascii="Times New Roman" w:hAnsi="Times New Roman" w:cs="Times New Roman"/>
                                <w:sz w:val="12"/>
                              </w:rPr>
                              <w:t xml:space="preserve"> Analysis performed using linear regression including year as a random effect</w:t>
                            </w:r>
                          </w:p>
                          <w:p w14:paraId="7E3A91E5" w14:textId="3750D3AD" w:rsidR="00385683" w:rsidRDefault="00385683" w:rsidP="00125291">
                            <w:pPr>
                              <w:rPr>
                                <w:rFonts w:ascii="Times New Roman" w:hAnsi="Times New Roman" w:cs="Times New Roman"/>
                                <w:sz w:val="12"/>
                              </w:rPr>
                            </w:pPr>
                            <w:r>
                              <w:rPr>
                                <w:rFonts w:ascii="Times New Roman" w:hAnsi="Times New Roman" w:cs="Times New Roman"/>
                                <w:sz w:val="12"/>
                              </w:rPr>
                              <w:t xml:space="preserve">    **</w:t>
                            </w:r>
                            <w:r w:rsidRPr="00815100">
                              <w:rPr>
                                <w:rFonts w:ascii="Times New Roman" w:hAnsi="Times New Roman" w:cs="Times New Roman"/>
                                <w:sz w:val="12"/>
                              </w:rPr>
                              <w:t xml:space="preserve"> </w:t>
                            </w:r>
                            <w:r>
                              <w:rPr>
                                <w:rFonts w:ascii="Times New Roman" w:hAnsi="Times New Roman" w:cs="Times New Roman"/>
                                <w:sz w:val="12"/>
                              </w:rPr>
                              <w:t>Analysis performed using linear regression on data from year two only</w:t>
                            </w:r>
                          </w:p>
                          <w:p w14:paraId="27FBF195" w14:textId="562A7ED7" w:rsidR="00385683" w:rsidRDefault="00385683" w:rsidP="00125291">
                            <w:pPr>
                              <w:rPr>
                                <w:rFonts w:ascii="Times New Roman" w:hAnsi="Times New Roman" w:cs="Times New Roman"/>
                                <w:sz w:val="12"/>
                              </w:rPr>
                            </w:pPr>
                            <w:r>
                              <w:rPr>
                                <w:rFonts w:ascii="Times New Roman" w:hAnsi="Times New Roman" w:cs="Times New Roman"/>
                                <w:sz w:val="12"/>
                              </w:rPr>
                              <w:t xml:space="preserve">  *** Analysis performed using ANOVA including year as a random effect</w:t>
                            </w:r>
                          </w:p>
                          <w:p w14:paraId="0B7226A8" w14:textId="5AF8F53C" w:rsidR="00385683" w:rsidRPr="005C4985" w:rsidRDefault="00385683" w:rsidP="00125291">
                            <w:pPr>
                              <w:rPr>
                                <w:rFonts w:ascii="Times New Roman" w:hAnsi="Times New Roman" w:cs="Times New Roman"/>
                                <w:sz w:val="12"/>
                              </w:rPr>
                            </w:pPr>
                            <w:r>
                              <w:rPr>
                                <w:rFonts w:ascii="Times New Roman" w:hAnsi="Times New Roman" w:cs="Times New Roman"/>
                                <w:sz w:val="12"/>
                              </w:rPr>
                              <w:t xml:space="preserve">**** Pairwise comparisons performed on BCS ANOVA using Tukey post-hoc test </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08793C11" id="_x0000_t202" coordsize="21600,21600" o:spt="202" path="m,l,21600r21600,l21600,xe">
                <v:stroke joinstyle="miter"/>
                <v:path gradientshapeok="t" o:connecttype="rect"/>
              </v:shapetype>
              <v:shape id="Text Box 14" o:spid="_x0000_s1026" type="#_x0000_t202" style="position:absolute;margin-left:-2.7pt;margin-top:5pt;width:357.3pt;height:3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" stroked="f">
                <v:textbox>
                  <w:txbxContent>
                    <w:p w14:paraId="00ACBF7B" w14:textId="32D557F5" w:rsidR="00385683" w:rsidRDefault="00385683" w:rsidP="00125291">
                      <w:pPr>
                        <w:rPr>
                          <w:rFonts w:ascii="Times New Roman" w:hAnsi="Times New Roman" w:cs="Times New Roman"/>
                          <w:sz w:val="12"/>
                        </w:rPr>
                      </w:pPr>
                      <w:r>
                        <w:rPr>
                          <w:rFonts w:ascii="Times New Roman" w:hAnsi="Times New Roman" w:cs="Times New Roman"/>
                          <w:sz w:val="12"/>
                        </w:rPr>
                        <w:t xml:space="preserve">      </w:t>
                      </w:r>
                      <w:r w:rsidRPr="005C4985">
                        <w:rPr>
                          <w:rFonts w:ascii="Times New Roman" w:hAnsi="Times New Roman" w:cs="Times New Roman"/>
                          <w:sz w:val="12"/>
                        </w:rPr>
                        <w:t>*</w:t>
                      </w:r>
                      <w:r>
                        <w:rPr>
                          <w:rFonts w:ascii="Times New Roman" w:hAnsi="Times New Roman" w:cs="Times New Roman"/>
                          <w:sz w:val="12"/>
                        </w:rPr>
                        <w:t xml:space="preserve"> Analysis performed using linear regression including year as a random effect</w:t>
                      </w:r>
                    </w:p>
                    <w:p w14:paraId="7E3A91E5" w14:textId="3750D3AD" w:rsidR="00385683" w:rsidRDefault="00385683" w:rsidP="00125291">
                      <w:pPr>
                        <w:rPr>
                          <w:rFonts w:ascii="Times New Roman" w:hAnsi="Times New Roman" w:cs="Times New Roman"/>
                          <w:sz w:val="12"/>
                        </w:rPr>
                      </w:pPr>
                      <w:r>
                        <w:rPr>
                          <w:rFonts w:ascii="Times New Roman" w:hAnsi="Times New Roman" w:cs="Times New Roman"/>
                          <w:sz w:val="12"/>
                        </w:rPr>
                        <w:t xml:space="preserve">    **</w:t>
                      </w:r>
                      <w:r w:rsidRPr="00815100">
                        <w:rPr>
                          <w:rFonts w:ascii="Times New Roman" w:hAnsi="Times New Roman" w:cs="Times New Roman"/>
                          <w:sz w:val="12"/>
                        </w:rPr>
                        <w:t xml:space="preserve"> </w:t>
                      </w:r>
                      <w:r>
                        <w:rPr>
                          <w:rFonts w:ascii="Times New Roman" w:hAnsi="Times New Roman" w:cs="Times New Roman"/>
                          <w:sz w:val="12"/>
                        </w:rPr>
                        <w:t>Analysis performed using linear regression on data from year two only</w:t>
                      </w:r>
                    </w:p>
                    <w:p w14:paraId="27FBF195" w14:textId="562A7ED7" w:rsidR="00385683" w:rsidRDefault="00385683" w:rsidP="00125291">
                      <w:pPr>
                        <w:rPr>
                          <w:rFonts w:ascii="Times New Roman" w:hAnsi="Times New Roman" w:cs="Times New Roman"/>
                          <w:sz w:val="12"/>
                        </w:rPr>
                      </w:pPr>
                      <w:r>
                        <w:rPr>
                          <w:rFonts w:ascii="Times New Roman" w:hAnsi="Times New Roman" w:cs="Times New Roman"/>
                          <w:sz w:val="12"/>
                        </w:rPr>
                        <w:t xml:space="preserve">  *** Analysis performed using ANOVA including year as a random effect</w:t>
                      </w:r>
                    </w:p>
                    <w:p w14:paraId="0B7226A8" w14:textId="5AF8F53C" w:rsidR="00385683" w:rsidRPr="005C4985" w:rsidRDefault="00385683" w:rsidP="00125291">
                      <w:pPr>
                        <w:rPr>
                          <w:rFonts w:ascii="Times New Roman" w:hAnsi="Times New Roman" w:cs="Times New Roman"/>
                          <w:sz w:val="12"/>
                        </w:rPr>
                      </w:pPr>
                      <w:r>
                        <w:rPr>
                          <w:rFonts w:ascii="Times New Roman" w:hAnsi="Times New Roman" w:cs="Times New Roman"/>
                          <w:sz w:val="12"/>
                        </w:rPr>
                        <w:t xml:space="preserve">**** Pairwise comparisons performed on BCS ANOVA using Tukey post-hoc test </w:t>
                      </w:r>
                    </w:p>
                  </w:txbxContent>
                </v:textbox>
                <w10:wrap type="square"/>
              </v:shape>
            </w:pict>
          </mc:Fallback>
        </mc:AlternateContent>
      </w:r>
    </w:p>
    <w:p w14:paraId="4CEC7BD0" w14:textId="0CD7A288" w:rsidR="00C61C4F" w:rsidRPr="00A42976" w:rsidRDefault="00C61C4F" w:rsidP="00064157">
      <w:pPr>
        <w:spacing w:line="480" w:lineRule="auto"/>
        <w:rPr>
          <w:rFonts w:ascii="Times New Roman" w:hAnsi="Times New Roman" w:cs="Times New Roman"/>
          <w:color w:val="000000" w:themeColor="text1"/>
        </w:rPr>
      </w:pPr>
      <w:r w:rsidRPr="00A42976">
        <w:rPr>
          <w:rFonts w:ascii="Times New Roman" w:hAnsi="Times New Roman" w:cs="Times New Roman"/>
          <w:noProof/>
          <w:color w:val="000000" w:themeColor="text1"/>
        </w:rPr>
        <w:lastRenderedPageBreak/>
        <w:drawing>
          <wp:inline distT="0" distB="0" distL="0" distR="0" wp14:anchorId="32C0705F" wp14:editId="3F233A43">
            <wp:extent cx="5486400" cy="4163451"/>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_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86400" cy="4163451"/>
                    </a:xfrm>
                    <a:prstGeom prst="rect">
                      <a:avLst/>
                    </a:prstGeom>
                  </pic:spPr>
                </pic:pic>
              </a:graphicData>
            </a:graphic>
          </wp:inline>
        </w:drawing>
      </w:r>
    </w:p>
    <w:p w14:paraId="475EA20B" w14:textId="423087F2" w:rsidR="00C61C4F" w:rsidRPr="00C87A3E" w:rsidRDefault="00C61C4F" w:rsidP="005E461B">
      <w:pPr>
        <w:jc w:val="both"/>
        <w:rPr>
          <w:rFonts w:ascii="Times New Roman" w:hAnsi="Times New Roman" w:cs="Times New Roman"/>
          <w:color w:val="000000" w:themeColor="text1"/>
        </w:rPr>
      </w:pPr>
      <w:r w:rsidRPr="00A42976">
        <w:rPr>
          <w:rFonts w:ascii="Times New Roman" w:hAnsi="Times New Roman" w:cs="Times New Roman"/>
          <w:b/>
          <w:bCs/>
          <w:color w:val="000000" w:themeColor="text1"/>
        </w:rPr>
        <w:t xml:space="preserve">Figure </w:t>
      </w:r>
      <w:r w:rsidR="003079D4" w:rsidRPr="000B5F79">
        <w:rPr>
          <w:rFonts w:ascii="Times New Roman" w:hAnsi="Times New Roman" w:cs="Times New Roman"/>
          <w:b/>
          <w:bCs/>
          <w:color w:val="000000" w:themeColor="text1"/>
        </w:rPr>
        <w:t>9</w:t>
      </w:r>
      <w:r w:rsidR="005E461B" w:rsidRPr="000B5F79">
        <w:rPr>
          <w:rFonts w:ascii="Times New Roman" w:hAnsi="Times New Roman" w:cs="Times New Roman"/>
          <w:b/>
          <w:bCs/>
          <w:color w:val="000000" w:themeColor="text1"/>
        </w:rPr>
        <w:t xml:space="preserve">. </w:t>
      </w:r>
      <w:r w:rsidR="005E461B" w:rsidRPr="000B5F79">
        <w:rPr>
          <w:rFonts w:ascii="Times New Roman" w:hAnsi="Times New Roman" w:cs="Times New Roman"/>
          <w:color w:val="000000" w:themeColor="text1"/>
        </w:rPr>
        <w:t>(A, C)</w:t>
      </w:r>
      <w:r w:rsidR="005E461B" w:rsidRPr="000B5F79">
        <w:rPr>
          <w:rFonts w:ascii="Times New Roman" w:hAnsi="Times New Roman" w:cs="Times New Roman"/>
          <w:b/>
          <w:bCs/>
          <w:color w:val="000000" w:themeColor="text1"/>
        </w:rPr>
        <w:t xml:space="preserve"> </w:t>
      </w:r>
      <w:r w:rsidR="005E461B" w:rsidRPr="005C3043">
        <w:rPr>
          <w:rFonts w:ascii="Times New Roman" w:hAnsi="Times New Roman" w:cs="Times New Roman"/>
          <w:color w:val="000000" w:themeColor="text1"/>
        </w:rPr>
        <w:t>Relationship between serum estradiol concentration at GnRH2 and intraoocyte ATP (</w:t>
      </w:r>
      <w:proofErr w:type="spellStart"/>
      <w:r w:rsidR="005E461B" w:rsidRPr="005C3043">
        <w:rPr>
          <w:rFonts w:ascii="Times New Roman" w:hAnsi="Times New Roman" w:cs="Times New Roman"/>
          <w:color w:val="000000" w:themeColor="text1"/>
        </w:rPr>
        <w:t>pg</w:t>
      </w:r>
      <w:proofErr w:type="spellEnd"/>
      <w:r w:rsidR="005E461B" w:rsidRPr="005C3043">
        <w:rPr>
          <w:rFonts w:ascii="Times New Roman" w:hAnsi="Times New Roman" w:cs="Times New Roman"/>
          <w:color w:val="000000" w:themeColor="text1"/>
        </w:rPr>
        <w:t>). (B, D) Relationship between time from GnRH2 to FA and intraoocyte ATP (</w:t>
      </w:r>
      <w:proofErr w:type="spellStart"/>
      <w:r w:rsidR="005E461B" w:rsidRPr="005C3043">
        <w:rPr>
          <w:rFonts w:ascii="Times New Roman" w:hAnsi="Times New Roman" w:cs="Times New Roman"/>
          <w:color w:val="000000" w:themeColor="text1"/>
        </w:rPr>
        <w:t>pg</w:t>
      </w:r>
      <w:proofErr w:type="spellEnd"/>
      <w:r w:rsidR="005E461B" w:rsidRPr="005C3043">
        <w:rPr>
          <w:rFonts w:ascii="Times New Roman" w:hAnsi="Times New Roman" w:cs="Times New Roman"/>
          <w:color w:val="000000" w:themeColor="text1"/>
        </w:rPr>
        <w:t>). Panels A and B depict the line of best fit for both years of the study, and panel</w:t>
      </w:r>
      <w:r w:rsidR="005E461B" w:rsidRPr="00C87A3E">
        <w:rPr>
          <w:rFonts w:ascii="Times New Roman" w:hAnsi="Times New Roman" w:cs="Times New Roman"/>
          <w:color w:val="000000" w:themeColor="text1"/>
        </w:rPr>
        <w:t>s C and D depict the line of best fit for each year individually. GnRH2 = gonadotropin releasing hormone administration to induce the pre-ovulatory gonadotropin surge, FA= pre-ovulatory follicle aspiration.</w:t>
      </w:r>
    </w:p>
    <w:p w14:paraId="147B551E" w14:textId="77777777" w:rsidR="00C61C4F" w:rsidRPr="00A42976" w:rsidRDefault="00C61C4F" w:rsidP="00154DC0">
      <w:pPr>
        <w:spacing w:line="480" w:lineRule="auto"/>
        <w:rPr>
          <w:rFonts w:ascii="Times New Roman" w:hAnsi="Times New Roman" w:cs="Times New Roman"/>
          <w:color w:val="000000" w:themeColor="text1"/>
        </w:rPr>
      </w:pPr>
      <w:r w:rsidRPr="00C34188">
        <w:rPr>
          <w:rFonts w:ascii="Times New Roman" w:hAnsi="Times New Roman" w:cs="Times New Roman"/>
          <w:noProof/>
        </w:rPr>
        <w:lastRenderedPageBreak/>
        <w:drawing>
          <wp:inline distT="0" distB="0" distL="0" distR="0" wp14:anchorId="72B5B69E" wp14:editId="4C4016EC">
            <wp:extent cx="5486400" cy="42085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_3.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86400" cy="4208585"/>
                    </a:xfrm>
                    <a:prstGeom prst="rect">
                      <a:avLst/>
                    </a:prstGeom>
                  </pic:spPr>
                </pic:pic>
              </a:graphicData>
            </a:graphic>
          </wp:inline>
        </w:drawing>
      </w:r>
    </w:p>
    <w:p w14:paraId="6DA4D114" w14:textId="77777777" w:rsidR="005E461B" w:rsidRPr="005C3043" w:rsidRDefault="00C61C4F" w:rsidP="005E461B">
      <w:pPr>
        <w:jc w:val="both"/>
        <w:rPr>
          <w:rFonts w:ascii="Times New Roman" w:hAnsi="Times New Roman" w:cs="Times New Roman"/>
          <w:color w:val="000000" w:themeColor="text1"/>
        </w:rPr>
      </w:pPr>
      <w:r w:rsidRPr="00A42976">
        <w:rPr>
          <w:rFonts w:ascii="Times New Roman" w:hAnsi="Times New Roman" w:cs="Times New Roman"/>
          <w:b/>
          <w:bCs/>
          <w:color w:val="000000" w:themeColor="text1"/>
        </w:rPr>
        <w:t xml:space="preserve">Figure </w:t>
      </w:r>
      <w:r w:rsidR="003079D4" w:rsidRPr="000B5F79">
        <w:rPr>
          <w:rFonts w:ascii="Times New Roman" w:hAnsi="Times New Roman" w:cs="Times New Roman"/>
          <w:b/>
          <w:bCs/>
          <w:color w:val="000000" w:themeColor="text1"/>
        </w:rPr>
        <w:t>10</w:t>
      </w:r>
      <w:r w:rsidRPr="000B5F79">
        <w:rPr>
          <w:rFonts w:ascii="Times New Roman" w:hAnsi="Times New Roman" w:cs="Times New Roman"/>
          <w:b/>
          <w:bCs/>
          <w:color w:val="000000" w:themeColor="text1"/>
        </w:rPr>
        <w:t xml:space="preserve">. </w:t>
      </w:r>
      <w:r w:rsidR="005E461B" w:rsidRPr="000B5F79">
        <w:rPr>
          <w:rFonts w:ascii="Times New Roman" w:hAnsi="Times New Roman" w:cs="Times New Roman"/>
          <w:color w:val="000000" w:themeColor="text1"/>
        </w:rPr>
        <w:t>(A, C)</w:t>
      </w:r>
      <w:r w:rsidR="005E461B" w:rsidRPr="000B5F79">
        <w:rPr>
          <w:rFonts w:ascii="Times New Roman" w:hAnsi="Times New Roman" w:cs="Times New Roman"/>
          <w:b/>
          <w:bCs/>
          <w:color w:val="000000" w:themeColor="text1"/>
        </w:rPr>
        <w:t xml:space="preserve"> </w:t>
      </w:r>
      <w:r w:rsidR="005E461B" w:rsidRPr="000B5F79">
        <w:rPr>
          <w:rFonts w:ascii="Times New Roman" w:hAnsi="Times New Roman" w:cs="Times New Roman"/>
          <w:color w:val="000000" w:themeColor="text1"/>
        </w:rPr>
        <w:t xml:space="preserve">Relationship between serum estradiol concentration at GnRH2 and intraoocyte ATP per </w:t>
      </w:r>
      <w:proofErr w:type="spellStart"/>
      <w:r w:rsidR="005E461B" w:rsidRPr="000B5F79">
        <w:rPr>
          <w:rFonts w:ascii="Times New Roman" w:hAnsi="Times New Roman" w:cs="Times New Roman"/>
          <w:color w:val="000000" w:themeColor="text1"/>
        </w:rPr>
        <w:t>mtDNA</w:t>
      </w:r>
      <w:proofErr w:type="spellEnd"/>
      <w:r w:rsidR="005E461B" w:rsidRPr="000B5F79">
        <w:rPr>
          <w:rFonts w:ascii="Times New Roman" w:hAnsi="Times New Roman" w:cs="Times New Roman"/>
          <w:color w:val="000000" w:themeColor="text1"/>
        </w:rPr>
        <w:t xml:space="preserve"> copy number ratio. (B, D) Relationship between time from GnRH2 to FA and intraoocyte ATP per </w:t>
      </w:r>
      <w:proofErr w:type="spellStart"/>
      <w:r w:rsidR="005E461B" w:rsidRPr="000B5F79">
        <w:rPr>
          <w:rFonts w:ascii="Times New Roman" w:hAnsi="Times New Roman" w:cs="Times New Roman"/>
          <w:color w:val="000000" w:themeColor="text1"/>
        </w:rPr>
        <w:t>mtDNA</w:t>
      </w:r>
      <w:proofErr w:type="spellEnd"/>
      <w:r w:rsidR="005E461B" w:rsidRPr="000B5F79">
        <w:rPr>
          <w:rFonts w:ascii="Times New Roman" w:hAnsi="Times New Roman" w:cs="Times New Roman"/>
          <w:color w:val="000000" w:themeColor="text1"/>
        </w:rPr>
        <w:t xml:space="preserve"> copy number ratio. Panels A and B depict the line of best fit for both years of the study, and p</w:t>
      </w:r>
      <w:r w:rsidR="005E461B" w:rsidRPr="005C3043">
        <w:rPr>
          <w:rFonts w:ascii="Times New Roman" w:hAnsi="Times New Roman" w:cs="Times New Roman"/>
          <w:color w:val="000000" w:themeColor="text1"/>
        </w:rPr>
        <w:t xml:space="preserve">anels C and D depict the line of best fit for each year individually. GnRH2 = gonadotropin releasing hormone administration to induce the pre-ovulatory gonadotropin surge, FA= pre-ovulatory follicle aspiration, </w:t>
      </w:r>
      <w:proofErr w:type="spellStart"/>
      <w:r w:rsidR="005E461B" w:rsidRPr="005C3043">
        <w:rPr>
          <w:rFonts w:ascii="Times New Roman" w:hAnsi="Times New Roman" w:cs="Times New Roman"/>
          <w:color w:val="000000" w:themeColor="text1"/>
        </w:rPr>
        <w:t>mtDNA</w:t>
      </w:r>
      <w:proofErr w:type="spellEnd"/>
      <w:r w:rsidR="005E461B" w:rsidRPr="005C3043">
        <w:rPr>
          <w:rFonts w:ascii="Times New Roman" w:hAnsi="Times New Roman" w:cs="Times New Roman"/>
          <w:color w:val="000000" w:themeColor="text1"/>
        </w:rPr>
        <w:t xml:space="preserve"> = mitochondrial DNA copy number. </w:t>
      </w:r>
    </w:p>
    <w:p w14:paraId="5A7D208F" w14:textId="7ED933CA" w:rsidR="00C61C4F" w:rsidRPr="00C87A3E" w:rsidRDefault="00C61C4F" w:rsidP="00064157">
      <w:pPr>
        <w:jc w:val="both"/>
        <w:rPr>
          <w:rFonts w:ascii="Times New Roman" w:hAnsi="Times New Roman" w:cs="Times New Roman"/>
          <w:color w:val="000000" w:themeColor="text1"/>
        </w:rPr>
      </w:pPr>
    </w:p>
    <w:p w14:paraId="0D5704CA" w14:textId="517E5EC1" w:rsidR="00C61C4F" w:rsidRDefault="00C61C4F" w:rsidP="00064157">
      <w:pPr>
        <w:spacing w:line="480" w:lineRule="auto"/>
        <w:jc w:val="both"/>
        <w:rPr>
          <w:rFonts w:ascii="Times New Roman" w:hAnsi="Times New Roman" w:cs="Times New Roman"/>
        </w:rPr>
      </w:pPr>
      <w:r w:rsidRPr="005C3043">
        <w:rPr>
          <w:rFonts w:ascii="Times New Roman" w:hAnsi="Times New Roman" w:cs="Times New Roman"/>
        </w:rPr>
        <w:tab/>
      </w:r>
    </w:p>
    <w:p w14:paraId="7805E7C1" w14:textId="1598C88F" w:rsidR="002B2491" w:rsidRDefault="002B2491" w:rsidP="00064157">
      <w:pPr>
        <w:spacing w:line="480" w:lineRule="auto"/>
        <w:jc w:val="both"/>
        <w:rPr>
          <w:rFonts w:ascii="Times New Roman" w:hAnsi="Times New Roman" w:cs="Times New Roman"/>
          <w:color w:val="000000" w:themeColor="text1"/>
        </w:rPr>
      </w:pPr>
    </w:p>
    <w:p w14:paraId="2152C9BA" w14:textId="457EE565" w:rsidR="002B2491" w:rsidRDefault="002B2491" w:rsidP="00064157">
      <w:pPr>
        <w:spacing w:line="480" w:lineRule="auto"/>
        <w:jc w:val="both"/>
        <w:rPr>
          <w:rFonts w:ascii="Times New Roman" w:hAnsi="Times New Roman" w:cs="Times New Roman"/>
          <w:color w:val="000000" w:themeColor="text1"/>
        </w:rPr>
      </w:pPr>
    </w:p>
    <w:p w14:paraId="3033315A" w14:textId="77777777" w:rsidR="000C7C40" w:rsidRDefault="000C7C40" w:rsidP="00064157">
      <w:pPr>
        <w:spacing w:line="480" w:lineRule="auto"/>
        <w:jc w:val="both"/>
        <w:rPr>
          <w:rFonts w:ascii="Times New Roman" w:hAnsi="Times New Roman" w:cs="Times New Roman"/>
          <w:color w:val="000000" w:themeColor="text1"/>
        </w:rPr>
      </w:pPr>
    </w:p>
    <w:p w14:paraId="40F6D405" w14:textId="77777777" w:rsidR="002B2491" w:rsidRPr="005C3043" w:rsidRDefault="002B2491" w:rsidP="00064157">
      <w:pPr>
        <w:spacing w:line="480" w:lineRule="auto"/>
        <w:jc w:val="both"/>
        <w:rPr>
          <w:rFonts w:ascii="Times New Roman" w:hAnsi="Times New Roman" w:cs="Times New Roman"/>
          <w:color w:val="000000" w:themeColor="text1"/>
        </w:rPr>
      </w:pPr>
    </w:p>
    <w:p w14:paraId="280E3BFD" w14:textId="77777777" w:rsidR="005B1F86" w:rsidRPr="005C3043" w:rsidRDefault="005B1F86" w:rsidP="00C34188">
      <w:pPr>
        <w:spacing w:line="480" w:lineRule="auto"/>
        <w:ind w:firstLine="720"/>
        <w:jc w:val="both"/>
        <w:rPr>
          <w:rFonts w:ascii="Times New Roman" w:hAnsi="Times New Roman" w:cs="Times New Roman"/>
        </w:rPr>
      </w:pPr>
      <w:r w:rsidRPr="005C3043">
        <w:rPr>
          <w:rFonts w:ascii="Times New Roman" w:hAnsi="Times New Roman" w:cs="Times New Roman"/>
        </w:rPr>
        <w:lastRenderedPageBreak/>
        <w:t xml:space="preserve">Increased level of oocyte ATP has been associated with increased developmental competence of the oocyte </w:t>
      </w:r>
      <w:r w:rsidRPr="005C3043">
        <w:rPr>
          <w:rFonts w:ascii="Times New Roman" w:hAnsi="Times New Roman" w:cs="Times New Roman"/>
          <w:noProof/>
        </w:rPr>
        <w:t>(Quinn and Wales, 1973; Calarco, 1995; Stojkovic et al., 2001; Tamassia et al., 2004; Dalton et al., 2014)</w:t>
      </w:r>
      <w:r w:rsidRPr="005C3043">
        <w:rPr>
          <w:rFonts w:ascii="Times New Roman" w:hAnsi="Times New Roman" w:cs="Times New Roman"/>
        </w:rPr>
        <w:t xml:space="preserve">. Therefore, the positive relationship between serum estradiol concentration at GnRH2 and both oocyte ATP level and oocyte ATP production per mitochondria likely contributes to the positive relationship between serum estradiol concentration at GnRH2 and day seven embryo cleavage and quality grades previously observed by Atkins </w:t>
      </w:r>
      <w:r w:rsidRPr="005C3043">
        <w:rPr>
          <w:rFonts w:ascii="Times New Roman" w:hAnsi="Times New Roman" w:cs="Times New Roman"/>
          <w:noProof/>
        </w:rPr>
        <w:t>(Atkins et al., 2013)</w:t>
      </w:r>
      <w:r w:rsidRPr="005C3043">
        <w:rPr>
          <w:rFonts w:ascii="Times New Roman" w:hAnsi="Times New Roman" w:cs="Times New Roman"/>
        </w:rPr>
        <w:t xml:space="preserve">. As the dominant follicle progresses through proestrus, it grows in diameter and produces increasing levels of estradiol </w:t>
      </w:r>
      <w:r w:rsidRPr="005C3043">
        <w:rPr>
          <w:rFonts w:ascii="Times New Roman" w:hAnsi="Times New Roman" w:cs="Times New Roman"/>
          <w:noProof/>
        </w:rPr>
        <w:t>(Alvarez et al., 2000; Fortune et al., 2004; Perry et al., 2005; Perry et al., 2014)</w:t>
      </w:r>
      <w:r w:rsidRPr="005C3043">
        <w:rPr>
          <w:rFonts w:ascii="Times New Roman" w:hAnsi="Times New Roman" w:cs="Times New Roman"/>
        </w:rPr>
        <w:t xml:space="preserve">. Though both pre-ovulatory follicle diameter and serum estradiol concentration have been previously associated with embryo cleavage, embryo quality, and pregnancy success in animals that did not exhibit estrus, data from animals that did exhibit estrus and experience an endogenous gonadotropin surge determined that pre-ovulatory follicle diameter did not influence pregnancy outcome in </w:t>
      </w:r>
      <w:proofErr w:type="spellStart"/>
      <w:r w:rsidRPr="005C3043">
        <w:rPr>
          <w:rFonts w:ascii="Times New Roman" w:hAnsi="Times New Roman" w:cs="Times New Roman"/>
        </w:rPr>
        <w:t>estrual</w:t>
      </w:r>
      <w:proofErr w:type="spellEnd"/>
      <w:r w:rsidRPr="005C3043">
        <w:rPr>
          <w:rFonts w:ascii="Times New Roman" w:hAnsi="Times New Roman" w:cs="Times New Roman"/>
        </w:rPr>
        <w:t xml:space="preserve"> cows </w:t>
      </w:r>
      <w:r w:rsidRPr="005C3043">
        <w:rPr>
          <w:rFonts w:ascii="Times New Roman" w:hAnsi="Times New Roman" w:cs="Times New Roman"/>
          <w:noProof/>
        </w:rPr>
        <w:t>(Perry et al., 2005; Atkins et al., 2013)</w:t>
      </w:r>
      <w:r w:rsidRPr="005C3043">
        <w:rPr>
          <w:rFonts w:ascii="Times New Roman" w:hAnsi="Times New Roman" w:cs="Times New Roman"/>
        </w:rPr>
        <w:t xml:space="preserve">.  Therefore, pre-ovulatory follicle diameter is primarily an indicator of the follicle’s physiological maturity and its proximity to reaching estradiol production required to stimulate estrus and an endogenous gonadotropin surge. As such, there is variation in serum estradiol concentration across pre-ovulatory follicle diameters among cows requiring exogenous GnRH to induce ovulation </w:t>
      </w:r>
      <w:r w:rsidRPr="005C3043">
        <w:rPr>
          <w:rFonts w:ascii="Times New Roman" w:hAnsi="Times New Roman" w:cs="Times New Roman"/>
          <w:noProof/>
        </w:rPr>
        <w:t>(Jinks et al., 2013)</w:t>
      </w:r>
      <w:r w:rsidRPr="005C3043">
        <w:rPr>
          <w:rFonts w:ascii="Times New Roman" w:hAnsi="Times New Roman" w:cs="Times New Roman"/>
        </w:rPr>
        <w:t xml:space="preserve">, which indicates that follicle maturity is likely equally variable across such follicles. The results of the present study support the notion that serum estradiol concentration is more closely tied to follicle maturity prior to the induced gonadotropin surge than follicle diameter and may have a </w:t>
      </w:r>
      <w:r w:rsidRPr="005C3043">
        <w:rPr>
          <w:rFonts w:ascii="Times New Roman" w:hAnsi="Times New Roman" w:cs="Times New Roman"/>
        </w:rPr>
        <w:lastRenderedPageBreak/>
        <w:t>stronger correlation with oocyte metabolic capacity. The positive relationship between intraoocyte ATP (</w:t>
      </w:r>
      <w:proofErr w:type="spellStart"/>
      <w:r w:rsidRPr="005C3043">
        <w:rPr>
          <w:rFonts w:ascii="Times New Roman" w:hAnsi="Times New Roman" w:cs="Times New Roman"/>
        </w:rPr>
        <w:t>pg</w:t>
      </w:r>
      <w:proofErr w:type="spellEnd"/>
      <w:r w:rsidRPr="005C3043">
        <w:rPr>
          <w:rFonts w:ascii="Times New Roman" w:hAnsi="Times New Roman" w:cs="Times New Roman"/>
        </w:rPr>
        <w:t xml:space="preserve">) at ~19 hours post GnRH2 and serum estradiol concentration at the time of GnRH2 likely indicates that the oocyte was allowed to progress further through capacitation prior to induction of the LH surge and oocyte maturation. The oocyte would have an improved ability to produce ATP due to an increased opportunity to accumulate the stores of metabolic substrates like pyruvate, lactate, and lipids through gap junctional transfer from the cumulus cells prior to maturation and the disruption of such transfer </w:t>
      </w:r>
      <w:r w:rsidRPr="005C3043">
        <w:rPr>
          <w:rFonts w:ascii="Times New Roman" w:hAnsi="Times New Roman" w:cs="Times New Roman"/>
          <w:noProof/>
        </w:rPr>
        <w:t>(Fair et al., 1997; Swain and Pool, 2008; Zhang and Smith, 2015; Reader et al., 2017; Conti and Franciosi, 2018)</w:t>
      </w:r>
      <w:r w:rsidRPr="005C3043">
        <w:rPr>
          <w:rFonts w:ascii="Times New Roman" w:hAnsi="Times New Roman" w:cs="Times New Roman"/>
        </w:rPr>
        <w:t xml:space="preserve">. These metabolic substrates are required by the oocyte or early embryo’s mitochondria to produce ATP during oocyte maturation and embryo development to the blastocyst stage </w:t>
      </w:r>
      <w:r w:rsidRPr="005C3043">
        <w:rPr>
          <w:rFonts w:ascii="Times New Roman" w:hAnsi="Times New Roman" w:cs="Times New Roman"/>
          <w:noProof/>
        </w:rPr>
        <w:t>(Biggers et al., 1967; Chappel, 2013; Ge et al., 2013; Dalton et al., 2014; Aguila et al., 2020)</w:t>
      </w:r>
      <w:r w:rsidRPr="005C3043">
        <w:rPr>
          <w:rFonts w:ascii="Times New Roman" w:hAnsi="Times New Roman" w:cs="Times New Roman"/>
        </w:rPr>
        <w:t xml:space="preserve">. Aside from indicating advanced follicle maturity prior to the induced gonadotropin surge, increased estradiol concentration at GnRH2 may also have a more direct effect on COC metabolism as exposure of the COC to estrogen increases the expression of gap junctional proteins and increases their localization to the plasma membrane </w:t>
      </w:r>
      <w:r w:rsidRPr="005C3043">
        <w:rPr>
          <w:rFonts w:ascii="Times New Roman" w:hAnsi="Times New Roman" w:cs="Times New Roman"/>
          <w:noProof/>
        </w:rPr>
        <w:t>(Firestone and Kapadia, 2012)</w:t>
      </w:r>
      <w:r w:rsidRPr="005C3043">
        <w:rPr>
          <w:rFonts w:ascii="Times New Roman" w:hAnsi="Times New Roman" w:cs="Times New Roman"/>
        </w:rPr>
        <w:t>. This increase in functional gap junctions enhances the ability of the cumulus cells to transport cGMP to the oocyte as well as the metabolic substrates needed to support oocyte and embryo development. Because the oocyte relies on gap junction transport to store pyruvate, lipids, and other metabolic substrates, increased functional gap junctions during proestrus could allow for more effective transport of these materials and thus greater ATP levels in oocytes collected from pre-ovulatory follicles of increased estradiol production.</w:t>
      </w:r>
    </w:p>
    <w:p w14:paraId="6A4A5869" w14:textId="77777777" w:rsidR="005B1F86" w:rsidRPr="005C3043" w:rsidRDefault="005B1F86" w:rsidP="00C34188">
      <w:pPr>
        <w:spacing w:line="480" w:lineRule="auto"/>
        <w:ind w:firstLine="720"/>
        <w:jc w:val="both"/>
        <w:rPr>
          <w:rFonts w:ascii="Times New Roman" w:hAnsi="Times New Roman" w:cs="Times New Roman"/>
        </w:rPr>
      </w:pPr>
      <w:r w:rsidRPr="005C3043">
        <w:rPr>
          <w:rFonts w:ascii="Times New Roman" w:hAnsi="Times New Roman" w:cs="Times New Roman"/>
        </w:rPr>
        <w:lastRenderedPageBreak/>
        <w:t xml:space="preserve">As the oocyte progresses from the germinal vesicle (GV) stage to MII, the activity of its mitochondria increases to produce the ATP necessary to sustain progression through meiotic maturation </w:t>
      </w:r>
      <w:r w:rsidRPr="005C3043">
        <w:rPr>
          <w:rFonts w:ascii="Times New Roman" w:hAnsi="Times New Roman" w:cs="Times New Roman"/>
          <w:noProof/>
        </w:rPr>
        <w:t>(Fair et al., 1997; Jeong et al., 2009; Chappel, 2013; Dalton et al., 2014; Aguila et al., 2020)</w:t>
      </w:r>
      <w:r w:rsidRPr="005C3043">
        <w:rPr>
          <w:rFonts w:ascii="Times New Roman" w:hAnsi="Times New Roman" w:cs="Times New Roman"/>
        </w:rPr>
        <w:t xml:space="preserve">. The positive relationship between time from GnRH2 to follicle aspiration and ATP level or ATP per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observed in the present study reflects this increase in mitochondrial activity during oocyte maturation. Because the pre-ovulatory gonadotropin surge, and thus the onset of oocyte maturation, is induced approximately 2 hours after GnRH is administered </w:t>
      </w:r>
      <w:r w:rsidRPr="005C3043">
        <w:rPr>
          <w:rFonts w:ascii="Times New Roman" w:hAnsi="Times New Roman" w:cs="Times New Roman"/>
          <w:noProof/>
        </w:rPr>
        <w:t>(Giordano et al., 2012)</w:t>
      </w:r>
      <w:r w:rsidRPr="005C3043">
        <w:rPr>
          <w:rFonts w:ascii="Times New Roman" w:hAnsi="Times New Roman" w:cs="Times New Roman"/>
        </w:rPr>
        <w:t xml:space="preserve">, the positive correlation between time from GnRH2 to follicle aspiration is also related to the stage of meiotic resumption of the oocyte.  Oocytes in the current study were collected from 16.42 to 23.08 hours after GnRH2 administration and, thus, would have reached approximately 15-21 hours of oocyte maturation. </w:t>
      </w:r>
      <w:r w:rsidRPr="005C3043">
        <w:rPr>
          <w:rFonts w:ascii="Times New Roman" w:hAnsi="Times New Roman" w:cs="Times New Roman"/>
          <w:i/>
        </w:rPr>
        <w:t>In vitro</w:t>
      </w:r>
      <w:r w:rsidRPr="005C3043">
        <w:rPr>
          <w:rFonts w:ascii="Times New Roman" w:hAnsi="Times New Roman" w:cs="Times New Roman"/>
        </w:rPr>
        <w:t xml:space="preserve"> studies have indicated that bovine oocytes reach MI at approximately 10-15 hours of maturation and MII at approximately 18-24 hours of maturation </w:t>
      </w:r>
      <w:r w:rsidRPr="005C3043">
        <w:rPr>
          <w:rFonts w:ascii="Times New Roman" w:hAnsi="Times New Roman" w:cs="Times New Roman"/>
          <w:noProof/>
        </w:rPr>
        <w:t>(Sirard et al., 1989; Fair et al., 1995; Hyttel et al., 1997)</w:t>
      </w:r>
      <w:r w:rsidRPr="005C3043">
        <w:rPr>
          <w:rFonts w:ascii="Times New Roman" w:hAnsi="Times New Roman" w:cs="Times New Roman"/>
        </w:rPr>
        <w:t xml:space="preserve">. Therefore, the oocytes utilized in this study should all have completed MI and have reached or are nearing MII. Multiple studies have demonstrated that intraoocyte ATP increases as oocytes progress from GV to MII </w:t>
      </w:r>
      <w:r w:rsidRPr="005C3043">
        <w:rPr>
          <w:rFonts w:ascii="Times New Roman" w:hAnsi="Times New Roman" w:cs="Times New Roman"/>
          <w:noProof/>
        </w:rPr>
        <w:t>(Jiao et al., 2007; Iwata et al., 2011; Read et al., 2021a)</w:t>
      </w:r>
      <w:r w:rsidRPr="005C3043">
        <w:rPr>
          <w:rFonts w:ascii="Times New Roman" w:hAnsi="Times New Roman" w:cs="Times New Roman"/>
        </w:rPr>
        <w:t>. Therefore, increased time between the administration of GnRH2 and follicle aspiration would result in an oocyte closer to MII with increased levels of intraoocyte ATP.</w:t>
      </w:r>
    </w:p>
    <w:p w14:paraId="7DD0D103" w14:textId="50EFF15A" w:rsidR="00C61C4F" w:rsidRPr="005C3043" w:rsidRDefault="00C61C4F" w:rsidP="000B5F79">
      <w:pPr>
        <w:spacing w:line="480" w:lineRule="auto"/>
        <w:ind w:firstLine="720"/>
        <w:jc w:val="both"/>
        <w:rPr>
          <w:rFonts w:ascii="Times New Roman" w:hAnsi="Times New Roman" w:cs="Times New Roman"/>
        </w:rPr>
      </w:pPr>
      <w:r w:rsidRPr="005C3043">
        <w:rPr>
          <w:rFonts w:ascii="Times New Roman" w:hAnsi="Times New Roman" w:cs="Times New Roman"/>
        </w:rPr>
        <w:t xml:space="preserve">As the oocyte progresses from the germinal vesicle (GV) stage to MII, the activity of its mitochondria increases to produce the ATP necessary to sustain progression through meiotic maturation </w:t>
      </w:r>
      <w:r w:rsidR="00C55223" w:rsidRPr="005C3043">
        <w:rPr>
          <w:rFonts w:ascii="Times New Roman" w:hAnsi="Times New Roman" w:cs="Times New Roman"/>
          <w:noProof/>
        </w:rPr>
        <w:t xml:space="preserve">(Fair et al., 1997; Jeong et al., 2009; Chappel, 2013; Dalton et al., 2014; </w:t>
      </w:r>
      <w:r w:rsidR="00C55223" w:rsidRPr="005C3043">
        <w:rPr>
          <w:rFonts w:ascii="Times New Roman" w:hAnsi="Times New Roman" w:cs="Times New Roman"/>
          <w:noProof/>
        </w:rPr>
        <w:lastRenderedPageBreak/>
        <w:t>Aguila et al., 2020)</w:t>
      </w:r>
      <w:r w:rsidRPr="005C3043">
        <w:rPr>
          <w:rFonts w:ascii="Times New Roman" w:hAnsi="Times New Roman" w:cs="Times New Roman"/>
        </w:rPr>
        <w:t xml:space="preserve">. The positive correlation between time from GnRH2 to follicle aspiration and ATP level or ATP per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observed in the present study reflects this increase in mitochondrial activity during oocyte maturation. Because the pre-ovulatory gonadotropin surge, and thus the onset of oocyte maturation, is induced approximately 2 hours after GnRH is administered</w:t>
      </w:r>
      <w:r w:rsidR="006521DC" w:rsidRPr="005C3043">
        <w:rPr>
          <w:rFonts w:ascii="Times New Roman" w:hAnsi="Times New Roman" w:cs="Times New Roman"/>
          <w:noProof/>
        </w:rPr>
        <w:t xml:space="preserve"> (</w:t>
      </w:r>
      <w:r w:rsidR="00C55223" w:rsidRPr="005C3043">
        <w:rPr>
          <w:rFonts w:ascii="Times New Roman" w:hAnsi="Times New Roman" w:cs="Times New Roman"/>
          <w:noProof/>
        </w:rPr>
        <w:t>Giordano et al., 2012)</w:t>
      </w:r>
      <w:r w:rsidRPr="005C3043">
        <w:rPr>
          <w:rFonts w:ascii="Times New Roman" w:hAnsi="Times New Roman" w:cs="Times New Roman"/>
        </w:rPr>
        <w:t xml:space="preserve">, the positive correlation between time from GnRH2 to follicle aspiration is also related to the stage of meiotic resumption of the oocyte.  Oocytes in the current study were collected from 16.42 to 23.08 hours after GnRH2 administration and, thus, would have reached approximately 15-21 hours of oocyte maturation. In vitro studies have indicated that bovine oocytes reach MI at approximately 10-15 hours of maturation and MII at approximately 18-24 hours of maturation </w:t>
      </w:r>
      <w:r w:rsidR="00C55223" w:rsidRPr="005C3043">
        <w:rPr>
          <w:rFonts w:ascii="Times New Roman" w:hAnsi="Times New Roman" w:cs="Times New Roman"/>
          <w:noProof/>
        </w:rPr>
        <w:t>(Sirard et al., 1989; Fair et al., 1995; Hyttel et al., 1997)</w:t>
      </w:r>
      <w:r w:rsidRPr="005C3043">
        <w:rPr>
          <w:rFonts w:ascii="Times New Roman" w:hAnsi="Times New Roman" w:cs="Times New Roman"/>
        </w:rPr>
        <w:t xml:space="preserve">. Therefore, the oocytes utilized in this study should all have completed MI and have reached or are nearing MII. Multiple studies have demonstrated that intraoocyte ATP increases as oocytes progress from GV to MII </w:t>
      </w:r>
      <w:r w:rsidR="00C55223" w:rsidRPr="005C3043">
        <w:rPr>
          <w:rFonts w:ascii="Times New Roman" w:hAnsi="Times New Roman" w:cs="Times New Roman"/>
          <w:noProof/>
        </w:rPr>
        <w:t>(Jiao et al., 2007; Iwata et al., 2011; Read et al., 2021a)</w:t>
      </w:r>
      <w:r w:rsidRPr="005C3043">
        <w:rPr>
          <w:rFonts w:ascii="Times New Roman" w:hAnsi="Times New Roman" w:cs="Times New Roman"/>
        </w:rPr>
        <w:t>. Therefore, increased time between the administration of GnRH2 and follicle aspiration would result in an oocyte closer to MII with increased levels of intraoocyte ATP.</w:t>
      </w:r>
    </w:p>
    <w:p w14:paraId="4EEF646A" w14:textId="77777777" w:rsidR="00C61C4F" w:rsidRPr="005C3043" w:rsidRDefault="00C61C4F" w:rsidP="00513835">
      <w:pPr>
        <w:pStyle w:val="Diss3"/>
      </w:pPr>
      <w:bookmarkStart w:id="78" w:name="_Toc100072200"/>
      <w:r w:rsidRPr="005C3043">
        <w:t>The impact of follicle physiological status on follicular fluid metabolites</w:t>
      </w:r>
      <w:bookmarkEnd w:id="78"/>
    </w:p>
    <w:p w14:paraId="695D5773" w14:textId="103E2CEA" w:rsidR="005B1F86" w:rsidRPr="005C3043" w:rsidRDefault="005B1F86" w:rsidP="00C34188">
      <w:pPr>
        <w:spacing w:line="480" w:lineRule="auto"/>
        <w:ind w:firstLine="720"/>
        <w:jc w:val="both"/>
        <w:rPr>
          <w:rFonts w:ascii="Times New Roman" w:hAnsi="Times New Roman" w:cs="Times New Roman"/>
          <w:noProof/>
        </w:rPr>
      </w:pPr>
      <w:r w:rsidRPr="005C3043">
        <w:rPr>
          <w:rFonts w:ascii="Times New Roman" w:hAnsi="Times New Roman" w:cs="Times New Roman"/>
        </w:rPr>
        <w:t xml:space="preserve">We previously determined that pre-ovulatory follicle diameter at GnRH2 was positively correlated with abundance of follicular fluid metabolites potentially involved in glucose metabolism, proteinogenesis, DNA methylation, and oxidative balance </w:t>
      </w:r>
      <w:r w:rsidRPr="005C3043">
        <w:rPr>
          <w:rFonts w:ascii="Times New Roman" w:hAnsi="Times New Roman" w:cs="Times New Roman"/>
          <w:noProof/>
        </w:rPr>
        <w:t>(Read et al., 2021b)</w:t>
      </w:r>
      <w:r w:rsidRPr="005C3043">
        <w:rPr>
          <w:rFonts w:ascii="Times New Roman" w:hAnsi="Times New Roman" w:cs="Times New Roman"/>
        </w:rPr>
        <w:t xml:space="preserve">. In the current study, we aimed to determine repeatability of such a relationship and determine if abundance of follicular fluid metabolites was related to intraoocyte ATP </w:t>
      </w:r>
      <w:r w:rsidRPr="005C3043">
        <w:rPr>
          <w:rFonts w:ascii="Times New Roman" w:hAnsi="Times New Roman" w:cs="Times New Roman"/>
        </w:rPr>
        <w:lastRenderedPageBreak/>
        <w:t xml:space="preserve">levels. We detected 90 metabolites in the follicular fluid of the aspirated pre-ovulatory follicles (Table </w:t>
      </w:r>
      <w:r w:rsidR="00F37BB6" w:rsidRPr="005C3043">
        <w:rPr>
          <w:rFonts w:ascii="Times New Roman" w:hAnsi="Times New Roman" w:cs="Times New Roman"/>
        </w:rPr>
        <w:t>4</w:t>
      </w:r>
      <w:r w:rsidRPr="005C3043">
        <w:rPr>
          <w:rFonts w:ascii="Times New Roman" w:hAnsi="Times New Roman" w:cs="Times New Roman"/>
        </w:rPr>
        <w:t xml:space="preserve">). Serum estradiol concentration at GnRH2 was positively associated with the abundance of 22 follicular fluid metabolites (FDR &lt; 0.10; Figure 4, Table </w:t>
      </w:r>
      <w:r w:rsidR="00F37BB6" w:rsidRPr="005C3043">
        <w:rPr>
          <w:rFonts w:ascii="Times New Roman" w:hAnsi="Times New Roman" w:cs="Times New Roman"/>
        </w:rPr>
        <w:t>4</w:t>
      </w:r>
      <w:r w:rsidRPr="005C3043">
        <w:rPr>
          <w:rFonts w:ascii="Times New Roman" w:hAnsi="Times New Roman" w:cs="Times New Roman"/>
        </w:rPr>
        <w:t xml:space="preserve">). There was no relationship between follicle diameter at GnRH2 and abundance of any metabolites (FDR &gt; 0.90; Table </w:t>
      </w:r>
      <w:r w:rsidR="00F37BB6" w:rsidRPr="005C3043">
        <w:rPr>
          <w:rFonts w:ascii="Times New Roman" w:hAnsi="Times New Roman" w:cs="Times New Roman"/>
        </w:rPr>
        <w:t>4</w:t>
      </w:r>
      <w:r w:rsidRPr="005C3043">
        <w:rPr>
          <w:rFonts w:ascii="Times New Roman" w:hAnsi="Times New Roman" w:cs="Times New Roman"/>
        </w:rPr>
        <w:t xml:space="preserve">). However, four of the metabolites positively related to serum estradiol at GnRH2 were previously determined to be positively correlated with follicle diameter at GnRH2 (2-dehydro-d-gluconate, 3-methylphenylacetic acid, α-ketoglutarate, and pyruvate). Follicular fluid progesterone concentration at the time of follicle aspiration was significantly associated with the abundance of 62 metabolites (FDR &lt; 0.10; Figure 4, Table </w:t>
      </w:r>
      <w:r w:rsidR="00F37BB6" w:rsidRPr="005C3043">
        <w:rPr>
          <w:rFonts w:ascii="Times New Roman" w:hAnsi="Times New Roman" w:cs="Times New Roman"/>
        </w:rPr>
        <w:t>4</w:t>
      </w:r>
      <w:r w:rsidRPr="005C3043">
        <w:rPr>
          <w:rFonts w:ascii="Times New Roman" w:hAnsi="Times New Roman" w:cs="Times New Roman"/>
        </w:rPr>
        <w:t xml:space="preserve">). A positive relationship between follicular fluid progesterone concentration and metabolite abundance was identified in each significant metabolite </w:t>
      </w:r>
      <w:proofErr w:type="gramStart"/>
      <w:r w:rsidRPr="005C3043">
        <w:rPr>
          <w:rFonts w:ascii="Times New Roman" w:hAnsi="Times New Roman" w:cs="Times New Roman"/>
        </w:rPr>
        <w:t>with the exception of</w:t>
      </w:r>
      <w:proofErr w:type="gramEnd"/>
      <w:r w:rsidRPr="005C3043">
        <w:rPr>
          <w:rFonts w:ascii="Times New Roman" w:hAnsi="Times New Roman" w:cs="Times New Roman"/>
        </w:rPr>
        <w:t xml:space="preserve"> N-carbamoyl-l-aspartate and aspartate. Animal weight was negatively related to the abundance of 60 metabolites and positively related to 1 metabolite, phosphoenolpyruvate (FDR &lt; 0.10; Figure 4, Table </w:t>
      </w:r>
      <w:r w:rsidR="00F37BB6" w:rsidRPr="005C3043">
        <w:rPr>
          <w:rFonts w:ascii="Times New Roman" w:hAnsi="Times New Roman" w:cs="Times New Roman"/>
        </w:rPr>
        <w:t>4</w:t>
      </w:r>
      <w:r w:rsidRPr="005C3043">
        <w:rPr>
          <w:rFonts w:ascii="Times New Roman" w:hAnsi="Times New Roman" w:cs="Times New Roman"/>
        </w:rPr>
        <w:t xml:space="preserve">). Covariates of BCS, hours from GnRH2 to follicle aspiration, follicular fluid estradiol, and/or days postpartum also contributed significantly to the abundance of 12 follicular fluid metabolites (FDR &lt; 0.10; Table </w:t>
      </w:r>
      <w:r w:rsidR="00F37BB6" w:rsidRPr="005C3043">
        <w:rPr>
          <w:rFonts w:ascii="Times New Roman" w:hAnsi="Times New Roman" w:cs="Times New Roman"/>
        </w:rPr>
        <w:t>4</w:t>
      </w:r>
      <w:r w:rsidRPr="005C3043">
        <w:rPr>
          <w:rFonts w:ascii="Times New Roman" w:hAnsi="Times New Roman" w:cs="Times New Roman"/>
        </w:rPr>
        <w:t xml:space="preserve">). </w:t>
      </w:r>
    </w:p>
    <w:p w14:paraId="737071AD" w14:textId="474DBE41" w:rsidR="00064157" w:rsidRPr="005C3043" w:rsidRDefault="00412E33" w:rsidP="00C34188">
      <w:pPr>
        <w:spacing w:line="480" w:lineRule="auto"/>
        <w:jc w:val="both"/>
        <w:rPr>
          <w:rFonts w:ascii="Times New Roman" w:hAnsi="Times New Roman" w:cs="Times New Roman"/>
        </w:rPr>
      </w:pPr>
      <w:r>
        <w:rPr>
          <w:rFonts w:ascii="Times New Roman" w:hAnsi="Times New Roman" w:cs="Times New Roman"/>
        </w:rPr>
        <w:tab/>
      </w:r>
      <w:r w:rsidRPr="00A42976">
        <w:rPr>
          <w:rFonts w:ascii="Times New Roman" w:hAnsi="Times New Roman" w:cs="Times New Roman"/>
        </w:rPr>
        <w:t xml:space="preserve">The KEGG pathways ‘Aminoacyl tRNA biosynthesis’ and the ‘Citrate cycle’ were significantly enriched with metabolites positively related to serum estradiol concentration at GnRH2 (FDR &lt; 0.10; Figure 5, Table </w:t>
      </w:r>
      <w:r w:rsidRPr="000B5F79">
        <w:rPr>
          <w:rFonts w:ascii="Times New Roman" w:hAnsi="Times New Roman" w:cs="Times New Roman"/>
        </w:rPr>
        <w:t>5). Interestingly, metabolites significantly associated with follicular fluid progesterone concentration at follicle aspiration and with</w:t>
      </w:r>
      <w:r>
        <w:rPr>
          <w:rFonts w:ascii="Times New Roman" w:hAnsi="Times New Roman" w:cs="Times New Roman"/>
        </w:rPr>
        <w:t xml:space="preserve"> </w:t>
      </w:r>
      <w:r w:rsidRPr="000B5F79">
        <w:rPr>
          <w:rFonts w:ascii="Times New Roman" w:hAnsi="Times New Roman" w:cs="Times New Roman"/>
        </w:rPr>
        <w:t>cow weight also were enriched within KEGG pathways ‘Aminoacyl tRNA biosynthesis’, and ‘Citrate cycle’ as well as ‘Arginine biosynthesis’, ‘Arginine and proline</w:t>
      </w:r>
      <w:r>
        <w:rPr>
          <w:rFonts w:ascii="Times New Roman" w:hAnsi="Times New Roman" w:cs="Times New Roman"/>
        </w:rPr>
        <w:t xml:space="preserve"> </w:t>
      </w:r>
      <w:r w:rsidRPr="000B5F79">
        <w:rPr>
          <w:rFonts w:ascii="Times New Roman" w:hAnsi="Times New Roman" w:cs="Times New Roman"/>
        </w:rPr>
        <w:t xml:space="preserve">metabolism’, </w:t>
      </w:r>
    </w:p>
    <w:p w14:paraId="50EC07F4" w14:textId="7E31CBC5" w:rsidR="00C61C4F" w:rsidRPr="00A42976" w:rsidRDefault="00C61C4F" w:rsidP="00064157">
      <w:pPr>
        <w:spacing w:line="480" w:lineRule="auto"/>
        <w:rPr>
          <w:rFonts w:ascii="Times New Roman" w:hAnsi="Times New Roman" w:cs="Times New Roman"/>
        </w:rPr>
      </w:pPr>
      <w:r w:rsidRPr="00A42976">
        <w:rPr>
          <w:rFonts w:ascii="Times New Roman" w:hAnsi="Times New Roman" w:cs="Times New Roman"/>
          <w:noProof/>
        </w:rPr>
        <w:lastRenderedPageBreak/>
        <w:drawing>
          <wp:inline distT="0" distB="0" distL="0" distR="0" wp14:anchorId="6A00D258" wp14:editId="2B8C0D3B">
            <wp:extent cx="5486400" cy="4597205"/>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ure_4.png"/>
                    <pic:cNvPicPr/>
                  </pic:nvPicPr>
                  <pic:blipFill>
                    <a:blip r:embed="rId23">
                      <a:extLst>
                        <a:ext uri="{28A0092B-C50C-407E-A947-70E740481C1C}">
                          <a14:useLocalDpi xmlns:a14="http://schemas.microsoft.com/office/drawing/2010/main" val="0"/>
                        </a:ext>
                      </a:extLst>
                    </a:blip>
                    <a:stretch>
                      <a:fillRect/>
                    </a:stretch>
                  </pic:blipFill>
                  <pic:spPr>
                    <a:xfrm>
                      <a:off x="0" y="0"/>
                      <a:ext cx="5486400" cy="4597205"/>
                    </a:xfrm>
                    <a:prstGeom prst="rect">
                      <a:avLst/>
                    </a:prstGeom>
                  </pic:spPr>
                </pic:pic>
              </a:graphicData>
            </a:graphic>
          </wp:inline>
        </w:drawing>
      </w:r>
    </w:p>
    <w:p w14:paraId="7F172E4D" w14:textId="0B0470D6" w:rsidR="00293C42" w:rsidRPr="00C87A3E" w:rsidRDefault="00C61C4F" w:rsidP="00064157">
      <w:pPr>
        <w:jc w:val="both"/>
        <w:rPr>
          <w:rFonts w:ascii="Times New Roman" w:hAnsi="Times New Roman" w:cs="Times New Roman"/>
        </w:rPr>
      </w:pPr>
      <w:r w:rsidRPr="00A42976">
        <w:rPr>
          <w:rFonts w:ascii="Times New Roman" w:hAnsi="Times New Roman" w:cs="Times New Roman"/>
          <w:b/>
          <w:bCs/>
        </w:rPr>
        <w:t xml:space="preserve">Figure </w:t>
      </w:r>
      <w:r w:rsidR="003079D4" w:rsidRPr="000B5F79">
        <w:rPr>
          <w:rFonts w:ascii="Times New Roman" w:hAnsi="Times New Roman" w:cs="Times New Roman"/>
          <w:b/>
          <w:bCs/>
        </w:rPr>
        <w:t>11</w:t>
      </w:r>
      <w:r w:rsidRPr="000B5F79">
        <w:rPr>
          <w:rFonts w:ascii="Times New Roman" w:hAnsi="Times New Roman" w:cs="Times New Roman"/>
          <w:b/>
          <w:bCs/>
        </w:rPr>
        <w:t xml:space="preserve">. </w:t>
      </w:r>
      <w:r w:rsidR="005E461B" w:rsidRPr="000B5F79">
        <w:rPr>
          <w:rFonts w:ascii="Times New Roman" w:hAnsi="Times New Roman" w:cs="Times New Roman"/>
        </w:rPr>
        <w:t xml:space="preserve">Venn diagram listing the follicular fluid metabolites whose abundance in follicular fluid collected ~19 hours after GnRH2 administration was significantly related to </w:t>
      </w:r>
      <w:r w:rsidR="005E461B" w:rsidRPr="005C3043">
        <w:rPr>
          <w:rFonts w:ascii="Times New Roman" w:hAnsi="Times New Roman" w:cs="Times New Roman"/>
        </w:rPr>
        <w:t>serum estradiol concentration at GnRH2 (</w:t>
      </w:r>
      <w:proofErr w:type="spellStart"/>
      <w:r w:rsidR="005E461B" w:rsidRPr="005C3043">
        <w:rPr>
          <w:rFonts w:ascii="Times New Roman" w:hAnsi="Times New Roman" w:cs="Times New Roman"/>
        </w:rPr>
        <w:t>pg</w:t>
      </w:r>
      <w:proofErr w:type="spellEnd"/>
      <w:r w:rsidR="005E461B" w:rsidRPr="005C3043">
        <w:rPr>
          <w:rFonts w:ascii="Times New Roman" w:hAnsi="Times New Roman" w:cs="Times New Roman"/>
        </w:rPr>
        <w:t xml:space="preserve">/ml), follicular fluid progesterone concentration at follicle aspiration (ng/ml), and cow weight (kg). </w:t>
      </w:r>
      <w:r w:rsidR="005E461B" w:rsidRPr="00C87A3E">
        <w:rPr>
          <w:rFonts w:ascii="Times New Roman" w:hAnsi="Times New Roman" w:cs="Times New Roman"/>
          <w:color w:val="000000" w:themeColor="text1"/>
        </w:rPr>
        <w:t>GnRH2 = gonadotropin releasing hormone administration to induce the pre-ovulatory gonadotropin surge</w:t>
      </w:r>
      <w:r w:rsidR="005E461B" w:rsidRPr="00C87A3E">
        <w:rPr>
          <w:rFonts w:ascii="Times New Roman" w:hAnsi="Times New Roman" w:cs="Times New Roman"/>
        </w:rPr>
        <w:t>.</w:t>
      </w:r>
    </w:p>
    <w:p w14:paraId="3CCC4869" w14:textId="0402C960" w:rsidR="00293C42" w:rsidRPr="00C87A3E" w:rsidRDefault="00293C42" w:rsidP="00064157">
      <w:pPr>
        <w:jc w:val="both"/>
        <w:rPr>
          <w:rFonts w:ascii="Times New Roman" w:hAnsi="Times New Roman" w:cs="Times New Roman"/>
        </w:rPr>
      </w:pPr>
    </w:p>
    <w:p w14:paraId="79F42A8F" w14:textId="217115E9" w:rsidR="00293C42" w:rsidRPr="003B6B38" w:rsidRDefault="00293C42" w:rsidP="00064157">
      <w:pPr>
        <w:jc w:val="both"/>
        <w:rPr>
          <w:rFonts w:ascii="Times New Roman" w:hAnsi="Times New Roman" w:cs="Times New Roman"/>
        </w:rPr>
      </w:pPr>
    </w:p>
    <w:p w14:paraId="6AAB706A" w14:textId="2172CE3B" w:rsidR="00293C42" w:rsidRPr="005C3043" w:rsidRDefault="00293C42" w:rsidP="00064157">
      <w:pPr>
        <w:jc w:val="both"/>
        <w:rPr>
          <w:rFonts w:ascii="Times New Roman" w:hAnsi="Times New Roman" w:cs="Times New Roman"/>
        </w:rPr>
      </w:pPr>
    </w:p>
    <w:p w14:paraId="1FB10AF9" w14:textId="7BCAA0F1" w:rsidR="00293C42" w:rsidRPr="005C3043" w:rsidRDefault="00293C42" w:rsidP="00064157">
      <w:pPr>
        <w:jc w:val="both"/>
        <w:rPr>
          <w:rFonts w:ascii="Times New Roman" w:hAnsi="Times New Roman" w:cs="Times New Roman"/>
        </w:rPr>
      </w:pPr>
    </w:p>
    <w:p w14:paraId="78BA0AC1" w14:textId="7910278F" w:rsidR="00293C42" w:rsidRPr="005C3043" w:rsidRDefault="00293C42" w:rsidP="00064157">
      <w:pPr>
        <w:jc w:val="both"/>
        <w:rPr>
          <w:rFonts w:ascii="Times New Roman" w:hAnsi="Times New Roman" w:cs="Times New Roman"/>
        </w:rPr>
      </w:pPr>
    </w:p>
    <w:p w14:paraId="7E98C101" w14:textId="36E4555E" w:rsidR="008A0FF0" w:rsidRDefault="008A0FF0" w:rsidP="00F3560F">
      <w:pPr>
        <w:jc w:val="both"/>
        <w:rPr>
          <w:rFonts w:ascii="Times New Roman" w:hAnsi="Times New Roman" w:cs="Times New Roman"/>
        </w:rPr>
      </w:pPr>
    </w:p>
    <w:p w14:paraId="70ABD52E" w14:textId="0B1E4458" w:rsidR="000C7C40" w:rsidRDefault="000C7C40" w:rsidP="00F3560F">
      <w:pPr>
        <w:jc w:val="both"/>
        <w:rPr>
          <w:rFonts w:ascii="Times New Roman" w:hAnsi="Times New Roman" w:cs="Times New Roman"/>
        </w:rPr>
      </w:pPr>
    </w:p>
    <w:p w14:paraId="2330968C" w14:textId="0C888DF2" w:rsidR="000C7C40" w:rsidRDefault="000C7C40" w:rsidP="00F3560F">
      <w:pPr>
        <w:jc w:val="both"/>
        <w:rPr>
          <w:rFonts w:ascii="Times New Roman" w:hAnsi="Times New Roman" w:cs="Times New Roman"/>
        </w:rPr>
      </w:pPr>
    </w:p>
    <w:p w14:paraId="6DBA3795" w14:textId="1BF33196" w:rsidR="00600C14" w:rsidRDefault="00600C14" w:rsidP="00F3560F">
      <w:pPr>
        <w:jc w:val="both"/>
        <w:rPr>
          <w:rFonts w:ascii="Times New Roman" w:hAnsi="Times New Roman" w:cs="Times New Roman"/>
        </w:rPr>
      </w:pPr>
    </w:p>
    <w:p w14:paraId="5BC2150B" w14:textId="3FAE20C3" w:rsidR="00600C14" w:rsidRDefault="00600C14" w:rsidP="00F3560F">
      <w:pPr>
        <w:jc w:val="both"/>
        <w:rPr>
          <w:rFonts w:ascii="Times New Roman" w:hAnsi="Times New Roman" w:cs="Times New Roman"/>
        </w:rPr>
      </w:pPr>
    </w:p>
    <w:p w14:paraId="357C8090" w14:textId="045CF580" w:rsidR="00600C14" w:rsidRDefault="00600C14" w:rsidP="00F3560F">
      <w:pPr>
        <w:jc w:val="both"/>
        <w:rPr>
          <w:rFonts w:ascii="Times New Roman" w:hAnsi="Times New Roman" w:cs="Times New Roman"/>
        </w:rPr>
      </w:pPr>
    </w:p>
    <w:p w14:paraId="7D42D32A" w14:textId="07ABDDC9" w:rsidR="00600C14" w:rsidRDefault="00600C14" w:rsidP="00F3560F">
      <w:pPr>
        <w:jc w:val="both"/>
        <w:rPr>
          <w:rFonts w:ascii="Times New Roman" w:hAnsi="Times New Roman" w:cs="Times New Roman"/>
        </w:rPr>
      </w:pPr>
    </w:p>
    <w:p w14:paraId="67680E4E" w14:textId="60AC6689" w:rsidR="00600C14" w:rsidRPr="00600C14" w:rsidRDefault="00600C14" w:rsidP="00F3560F">
      <w:pPr>
        <w:jc w:val="both"/>
        <w:rPr>
          <w:rFonts w:ascii="Times New Roman" w:hAnsi="Times New Roman" w:cs="Times New Roman"/>
        </w:rPr>
      </w:pPr>
      <w:r w:rsidRPr="00600C14">
        <w:rPr>
          <w:rFonts w:ascii="Times New Roman" w:hAnsi="Times New Roman" w:cs="Times New Roman"/>
          <w:b/>
          <w:bCs/>
        </w:rPr>
        <w:lastRenderedPageBreak/>
        <w:t>Table 4:</w:t>
      </w:r>
      <w:r>
        <w:rPr>
          <w:rFonts w:ascii="Times New Roman" w:hAnsi="Times New Roman" w:cs="Times New Roman"/>
        </w:rPr>
        <w:t xml:space="preserve"> False discovery rate values for the correlation between follicular fluid metabolites and serum estradiol at GnRH2</w:t>
      </w:r>
      <w:r>
        <w:rPr>
          <w:rFonts w:ascii="Times New Roman" w:hAnsi="Times New Roman" w:cs="Times New Roman"/>
          <w:vertAlign w:val="superscript"/>
        </w:rPr>
        <w:t>1</w:t>
      </w:r>
      <w:r>
        <w:rPr>
          <w:rFonts w:ascii="Times New Roman" w:hAnsi="Times New Roman" w:cs="Times New Roman"/>
        </w:rPr>
        <w:t>, pre-ovulatory follicle diameter at GnRH2, or final model covariates.</w:t>
      </w:r>
    </w:p>
    <w:p w14:paraId="65B05CFB" w14:textId="50E67BF9" w:rsidR="00911360" w:rsidRPr="008A0FF0" w:rsidRDefault="00911360" w:rsidP="00F3560F">
      <w:pPr>
        <w:jc w:val="both"/>
        <w:rPr>
          <w:rFonts w:ascii="Times New Roman" w:hAnsi="Times New Roman" w:cs="Times New Roman"/>
          <w:bCs/>
          <w:color w:val="000000"/>
        </w:rPr>
      </w:pPr>
    </w:p>
    <w:tbl>
      <w:tblPr>
        <w:tblW w:w="9275" w:type="dxa"/>
        <w:jc w:val="center"/>
        <w:tblLook w:val="04A0" w:firstRow="1" w:lastRow="0" w:firstColumn="1" w:lastColumn="0" w:noHBand="0" w:noVBand="1"/>
      </w:tblPr>
      <w:tblGrid>
        <w:gridCol w:w="1700"/>
        <w:gridCol w:w="768"/>
        <w:gridCol w:w="1012"/>
        <w:gridCol w:w="1170"/>
        <w:gridCol w:w="810"/>
        <w:gridCol w:w="714"/>
        <w:gridCol w:w="750"/>
        <w:gridCol w:w="578"/>
        <w:gridCol w:w="748"/>
        <w:gridCol w:w="1025"/>
      </w:tblGrid>
      <w:tr w:rsidR="00911360" w:rsidRPr="002B2491" w14:paraId="14D7AFE7" w14:textId="77777777" w:rsidTr="005C665A">
        <w:trPr>
          <w:trHeight w:val="312"/>
          <w:jc w:val="center"/>
        </w:trPr>
        <w:tc>
          <w:tcPr>
            <w:tcW w:w="17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EC086A" w14:textId="0ECC0FD1" w:rsidR="00911360" w:rsidRPr="000C7C40" w:rsidRDefault="00911360" w:rsidP="00E34316">
            <w:pPr>
              <w:jc w:val="center"/>
              <w:rPr>
                <w:rFonts w:ascii="Times New Roman" w:hAnsi="Times New Roman" w:cs="Times New Roman"/>
                <w:b/>
                <w:bCs/>
                <w:color w:val="000000"/>
                <w:sz w:val="16"/>
                <w:szCs w:val="16"/>
              </w:rPr>
            </w:pPr>
            <w:r w:rsidRPr="000C7C40">
              <w:rPr>
                <w:rFonts w:ascii="Times New Roman" w:hAnsi="Times New Roman" w:cs="Times New Roman"/>
                <w:b/>
                <w:bCs/>
                <w:color w:val="000000"/>
                <w:sz w:val="16"/>
                <w:szCs w:val="16"/>
              </w:rPr>
              <w:t>Metabolite</w:t>
            </w:r>
          </w:p>
        </w:tc>
        <w:tc>
          <w:tcPr>
            <w:tcW w:w="76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0B8E52" w14:textId="77777777" w:rsidR="00911360" w:rsidRPr="000C7C40" w:rsidRDefault="00911360" w:rsidP="00E34316">
            <w:pPr>
              <w:jc w:val="center"/>
              <w:rPr>
                <w:rFonts w:ascii="Times New Roman" w:hAnsi="Times New Roman" w:cs="Times New Roman"/>
                <w:b/>
                <w:bCs/>
                <w:color w:val="000000"/>
                <w:sz w:val="16"/>
                <w:szCs w:val="16"/>
                <w:vertAlign w:val="superscript"/>
              </w:rPr>
            </w:pPr>
            <w:r w:rsidRPr="000C7C40">
              <w:rPr>
                <w:rFonts w:ascii="Times New Roman" w:hAnsi="Times New Roman" w:cs="Times New Roman"/>
                <w:b/>
                <w:bCs/>
                <w:color w:val="000000"/>
                <w:sz w:val="16"/>
                <w:szCs w:val="16"/>
              </w:rPr>
              <w:t>KEGG ID</w:t>
            </w:r>
            <w:r w:rsidRPr="000C7C40">
              <w:rPr>
                <w:rFonts w:ascii="Times New Roman" w:hAnsi="Times New Roman" w:cs="Times New Roman"/>
                <w:b/>
                <w:bCs/>
                <w:color w:val="000000"/>
                <w:sz w:val="16"/>
                <w:szCs w:val="16"/>
                <w:vertAlign w:val="superscript"/>
              </w:rPr>
              <w:t>1</w:t>
            </w:r>
          </w:p>
        </w:tc>
        <w:tc>
          <w:tcPr>
            <w:tcW w:w="6807" w:type="dxa"/>
            <w:gridSpan w:val="8"/>
            <w:tcBorders>
              <w:top w:val="single" w:sz="4" w:space="0" w:color="auto"/>
              <w:left w:val="nil"/>
              <w:bottom w:val="single" w:sz="4" w:space="0" w:color="auto"/>
              <w:right w:val="single" w:sz="4" w:space="0" w:color="000000"/>
            </w:tcBorders>
            <w:shd w:val="clear" w:color="auto" w:fill="auto"/>
            <w:noWrap/>
            <w:vAlign w:val="center"/>
            <w:hideMark/>
          </w:tcPr>
          <w:p w14:paraId="695FA206" w14:textId="77777777" w:rsidR="00911360" w:rsidRPr="000C7C40" w:rsidRDefault="00911360" w:rsidP="00E34316">
            <w:pPr>
              <w:jc w:val="center"/>
              <w:rPr>
                <w:rFonts w:ascii="Times New Roman" w:hAnsi="Times New Roman" w:cs="Times New Roman"/>
                <w:b/>
                <w:bCs/>
                <w:color w:val="000000"/>
                <w:sz w:val="16"/>
                <w:szCs w:val="16"/>
                <w:vertAlign w:val="superscript"/>
              </w:rPr>
            </w:pPr>
            <w:r w:rsidRPr="000C7C40">
              <w:rPr>
                <w:rFonts w:ascii="Times New Roman" w:hAnsi="Times New Roman" w:cs="Times New Roman"/>
                <w:b/>
                <w:bCs/>
                <w:color w:val="000000"/>
                <w:sz w:val="16"/>
                <w:szCs w:val="16"/>
              </w:rPr>
              <w:t>False Discovery Rate</w:t>
            </w:r>
          </w:p>
        </w:tc>
      </w:tr>
      <w:tr w:rsidR="000C7C40" w:rsidRPr="002B2491" w14:paraId="0BA5E5B8" w14:textId="77777777" w:rsidTr="005C665A">
        <w:trPr>
          <w:trHeight w:val="312"/>
          <w:jc w:val="center"/>
        </w:trPr>
        <w:tc>
          <w:tcPr>
            <w:tcW w:w="1700" w:type="dxa"/>
            <w:vMerge/>
            <w:tcBorders>
              <w:top w:val="single" w:sz="4" w:space="0" w:color="auto"/>
              <w:left w:val="single" w:sz="4" w:space="0" w:color="auto"/>
              <w:bottom w:val="single" w:sz="4" w:space="0" w:color="auto"/>
              <w:right w:val="single" w:sz="4" w:space="0" w:color="auto"/>
            </w:tcBorders>
            <w:vAlign w:val="center"/>
            <w:hideMark/>
          </w:tcPr>
          <w:p w14:paraId="3183DDBA" w14:textId="77777777" w:rsidR="00911360" w:rsidRPr="000C7C40" w:rsidRDefault="00911360" w:rsidP="00E34316">
            <w:pPr>
              <w:rPr>
                <w:rFonts w:ascii="Times New Roman" w:hAnsi="Times New Roman" w:cs="Times New Roman"/>
                <w:b/>
                <w:bCs/>
                <w:color w:val="000000"/>
                <w:sz w:val="16"/>
                <w:szCs w:val="16"/>
              </w:rPr>
            </w:pPr>
          </w:p>
        </w:tc>
        <w:tc>
          <w:tcPr>
            <w:tcW w:w="768" w:type="dxa"/>
            <w:vMerge/>
            <w:tcBorders>
              <w:top w:val="single" w:sz="4" w:space="0" w:color="auto"/>
              <w:left w:val="single" w:sz="4" w:space="0" w:color="auto"/>
              <w:bottom w:val="single" w:sz="4" w:space="0" w:color="auto"/>
              <w:right w:val="single" w:sz="4" w:space="0" w:color="auto"/>
            </w:tcBorders>
            <w:vAlign w:val="center"/>
            <w:hideMark/>
          </w:tcPr>
          <w:p w14:paraId="2ADDF3E0" w14:textId="77777777" w:rsidR="00911360" w:rsidRPr="000C7C40" w:rsidRDefault="00911360" w:rsidP="00E34316">
            <w:pPr>
              <w:rPr>
                <w:rFonts w:ascii="Times New Roman" w:hAnsi="Times New Roman" w:cs="Times New Roman"/>
                <w:b/>
                <w:bCs/>
                <w:color w:val="000000"/>
                <w:sz w:val="16"/>
                <w:szCs w:val="16"/>
              </w:rPr>
            </w:pPr>
          </w:p>
        </w:tc>
        <w:tc>
          <w:tcPr>
            <w:tcW w:w="1012" w:type="dxa"/>
            <w:tcBorders>
              <w:top w:val="nil"/>
              <w:left w:val="nil"/>
              <w:bottom w:val="single" w:sz="4" w:space="0" w:color="auto"/>
              <w:right w:val="single" w:sz="4" w:space="0" w:color="auto"/>
            </w:tcBorders>
            <w:shd w:val="clear" w:color="auto" w:fill="auto"/>
            <w:noWrap/>
            <w:vAlign w:val="center"/>
            <w:hideMark/>
          </w:tcPr>
          <w:p w14:paraId="1FE1A0E8" w14:textId="77777777" w:rsidR="00911360" w:rsidRPr="000C7C40" w:rsidRDefault="00911360" w:rsidP="00E34316">
            <w:pPr>
              <w:jc w:val="center"/>
              <w:rPr>
                <w:rFonts w:ascii="Times New Roman" w:hAnsi="Times New Roman" w:cs="Times New Roman"/>
                <w:b/>
                <w:bCs/>
                <w:color w:val="000000"/>
                <w:sz w:val="16"/>
                <w:szCs w:val="16"/>
              </w:rPr>
            </w:pPr>
            <w:r w:rsidRPr="000C7C40">
              <w:rPr>
                <w:rFonts w:ascii="Times New Roman" w:hAnsi="Times New Roman" w:cs="Times New Roman"/>
                <w:b/>
                <w:bCs/>
                <w:color w:val="000000"/>
                <w:sz w:val="16"/>
                <w:szCs w:val="16"/>
              </w:rPr>
              <w:t>Serum E2</w:t>
            </w:r>
            <w:r w:rsidRPr="000C7C40">
              <w:rPr>
                <w:rFonts w:ascii="Times New Roman" w:hAnsi="Times New Roman" w:cs="Times New Roman"/>
                <w:b/>
                <w:bCs/>
                <w:color w:val="000000"/>
                <w:sz w:val="16"/>
                <w:szCs w:val="16"/>
                <w:vertAlign w:val="superscript"/>
              </w:rPr>
              <w:t>2</w:t>
            </w:r>
            <w:r w:rsidRPr="000C7C40">
              <w:rPr>
                <w:rFonts w:ascii="Times New Roman" w:hAnsi="Times New Roman" w:cs="Times New Roman"/>
                <w:b/>
                <w:bCs/>
                <w:color w:val="000000"/>
                <w:sz w:val="16"/>
                <w:szCs w:val="16"/>
              </w:rPr>
              <w:t xml:space="preserve"> at GnRH2</w:t>
            </w:r>
            <w:r w:rsidRPr="000C7C40">
              <w:rPr>
                <w:rFonts w:ascii="Times New Roman" w:hAnsi="Times New Roman" w:cs="Times New Roman"/>
                <w:b/>
                <w:bCs/>
                <w:color w:val="000000"/>
                <w:sz w:val="16"/>
                <w:szCs w:val="16"/>
                <w:vertAlign w:val="superscript"/>
              </w:rPr>
              <w:t xml:space="preserve">3 </w:t>
            </w:r>
            <w:r w:rsidRPr="000C7C40">
              <w:rPr>
                <w:rFonts w:ascii="Times New Roman" w:hAnsi="Times New Roman" w:cs="Times New Roman"/>
                <w:b/>
                <w:bCs/>
                <w:color w:val="000000"/>
                <w:sz w:val="16"/>
                <w:szCs w:val="16"/>
              </w:rPr>
              <w:t>(</w:t>
            </w:r>
            <w:proofErr w:type="spellStart"/>
            <w:r w:rsidRPr="000C7C40">
              <w:rPr>
                <w:rFonts w:ascii="Times New Roman" w:hAnsi="Times New Roman" w:cs="Times New Roman"/>
                <w:b/>
                <w:bCs/>
                <w:color w:val="000000"/>
                <w:sz w:val="16"/>
                <w:szCs w:val="16"/>
              </w:rPr>
              <w:t>pg</w:t>
            </w:r>
            <w:proofErr w:type="spellEnd"/>
            <w:r w:rsidRPr="000C7C40">
              <w:rPr>
                <w:rFonts w:ascii="Times New Roman" w:hAnsi="Times New Roman" w:cs="Times New Roman"/>
                <w:b/>
                <w:bCs/>
                <w:color w:val="000000"/>
                <w:sz w:val="16"/>
                <w:szCs w:val="16"/>
              </w:rPr>
              <w:t>/ml)</w:t>
            </w:r>
          </w:p>
        </w:tc>
        <w:tc>
          <w:tcPr>
            <w:tcW w:w="1170" w:type="dxa"/>
            <w:tcBorders>
              <w:top w:val="nil"/>
              <w:left w:val="nil"/>
              <w:bottom w:val="single" w:sz="4" w:space="0" w:color="auto"/>
              <w:right w:val="single" w:sz="4" w:space="0" w:color="auto"/>
            </w:tcBorders>
            <w:shd w:val="clear" w:color="auto" w:fill="auto"/>
            <w:noWrap/>
            <w:vAlign w:val="center"/>
            <w:hideMark/>
          </w:tcPr>
          <w:p w14:paraId="2DE6B787" w14:textId="77777777" w:rsidR="00911360" w:rsidRPr="000C7C40" w:rsidRDefault="00911360" w:rsidP="00E34316">
            <w:pPr>
              <w:jc w:val="center"/>
              <w:rPr>
                <w:rFonts w:ascii="Times New Roman" w:hAnsi="Times New Roman" w:cs="Times New Roman"/>
                <w:b/>
                <w:bCs/>
                <w:color w:val="000000"/>
                <w:sz w:val="16"/>
                <w:szCs w:val="16"/>
              </w:rPr>
            </w:pPr>
            <w:r w:rsidRPr="000C7C40">
              <w:rPr>
                <w:rFonts w:ascii="Times New Roman" w:hAnsi="Times New Roman" w:cs="Times New Roman"/>
                <w:b/>
                <w:bCs/>
                <w:color w:val="000000"/>
                <w:sz w:val="16"/>
                <w:szCs w:val="16"/>
              </w:rPr>
              <w:t>Follicle diameter at GnRH2 (mm)</w:t>
            </w:r>
          </w:p>
        </w:tc>
        <w:tc>
          <w:tcPr>
            <w:tcW w:w="810" w:type="dxa"/>
            <w:tcBorders>
              <w:top w:val="nil"/>
              <w:left w:val="nil"/>
              <w:bottom w:val="single" w:sz="4" w:space="0" w:color="auto"/>
              <w:right w:val="single" w:sz="4" w:space="0" w:color="auto"/>
            </w:tcBorders>
            <w:shd w:val="clear" w:color="auto" w:fill="auto"/>
            <w:noWrap/>
            <w:vAlign w:val="center"/>
            <w:hideMark/>
          </w:tcPr>
          <w:p w14:paraId="071B8851" w14:textId="77777777" w:rsidR="00911360" w:rsidRPr="000C7C40" w:rsidRDefault="00911360" w:rsidP="00E34316">
            <w:pPr>
              <w:jc w:val="center"/>
              <w:rPr>
                <w:rFonts w:ascii="Times New Roman" w:hAnsi="Times New Roman" w:cs="Times New Roman"/>
                <w:b/>
                <w:bCs/>
                <w:color w:val="000000"/>
                <w:sz w:val="16"/>
                <w:szCs w:val="16"/>
              </w:rPr>
            </w:pPr>
            <w:r w:rsidRPr="000C7C40">
              <w:rPr>
                <w:rFonts w:ascii="Times New Roman" w:hAnsi="Times New Roman" w:cs="Times New Roman"/>
                <w:b/>
                <w:bCs/>
                <w:color w:val="000000"/>
                <w:sz w:val="16"/>
                <w:szCs w:val="16"/>
              </w:rPr>
              <w:t>FF</w:t>
            </w:r>
            <w:r w:rsidRPr="000C7C40">
              <w:rPr>
                <w:rFonts w:ascii="Times New Roman" w:hAnsi="Times New Roman" w:cs="Times New Roman"/>
                <w:b/>
                <w:bCs/>
                <w:color w:val="000000"/>
                <w:sz w:val="16"/>
                <w:szCs w:val="16"/>
                <w:vertAlign w:val="superscript"/>
              </w:rPr>
              <w:t>4</w:t>
            </w:r>
            <w:r w:rsidRPr="000C7C40">
              <w:rPr>
                <w:rFonts w:ascii="Times New Roman" w:hAnsi="Times New Roman" w:cs="Times New Roman"/>
                <w:b/>
                <w:bCs/>
                <w:color w:val="000000"/>
                <w:sz w:val="16"/>
                <w:szCs w:val="16"/>
              </w:rPr>
              <w:t xml:space="preserve"> P4</w:t>
            </w:r>
            <w:r w:rsidRPr="000C7C40">
              <w:rPr>
                <w:rFonts w:ascii="Times New Roman" w:hAnsi="Times New Roman" w:cs="Times New Roman"/>
                <w:b/>
                <w:bCs/>
                <w:color w:val="000000"/>
                <w:sz w:val="16"/>
                <w:szCs w:val="16"/>
                <w:vertAlign w:val="superscript"/>
              </w:rPr>
              <w:t>5</w:t>
            </w:r>
            <w:r w:rsidRPr="000C7C40">
              <w:rPr>
                <w:rFonts w:ascii="Times New Roman" w:hAnsi="Times New Roman" w:cs="Times New Roman"/>
                <w:b/>
                <w:bCs/>
                <w:color w:val="000000"/>
                <w:sz w:val="16"/>
                <w:szCs w:val="16"/>
              </w:rPr>
              <w:t xml:space="preserve"> at FA</w:t>
            </w:r>
            <w:r w:rsidRPr="000C7C40">
              <w:rPr>
                <w:rFonts w:ascii="Times New Roman" w:hAnsi="Times New Roman" w:cs="Times New Roman"/>
                <w:b/>
                <w:bCs/>
                <w:color w:val="000000"/>
                <w:sz w:val="16"/>
                <w:szCs w:val="16"/>
                <w:vertAlign w:val="superscript"/>
              </w:rPr>
              <w:t>6</w:t>
            </w:r>
            <w:r w:rsidRPr="000C7C40">
              <w:rPr>
                <w:rFonts w:ascii="Times New Roman" w:hAnsi="Times New Roman" w:cs="Times New Roman"/>
                <w:b/>
                <w:bCs/>
                <w:color w:val="000000"/>
                <w:sz w:val="16"/>
                <w:szCs w:val="16"/>
              </w:rPr>
              <w:t xml:space="preserve"> (ng/ml) </w:t>
            </w:r>
          </w:p>
        </w:tc>
        <w:tc>
          <w:tcPr>
            <w:tcW w:w="714" w:type="dxa"/>
            <w:tcBorders>
              <w:top w:val="nil"/>
              <w:left w:val="nil"/>
              <w:bottom w:val="single" w:sz="4" w:space="0" w:color="auto"/>
              <w:right w:val="single" w:sz="4" w:space="0" w:color="auto"/>
            </w:tcBorders>
            <w:shd w:val="clear" w:color="auto" w:fill="auto"/>
            <w:noWrap/>
            <w:vAlign w:val="center"/>
            <w:hideMark/>
          </w:tcPr>
          <w:p w14:paraId="46494FD6" w14:textId="77777777" w:rsidR="00911360" w:rsidRPr="000C7C40" w:rsidRDefault="00911360" w:rsidP="00E34316">
            <w:pPr>
              <w:jc w:val="center"/>
              <w:rPr>
                <w:rFonts w:ascii="Times New Roman" w:hAnsi="Times New Roman" w:cs="Times New Roman"/>
                <w:b/>
                <w:bCs/>
                <w:color w:val="000000"/>
                <w:sz w:val="16"/>
                <w:szCs w:val="16"/>
              </w:rPr>
            </w:pPr>
            <w:r w:rsidRPr="000C7C40">
              <w:rPr>
                <w:rFonts w:ascii="Times New Roman" w:hAnsi="Times New Roman" w:cs="Times New Roman"/>
                <w:b/>
                <w:bCs/>
                <w:color w:val="000000"/>
                <w:sz w:val="16"/>
                <w:szCs w:val="16"/>
              </w:rPr>
              <w:t>Weight (kg)</w:t>
            </w:r>
          </w:p>
        </w:tc>
        <w:tc>
          <w:tcPr>
            <w:tcW w:w="750" w:type="dxa"/>
            <w:tcBorders>
              <w:top w:val="nil"/>
              <w:left w:val="nil"/>
              <w:bottom w:val="single" w:sz="4" w:space="0" w:color="auto"/>
              <w:right w:val="single" w:sz="4" w:space="0" w:color="auto"/>
            </w:tcBorders>
            <w:shd w:val="clear" w:color="auto" w:fill="auto"/>
            <w:noWrap/>
            <w:vAlign w:val="center"/>
            <w:hideMark/>
          </w:tcPr>
          <w:p w14:paraId="0588985E" w14:textId="77777777" w:rsidR="00911360" w:rsidRPr="000C7C40" w:rsidRDefault="00911360" w:rsidP="00E34316">
            <w:pPr>
              <w:jc w:val="center"/>
              <w:rPr>
                <w:rFonts w:ascii="Times New Roman" w:hAnsi="Times New Roman" w:cs="Times New Roman"/>
                <w:b/>
                <w:bCs/>
                <w:color w:val="000000"/>
                <w:sz w:val="16"/>
                <w:szCs w:val="16"/>
              </w:rPr>
            </w:pPr>
            <w:r w:rsidRPr="000C7C40">
              <w:rPr>
                <w:rFonts w:ascii="Times New Roman" w:hAnsi="Times New Roman" w:cs="Times New Roman"/>
                <w:b/>
                <w:bCs/>
                <w:color w:val="000000"/>
                <w:sz w:val="16"/>
                <w:szCs w:val="16"/>
              </w:rPr>
              <w:t>Hours GnRH2 to FA</w:t>
            </w:r>
          </w:p>
        </w:tc>
        <w:tc>
          <w:tcPr>
            <w:tcW w:w="578" w:type="dxa"/>
            <w:tcBorders>
              <w:top w:val="nil"/>
              <w:left w:val="nil"/>
              <w:bottom w:val="single" w:sz="4" w:space="0" w:color="auto"/>
              <w:right w:val="single" w:sz="4" w:space="0" w:color="auto"/>
            </w:tcBorders>
            <w:shd w:val="clear" w:color="auto" w:fill="auto"/>
            <w:noWrap/>
            <w:vAlign w:val="center"/>
            <w:hideMark/>
          </w:tcPr>
          <w:p w14:paraId="6449F688" w14:textId="77777777" w:rsidR="00911360" w:rsidRPr="000C7C40" w:rsidRDefault="00911360" w:rsidP="00E34316">
            <w:pPr>
              <w:jc w:val="center"/>
              <w:rPr>
                <w:rFonts w:ascii="Times New Roman" w:hAnsi="Times New Roman" w:cs="Times New Roman"/>
                <w:b/>
                <w:bCs/>
                <w:color w:val="000000"/>
                <w:sz w:val="16"/>
                <w:szCs w:val="16"/>
                <w:vertAlign w:val="superscript"/>
              </w:rPr>
            </w:pPr>
            <w:r w:rsidRPr="000C7C40">
              <w:rPr>
                <w:rFonts w:ascii="Times New Roman" w:hAnsi="Times New Roman" w:cs="Times New Roman"/>
                <w:b/>
                <w:bCs/>
                <w:color w:val="000000"/>
                <w:sz w:val="16"/>
                <w:szCs w:val="16"/>
              </w:rPr>
              <w:t>BCS</w:t>
            </w:r>
            <w:r w:rsidRPr="000C7C40">
              <w:rPr>
                <w:rFonts w:ascii="Times New Roman" w:hAnsi="Times New Roman" w:cs="Times New Roman"/>
                <w:b/>
                <w:bCs/>
                <w:color w:val="000000"/>
                <w:sz w:val="16"/>
                <w:szCs w:val="16"/>
                <w:vertAlign w:val="superscript"/>
              </w:rPr>
              <w:t>7</w:t>
            </w:r>
          </w:p>
        </w:tc>
        <w:tc>
          <w:tcPr>
            <w:tcW w:w="748" w:type="dxa"/>
            <w:tcBorders>
              <w:top w:val="nil"/>
              <w:left w:val="nil"/>
              <w:bottom w:val="single" w:sz="4" w:space="0" w:color="auto"/>
              <w:right w:val="single" w:sz="4" w:space="0" w:color="auto"/>
            </w:tcBorders>
            <w:shd w:val="clear" w:color="auto" w:fill="auto"/>
            <w:noWrap/>
            <w:vAlign w:val="center"/>
            <w:hideMark/>
          </w:tcPr>
          <w:p w14:paraId="0483BBF1" w14:textId="77777777" w:rsidR="00911360" w:rsidRPr="000C7C40" w:rsidRDefault="00911360" w:rsidP="00E34316">
            <w:pPr>
              <w:jc w:val="center"/>
              <w:rPr>
                <w:rFonts w:ascii="Times New Roman" w:hAnsi="Times New Roman" w:cs="Times New Roman"/>
                <w:b/>
                <w:bCs/>
                <w:color w:val="000000"/>
                <w:sz w:val="16"/>
                <w:szCs w:val="16"/>
              </w:rPr>
            </w:pPr>
            <w:r w:rsidRPr="000C7C40">
              <w:rPr>
                <w:rFonts w:ascii="Times New Roman" w:hAnsi="Times New Roman" w:cs="Times New Roman"/>
                <w:b/>
                <w:bCs/>
                <w:color w:val="000000"/>
                <w:sz w:val="16"/>
                <w:szCs w:val="16"/>
              </w:rPr>
              <w:t>FF E2 at FA (ng/ml)</w:t>
            </w:r>
          </w:p>
        </w:tc>
        <w:tc>
          <w:tcPr>
            <w:tcW w:w="1025" w:type="dxa"/>
            <w:tcBorders>
              <w:top w:val="nil"/>
              <w:left w:val="nil"/>
              <w:bottom w:val="single" w:sz="4" w:space="0" w:color="auto"/>
              <w:right w:val="single" w:sz="4" w:space="0" w:color="auto"/>
            </w:tcBorders>
            <w:shd w:val="clear" w:color="auto" w:fill="auto"/>
            <w:noWrap/>
            <w:vAlign w:val="center"/>
            <w:hideMark/>
          </w:tcPr>
          <w:p w14:paraId="4CCDBBAE" w14:textId="77777777" w:rsidR="00911360" w:rsidRPr="000C7C40" w:rsidRDefault="00911360" w:rsidP="00E34316">
            <w:pPr>
              <w:jc w:val="center"/>
              <w:rPr>
                <w:rFonts w:ascii="Times New Roman" w:hAnsi="Times New Roman" w:cs="Times New Roman"/>
                <w:b/>
                <w:bCs/>
                <w:color w:val="000000"/>
                <w:sz w:val="16"/>
                <w:szCs w:val="16"/>
              </w:rPr>
            </w:pPr>
            <w:r w:rsidRPr="000C7C40">
              <w:rPr>
                <w:rFonts w:ascii="Times New Roman" w:hAnsi="Times New Roman" w:cs="Times New Roman"/>
                <w:b/>
                <w:bCs/>
                <w:color w:val="000000"/>
                <w:sz w:val="16"/>
                <w:szCs w:val="16"/>
              </w:rPr>
              <w:t>Days Postpartum</w:t>
            </w:r>
          </w:p>
        </w:tc>
      </w:tr>
      <w:tr w:rsidR="000C7C40" w:rsidRPr="002B2491" w14:paraId="159475E2"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766A7FB5" w14:textId="77777777" w:rsidR="00911360" w:rsidRPr="000C7C40" w:rsidRDefault="00911360" w:rsidP="00E34316">
            <w:pPr>
              <w:jc w:val="center"/>
              <w:rPr>
                <w:rFonts w:ascii="Times New Roman" w:hAnsi="Times New Roman" w:cs="Times New Roman"/>
                <w:color w:val="000000"/>
                <w:sz w:val="16"/>
                <w:szCs w:val="16"/>
              </w:rPr>
            </w:pPr>
            <w:proofErr w:type="spellStart"/>
            <w:r w:rsidRPr="000C7C40">
              <w:rPr>
                <w:rFonts w:ascii="Times New Roman" w:hAnsi="Times New Roman" w:cs="Times New Roman"/>
                <w:color w:val="000000"/>
                <w:sz w:val="16"/>
                <w:szCs w:val="16"/>
              </w:rPr>
              <w:t>Taurodeoxycholate</w:t>
            </w:r>
            <w:proofErr w:type="spellEnd"/>
          </w:p>
        </w:tc>
        <w:tc>
          <w:tcPr>
            <w:tcW w:w="768" w:type="dxa"/>
            <w:tcBorders>
              <w:top w:val="nil"/>
              <w:left w:val="nil"/>
              <w:bottom w:val="single" w:sz="4" w:space="0" w:color="auto"/>
              <w:right w:val="single" w:sz="4" w:space="0" w:color="auto"/>
            </w:tcBorders>
            <w:shd w:val="clear" w:color="auto" w:fill="auto"/>
            <w:noWrap/>
            <w:vAlign w:val="center"/>
            <w:hideMark/>
          </w:tcPr>
          <w:p w14:paraId="6EB247F9"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C05463</w:t>
            </w:r>
          </w:p>
        </w:tc>
        <w:tc>
          <w:tcPr>
            <w:tcW w:w="1012" w:type="dxa"/>
            <w:tcBorders>
              <w:top w:val="nil"/>
              <w:left w:val="nil"/>
              <w:bottom w:val="single" w:sz="4" w:space="0" w:color="auto"/>
              <w:right w:val="single" w:sz="4" w:space="0" w:color="auto"/>
            </w:tcBorders>
            <w:shd w:val="clear" w:color="auto" w:fill="auto"/>
            <w:noWrap/>
            <w:vAlign w:val="center"/>
            <w:hideMark/>
          </w:tcPr>
          <w:p w14:paraId="48801A29"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0.034</w:t>
            </w:r>
          </w:p>
        </w:tc>
        <w:tc>
          <w:tcPr>
            <w:tcW w:w="1170" w:type="dxa"/>
            <w:tcBorders>
              <w:top w:val="nil"/>
              <w:left w:val="nil"/>
              <w:bottom w:val="single" w:sz="4" w:space="0" w:color="auto"/>
              <w:right w:val="single" w:sz="4" w:space="0" w:color="auto"/>
            </w:tcBorders>
            <w:shd w:val="clear" w:color="auto" w:fill="auto"/>
            <w:noWrap/>
            <w:vAlign w:val="center"/>
            <w:hideMark/>
          </w:tcPr>
          <w:p w14:paraId="757876BA"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296FA3A0"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 ⁵</w:t>
            </w:r>
          </w:p>
        </w:tc>
        <w:tc>
          <w:tcPr>
            <w:tcW w:w="714" w:type="dxa"/>
            <w:tcBorders>
              <w:top w:val="nil"/>
              <w:left w:val="nil"/>
              <w:bottom w:val="single" w:sz="4" w:space="0" w:color="auto"/>
              <w:right w:val="single" w:sz="4" w:space="0" w:color="auto"/>
            </w:tcBorders>
            <w:shd w:val="clear" w:color="auto" w:fill="auto"/>
            <w:noWrap/>
            <w:vAlign w:val="center"/>
            <w:hideMark/>
          </w:tcPr>
          <w:p w14:paraId="3AE4F3E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0.002</w:t>
            </w:r>
          </w:p>
        </w:tc>
        <w:tc>
          <w:tcPr>
            <w:tcW w:w="750" w:type="dxa"/>
            <w:tcBorders>
              <w:top w:val="nil"/>
              <w:left w:val="nil"/>
              <w:bottom w:val="single" w:sz="4" w:space="0" w:color="auto"/>
              <w:right w:val="single" w:sz="4" w:space="0" w:color="auto"/>
            </w:tcBorders>
            <w:shd w:val="clear" w:color="auto" w:fill="auto"/>
            <w:noWrap/>
            <w:vAlign w:val="center"/>
            <w:hideMark/>
          </w:tcPr>
          <w:p w14:paraId="7C6D1F3B"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01541D7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12FBEC0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659B6592"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6A6796C3"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7B7B272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Glycine</w:t>
            </w:r>
          </w:p>
        </w:tc>
        <w:tc>
          <w:tcPr>
            <w:tcW w:w="768" w:type="dxa"/>
            <w:tcBorders>
              <w:top w:val="nil"/>
              <w:left w:val="nil"/>
              <w:bottom w:val="single" w:sz="4" w:space="0" w:color="auto"/>
              <w:right w:val="single" w:sz="4" w:space="0" w:color="auto"/>
            </w:tcBorders>
            <w:shd w:val="clear" w:color="auto" w:fill="auto"/>
            <w:noWrap/>
            <w:vAlign w:val="center"/>
            <w:hideMark/>
          </w:tcPr>
          <w:p w14:paraId="3E9B05E0"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C00037</w:t>
            </w:r>
          </w:p>
        </w:tc>
        <w:tc>
          <w:tcPr>
            <w:tcW w:w="1012" w:type="dxa"/>
            <w:tcBorders>
              <w:top w:val="nil"/>
              <w:left w:val="nil"/>
              <w:bottom w:val="single" w:sz="4" w:space="0" w:color="auto"/>
              <w:right w:val="single" w:sz="4" w:space="0" w:color="auto"/>
            </w:tcBorders>
            <w:shd w:val="clear" w:color="auto" w:fill="auto"/>
            <w:noWrap/>
            <w:vAlign w:val="center"/>
            <w:hideMark/>
          </w:tcPr>
          <w:p w14:paraId="5C3D2715"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0.036</w:t>
            </w:r>
          </w:p>
        </w:tc>
        <w:tc>
          <w:tcPr>
            <w:tcW w:w="1170" w:type="dxa"/>
            <w:tcBorders>
              <w:top w:val="nil"/>
              <w:left w:val="nil"/>
              <w:bottom w:val="single" w:sz="4" w:space="0" w:color="auto"/>
              <w:right w:val="single" w:sz="4" w:space="0" w:color="auto"/>
            </w:tcBorders>
            <w:shd w:val="clear" w:color="auto" w:fill="auto"/>
            <w:noWrap/>
            <w:vAlign w:val="center"/>
            <w:hideMark/>
          </w:tcPr>
          <w:p w14:paraId="31114020"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7DD5C9E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0.001</w:t>
            </w:r>
          </w:p>
        </w:tc>
        <w:tc>
          <w:tcPr>
            <w:tcW w:w="714" w:type="dxa"/>
            <w:tcBorders>
              <w:top w:val="nil"/>
              <w:left w:val="nil"/>
              <w:bottom w:val="single" w:sz="4" w:space="0" w:color="auto"/>
              <w:right w:val="single" w:sz="4" w:space="0" w:color="auto"/>
            </w:tcBorders>
            <w:shd w:val="clear" w:color="auto" w:fill="auto"/>
            <w:noWrap/>
            <w:vAlign w:val="center"/>
            <w:hideMark/>
          </w:tcPr>
          <w:p w14:paraId="0DAF077F"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0.003</w:t>
            </w:r>
          </w:p>
        </w:tc>
        <w:tc>
          <w:tcPr>
            <w:tcW w:w="750" w:type="dxa"/>
            <w:tcBorders>
              <w:top w:val="nil"/>
              <w:left w:val="nil"/>
              <w:bottom w:val="single" w:sz="4" w:space="0" w:color="auto"/>
              <w:right w:val="single" w:sz="4" w:space="0" w:color="auto"/>
            </w:tcBorders>
            <w:shd w:val="clear" w:color="auto" w:fill="auto"/>
            <w:noWrap/>
            <w:vAlign w:val="center"/>
            <w:hideMark/>
          </w:tcPr>
          <w:p w14:paraId="0EBF5AB2"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5E07240C"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52FEC1D7"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125F3B0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308010C1"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230FAB48"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3-Hydroxyisovalerate</w:t>
            </w:r>
          </w:p>
        </w:tc>
        <w:tc>
          <w:tcPr>
            <w:tcW w:w="768" w:type="dxa"/>
            <w:tcBorders>
              <w:top w:val="nil"/>
              <w:left w:val="nil"/>
              <w:bottom w:val="single" w:sz="4" w:space="0" w:color="auto"/>
              <w:right w:val="single" w:sz="4" w:space="0" w:color="auto"/>
            </w:tcBorders>
            <w:shd w:val="clear" w:color="auto" w:fill="auto"/>
            <w:noWrap/>
            <w:vAlign w:val="center"/>
            <w:hideMark/>
          </w:tcPr>
          <w:p w14:paraId="2B2AA6F9"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C20827</w:t>
            </w:r>
          </w:p>
        </w:tc>
        <w:tc>
          <w:tcPr>
            <w:tcW w:w="1012" w:type="dxa"/>
            <w:tcBorders>
              <w:top w:val="nil"/>
              <w:left w:val="nil"/>
              <w:bottom w:val="single" w:sz="4" w:space="0" w:color="auto"/>
              <w:right w:val="single" w:sz="4" w:space="0" w:color="auto"/>
            </w:tcBorders>
            <w:shd w:val="clear" w:color="auto" w:fill="auto"/>
            <w:noWrap/>
            <w:vAlign w:val="center"/>
            <w:hideMark/>
          </w:tcPr>
          <w:p w14:paraId="1E5472A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0.038</w:t>
            </w:r>
          </w:p>
        </w:tc>
        <w:tc>
          <w:tcPr>
            <w:tcW w:w="1170" w:type="dxa"/>
            <w:tcBorders>
              <w:top w:val="nil"/>
              <w:left w:val="nil"/>
              <w:bottom w:val="single" w:sz="4" w:space="0" w:color="auto"/>
              <w:right w:val="single" w:sz="4" w:space="0" w:color="auto"/>
            </w:tcBorders>
            <w:shd w:val="clear" w:color="auto" w:fill="auto"/>
            <w:noWrap/>
            <w:vAlign w:val="center"/>
            <w:hideMark/>
          </w:tcPr>
          <w:p w14:paraId="28C036FB"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710A16B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0.002</w:t>
            </w:r>
          </w:p>
        </w:tc>
        <w:tc>
          <w:tcPr>
            <w:tcW w:w="714" w:type="dxa"/>
            <w:tcBorders>
              <w:top w:val="nil"/>
              <w:left w:val="nil"/>
              <w:bottom w:val="single" w:sz="4" w:space="0" w:color="auto"/>
              <w:right w:val="single" w:sz="4" w:space="0" w:color="auto"/>
            </w:tcBorders>
            <w:shd w:val="clear" w:color="auto" w:fill="auto"/>
            <w:noWrap/>
            <w:vAlign w:val="center"/>
            <w:hideMark/>
          </w:tcPr>
          <w:p w14:paraId="2B1775E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0.017</w:t>
            </w:r>
          </w:p>
        </w:tc>
        <w:tc>
          <w:tcPr>
            <w:tcW w:w="750" w:type="dxa"/>
            <w:tcBorders>
              <w:top w:val="nil"/>
              <w:left w:val="nil"/>
              <w:bottom w:val="single" w:sz="4" w:space="0" w:color="auto"/>
              <w:right w:val="single" w:sz="4" w:space="0" w:color="auto"/>
            </w:tcBorders>
            <w:shd w:val="clear" w:color="auto" w:fill="auto"/>
            <w:noWrap/>
            <w:vAlign w:val="center"/>
            <w:hideMark/>
          </w:tcPr>
          <w:p w14:paraId="3E120025"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0.046</w:t>
            </w:r>
          </w:p>
        </w:tc>
        <w:tc>
          <w:tcPr>
            <w:tcW w:w="578" w:type="dxa"/>
            <w:tcBorders>
              <w:top w:val="nil"/>
              <w:left w:val="nil"/>
              <w:bottom w:val="single" w:sz="4" w:space="0" w:color="auto"/>
              <w:right w:val="single" w:sz="4" w:space="0" w:color="auto"/>
            </w:tcBorders>
            <w:shd w:val="clear" w:color="auto" w:fill="auto"/>
            <w:noWrap/>
            <w:vAlign w:val="center"/>
            <w:hideMark/>
          </w:tcPr>
          <w:p w14:paraId="539C6940"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327EA5FA"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0.035</w:t>
            </w:r>
          </w:p>
        </w:tc>
        <w:tc>
          <w:tcPr>
            <w:tcW w:w="1025" w:type="dxa"/>
            <w:tcBorders>
              <w:top w:val="nil"/>
              <w:left w:val="nil"/>
              <w:bottom w:val="single" w:sz="4" w:space="0" w:color="auto"/>
              <w:right w:val="single" w:sz="4" w:space="0" w:color="auto"/>
            </w:tcBorders>
            <w:shd w:val="clear" w:color="auto" w:fill="auto"/>
            <w:noWrap/>
            <w:vAlign w:val="center"/>
            <w:hideMark/>
          </w:tcPr>
          <w:p w14:paraId="3FB2269C" w14:textId="49BA46EB"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0D00DF8E"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3C0F8D09"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2-Dehydro-D-Gluconate</w:t>
            </w:r>
          </w:p>
        </w:tc>
        <w:tc>
          <w:tcPr>
            <w:tcW w:w="768" w:type="dxa"/>
            <w:tcBorders>
              <w:top w:val="nil"/>
              <w:left w:val="nil"/>
              <w:bottom w:val="single" w:sz="4" w:space="0" w:color="auto"/>
              <w:right w:val="single" w:sz="4" w:space="0" w:color="auto"/>
            </w:tcBorders>
            <w:shd w:val="clear" w:color="auto" w:fill="auto"/>
            <w:noWrap/>
            <w:vAlign w:val="center"/>
            <w:hideMark/>
          </w:tcPr>
          <w:p w14:paraId="3BA272B4"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C03342</w:t>
            </w:r>
          </w:p>
        </w:tc>
        <w:tc>
          <w:tcPr>
            <w:tcW w:w="1012" w:type="dxa"/>
            <w:tcBorders>
              <w:top w:val="nil"/>
              <w:left w:val="nil"/>
              <w:bottom w:val="single" w:sz="4" w:space="0" w:color="auto"/>
              <w:right w:val="single" w:sz="4" w:space="0" w:color="auto"/>
            </w:tcBorders>
            <w:shd w:val="clear" w:color="auto" w:fill="auto"/>
            <w:noWrap/>
            <w:vAlign w:val="center"/>
            <w:hideMark/>
          </w:tcPr>
          <w:p w14:paraId="62173476" w14:textId="76944D61"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0.045</w:t>
            </w:r>
          </w:p>
        </w:tc>
        <w:tc>
          <w:tcPr>
            <w:tcW w:w="1170" w:type="dxa"/>
            <w:tcBorders>
              <w:top w:val="nil"/>
              <w:left w:val="nil"/>
              <w:bottom w:val="single" w:sz="4" w:space="0" w:color="auto"/>
              <w:right w:val="single" w:sz="4" w:space="0" w:color="auto"/>
            </w:tcBorders>
            <w:shd w:val="clear" w:color="auto" w:fill="auto"/>
            <w:noWrap/>
            <w:vAlign w:val="center"/>
            <w:hideMark/>
          </w:tcPr>
          <w:p w14:paraId="2F44813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721EC9F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0.005</w:t>
            </w:r>
          </w:p>
        </w:tc>
        <w:tc>
          <w:tcPr>
            <w:tcW w:w="714" w:type="dxa"/>
            <w:tcBorders>
              <w:top w:val="nil"/>
              <w:left w:val="nil"/>
              <w:bottom w:val="single" w:sz="4" w:space="0" w:color="auto"/>
              <w:right w:val="single" w:sz="4" w:space="0" w:color="auto"/>
            </w:tcBorders>
            <w:shd w:val="clear" w:color="auto" w:fill="auto"/>
            <w:noWrap/>
            <w:vAlign w:val="center"/>
            <w:hideMark/>
          </w:tcPr>
          <w:p w14:paraId="2237DE08"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0.004</w:t>
            </w:r>
          </w:p>
        </w:tc>
        <w:tc>
          <w:tcPr>
            <w:tcW w:w="750" w:type="dxa"/>
            <w:tcBorders>
              <w:top w:val="nil"/>
              <w:left w:val="nil"/>
              <w:bottom w:val="single" w:sz="4" w:space="0" w:color="auto"/>
              <w:right w:val="single" w:sz="4" w:space="0" w:color="auto"/>
            </w:tcBorders>
            <w:shd w:val="clear" w:color="auto" w:fill="auto"/>
            <w:noWrap/>
            <w:vAlign w:val="center"/>
            <w:hideMark/>
          </w:tcPr>
          <w:p w14:paraId="544D9AC4" w14:textId="7E2E75D1"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40374471" w14:textId="34CA4720"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23498AD4"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575FB072"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1040E5B0"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758D11C4"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3-Methylphenylacetic Acid</w:t>
            </w:r>
          </w:p>
        </w:tc>
        <w:tc>
          <w:tcPr>
            <w:tcW w:w="768" w:type="dxa"/>
            <w:tcBorders>
              <w:top w:val="nil"/>
              <w:left w:val="nil"/>
              <w:bottom w:val="single" w:sz="4" w:space="0" w:color="auto"/>
              <w:right w:val="single" w:sz="4" w:space="0" w:color="auto"/>
            </w:tcBorders>
            <w:shd w:val="clear" w:color="auto" w:fill="auto"/>
            <w:noWrap/>
            <w:vAlign w:val="center"/>
            <w:hideMark/>
          </w:tcPr>
          <w:p w14:paraId="3FEF7B79" w14:textId="77777777" w:rsidR="00911360" w:rsidRPr="000C7C40" w:rsidRDefault="00911360" w:rsidP="00E34316">
            <w:pPr>
              <w:jc w:val="center"/>
              <w:rPr>
                <w:rFonts w:ascii="Times New Roman" w:hAnsi="Times New Roman" w:cs="Times New Roman"/>
                <w:color w:val="000000"/>
                <w:sz w:val="16"/>
                <w:szCs w:val="16"/>
                <w:vertAlign w:val="superscript"/>
              </w:rPr>
            </w:pPr>
            <w:r w:rsidRPr="000C7C40">
              <w:rPr>
                <w:rFonts w:ascii="Times New Roman" w:hAnsi="Times New Roman" w:cs="Times New Roman"/>
                <w:color w:val="000000"/>
                <w:sz w:val="16"/>
                <w:szCs w:val="16"/>
              </w:rPr>
              <w:t>12121</w:t>
            </w:r>
            <w:r w:rsidRPr="000C7C40">
              <w:rPr>
                <w:rFonts w:ascii="Times New Roman" w:hAnsi="Times New Roman" w:cs="Times New Roman"/>
                <w:color w:val="000000"/>
                <w:sz w:val="16"/>
                <w:szCs w:val="16"/>
                <w:vertAlign w:val="superscript"/>
              </w:rPr>
              <w:t>9</w:t>
            </w:r>
          </w:p>
        </w:tc>
        <w:tc>
          <w:tcPr>
            <w:tcW w:w="1012" w:type="dxa"/>
            <w:tcBorders>
              <w:top w:val="nil"/>
              <w:left w:val="nil"/>
              <w:bottom w:val="single" w:sz="4" w:space="0" w:color="auto"/>
              <w:right w:val="single" w:sz="4" w:space="0" w:color="auto"/>
            </w:tcBorders>
            <w:shd w:val="clear" w:color="auto" w:fill="auto"/>
            <w:noWrap/>
            <w:vAlign w:val="center"/>
            <w:hideMark/>
          </w:tcPr>
          <w:p w14:paraId="6160A0C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0.045</w:t>
            </w:r>
          </w:p>
        </w:tc>
        <w:tc>
          <w:tcPr>
            <w:tcW w:w="1170" w:type="dxa"/>
            <w:tcBorders>
              <w:top w:val="nil"/>
              <w:left w:val="nil"/>
              <w:bottom w:val="single" w:sz="4" w:space="0" w:color="auto"/>
              <w:right w:val="single" w:sz="4" w:space="0" w:color="auto"/>
            </w:tcBorders>
            <w:shd w:val="clear" w:color="auto" w:fill="auto"/>
            <w:noWrap/>
            <w:vAlign w:val="center"/>
            <w:hideMark/>
          </w:tcPr>
          <w:p w14:paraId="5303F71C"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5A2BD5B2"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0.006</w:t>
            </w:r>
          </w:p>
        </w:tc>
        <w:tc>
          <w:tcPr>
            <w:tcW w:w="714" w:type="dxa"/>
            <w:tcBorders>
              <w:top w:val="nil"/>
              <w:left w:val="nil"/>
              <w:bottom w:val="single" w:sz="4" w:space="0" w:color="auto"/>
              <w:right w:val="single" w:sz="4" w:space="0" w:color="auto"/>
            </w:tcBorders>
            <w:shd w:val="clear" w:color="auto" w:fill="auto"/>
            <w:noWrap/>
            <w:vAlign w:val="center"/>
            <w:hideMark/>
          </w:tcPr>
          <w:p w14:paraId="5EB1F66A"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0.007</w:t>
            </w:r>
          </w:p>
        </w:tc>
        <w:tc>
          <w:tcPr>
            <w:tcW w:w="750" w:type="dxa"/>
            <w:tcBorders>
              <w:top w:val="nil"/>
              <w:left w:val="nil"/>
              <w:bottom w:val="single" w:sz="4" w:space="0" w:color="auto"/>
              <w:right w:val="single" w:sz="4" w:space="0" w:color="auto"/>
            </w:tcBorders>
            <w:shd w:val="clear" w:color="auto" w:fill="auto"/>
            <w:noWrap/>
            <w:vAlign w:val="center"/>
            <w:hideMark/>
          </w:tcPr>
          <w:p w14:paraId="6C4717CC"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7E68DE66"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1828E179"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735EA084"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4D3EAF8B"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24B83C9F" w14:textId="77777777" w:rsidR="00911360" w:rsidRPr="000C7C40" w:rsidRDefault="00911360" w:rsidP="00E34316">
            <w:pPr>
              <w:jc w:val="center"/>
              <w:rPr>
                <w:rFonts w:ascii="Times New Roman" w:hAnsi="Times New Roman" w:cs="Times New Roman"/>
                <w:color w:val="000000"/>
                <w:sz w:val="16"/>
                <w:szCs w:val="16"/>
              </w:rPr>
            </w:pPr>
            <w:proofErr w:type="spellStart"/>
            <w:r w:rsidRPr="000C7C40">
              <w:rPr>
                <w:rFonts w:ascii="Times New Roman" w:hAnsi="Times New Roman" w:cs="Times New Roman"/>
                <w:color w:val="000000"/>
                <w:sz w:val="16"/>
                <w:szCs w:val="16"/>
              </w:rPr>
              <w:t>Acetyllysine</w:t>
            </w:r>
            <w:proofErr w:type="spellEnd"/>
          </w:p>
        </w:tc>
        <w:tc>
          <w:tcPr>
            <w:tcW w:w="768" w:type="dxa"/>
            <w:tcBorders>
              <w:top w:val="nil"/>
              <w:left w:val="nil"/>
              <w:bottom w:val="single" w:sz="4" w:space="0" w:color="auto"/>
              <w:right w:val="single" w:sz="4" w:space="0" w:color="auto"/>
            </w:tcBorders>
            <w:shd w:val="clear" w:color="auto" w:fill="auto"/>
            <w:noWrap/>
            <w:vAlign w:val="center"/>
            <w:hideMark/>
          </w:tcPr>
          <w:p w14:paraId="4AFA75A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C12989</w:t>
            </w:r>
          </w:p>
        </w:tc>
        <w:tc>
          <w:tcPr>
            <w:tcW w:w="1012" w:type="dxa"/>
            <w:tcBorders>
              <w:top w:val="nil"/>
              <w:left w:val="nil"/>
              <w:bottom w:val="single" w:sz="4" w:space="0" w:color="auto"/>
              <w:right w:val="single" w:sz="4" w:space="0" w:color="auto"/>
            </w:tcBorders>
            <w:shd w:val="clear" w:color="auto" w:fill="auto"/>
            <w:noWrap/>
            <w:vAlign w:val="center"/>
            <w:hideMark/>
          </w:tcPr>
          <w:p w14:paraId="057F817A"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0.045</w:t>
            </w:r>
          </w:p>
        </w:tc>
        <w:tc>
          <w:tcPr>
            <w:tcW w:w="1170" w:type="dxa"/>
            <w:tcBorders>
              <w:top w:val="nil"/>
              <w:left w:val="nil"/>
              <w:bottom w:val="single" w:sz="4" w:space="0" w:color="auto"/>
              <w:right w:val="single" w:sz="4" w:space="0" w:color="auto"/>
            </w:tcBorders>
            <w:shd w:val="clear" w:color="auto" w:fill="auto"/>
            <w:noWrap/>
            <w:vAlign w:val="center"/>
            <w:hideMark/>
          </w:tcPr>
          <w:p w14:paraId="0796CC96"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3F3350D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0.001</w:t>
            </w:r>
          </w:p>
        </w:tc>
        <w:tc>
          <w:tcPr>
            <w:tcW w:w="714" w:type="dxa"/>
            <w:tcBorders>
              <w:top w:val="nil"/>
              <w:left w:val="nil"/>
              <w:bottom w:val="single" w:sz="4" w:space="0" w:color="auto"/>
              <w:right w:val="single" w:sz="4" w:space="0" w:color="auto"/>
            </w:tcBorders>
            <w:shd w:val="clear" w:color="auto" w:fill="auto"/>
            <w:noWrap/>
            <w:vAlign w:val="center"/>
            <w:hideMark/>
          </w:tcPr>
          <w:p w14:paraId="2EB1F4D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0.003</w:t>
            </w:r>
          </w:p>
        </w:tc>
        <w:tc>
          <w:tcPr>
            <w:tcW w:w="750" w:type="dxa"/>
            <w:tcBorders>
              <w:top w:val="nil"/>
              <w:left w:val="nil"/>
              <w:bottom w:val="single" w:sz="4" w:space="0" w:color="auto"/>
              <w:right w:val="single" w:sz="4" w:space="0" w:color="auto"/>
            </w:tcBorders>
            <w:shd w:val="clear" w:color="auto" w:fill="auto"/>
            <w:noWrap/>
            <w:vAlign w:val="center"/>
            <w:hideMark/>
          </w:tcPr>
          <w:p w14:paraId="7C0BC688"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6ACC4019"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38C3E01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4D799B1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2A5345B1"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78E15590"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Cholate</w:t>
            </w:r>
          </w:p>
        </w:tc>
        <w:tc>
          <w:tcPr>
            <w:tcW w:w="768" w:type="dxa"/>
            <w:tcBorders>
              <w:top w:val="nil"/>
              <w:left w:val="nil"/>
              <w:bottom w:val="single" w:sz="4" w:space="0" w:color="auto"/>
              <w:right w:val="single" w:sz="4" w:space="0" w:color="auto"/>
            </w:tcBorders>
            <w:shd w:val="clear" w:color="auto" w:fill="auto"/>
            <w:noWrap/>
            <w:vAlign w:val="center"/>
            <w:hideMark/>
          </w:tcPr>
          <w:p w14:paraId="779C6EF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C00695</w:t>
            </w:r>
          </w:p>
        </w:tc>
        <w:tc>
          <w:tcPr>
            <w:tcW w:w="1012" w:type="dxa"/>
            <w:tcBorders>
              <w:top w:val="nil"/>
              <w:left w:val="nil"/>
              <w:bottom w:val="single" w:sz="4" w:space="0" w:color="auto"/>
              <w:right w:val="single" w:sz="4" w:space="0" w:color="auto"/>
            </w:tcBorders>
            <w:shd w:val="clear" w:color="auto" w:fill="auto"/>
            <w:noWrap/>
            <w:vAlign w:val="center"/>
            <w:hideMark/>
          </w:tcPr>
          <w:p w14:paraId="475B05E0"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0.045</w:t>
            </w:r>
          </w:p>
        </w:tc>
        <w:tc>
          <w:tcPr>
            <w:tcW w:w="1170" w:type="dxa"/>
            <w:tcBorders>
              <w:top w:val="nil"/>
              <w:left w:val="nil"/>
              <w:bottom w:val="single" w:sz="4" w:space="0" w:color="auto"/>
              <w:right w:val="single" w:sz="4" w:space="0" w:color="auto"/>
            </w:tcBorders>
            <w:shd w:val="clear" w:color="auto" w:fill="auto"/>
            <w:noWrap/>
            <w:vAlign w:val="center"/>
            <w:hideMark/>
          </w:tcPr>
          <w:p w14:paraId="09FD491B"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54EA4568"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14" w:type="dxa"/>
            <w:tcBorders>
              <w:top w:val="nil"/>
              <w:left w:val="nil"/>
              <w:bottom w:val="single" w:sz="4" w:space="0" w:color="auto"/>
              <w:right w:val="single" w:sz="4" w:space="0" w:color="auto"/>
            </w:tcBorders>
            <w:shd w:val="clear" w:color="auto" w:fill="auto"/>
            <w:noWrap/>
            <w:vAlign w:val="center"/>
            <w:hideMark/>
          </w:tcPr>
          <w:p w14:paraId="3A75944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50" w:type="dxa"/>
            <w:tcBorders>
              <w:top w:val="nil"/>
              <w:left w:val="nil"/>
              <w:bottom w:val="single" w:sz="4" w:space="0" w:color="auto"/>
              <w:right w:val="single" w:sz="4" w:space="0" w:color="auto"/>
            </w:tcBorders>
            <w:shd w:val="clear" w:color="auto" w:fill="auto"/>
            <w:noWrap/>
            <w:vAlign w:val="center"/>
            <w:hideMark/>
          </w:tcPr>
          <w:p w14:paraId="4BC5438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69BD4C1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0.037</w:t>
            </w:r>
          </w:p>
        </w:tc>
        <w:tc>
          <w:tcPr>
            <w:tcW w:w="748" w:type="dxa"/>
            <w:tcBorders>
              <w:top w:val="nil"/>
              <w:left w:val="nil"/>
              <w:bottom w:val="single" w:sz="4" w:space="0" w:color="auto"/>
              <w:right w:val="single" w:sz="4" w:space="0" w:color="auto"/>
            </w:tcBorders>
            <w:shd w:val="clear" w:color="auto" w:fill="auto"/>
            <w:noWrap/>
            <w:vAlign w:val="center"/>
            <w:hideMark/>
          </w:tcPr>
          <w:p w14:paraId="1E1C0BD5"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34FEB42F"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7C428A28"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57A5703D" w14:textId="77777777" w:rsidR="00911360" w:rsidRPr="000C7C40" w:rsidRDefault="00911360" w:rsidP="00E34316">
            <w:pPr>
              <w:jc w:val="center"/>
              <w:rPr>
                <w:rFonts w:ascii="Times New Roman" w:hAnsi="Times New Roman" w:cs="Times New Roman"/>
                <w:color w:val="000000"/>
                <w:sz w:val="16"/>
                <w:szCs w:val="16"/>
              </w:rPr>
            </w:pPr>
            <w:proofErr w:type="spellStart"/>
            <w:r w:rsidRPr="000C7C40">
              <w:rPr>
                <w:rFonts w:ascii="Times New Roman" w:hAnsi="Times New Roman" w:cs="Times New Roman"/>
                <w:color w:val="000000"/>
                <w:sz w:val="16"/>
                <w:szCs w:val="16"/>
              </w:rPr>
              <w:t>Glycodeoxycholate</w:t>
            </w:r>
            <w:proofErr w:type="spellEnd"/>
          </w:p>
        </w:tc>
        <w:tc>
          <w:tcPr>
            <w:tcW w:w="768" w:type="dxa"/>
            <w:tcBorders>
              <w:top w:val="nil"/>
              <w:left w:val="nil"/>
              <w:bottom w:val="single" w:sz="4" w:space="0" w:color="auto"/>
              <w:right w:val="single" w:sz="4" w:space="0" w:color="auto"/>
            </w:tcBorders>
            <w:shd w:val="clear" w:color="auto" w:fill="auto"/>
            <w:noWrap/>
            <w:vAlign w:val="center"/>
            <w:hideMark/>
          </w:tcPr>
          <w:p w14:paraId="00CFC54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C05464</w:t>
            </w:r>
          </w:p>
        </w:tc>
        <w:tc>
          <w:tcPr>
            <w:tcW w:w="1012" w:type="dxa"/>
            <w:tcBorders>
              <w:top w:val="nil"/>
              <w:left w:val="nil"/>
              <w:bottom w:val="single" w:sz="4" w:space="0" w:color="auto"/>
              <w:right w:val="single" w:sz="4" w:space="0" w:color="auto"/>
            </w:tcBorders>
            <w:shd w:val="clear" w:color="auto" w:fill="auto"/>
            <w:noWrap/>
            <w:vAlign w:val="center"/>
            <w:hideMark/>
          </w:tcPr>
          <w:p w14:paraId="3DD0FF74"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0.045</w:t>
            </w:r>
          </w:p>
        </w:tc>
        <w:tc>
          <w:tcPr>
            <w:tcW w:w="1170" w:type="dxa"/>
            <w:tcBorders>
              <w:top w:val="nil"/>
              <w:left w:val="nil"/>
              <w:bottom w:val="single" w:sz="4" w:space="0" w:color="auto"/>
              <w:right w:val="single" w:sz="4" w:space="0" w:color="auto"/>
            </w:tcBorders>
            <w:shd w:val="clear" w:color="auto" w:fill="auto"/>
            <w:noWrap/>
            <w:vAlign w:val="center"/>
            <w:hideMark/>
          </w:tcPr>
          <w:p w14:paraId="15E4CEE0"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05E11C2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0.046</w:t>
            </w:r>
          </w:p>
        </w:tc>
        <w:tc>
          <w:tcPr>
            <w:tcW w:w="714" w:type="dxa"/>
            <w:tcBorders>
              <w:top w:val="nil"/>
              <w:left w:val="nil"/>
              <w:bottom w:val="single" w:sz="4" w:space="0" w:color="auto"/>
              <w:right w:val="single" w:sz="4" w:space="0" w:color="auto"/>
            </w:tcBorders>
            <w:shd w:val="clear" w:color="auto" w:fill="auto"/>
            <w:noWrap/>
            <w:vAlign w:val="center"/>
            <w:hideMark/>
          </w:tcPr>
          <w:p w14:paraId="2800CCAC"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0.013</w:t>
            </w:r>
          </w:p>
        </w:tc>
        <w:tc>
          <w:tcPr>
            <w:tcW w:w="750" w:type="dxa"/>
            <w:tcBorders>
              <w:top w:val="nil"/>
              <w:left w:val="nil"/>
              <w:bottom w:val="single" w:sz="4" w:space="0" w:color="auto"/>
              <w:right w:val="single" w:sz="4" w:space="0" w:color="auto"/>
            </w:tcBorders>
            <w:shd w:val="clear" w:color="auto" w:fill="auto"/>
            <w:noWrap/>
            <w:vAlign w:val="center"/>
            <w:hideMark/>
          </w:tcPr>
          <w:p w14:paraId="41B89C2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624C654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27D73DF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07705A3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0B0E06A2"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1FBB22FC"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Histidine</w:t>
            </w:r>
          </w:p>
        </w:tc>
        <w:tc>
          <w:tcPr>
            <w:tcW w:w="768" w:type="dxa"/>
            <w:tcBorders>
              <w:top w:val="nil"/>
              <w:left w:val="nil"/>
              <w:bottom w:val="single" w:sz="4" w:space="0" w:color="auto"/>
              <w:right w:val="single" w:sz="4" w:space="0" w:color="auto"/>
            </w:tcBorders>
            <w:shd w:val="clear" w:color="auto" w:fill="auto"/>
            <w:noWrap/>
            <w:vAlign w:val="center"/>
            <w:hideMark/>
          </w:tcPr>
          <w:p w14:paraId="6939DA29"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C00135</w:t>
            </w:r>
          </w:p>
        </w:tc>
        <w:tc>
          <w:tcPr>
            <w:tcW w:w="1012" w:type="dxa"/>
            <w:tcBorders>
              <w:top w:val="nil"/>
              <w:left w:val="nil"/>
              <w:bottom w:val="single" w:sz="4" w:space="0" w:color="auto"/>
              <w:right w:val="single" w:sz="4" w:space="0" w:color="auto"/>
            </w:tcBorders>
            <w:shd w:val="clear" w:color="auto" w:fill="auto"/>
            <w:noWrap/>
            <w:vAlign w:val="center"/>
            <w:hideMark/>
          </w:tcPr>
          <w:p w14:paraId="6B735512"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0.045</w:t>
            </w:r>
          </w:p>
        </w:tc>
        <w:tc>
          <w:tcPr>
            <w:tcW w:w="1170" w:type="dxa"/>
            <w:tcBorders>
              <w:top w:val="nil"/>
              <w:left w:val="nil"/>
              <w:bottom w:val="single" w:sz="4" w:space="0" w:color="auto"/>
              <w:right w:val="single" w:sz="4" w:space="0" w:color="auto"/>
            </w:tcBorders>
            <w:shd w:val="clear" w:color="auto" w:fill="auto"/>
            <w:noWrap/>
            <w:vAlign w:val="center"/>
            <w:hideMark/>
          </w:tcPr>
          <w:p w14:paraId="42938F3F"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31EB3988"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0.002</w:t>
            </w:r>
          </w:p>
        </w:tc>
        <w:tc>
          <w:tcPr>
            <w:tcW w:w="714" w:type="dxa"/>
            <w:tcBorders>
              <w:top w:val="nil"/>
              <w:left w:val="nil"/>
              <w:bottom w:val="single" w:sz="4" w:space="0" w:color="auto"/>
              <w:right w:val="single" w:sz="4" w:space="0" w:color="auto"/>
            </w:tcBorders>
            <w:shd w:val="clear" w:color="auto" w:fill="auto"/>
            <w:noWrap/>
            <w:vAlign w:val="center"/>
            <w:hideMark/>
          </w:tcPr>
          <w:p w14:paraId="280AE17C"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0.129</w:t>
            </w:r>
          </w:p>
        </w:tc>
        <w:tc>
          <w:tcPr>
            <w:tcW w:w="750" w:type="dxa"/>
            <w:tcBorders>
              <w:top w:val="nil"/>
              <w:left w:val="nil"/>
              <w:bottom w:val="single" w:sz="4" w:space="0" w:color="auto"/>
              <w:right w:val="single" w:sz="4" w:space="0" w:color="auto"/>
            </w:tcBorders>
            <w:shd w:val="clear" w:color="auto" w:fill="auto"/>
            <w:noWrap/>
            <w:vAlign w:val="center"/>
            <w:hideMark/>
          </w:tcPr>
          <w:p w14:paraId="44792C09"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779B34E0"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18486CE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2D860F84"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66301F89"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342139D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Malate</w:t>
            </w:r>
          </w:p>
        </w:tc>
        <w:tc>
          <w:tcPr>
            <w:tcW w:w="768" w:type="dxa"/>
            <w:tcBorders>
              <w:top w:val="nil"/>
              <w:left w:val="nil"/>
              <w:bottom w:val="single" w:sz="4" w:space="0" w:color="auto"/>
              <w:right w:val="single" w:sz="4" w:space="0" w:color="auto"/>
            </w:tcBorders>
            <w:shd w:val="clear" w:color="auto" w:fill="auto"/>
            <w:noWrap/>
            <w:vAlign w:val="center"/>
            <w:hideMark/>
          </w:tcPr>
          <w:p w14:paraId="79B591EC"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C00149</w:t>
            </w:r>
          </w:p>
        </w:tc>
        <w:tc>
          <w:tcPr>
            <w:tcW w:w="1012" w:type="dxa"/>
            <w:tcBorders>
              <w:top w:val="nil"/>
              <w:left w:val="nil"/>
              <w:bottom w:val="single" w:sz="4" w:space="0" w:color="auto"/>
              <w:right w:val="single" w:sz="4" w:space="0" w:color="auto"/>
            </w:tcBorders>
            <w:shd w:val="clear" w:color="auto" w:fill="auto"/>
            <w:noWrap/>
            <w:vAlign w:val="center"/>
            <w:hideMark/>
          </w:tcPr>
          <w:p w14:paraId="45AC053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0.045</w:t>
            </w:r>
          </w:p>
        </w:tc>
        <w:tc>
          <w:tcPr>
            <w:tcW w:w="1170" w:type="dxa"/>
            <w:tcBorders>
              <w:top w:val="nil"/>
              <w:left w:val="nil"/>
              <w:bottom w:val="single" w:sz="4" w:space="0" w:color="auto"/>
              <w:right w:val="single" w:sz="4" w:space="0" w:color="auto"/>
            </w:tcBorders>
            <w:shd w:val="clear" w:color="auto" w:fill="auto"/>
            <w:noWrap/>
            <w:vAlign w:val="center"/>
            <w:hideMark/>
          </w:tcPr>
          <w:p w14:paraId="7351F4C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2A27C37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0.005</w:t>
            </w:r>
          </w:p>
        </w:tc>
        <w:tc>
          <w:tcPr>
            <w:tcW w:w="714" w:type="dxa"/>
            <w:tcBorders>
              <w:top w:val="nil"/>
              <w:left w:val="nil"/>
              <w:bottom w:val="single" w:sz="4" w:space="0" w:color="auto"/>
              <w:right w:val="single" w:sz="4" w:space="0" w:color="auto"/>
            </w:tcBorders>
            <w:shd w:val="clear" w:color="auto" w:fill="auto"/>
            <w:noWrap/>
            <w:vAlign w:val="center"/>
            <w:hideMark/>
          </w:tcPr>
          <w:p w14:paraId="52838CEB"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0.014</w:t>
            </w:r>
          </w:p>
        </w:tc>
        <w:tc>
          <w:tcPr>
            <w:tcW w:w="750" w:type="dxa"/>
            <w:tcBorders>
              <w:top w:val="nil"/>
              <w:left w:val="nil"/>
              <w:bottom w:val="single" w:sz="4" w:space="0" w:color="auto"/>
              <w:right w:val="single" w:sz="4" w:space="0" w:color="auto"/>
            </w:tcBorders>
            <w:shd w:val="clear" w:color="auto" w:fill="auto"/>
            <w:noWrap/>
            <w:vAlign w:val="center"/>
            <w:hideMark/>
          </w:tcPr>
          <w:p w14:paraId="1BC1EC8A"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799C237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7608F14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501C3BD4"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551E5BE1"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5F36BDB5"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Trehalose-6-Phosphate</w:t>
            </w:r>
          </w:p>
        </w:tc>
        <w:tc>
          <w:tcPr>
            <w:tcW w:w="768" w:type="dxa"/>
            <w:tcBorders>
              <w:top w:val="nil"/>
              <w:left w:val="nil"/>
              <w:bottom w:val="single" w:sz="4" w:space="0" w:color="auto"/>
              <w:right w:val="single" w:sz="4" w:space="0" w:color="auto"/>
            </w:tcBorders>
            <w:shd w:val="clear" w:color="auto" w:fill="auto"/>
            <w:noWrap/>
            <w:vAlign w:val="center"/>
            <w:hideMark/>
          </w:tcPr>
          <w:p w14:paraId="5218BB05"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C00689</w:t>
            </w:r>
          </w:p>
        </w:tc>
        <w:tc>
          <w:tcPr>
            <w:tcW w:w="1012" w:type="dxa"/>
            <w:tcBorders>
              <w:top w:val="nil"/>
              <w:left w:val="nil"/>
              <w:bottom w:val="single" w:sz="4" w:space="0" w:color="auto"/>
              <w:right w:val="single" w:sz="4" w:space="0" w:color="auto"/>
            </w:tcBorders>
            <w:shd w:val="clear" w:color="auto" w:fill="auto"/>
            <w:noWrap/>
            <w:vAlign w:val="center"/>
            <w:hideMark/>
          </w:tcPr>
          <w:p w14:paraId="19CB88BC"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0.045</w:t>
            </w:r>
          </w:p>
        </w:tc>
        <w:tc>
          <w:tcPr>
            <w:tcW w:w="1170" w:type="dxa"/>
            <w:tcBorders>
              <w:top w:val="nil"/>
              <w:left w:val="nil"/>
              <w:bottom w:val="single" w:sz="4" w:space="0" w:color="auto"/>
              <w:right w:val="single" w:sz="4" w:space="0" w:color="auto"/>
            </w:tcBorders>
            <w:shd w:val="clear" w:color="auto" w:fill="auto"/>
            <w:noWrap/>
            <w:vAlign w:val="center"/>
            <w:hideMark/>
          </w:tcPr>
          <w:p w14:paraId="3049469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06254AA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0.001</w:t>
            </w:r>
          </w:p>
        </w:tc>
        <w:tc>
          <w:tcPr>
            <w:tcW w:w="714" w:type="dxa"/>
            <w:tcBorders>
              <w:top w:val="nil"/>
              <w:left w:val="nil"/>
              <w:bottom w:val="single" w:sz="4" w:space="0" w:color="auto"/>
              <w:right w:val="single" w:sz="4" w:space="0" w:color="auto"/>
            </w:tcBorders>
            <w:shd w:val="clear" w:color="auto" w:fill="auto"/>
            <w:noWrap/>
            <w:vAlign w:val="center"/>
            <w:hideMark/>
          </w:tcPr>
          <w:p w14:paraId="5FAE7715"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50" w:type="dxa"/>
            <w:tcBorders>
              <w:top w:val="nil"/>
              <w:left w:val="nil"/>
              <w:bottom w:val="single" w:sz="4" w:space="0" w:color="auto"/>
              <w:right w:val="single" w:sz="4" w:space="0" w:color="auto"/>
            </w:tcBorders>
            <w:shd w:val="clear" w:color="auto" w:fill="auto"/>
            <w:noWrap/>
            <w:vAlign w:val="center"/>
            <w:hideMark/>
          </w:tcPr>
          <w:p w14:paraId="431B4F39"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09BB1B72"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6A18A0C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0.035</w:t>
            </w:r>
          </w:p>
        </w:tc>
        <w:tc>
          <w:tcPr>
            <w:tcW w:w="1025" w:type="dxa"/>
            <w:tcBorders>
              <w:top w:val="nil"/>
              <w:left w:val="nil"/>
              <w:bottom w:val="single" w:sz="4" w:space="0" w:color="auto"/>
              <w:right w:val="single" w:sz="4" w:space="0" w:color="auto"/>
            </w:tcBorders>
            <w:shd w:val="clear" w:color="auto" w:fill="auto"/>
            <w:noWrap/>
            <w:vAlign w:val="center"/>
            <w:hideMark/>
          </w:tcPr>
          <w:p w14:paraId="4DDDE81C"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00E30C1F"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08B79B30"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Alanine/Sarcosine</w:t>
            </w:r>
          </w:p>
        </w:tc>
        <w:tc>
          <w:tcPr>
            <w:tcW w:w="768" w:type="dxa"/>
            <w:tcBorders>
              <w:top w:val="nil"/>
              <w:left w:val="nil"/>
              <w:bottom w:val="single" w:sz="4" w:space="0" w:color="auto"/>
              <w:right w:val="single" w:sz="4" w:space="0" w:color="auto"/>
            </w:tcBorders>
            <w:shd w:val="clear" w:color="auto" w:fill="auto"/>
            <w:noWrap/>
            <w:vAlign w:val="center"/>
            <w:hideMark/>
          </w:tcPr>
          <w:p w14:paraId="06C928C1" w14:textId="77777777" w:rsidR="00911360" w:rsidRPr="000C7C40" w:rsidRDefault="00911360" w:rsidP="00E34316">
            <w:pPr>
              <w:jc w:val="center"/>
              <w:rPr>
                <w:rFonts w:ascii="Times New Roman" w:hAnsi="Times New Roman" w:cs="Times New Roman"/>
                <w:color w:val="000000"/>
                <w:sz w:val="16"/>
                <w:szCs w:val="16"/>
              </w:rPr>
            </w:pPr>
            <w:proofErr w:type="gramStart"/>
            <w:r w:rsidRPr="000C7C40">
              <w:rPr>
                <w:rFonts w:ascii="Times New Roman" w:hAnsi="Times New Roman" w:cs="Times New Roman"/>
                <w:color w:val="000000"/>
                <w:sz w:val="16"/>
                <w:szCs w:val="16"/>
              </w:rPr>
              <w:t>C00041;</w:t>
            </w:r>
            <w:proofErr w:type="gramEnd"/>
          </w:p>
          <w:p w14:paraId="6E2D1CF2"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C00213</w:t>
            </w:r>
          </w:p>
        </w:tc>
        <w:tc>
          <w:tcPr>
            <w:tcW w:w="1012" w:type="dxa"/>
            <w:tcBorders>
              <w:top w:val="nil"/>
              <w:left w:val="nil"/>
              <w:bottom w:val="single" w:sz="4" w:space="0" w:color="auto"/>
              <w:right w:val="single" w:sz="4" w:space="0" w:color="auto"/>
            </w:tcBorders>
            <w:shd w:val="clear" w:color="auto" w:fill="auto"/>
            <w:noWrap/>
            <w:vAlign w:val="center"/>
            <w:hideMark/>
          </w:tcPr>
          <w:p w14:paraId="53BC6FE4"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0.054</w:t>
            </w:r>
          </w:p>
        </w:tc>
        <w:tc>
          <w:tcPr>
            <w:tcW w:w="1170" w:type="dxa"/>
            <w:tcBorders>
              <w:top w:val="nil"/>
              <w:left w:val="nil"/>
              <w:bottom w:val="single" w:sz="4" w:space="0" w:color="auto"/>
              <w:right w:val="single" w:sz="4" w:space="0" w:color="auto"/>
            </w:tcBorders>
            <w:shd w:val="clear" w:color="auto" w:fill="auto"/>
            <w:noWrap/>
            <w:vAlign w:val="center"/>
            <w:hideMark/>
          </w:tcPr>
          <w:p w14:paraId="7F1D60F4"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251D7CC2"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0.001</w:t>
            </w:r>
          </w:p>
        </w:tc>
        <w:tc>
          <w:tcPr>
            <w:tcW w:w="714" w:type="dxa"/>
            <w:tcBorders>
              <w:top w:val="nil"/>
              <w:left w:val="nil"/>
              <w:bottom w:val="single" w:sz="4" w:space="0" w:color="auto"/>
              <w:right w:val="single" w:sz="4" w:space="0" w:color="auto"/>
            </w:tcBorders>
            <w:shd w:val="clear" w:color="auto" w:fill="auto"/>
            <w:noWrap/>
            <w:vAlign w:val="center"/>
            <w:hideMark/>
          </w:tcPr>
          <w:p w14:paraId="7747EBB9"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0.002</w:t>
            </w:r>
          </w:p>
        </w:tc>
        <w:tc>
          <w:tcPr>
            <w:tcW w:w="750" w:type="dxa"/>
            <w:tcBorders>
              <w:top w:val="nil"/>
              <w:left w:val="nil"/>
              <w:bottom w:val="single" w:sz="4" w:space="0" w:color="auto"/>
              <w:right w:val="single" w:sz="4" w:space="0" w:color="auto"/>
            </w:tcBorders>
            <w:shd w:val="clear" w:color="auto" w:fill="auto"/>
            <w:noWrap/>
            <w:vAlign w:val="center"/>
            <w:hideMark/>
          </w:tcPr>
          <w:p w14:paraId="1D2B22D4"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1AE3D3F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31487ADC"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449E1D9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6F884B25"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2154ACF2"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Α-Ketoglutarate</w:t>
            </w:r>
          </w:p>
        </w:tc>
        <w:tc>
          <w:tcPr>
            <w:tcW w:w="768" w:type="dxa"/>
            <w:tcBorders>
              <w:top w:val="nil"/>
              <w:left w:val="nil"/>
              <w:bottom w:val="single" w:sz="4" w:space="0" w:color="auto"/>
              <w:right w:val="single" w:sz="4" w:space="0" w:color="auto"/>
            </w:tcBorders>
            <w:shd w:val="clear" w:color="auto" w:fill="auto"/>
            <w:noWrap/>
            <w:vAlign w:val="center"/>
            <w:hideMark/>
          </w:tcPr>
          <w:p w14:paraId="487B95C8"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C00026</w:t>
            </w:r>
          </w:p>
        </w:tc>
        <w:tc>
          <w:tcPr>
            <w:tcW w:w="1012" w:type="dxa"/>
            <w:tcBorders>
              <w:top w:val="nil"/>
              <w:left w:val="nil"/>
              <w:bottom w:val="single" w:sz="4" w:space="0" w:color="auto"/>
              <w:right w:val="single" w:sz="4" w:space="0" w:color="auto"/>
            </w:tcBorders>
            <w:shd w:val="clear" w:color="auto" w:fill="auto"/>
            <w:noWrap/>
            <w:vAlign w:val="center"/>
            <w:hideMark/>
          </w:tcPr>
          <w:p w14:paraId="482E0524"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0.054</w:t>
            </w:r>
          </w:p>
        </w:tc>
        <w:tc>
          <w:tcPr>
            <w:tcW w:w="1170" w:type="dxa"/>
            <w:tcBorders>
              <w:top w:val="nil"/>
              <w:left w:val="nil"/>
              <w:bottom w:val="single" w:sz="4" w:space="0" w:color="auto"/>
              <w:right w:val="single" w:sz="4" w:space="0" w:color="auto"/>
            </w:tcBorders>
            <w:shd w:val="clear" w:color="auto" w:fill="auto"/>
            <w:noWrap/>
            <w:vAlign w:val="center"/>
            <w:hideMark/>
          </w:tcPr>
          <w:p w14:paraId="28881264"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073657C7"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0.003</w:t>
            </w:r>
          </w:p>
        </w:tc>
        <w:tc>
          <w:tcPr>
            <w:tcW w:w="714" w:type="dxa"/>
            <w:tcBorders>
              <w:top w:val="nil"/>
              <w:left w:val="nil"/>
              <w:bottom w:val="single" w:sz="4" w:space="0" w:color="auto"/>
              <w:right w:val="single" w:sz="4" w:space="0" w:color="auto"/>
            </w:tcBorders>
            <w:shd w:val="clear" w:color="auto" w:fill="auto"/>
            <w:noWrap/>
            <w:vAlign w:val="center"/>
            <w:hideMark/>
          </w:tcPr>
          <w:p w14:paraId="4AD231C7"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0.012</w:t>
            </w:r>
          </w:p>
        </w:tc>
        <w:tc>
          <w:tcPr>
            <w:tcW w:w="750" w:type="dxa"/>
            <w:tcBorders>
              <w:top w:val="nil"/>
              <w:left w:val="nil"/>
              <w:bottom w:val="single" w:sz="4" w:space="0" w:color="auto"/>
              <w:right w:val="single" w:sz="4" w:space="0" w:color="auto"/>
            </w:tcBorders>
            <w:shd w:val="clear" w:color="auto" w:fill="auto"/>
            <w:noWrap/>
            <w:vAlign w:val="center"/>
            <w:hideMark/>
          </w:tcPr>
          <w:p w14:paraId="7CCC79E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4B6C9DBB"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20EBE57A"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14CF4B4B"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6020A635"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5AB7AE8B" w14:textId="77777777" w:rsidR="00911360" w:rsidRPr="000C7C40" w:rsidRDefault="00911360" w:rsidP="00E34316">
            <w:pPr>
              <w:jc w:val="center"/>
              <w:rPr>
                <w:rFonts w:ascii="Times New Roman" w:hAnsi="Times New Roman" w:cs="Times New Roman"/>
                <w:color w:val="000000"/>
                <w:sz w:val="16"/>
                <w:szCs w:val="16"/>
              </w:rPr>
            </w:pPr>
            <w:proofErr w:type="spellStart"/>
            <w:r w:rsidRPr="000C7C40">
              <w:rPr>
                <w:rFonts w:ascii="Times New Roman" w:hAnsi="Times New Roman" w:cs="Times New Roman"/>
                <w:color w:val="000000"/>
                <w:sz w:val="16"/>
                <w:szCs w:val="16"/>
              </w:rPr>
              <w:t>Tricarballylic</w:t>
            </w:r>
            <w:proofErr w:type="spellEnd"/>
            <w:r w:rsidRPr="000C7C40">
              <w:rPr>
                <w:rFonts w:ascii="Times New Roman" w:hAnsi="Times New Roman" w:cs="Times New Roman"/>
                <w:color w:val="000000"/>
                <w:sz w:val="16"/>
                <w:szCs w:val="16"/>
              </w:rPr>
              <w:t xml:space="preserve"> Acid</w:t>
            </w:r>
          </w:p>
        </w:tc>
        <w:tc>
          <w:tcPr>
            <w:tcW w:w="768" w:type="dxa"/>
            <w:tcBorders>
              <w:top w:val="nil"/>
              <w:left w:val="nil"/>
              <w:bottom w:val="single" w:sz="4" w:space="0" w:color="auto"/>
              <w:right w:val="single" w:sz="4" w:space="0" w:color="auto"/>
            </w:tcBorders>
            <w:shd w:val="clear" w:color="auto" w:fill="auto"/>
            <w:noWrap/>
            <w:vAlign w:val="center"/>
            <w:hideMark/>
          </w:tcPr>
          <w:p w14:paraId="53AFFE1C"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C19806</w:t>
            </w:r>
          </w:p>
        </w:tc>
        <w:tc>
          <w:tcPr>
            <w:tcW w:w="1012" w:type="dxa"/>
            <w:tcBorders>
              <w:top w:val="nil"/>
              <w:left w:val="nil"/>
              <w:bottom w:val="single" w:sz="4" w:space="0" w:color="auto"/>
              <w:right w:val="single" w:sz="4" w:space="0" w:color="auto"/>
            </w:tcBorders>
            <w:shd w:val="clear" w:color="auto" w:fill="auto"/>
            <w:noWrap/>
            <w:vAlign w:val="center"/>
            <w:hideMark/>
          </w:tcPr>
          <w:p w14:paraId="21B45C6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0.054</w:t>
            </w:r>
          </w:p>
        </w:tc>
        <w:tc>
          <w:tcPr>
            <w:tcW w:w="1170" w:type="dxa"/>
            <w:tcBorders>
              <w:top w:val="nil"/>
              <w:left w:val="nil"/>
              <w:bottom w:val="single" w:sz="4" w:space="0" w:color="auto"/>
              <w:right w:val="single" w:sz="4" w:space="0" w:color="auto"/>
            </w:tcBorders>
            <w:shd w:val="clear" w:color="auto" w:fill="auto"/>
            <w:noWrap/>
            <w:vAlign w:val="center"/>
            <w:hideMark/>
          </w:tcPr>
          <w:p w14:paraId="1F4A9CCA"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0C6DA709"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0.015</w:t>
            </w:r>
          </w:p>
        </w:tc>
        <w:tc>
          <w:tcPr>
            <w:tcW w:w="714" w:type="dxa"/>
            <w:tcBorders>
              <w:top w:val="nil"/>
              <w:left w:val="nil"/>
              <w:bottom w:val="single" w:sz="4" w:space="0" w:color="auto"/>
              <w:right w:val="single" w:sz="4" w:space="0" w:color="auto"/>
            </w:tcBorders>
            <w:shd w:val="clear" w:color="auto" w:fill="auto"/>
            <w:noWrap/>
            <w:vAlign w:val="center"/>
            <w:hideMark/>
          </w:tcPr>
          <w:p w14:paraId="65ADB9D7"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0.013</w:t>
            </w:r>
          </w:p>
        </w:tc>
        <w:tc>
          <w:tcPr>
            <w:tcW w:w="750" w:type="dxa"/>
            <w:tcBorders>
              <w:top w:val="nil"/>
              <w:left w:val="nil"/>
              <w:bottom w:val="single" w:sz="4" w:space="0" w:color="auto"/>
              <w:right w:val="single" w:sz="4" w:space="0" w:color="auto"/>
            </w:tcBorders>
            <w:shd w:val="clear" w:color="auto" w:fill="auto"/>
            <w:noWrap/>
            <w:vAlign w:val="center"/>
            <w:hideMark/>
          </w:tcPr>
          <w:p w14:paraId="54BF6870"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4E1669C7"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4CE4D002"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010CB8F8"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42C99E26"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5F952E39"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Pyruvate</w:t>
            </w:r>
          </w:p>
        </w:tc>
        <w:tc>
          <w:tcPr>
            <w:tcW w:w="768" w:type="dxa"/>
            <w:tcBorders>
              <w:top w:val="nil"/>
              <w:left w:val="nil"/>
              <w:bottom w:val="single" w:sz="4" w:space="0" w:color="auto"/>
              <w:right w:val="single" w:sz="4" w:space="0" w:color="auto"/>
            </w:tcBorders>
            <w:shd w:val="clear" w:color="auto" w:fill="auto"/>
            <w:noWrap/>
            <w:vAlign w:val="center"/>
            <w:hideMark/>
          </w:tcPr>
          <w:p w14:paraId="791B2662"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C00022</w:t>
            </w:r>
          </w:p>
        </w:tc>
        <w:tc>
          <w:tcPr>
            <w:tcW w:w="1012" w:type="dxa"/>
            <w:tcBorders>
              <w:top w:val="nil"/>
              <w:left w:val="nil"/>
              <w:bottom w:val="single" w:sz="4" w:space="0" w:color="auto"/>
              <w:right w:val="single" w:sz="4" w:space="0" w:color="auto"/>
            </w:tcBorders>
            <w:shd w:val="clear" w:color="auto" w:fill="auto"/>
            <w:noWrap/>
            <w:vAlign w:val="center"/>
            <w:hideMark/>
          </w:tcPr>
          <w:p w14:paraId="219C6A1A"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0.060</w:t>
            </w:r>
          </w:p>
        </w:tc>
        <w:tc>
          <w:tcPr>
            <w:tcW w:w="1170" w:type="dxa"/>
            <w:tcBorders>
              <w:top w:val="nil"/>
              <w:left w:val="nil"/>
              <w:bottom w:val="single" w:sz="4" w:space="0" w:color="auto"/>
              <w:right w:val="single" w:sz="4" w:space="0" w:color="auto"/>
            </w:tcBorders>
            <w:shd w:val="clear" w:color="auto" w:fill="auto"/>
            <w:noWrap/>
            <w:vAlign w:val="center"/>
            <w:hideMark/>
          </w:tcPr>
          <w:p w14:paraId="089F1B86"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5AEFA05F"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0.006</w:t>
            </w:r>
          </w:p>
        </w:tc>
        <w:tc>
          <w:tcPr>
            <w:tcW w:w="714" w:type="dxa"/>
            <w:tcBorders>
              <w:top w:val="nil"/>
              <w:left w:val="nil"/>
              <w:bottom w:val="single" w:sz="4" w:space="0" w:color="auto"/>
              <w:right w:val="single" w:sz="4" w:space="0" w:color="auto"/>
            </w:tcBorders>
            <w:shd w:val="clear" w:color="auto" w:fill="auto"/>
            <w:noWrap/>
            <w:vAlign w:val="center"/>
            <w:hideMark/>
          </w:tcPr>
          <w:p w14:paraId="35E83B4C"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0.007</w:t>
            </w:r>
          </w:p>
        </w:tc>
        <w:tc>
          <w:tcPr>
            <w:tcW w:w="750" w:type="dxa"/>
            <w:tcBorders>
              <w:top w:val="nil"/>
              <w:left w:val="nil"/>
              <w:bottom w:val="single" w:sz="4" w:space="0" w:color="auto"/>
              <w:right w:val="single" w:sz="4" w:space="0" w:color="auto"/>
            </w:tcBorders>
            <w:shd w:val="clear" w:color="auto" w:fill="auto"/>
            <w:noWrap/>
            <w:vAlign w:val="center"/>
            <w:hideMark/>
          </w:tcPr>
          <w:p w14:paraId="2937A3D5"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5694F852"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2C0748B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2E7E6A88"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287A57CB"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4BC5013A"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Asparagine</w:t>
            </w:r>
          </w:p>
        </w:tc>
        <w:tc>
          <w:tcPr>
            <w:tcW w:w="768" w:type="dxa"/>
            <w:tcBorders>
              <w:top w:val="nil"/>
              <w:left w:val="nil"/>
              <w:bottom w:val="single" w:sz="4" w:space="0" w:color="auto"/>
              <w:right w:val="single" w:sz="4" w:space="0" w:color="auto"/>
            </w:tcBorders>
            <w:shd w:val="clear" w:color="auto" w:fill="auto"/>
            <w:noWrap/>
            <w:vAlign w:val="center"/>
            <w:hideMark/>
          </w:tcPr>
          <w:p w14:paraId="5FCCFDB6"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C00152</w:t>
            </w:r>
          </w:p>
        </w:tc>
        <w:tc>
          <w:tcPr>
            <w:tcW w:w="1012" w:type="dxa"/>
            <w:tcBorders>
              <w:top w:val="nil"/>
              <w:left w:val="nil"/>
              <w:bottom w:val="single" w:sz="4" w:space="0" w:color="auto"/>
              <w:right w:val="single" w:sz="4" w:space="0" w:color="auto"/>
            </w:tcBorders>
            <w:shd w:val="clear" w:color="auto" w:fill="auto"/>
            <w:noWrap/>
            <w:vAlign w:val="center"/>
            <w:hideMark/>
          </w:tcPr>
          <w:p w14:paraId="562E21A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0.060</w:t>
            </w:r>
          </w:p>
        </w:tc>
        <w:tc>
          <w:tcPr>
            <w:tcW w:w="1170" w:type="dxa"/>
            <w:tcBorders>
              <w:top w:val="nil"/>
              <w:left w:val="nil"/>
              <w:bottom w:val="single" w:sz="4" w:space="0" w:color="auto"/>
              <w:right w:val="single" w:sz="4" w:space="0" w:color="auto"/>
            </w:tcBorders>
            <w:shd w:val="clear" w:color="auto" w:fill="auto"/>
            <w:noWrap/>
            <w:vAlign w:val="center"/>
            <w:hideMark/>
          </w:tcPr>
          <w:p w14:paraId="42CF0600"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1B25F629"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0.001</w:t>
            </w:r>
          </w:p>
        </w:tc>
        <w:tc>
          <w:tcPr>
            <w:tcW w:w="714" w:type="dxa"/>
            <w:tcBorders>
              <w:top w:val="nil"/>
              <w:left w:val="nil"/>
              <w:bottom w:val="single" w:sz="4" w:space="0" w:color="auto"/>
              <w:right w:val="single" w:sz="4" w:space="0" w:color="auto"/>
            </w:tcBorders>
            <w:shd w:val="clear" w:color="auto" w:fill="auto"/>
            <w:noWrap/>
            <w:vAlign w:val="center"/>
            <w:hideMark/>
          </w:tcPr>
          <w:p w14:paraId="1A61334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0.004</w:t>
            </w:r>
          </w:p>
        </w:tc>
        <w:tc>
          <w:tcPr>
            <w:tcW w:w="750" w:type="dxa"/>
            <w:tcBorders>
              <w:top w:val="nil"/>
              <w:left w:val="nil"/>
              <w:bottom w:val="single" w:sz="4" w:space="0" w:color="auto"/>
              <w:right w:val="single" w:sz="4" w:space="0" w:color="auto"/>
            </w:tcBorders>
            <w:shd w:val="clear" w:color="auto" w:fill="auto"/>
            <w:noWrap/>
            <w:vAlign w:val="center"/>
            <w:hideMark/>
          </w:tcPr>
          <w:p w14:paraId="1DF9D17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13E66AF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09A1AB25"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1A2F6D2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55860295"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7886C130"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Cytidine</w:t>
            </w:r>
          </w:p>
        </w:tc>
        <w:tc>
          <w:tcPr>
            <w:tcW w:w="768" w:type="dxa"/>
            <w:tcBorders>
              <w:top w:val="nil"/>
              <w:left w:val="nil"/>
              <w:bottom w:val="single" w:sz="4" w:space="0" w:color="auto"/>
              <w:right w:val="single" w:sz="4" w:space="0" w:color="auto"/>
            </w:tcBorders>
            <w:shd w:val="clear" w:color="auto" w:fill="auto"/>
            <w:noWrap/>
            <w:vAlign w:val="center"/>
            <w:hideMark/>
          </w:tcPr>
          <w:p w14:paraId="64AE425A"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C00475</w:t>
            </w:r>
          </w:p>
        </w:tc>
        <w:tc>
          <w:tcPr>
            <w:tcW w:w="1012" w:type="dxa"/>
            <w:tcBorders>
              <w:top w:val="nil"/>
              <w:left w:val="nil"/>
              <w:bottom w:val="single" w:sz="4" w:space="0" w:color="auto"/>
              <w:right w:val="single" w:sz="4" w:space="0" w:color="auto"/>
            </w:tcBorders>
            <w:shd w:val="clear" w:color="auto" w:fill="auto"/>
            <w:noWrap/>
            <w:vAlign w:val="center"/>
            <w:hideMark/>
          </w:tcPr>
          <w:p w14:paraId="0C34508A"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0.060</w:t>
            </w:r>
          </w:p>
        </w:tc>
        <w:tc>
          <w:tcPr>
            <w:tcW w:w="1170" w:type="dxa"/>
            <w:tcBorders>
              <w:top w:val="nil"/>
              <w:left w:val="nil"/>
              <w:bottom w:val="single" w:sz="4" w:space="0" w:color="auto"/>
              <w:right w:val="single" w:sz="4" w:space="0" w:color="auto"/>
            </w:tcBorders>
            <w:shd w:val="clear" w:color="auto" w:fill="auto"/>
            <w:noWrap/>
            <w:vAlign w:val="center"/>
            <w:hideMark/>
          </w:tcPr>
          <w:p w14:paraId="4E02697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4D93ED7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0.003</w:t>
            </w:r>
          </w:p>
        </w:tc>
        <w:tc>
          <w:tcPr>
            <w:tcW w:w="714" w:type="dxa"/>
            <w:tcBorders>
              <w:top w:val="nil"/>
              <w:left w:val="nil"/>
              <w:bottom w:val="single" w:sz="4" w:space="0" w:color="auto"/>
              <w:right w:val="single" w:sz="4" w:space="0" w:color="auto"/>
            </w:tcBorders>
            <w:shd w:val="clear" w:color="auto" w:fill="auto"/>
            <w:noWrap/>
            <w:vAlign w:val="center"/>
            <w:hideMark/>
          </w:tcPr>
          <w:p w14:paraId="3F08D647"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0.004</w:t>
            </w:r>
          </w:p>
        </w:tc>
        <w:tc>
          <w:tcPr>
            <w:tcW w:w="750" w:type="dxa"/>
            <w:tcBorders>
              <w:top w:val="nil"/>
              <w:left w:val="nil"/>
              <w:bottom w:val="single" w:sz="4" w:space="0" w:color="auto"/>
              <w:right w:val="single" w:sz="4" w:space="0" w:color="auto"/>
            </w:tcBorders>
            <w:shd w:val="clear" w:color="auto" w:fill="auto"/>
            <w:noWrap/>
            <w:vAlign w:val="center"/>
            <w:hideMark/>
          </w:tcPr>
          <w:p w14:paraId="51112D8B"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1B0D1FD7"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618B359F"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34950FA5"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7F9B1CA4"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111DFF9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Proline</w:t>
            </w:r>
          </w:p>
        </w:tc>
        <w:tc>
          <w:tcPr>
            <w:tcW w:w="768" w:type="dxa"/>
            <w:tcBorders>
              <w:top w:val="nil"/>
              <w:left w:val="nil"/>
              <w:bottom w:val="single" w:sz="4" w:space="0" w:color="auto"/>
              <w:right w:val="single" w:sz="4" w:space="0" w:color="auto"/>
            </w:tcBorders>
            <w:shd w:val="clear" w:color="auto" w:fill="auto"/>
            <w:noWrap/>
            <w:vAlign w:val="center"/>
            <w:hideMark/>
          </w:tcPr>
          <w:p w14:paraId="46E25E07"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C00148</w:t>
            </w:r>
          </w:p>
        </w:tc>
        <w:tc>
          <w:tcPr>
            <w:tcW w:w="1012" w:type="dxa"/>
            <w:tcBorders>
              <w:top w:val="nil"/>
              <w:left w:val="nil"/>
              <w:bottom w:val="single" w:sz="4" w:space="0" w:color="auto"/>
              <w:right w:val="single" w:sz="4" w:space="0" w:color="auto"/>
            </w:tcBorders>
            <w:shd w:val="clear" w:color="auto" w:fill="auto"/>
            <w:noWrap/>
            <w:vAlign w:val="center"/>
            <w:hideMark/>
          </w:tcPr>
          <w:p w14:paraId="753E1226"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0.069</w:t>
            </w:r>
          </w:p>
        </w:tc>
        <w:tc>
          <w:tcPr>
            <w:tcW w:w="1170" w:type="dxa"/>
            <w:tcBorders>
              <w:top w:val="nil"/>
              <w:left w:val="nil"/>
              <w:bottom w:val="single" w:sz="4" w:space="0" w:color="auto"/>
              <w:right w:val="single" w:sz="4" w:space="0" w:color="auto"/>
            </w:tcBorders>
            <w:shd w:val="clear" w:color="auto" w:fill="auto"/>
            <w:noWrap/>
            <w:vAlign w:val="center"/>
            <w:hideMark/>
          </w:tcPr>
          <w:p w14:paraId="694B3350"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04FC797B"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0.002</w:t>
            </w:r>
          </w:p>
        </w:tc>
        <w:tc>
          <w:tcPr>
            <w:tcW w:w="714" w:type="dxa"/>
            <w:tcBorders>
              <w:top w:val="nil"/>
              <w:left w:val="nil"/>
              <w:bottom w:val="single" w:sz="4" w:space="0" w:color="auto"/>
              <w:right w:val="single" w:sz="4" w:space="0" w:color="auto"/>
            </w:tcBorders>
            <w:shd w:val="clear" w:color="auto" w:fill="auto"/>
            <w:noWrap/>
            <w:vAlign w:val="center"/>
            <w:hideMark/>
          </w:tcPr>
          <w:p w14:paraId="64CD08FF"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0.003</w:t>
            </w:r>
          </w:p>
        </w:tc>
        <w:tc>
          <w:tcPr>
            <w:tcW w:w="750" w:type="dxa"/>
            <w:tcBorders>
              <w:top w:val="nil"/>
              <w:left w:val="nil"/>
              <w:bottom w:val="single" w:sz="4" w:space="0" w:color="auto"/>
              <w:right w:val="single" w:sz="4" w:space="0" w:color="auto"/>
            </w:tcBorders>
            <w:shd w:val="clear" w:color="auto" w:fill="auto"/>
            <w:noWrap/>
            <w:vAlign w:val="center"/>
            <w:hideMark/>
          </w:tcPr>
          <w:p w14:paraId="28DF0A0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0F8FD3BC"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1BBA8115"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5CF6B56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3B1E0B54"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7CA6BE0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Homoserine/Threonine</w:t>
            </w:r>
          </w:p>
        </w:tc>
        <w:tc>
          <w:tcPr>
            <w:tcW w:w="768" w:type="dxa"/>
            <w:tcBorders>
              <w:top w:val="nil"/>
              <w:left w:val="nil"/>
              <w:bottom w:val="single" w:sz="4" w:space="0" w:color="auto"/>
              <w:right w:val="single" w:sz="4" w:space="0" w:color="auto"/>
            </w:tcBorders>
            <w:shd w:val="clear" w:color="auto" w:fill="auto"/>
            <w:noWrap/>
            <w:vAlign w:val="center"/>
            <w:hideMark/>
          </w:tcPr>
          <w:p w14:paraId="23D6104E" w14:textId="77777777" w:rsidR="00911360" w:rsidRPr="000C7C40" w:rsidRDefault="00911360" w:rsidP="00E34316">
            <w:pPr>
              <w:jc w:val="center"/>
              <w:rPr>
                <w:rFonts w:ascii="Times New Roman" w:hAnsi="Times New Roman" w:cs="Times New Roman"/>
                <w:color w:val="000000"/>
                <w:sz w:val="16"/>
                <w:szCs w:val="16"/>
              </w:rPr>
            </w:pPr>
            <w:proofErr w:type="gramStart"/>
            <w:r w:rsidRPr="000C7C40">
              <w:rPr>
                <w:rFonts w:ascii="Times New Roman" w:hAnsi="Times New Roman" w:cs="Times New Roman"/>
                <w:color w:val="000000"/>
                <w:sz w:val="16"/>
                <w:szCs w:val="16"/>
              </w:rPr>
              <w:t>C00263;</w:t>
            </w:r>
            <w:proofErr w:type="gramEnd"/>
          </w:p>
          <w:p w14:paraId="663C457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C00188</w:t>
            </w:r>
          </w:p>
        </w:tc>
        <w:tc>
          <w:tcPr>
            <w:tcW w:w="1012" w:type="dxa"/>
            <w:tcBorders>
              <w:top w:val="nil"/>
              <w:left w:val="nil"/>
              <w:bottom w:val="single" w:sz="4" w:space="0" w:color="auto"/>
              <w:right w:val="single" w:sz="4" w:space="0" w:color="auto"/>
            </w:tcBorders>
            <w:shd w:val="clear" w:color="auto" w:fill="auto"/>
            <w:noWrap/>
            <w:vAlign w:val="center"/>
            <w:hideMark/>
          </w:tcPr>
          <w:p w14:paraId="3142E5B7"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0.075</w:t>
            </w:r>
          </w:p>
        </w:tc>
        <w:tc>
          <w:tcPr>
            <w:tcW w:w="1170" w:type="dxa"/>
            <w:tcBorders>
              <w:top w:val="nil"/>
              <w:left w:val="nil"/>
              <w:bottom w:val="single" w:sz="4" w:space="0" w:color="auto"/>
              <w:right w:val="single" w:sz="4" w:space="0" w:color="auto"/>
            </w:tcBorders>
            <w:shd w:val="clear" w:color="auto" w:fill="auto"/>
            <w:noWrap/>
            <w:vAlign w:val="center"/>
            <w:hideMark/>
          </w:tcPr>
          <w:p w14:paraId="6E73696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5C9EAE84"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0.002</w:t>
            </w:r>
          </w:p>
        </w:tc>
        <w:tc>
          <w:tcPr>
            <w:tcW w:w="714" w:type="dxa"/>
            <w:tcBorders>
              <w:top w:val="nil"/>
              <w:left w:val="nil"/>
              <w:bottom w:val="single" w:sz="4" w:space="0" w:color="auto"/>
              <w:right w:val="single" w:sz="4" w:space="0" w:color="auto"/>
            </w:tcBorders>
            <w:shd w:val="clear" w:color="auto" w:fill="auto"/>
            <w:noWrap/>
            <w:vAlign w:val="center"/>
            <w:hideMark/>
          </w:tcPr>
          <w:p w14:paraId="4E99D698"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0.003</w:t>
            </w:r>
          </w:p>
        </w:tc>
        <w:tc>
          <w:tcPr>
            <w:tcW w:w="750" w:type="dxa"/>
            <w:tcBorders>
              <w:top w:val="nil"/>
              <w:left w:val="nil"/>
              <w:bottom w:val="single" w:sz="4" w:space="0" w:color="auto"/>
              <w:right w:val="single" w:sz="4" w:space="0" w:color="auto"/>
            </w:tcBorders>
            <w:shd w:val="clear" w:color="auto" w:fill="auto"/>
            <w:noWrap/>
            <w:vAlign w:val="center"/>
            <w:hideMark/>
          </w:tcPr>
          <w:p w14:paraId="7ECA5A7C"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33FE3C0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3B510765"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2E959265"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67A6371F"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0AA558C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Lysine</w:t>
            </w:r>
          </w:p>
        </w:tc>
        <w:tc>
          <w:tcPr>
            <w:tcW w:w="768" w:type="dxa"/>
            <w:tcBorders>
              <w:top w:val="nil"/>
              <w:left w:val="nil"/>
              <w:bottom w:val="single" w:sz="4" w:space="0" w:color="auto"/>
              <w:right w:val="single" w:sz="4" w:space="0" w:color="auto"/>
            </w:tcBorders>
            <w:shd w:val="clear" w:color="auto" w:fill="auto"/>
            <w:noWrap/>
            <w:vAlign w:val="center"/>
            <w:hideMark/>
          </w:tcPr>
          <w:p w14:paraId="044C8EA9"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C00047</w:t>
            </w:r>
          </w:p>
        </w:tc>
        <w:tc>
          <w:tcPr>
            <w:tcW w:w="1012" w:type="dxa"/>
            <w:tcBorders>
              <w:top w:val="nil"/>
              <w:left w:val="nil"/>
              <w:bottom w:val="single" w:sz="4" w:space="0" w:color="auto"/>
              <w:right w:val="single" w:sz="4" w:space="0" w:color="auto"/>
            </w:tcBorders>
            <w:shd w:val="clear" w:color="auto" w:fill="auto"/>
            <w:noWrap/>
            <w:vAlign w:val="center"/>
            <w:hideMark/>
          </w:tcPr>
          <w:p w14:paraId="0809A93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0.094</w:t>
            </w:r>
          </w:p>
        </w:tc>
        <w:tc>
          <w:tcPr>
            <w:tcW w:w="1170" w:type="dxa"/>
            <w:tcBorders>
              <w:top w:val="nil"/>
              <w:left w:val="nil"/>
              <w:bottom w:val="single" w:sz="4" w:space="0" w:color="auto"/>
              <w:right w:val="single" w:sz="4" w:space="0" w:color="auto"/>
            </w:tcBorders>
            <w:shd w:val="clear" w:color="auto" w:fill="auto"/>
            <w:noWrap/>
            <w:vAlign w:val="center"/>
            <w:hideMark/>
          </w:tcPr>
          <w:p w14:paraId="75AE3358"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36F49AE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0.001</w:t>
            </w:r>
          </w:p>
        </w:tc>
        <w:tc>
          <w:tcPr>
            <w:tcW w:w="714" w:type="dxa"/>
            <w:tcBorders>
              <w:top w:val="nil"/>
              <w:left w:val="nil"/>
              <w:bottom w:val="single" w:sz="4" w:space="0" w:color="auto"/>
              <w:right w:val="single" w:sz="4" w:space="0" w:color="auto"/>
            </w:tcBorders>
            <w:shd w:val="clear" w:color="auto" w:fill="auto"/>
            <w:noWrap/>
            <w:vAlign w:val="center"/>
            <w:hideMark/>
          </w:tcPr>
          <w:p w14:paraId="60E8358F"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0.008</w:t>
            </w:r>
          </w:p>
        </w:tc>
        <w:tc>
          <w:tcPr>
            <w:tcW w:w="750" w:type="dxa"/>
            <w:tcBorders>
              <w:top w:val="nil"/>
              <w:left w:val="nil"/>
              <w:bottom w:val="single" w:sz="4" w:space="0" w:color="auto"/>
              <w:right w:val="single" w:sz="4" w:space="0" w:color="auto"/>
            </w:tcBorders>
            <w:shd w:val="clear" w:color="auto" w:fill="auto"/>
            <w:noWrap/>
            <w:vAlign w:val="center"/>
            <w:hideMark/>
          </w:tcPr>
          <w:p w14:paraId="475BA962"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227DE6C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530C03EA"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0EFEFFC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2C42A18A"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6E9DA050"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N-Acetylornithine</w:t>
            </w:r>
          </w:p>
        </w:tc>
        <w:tc>
          <w:tcPr>
            <w:tcW w:w="768" w:type="dxa"/>
            <w:tcBorders>
              <w:top w:val="nil"/>
              <w:left w:val="nil"/>
              <w:bottom w:val="single" w:sz="4" w:space="0" w:color="auto"/>
              <w:right w:val="single" w:sz="4" w:space="0" w:color="auto"/>
            </w:tcBorders>
            <w:shd w:val="clear" w:color="auto" w:fill="auto"/>
            <w:noWrap/>
            <w:vAlign w:val="center"/>
            <w:hideMark/>
          </w:tcPr>
          <w:p w14:paraId="301C072A"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C00437</w:t>
            </w:r>
          </w:p>
        </w:tc>
        <w:tc>
          <w:tcPr>
            <w:tcW w:w="1012" w:type="dxa"/>
            <w:tcBorders>
              <w:top w:val="nil"/>
              <w:left w:val="nil"/>
              <w:bottom w:val="single" w:sz="4" w:space="0" w:color="auto"/>
              <w:right w:val="single" w:sz="4" w:space="0" w:color="auto"/>
            </w:tcBorders>
            <w:shd w:val="clear" w:color="auto" w:fill="auto"/>
            <w:noWrap/>
            <w:vAlign w:val="center"/>
            <w:hideMark/>
          </w:tcPr>
          <w:p w14:paraId="3E4B9187"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0.094</w:t>
            </w:r>
          </w:p>
        </w:tc>
        <w:tc>
          <w:tcPr>
            <w:tcW w:w="1170" w:type="dxa"/>
            <w:tcBorders>
              <w:top w:val="nil"/>
              <w:left w:val="nil"/>
              <w:bottom w:val="single" w:sz="4" w:space="0" w:color="auto"/>
              <w:right w:val="single" w:sz="4" w:space="0" w:color="auto"/>
            </w:tcBorders>
            <w:shd w:val="clear" w:color="auto" w:fill="auto"/>
            <w:noWrap/>
            <w:vAlign w:val="center"/>
            <w:hideMark/>
          </w:tcPr>
          <w:p w14:paraId="741AB584"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3FB2821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0.002</w:t>
            </w:r>
          </w:p>
        </w:tc>
        <w:tc>
          <w:tcPr>
            <w:tcW w:w="714" w:type="dxa"/>
            <w:tcBorders>
              <w:top w:val="nil"/>
              <w:left w:val="nil"/>
              <w:bottom w:val="single" w:sz="4" w:space="0" w:color="auto"/>
              <w:right w:val="single" w:sz="4" w:space="0" w:color="auto"/>
            </w:tcBorders>
            <w:shd w:val="clear" w:color="auto" w:fill="auto"/>
            <w:noWrap/>
            <w:vAlign w:val="center"/>
            <w:hideMark/>
          </w:tcPr>
          <w:p w14:paraId="3E36616F"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0.002</w:t>
            </w:r>
          </w:p>
        </w:tc>
        <w:tc>
          <w:tcPr>
            <w:tcW w:w="750" w:type="dxa"/>
            <w:tcBorders>
              <w:top w:val="nil"/>
              <w:left w:val="nil"/>
              <w:bottom w:val="single" w:sz="4" w:space="0" w:color="auto"/>
              <w:right w:val="single" w:sz="4" w:space="0" w:color="auto"/>
            </w:tcBorders>
            <w:shd w:val="clear" w:color="auto" w:fill="auto"/>
            <w:noWrap/>
            <w:vAlign w:val="center"/>
            <w:hideMark/>
          </w:tcPr>
          <w:p w14:paraId="4744C36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340A2037"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03829BE0"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44A2953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04D643C6"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133C071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Serine</w:t>
            </w:r>
          </w:p>
        </w:tc>
        <w:tc>
          <w:tcPr>
            <w:tcW w:w="768" w:type="dxa"/>
            <w:tcBorders>
              <w:top w:val="nil"/>
              <w:left w:val="nil"/>
              <w:bottom w:val="single" w:sz="4" w:space="0" w:color="auto"/>
              <w:right w:val="single" w:sz="4" w:space="0" w:color="auto"/>
            </w:tcBorders>
            <w:shd w:val="clear" w:color="auto" w:fill="auto"/>
            <w:noWrap/>
            <w:vAlign w:val="center"/>
            <w:hideMark/>
          </w:tcPr>
          <w:p w14:paraId="00E8128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C00716</w:t>
            </w:r>
          </w:p>
        </w:tc>
        <w:tc>
          <w:tcPr>
            <w:tcW w:w="1012" w:type="dxa"/>
            <w:tcBorders>
              <w:top w:val="nil"/>
              <w:left w:val="nil"/>
              <w:bottom w:val="single" w:sz="4" w:space="0" w:color="auto"/>
              <w:right w:val="single" w:sz="4" w:space="0" w:color="auto"/>
            </w:tcBorders>
            <w:shd w:val="clear" w:color="auto" w:fill="auto"/>
            <w:noWrap/>
            <w:vAlign w:val="center"/>
            <w:hideMark/>
          </w:tcPr>
          <w:p w14:paraId="621ADE5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0.094</w:t>
            </w:r>
          </w:p>
        </w:tc>
        <w:tc>
          <w:tcPr>
            <w:tcW w:w="1170" w:type="dxa"/>
            <w:tcBorders>
              <w:top w:val="nil"/>
              <w:left w:val="nil"/>
              <w:bottom w:val="single" w:sz="4" w:space="0" w:color="auto"/>
              <w:right w:val="single" w:sz="4" w:space="0" w:color="auto"/>
            </w:tcBorders>
            <w:shd w:val="clear" w:color="auto" w:fill="auto"/>
            <w:noWrap/>
            <w:vAlign w:val="center"/>
            <w:hideMark/>
          </w:tcPr>
          <w:p w14:paraId="3BCFA225"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278C26C8"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0.002</w:t>
            </w:r>
          </w:p>
        </w:tc>
        <w:tc>
          <w:tcPr>
            <w:tcW w:w="714" w:type="dxa"/>
            <w:tcBorders>
              <w:top w:val="nil"/>
              <w:left w:val="nil"/>
              <w:bottom w:val="single" w:sz="4" w:space="0" w:color="auto"/>
              <w:right w:val="single" w:sz="4" w:space="0" w:color="auto"/>
            </w:tcBorders>
            <w:shd w:val="clear" w:color="auto" w:fill="auto"/>
            <w:noWrap/>
            <w:vAlign w:val="center"/>
            <w:hideMark/>
          </w:tcPr>
          <w:p w14:paraId="46B8891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0.003</w:t>
            </w:r>
          </w:p>
        </w:tc>
        <w:tc>
          <w:tcPr>
            <w:tcW w:w="750" w:type="dxa"/>
            <w:tcBorders>
              <w:top w:val="nil"/>
              <w:left w:val="nil"/>
              <w:bottom w:val="single" w:sz="4" w:space="0" w:color="auto"/>
              <w:right w:val="single" w:sz="4" w:space="0" w:color="auto"/>
            </w:tcBorders>
            <w:shd w:val="clear" w:color="auto" w:fill="auto"/>
            <w:noWrap/>
            <w:vAlign w:val="center"/>
            <w:hideMark/>
          </w:tcPr>
          <w:p w14:paraId="30712229"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7F3845B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2CD6D6D2"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48FBF44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07DDE057"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2AF2B475"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Ribose Phosphate</w:t>
            </w:r>
          </w:p>
        </w:tc>
        <w:tc>
          <w:tcPr>
            <w:tcW w:w="768" w:type="dxa"/>
            <w:tcBorders>
              <w:top w:val="nil"/>
              <w:left w:val="nil"/>
              <w:bottom w:val="single" w:sz="4" w:space="0" w:color="auto"/>
              <w:right w:val="single" w:sz="4" w:space="0" w:color="auto"/>
            </w:tcBorders>
            <w:shd w:val="clear" w:color="auto" w:fill="auto"/>
            <w:noWrap/>
            <w:vAlign w:val="center"/>
            <w:hideMark/>
          </w:tcPr>
          <w:p w14:paraId="3C01C8D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 xml:space="preserve">C00117  </w:t>
            </w:r>
          </w:p>
        </w:tc>
        <w:tc>
          <w:tcPr>
            <w:tcW w:w="1012" w:type="dxa"/>
            <w:tcBorders>
              <w:top w:val="nil"/>
              <w:left w:val="nil"/>
              <w:bottom w:val="single" w:sz="4" w:space="0" w:color="auto"/>
              <w:right w:val="single" w:sz="4" w:space="0" w:color="auto"/>
            </w:tcBorders>
            <w:shd w:val="clear" w:color="auto" w:fill="auto"/>
            <w:noWrap/>
            <w:vAlign w:val="center"/>
            <w:hideMark/>
          </w:tcPr>
          <w:p w14:paraId="2B81CB60"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0.101</w:t>
            </w:r>
          </w:p>
        </w:tc>
        <w:tc>
          <w:tcPr>
            <w:tcW w:w="1170" w:type="dxa"/>
            <w:tcBorders>
              <w:top w:val="nil"/>
              <w:left w:val="nil"/>
              <w:bottom w:val="single" w:sz="4" w:space="0" w:color="auto"/>
              <w:right w:val="single" w:sz="4" w:space="0" w:color="auto"/>
            </w:tcBorders>
            <w:shd w:val="clear" w:color="auto" w:fill="auto"/>
            <w:noWrap/>
            <w:vAlign w:val="center"/>
            <w:hideMark/>
          </w:tcPr>
          <w:p w14:paraId="2D63E65C"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6C893202"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0.005</w:t>
            </w:r>
          </w:p>
        </w:tc>
        <w:tc>
          <w:tcPr>
            <w:tcW w:w="714" w:type="dxa"/>
            <w:tcBorders>
              <w:top w:val="nil"/>
              <w:left w:val="nil"/>
              <w:bottom w:val="single" w:sz="4" w:space="0" w:color="auto"/>
              <w:right w:val="single" w:sz="4" w:space="0" w:color="auto"/>
            </w:tcBorders>
            <w:shd w:val="clear" w:color="auto" w:fill="auto"/>
            <w:noWrap/>
            <w:vAlign w:val="center"/>
            <w:hideMark/>
          </w:tcPr>
          <w:p w14:paraId="665067B7"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0.013</w:t>
            </w:r>
          </w:p>
        </w:tc>
        <w:tc>
          <w:tcPr>
            <w:tcW w:w="750" w:type="dxa"/>
            <w:tcBorders>
              <w:top w:val="nil"/>
              <w:left w:val="nil"/>
              <w:bottom w:val="single" w:sz="4" w:space="0" w:color="auto"/>
              <w:right w:val="single" w:sz="4" w:space="0" w:color="auto"/>
            </w:tcBorders>
            <w:shd w:val="clear" w:color="auto" w:fill="auto"/>
            <w:noWrap/>
            <w:vAlign w:val="center"/>
            <w:hideMark/>
          </w:tcPr>
          <w:p w14:paraId="35A7D46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028BABF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434FE516"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6B146119"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3CD91B93"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65F41E94" w14:textId="77777777" w:rsidR="00911360" w:rsidRPr="000C7C40" w:rsidRDefault="00911360" w:rsidP="00E34316">
            <w:pPr>
              <w:jc w:val="center"/>
              <w:rPr>
                <w:rFonts w:ascii="Times New Roman" w:hAnsi="Times New Roman" w:cs="Times New Roman"/>
                <w:color w:val="000000"/>
                <w:sz w:val="16"/>
                <w:szCs w:val="16"/>
              </w:rPr>
            </w:pPr>
            <w:proofErr w:type="spellStart"/>
            <w:r w:rsidRPr="000C7C40">
              <w:rPr>
                <w:rFonts w:ascii="Times New Roman" w:hAnsi="Times New Roman" w:cs="Times New Roman"/>
                <w:color w:val="000000"/>
                <w:sz w:val="16"/>
                <w:szCs w:val="16"/>
              </w:rPr>
              <w:t>Allantoate</w:t>
            </w:r>
            <w:proofErr w:type="spellEnd"/>
          </w:p>
        </w:tc>
        <w:tc>
          <w:tcPr>
            <w:tcW w:w="768" w:type="dxa"/>
            <w:tcBorders>
              <w:top w:val="nil"/>
              <w:left w:val="nil"/>
              <w:bottom w:val="single" w:sz="4" w:space="0" w:color="auto"/>
              <w:right w:val="single" w:sz="4" w:space="0" w:color="auto"/>
            </w:tcBorders>
            <w:shd w:val="clear" w:color="auto" w:fill="auto"/>
            <w:noWrap/>
            <w:vAlign w:val="center"/>
            <w:hideMark/>
          </w:tcPr>
          <w:p w14:paraId="6145FDB6"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C00499</w:t>
            </w:r>
          </w:p>
        </w:tc>
        <w:tc>
          <w:tcPr>
            <w:tcW w:w="1012" w:type="dxa"/>
            <w:tcBorders>
              <w:top w:val="nil"/>
              <w:left w:val="nil"/>
              <w:bottom w:val="single" w:sz="4" w:space="0" w:color="auto"/>
              <w:right w:val="single" w:sz="4" w:space="0" w:color="auto"/>
            </w:tcBorders>
            <w:shd w:val="clear" w:color="auto" w:fill="auto"/>
            <w:noWrap/>
            <w:vAlign w:val="center"/>
            <w:hideMark/>
          </w:tcPr>
          <w:p w14:paraId="5523292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0.101</w:t>
            </w:r>
          </w:p>
        </w:tc>
        <w:tc>
          <w:tcPr>
            <w:tcW w:w="1170" w:type="dxa"/>
            <w:tcBorders>
              <w:top w:val="nil"/>
              <w:left w:val="nil"/>
              <w:bottom w:val="single" w:sz="4" w:space="0" w:color="auto"/>
              <w:right w:val="single" w:sz="4" w:space="0" w:color="auto"/>
            </w:tcBorders>
            <w:shd w:val="clear" w:color="auto" w:fill="auto"/>
            <w:noWrap/>
            <w:vAlign w:val="center"/>
            <w:hideMark/>
          </w:tcPr>
          <w:p w14:paraId="40EF791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3E045339"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0.006</w:t>
            </w:r>
          </w:p>
        </w:tc>
        <w:tc>
          <w:tcPr>
            <w:tcW w:w="714" w:type="dxa"/>
            <w:tcBorders>
              <w:top w:val="nil"/>
              <w:left w:val="nil"/>
              <w:bottom w:val="single" w:sz="4" w:space="0" w:color="auto"/>
              <w:right w:val="single" w:sz="4" w:space="0" w:color="auto"/>
            </w:tcBorders>
            <w:shd w:val="clear" w:color="auto" w:fill="auto"/>
            <w:noWrap/>
            <w:vAlign w:val="center"/>
            <w:hideMark/>
          </w:tcPr>
          <w:p w14:paraId="46F9879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0.008</w:t>
            </w:r>
          </w:p>
        </w:tc>
        <w:tc>
          <w:tcPr>
            <w:tcW w:w="750" w:type="dxa"/>
            <w:tcBorders>
              <w:top w:val="nil"/>
              <w:left w:val="nil"/>
              <w:bottom w:val="single" w:sz="4" w:space="0" w:color="auto"/>
              <w:right w:val="single" w:sz="4" w:space="0" w:color="auto"/>
            </w:tcBorders>
            <w:shd w:val="clear" w:color="auto" w:fill="auto"/>
            <w:noWrap/>
            <w:vAlign w:val="center"/>
            <w:hideMark/>
          </w:tcPr>
          <w:p w14:paraId="6DD2F262"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50A98D97"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13A9BA97"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7167F96F"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511930F4"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7003A0C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Citrate Isocitrate</w:t>
            </w:r>
          </w:p>
        </w:tc>
        <w:tc>
          <w:tcPr>
            <w:tcW w:w="768" w:type="dxa"/>
            <w:tcBorders>
              <w:top w:val="nil"/>
              <w:left w:val="nil"/>
              <w:bottom w:val="single" w:sz="4" w:space="0" w:color="auto"/>
              <w:right w:val="single" w:sz="4" w:space="0" w:color="auto"/>
            </w:tcBorders>
            <w:shd w:val="clear" w:color="auto" w:fill="auto"/>
            <w:noWrap/>
            <w:vAlign w:val="center"/>
            <w:hideMark/>
          </w:tcPr>
          <w:p w14:paraId="563CE6D6" w14:textId="77777777" w:rsidR="00911360" w:rsidRPr="000C7C40" w:rsidRDefault="00911360" w:rsidP="00E34316">
            <w:pPr>
              <w:jc w:val="center"/>
              <w:rPr>
                <w:rFonts w:ascii="Times New Roman" w:hAnsi="Times New Roman" w:cs="Times New Roman"/>
                <w:color w:val="000000"/>
                <w:sz w:val="16"/>
                <w:szCs w:val="16"/>
              </w:rPr>
            </w:pPr>
            <w:proofErr w:type="gramStart"/>
            <w:r w:rsidRPr="000C7C40">
              <w:rPr>
                <w:rFonts w:ascii="Times New Roman" w:hAnsi="Times New Roman" w:cs="Times New Roman"/>
                <w:color w:val="000000"/>
                <w:sz w:val="16"/>
                <w:szCs w:val="16"/>
              </w:rPr>
              <w:t>C00158;</w:t>
            </w:r>
            <w:proofErr w:type="gramEnd"/>
          </w:p>
          <w:p w14:paraId="79707E1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C00311</w:t>
            </w:r>
          </w:p>
        </w:tc>
        <w:tc>
          <w:tcPr>
            <w:tcW w:w="1012" w:type="dxa"/>
            <w:tcBorders>
              <w:top w:val="nil"/>
              <w:left w:val="nil"/>
              <w:bottom w:val="single" w:sz="4" w:space="0" w:color="auto"/>
              <w:right w:val="single" w:sz="4" w:space="0" w:color="auto"/>
            </w:tcBorders>
            <w:shd w:val="clear" w:color="auto" w:fill="auto"/>
            <w:noWrap/>
            <w:vAlign w:val="center"/>
            <w:hideMark/>
          </w:tcPr>
          <w:p w14:paraId="6BA1930A"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0.108</w:t>
            </w:r>
          </w:p>
        </w:tc>
        <w:tc>
          <w:tcPr>
            <w:tcW w:w="1170" w:type="dxa"/>
            <w:tcBorders>
              <w:top w:val="nil"/>
              <w:left w:val="nil"/>
              <w:bottom w:val="single" w:sz="4" w:space="0" w:color="auto"/>
              <w:right w:val="single" w:sz="4" w:space="0" w:color="auto"/>
            </w:tcBorders>
            <w:shd w:val="clear" w:color="auto" w:fill="auto"/>
            <w:noWrap/>
            <w:vAlign w:val="center"/>
            <w:hideMark/>
          </w:tcPr>
          <w:p w14:paraId="3092D574"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0C138F7F"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0.003</w:t>
            </w:r>
          </w:p>
        </w:tc>
        <w:tc>
          <w:tcPr>
            <w:tcW w:w="714" w:type="dxa"/>
            <w:tcBorders>
              <w:top w:val="nil"/>
              <w:left w:val="nil"/>
              <w:bottom w:val="single" w:sz="4" w:space="0" w:color="auto"/>
              <w:right w:val="single" w:sz="4" w:space="0" w:color="auto"/>
            </w:tcBorders>
            <w:shd w:val="clear" w:color="auto" w:fill="auto"/>
            <w:noWrap/>
            <w:vAlign w:val="center"/>
            <w:hideMark/>
          </w:tcPr>
          <w:p w14:paraId="6574B222"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0.015</w:t>
            </w:r>
          </w:p>
        </w:tc>
        <w:tc>
          <w:tcPr>
            <w:tcW w:w="750" w:type="dxa"/>
            <w:tcBorders>
              <w:top w:val="nil"/>
              <w:left w:val="nil"/>
              <w:bottom w:val="single" w:sz="4" w:space="0" w:color="auto"/>
              <w:right w:val="single" w:sz="4" w:space="0" w:color="auto"/>
            </w:tcBorders>
            <w:shd w:val="clear" w:color="auto" w:fill="auto"/>
            <w:noWrap/>
            <w:vAlign w:val="center"/>
            <w:hideMark/>
          </w:tcPr>
          <w:p w14:paraId="48E2A8A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3A6C000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5C490632"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787F9237"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2500A818"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4E77ECE9"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Creatinine</w:t>
            </w:r>
          </w:p>
        </w:tc>
        <w:tc>
          <w:tcPr>
            <w:tcW w:w="768" w:type="dxa"/>
            <w:tcBorders>
              <w:top w:val="nil"/>
              <w:left w:val="nil"/>
              <w:bottom w:val="single" w:sz="4" w:space="0" w:color="auto"/>
              <w:right w:val="single" w:sz="4" w:space="0" w:color="auto"/>
            </w:tcBorders>
            <w:shd w:val="clear" w:color="auto" w:fill="auto"/>
            <w:noWrap/>
            <w:vAlign w:val="center"/>
            <w:hideMark/>
          </w:tcPr>
          <w:p w14:paraId="69C8928A"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C00791</w:t>
            </w:r>
          </w:p>
        </w:tc>
        <w:tc>
          <w:tcPr>
            <w:tcW w:w="1012" w:type="dxa"/>
            <w:tcBorders>
              <w:top w:val="nil"/>
              <w:left w:val="nil"/>
              <w:bottom w:val="single" w:sz="4" w:space="0" w:color="auto"/>
              <w:right w:val="single" w:sz="4" w:space="0" w:color="auto"/>
            </w:tcBorders>
            <w:shd w:val="clear" w:color="auto" w:fill="auto"/>
            <w:noWrap/>
            <w:vAlign w:val="center"/>
            <w:hideMark/>
          </w:tcPr>
          <w:p w14:paraId="4EAAA78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0.108</w:t>
            </w:r>
          </w:p>
        </w:tc>
        <w:tc>
          <w:tcPr>
            <w:tcW w:w="1170" w:type="dxa"/>
            <w:tcBorders>
              <w:top w:val="nil"/>
              <w:left w:val="nil"/>
              <w:bottom w:val="single" w:sz="4" w:space="0" w:color="auto"/>
              <w:right w:val="single" w:sz="4" w:space="0" w:color="auto"/>
            </w:tcBorders>
            <w:shd w:val="clear" w:color="auto" w:fill="auto"/>
            <w:noWrap/>
            <w:vAlign w:val="center"/>
            <w:hideMark/>
          </w:tcPr>
          <w:p w14:paraId="03EAA9E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5C841EE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0.001</w:t>
            </w:r>
          </w:p>
        </w:tc>
        <w:tc>
          <w:tcPr>
            <w:tcW w:w="714" w:type="dxa"/>
            <w:tcBorders>
              <w:top w:val="nil"/>
              <w:left w:val="nil"/>
              <w:bottom w:val="single" w:sz="4" w:space="0" w:color="auto"/>
              <w:right w:val="single" w:sz="4" w:space="0" w:color="auto"/>
            </w:tcBorders>
            <w:shd w:val="clear" w:color="auto" w:fill="auto"/>
            <w:noWrap/>
            <w:vAlign w:val="center"/>
            <w:hideMark/>
          </w:tcPr>
          <w:p w14:paraId="53A1D7DC"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0.011</w:t>
            </w:r>
          </w:p>
        </w:tc>
        <w:tc>
          <w:tcPr>
            <w:tcW w:w="750" w:type="dxa"/>
            <w:tcBorders>
              <w:top w:val="nil"/>
              <w:left w:val="nil"/>
              <w:bottom w:val="single" w:sz="4" w:space="0" w:color="auto"/>
              <w:right w:val="single" w:sz="4" w:space="0" w:color="auto"/>
            </w:tcBorders>
            <w:shd w:val="clear" w:color="auto" w:fill="auto"/>
            <w:noWrap/>
            <w:vAlign w:val="center"/>
            <w:hideMark/>
          </w:tcPr>
          <w:p w14:paraId="02E2F442"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57C13994"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2ACAC60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401C9EB0"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3F71058B"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253D789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Xylose</w:t>
            </w:r>
          </w:p>
        </w:tc>
        <w:tc>
          <w:tcPr>
            <w:tcW w:w="768" w:type="dxa"/>
            <w:tcBorders>
              <w:top w:val="nil"/>
              <w:left w:val="nil"/>
              <w:bottom w:val="single" w:sz="4" w:space="0" w:color="auto"/>
              <w:right w:val="single" w:sz="4" w:space="0" w:color="auto"/>
            </w:tcBorders>
            <w:shd w:val="clear" w:color="auto" w:fill="auto"/>
            <w:noWrap/>
            <w:vAlign w:val="center"/>
            <w:hideMark/>
          </w:tcPr>
          <w:p w14:paraId="4248D4FC"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C00181</w:t>
            </w:r>
          </w:p>
        </w:tc>
        <w:tc>
          <w:tcPr>
            <w:tcW w:w="1012" w:type="dxa"/>
            <w:tcBorders>
              <w:top w:val="nil"/>
              <w:left w:val="nil"/>
              <w:bottom w:val="single" w:sz="4" w:space="0" w:color="auto"/>
              <w:right w:val="single" w:sz="4" w:space="0" w:color="auto"/>
            </w:tcBorders>
            <w:shd w:val="clear" w:color="auto" w:fill="auto"/>
            <w:noWrap/>
            <w:vAlign w:val="center"/>
            <w:hideMark/>
          </w:tcPr>
          <w:p w14:paraId="7F1F98F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0.108</w:t>
            </w:r>
          </w:p>
        </w:tc>
        <w:tc>
          <w:tcPr>
            <w:tcW w:w="1170" w:type="dxa"/>
            <w:tcBorders>
              <w:top w:val="nil"/>
              <w:left w:val="nil"/>
              <w:bottom w:val="single" w:sz="4" w:space="0" w:color="auto"/>
              <w:right w:val="single" w:sz="4" w:space="0" w:color="auto"/>
            </w:tcBorders>
            <w:shd w:val="clear" w:color="auto" w:fill="auto"/>
            <w:noWrap/>
            <w:vAlign w:val="center"/>
            <w:hideMark/>
          </w:tcPr>
          <w:p w14:paraId="7A3D331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18DF070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0.002</w:t>
            </w:r>
          </w:p>
        </w:tc>
        <w:tc>
          <w:tcPr>
            <w:tcW w:w="714" w:type="dxa"/>
            <w:tcBorders>
              <w:top w:val="nil"/>
              <w:left w:val="nil"/>
              <w:bottom w:val="single" w:sz="4" w:space="0" w:color="auto"/>
              <w:right w:val="single" w:sz="4" w:space="0" w:color="auto"/>
            </w:tcBorders>
            <w:shd w:val="clear" w:color="auto" w:fill="auto"/>
            <w:noWrap/>
            <w:vAlign w:val="center"/>
            <w:hideMark/>
          </w:tcPr>
          <w:p w14:paraId="3F1C63A4"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0.004</w:t>
            </w:r>
          </w:p>
        </w:tc>
        <w:tc>
          <w:tcPr>
            <w:tcW w:w="750" w:type="dxa"/>
            <w:tcBorders>
              <w:top w:val="nil"/>
              <w:left w:val="nil"/>
              <w:bottom w:val="single" w:sz="4" w:space="0" w:color="auto"/>
              <w:right w:val="single" w:sz="4" w:space="0" w:color="auto"/>
            </w:tcBorders>
            <w:shd w:val="clear" w:color="auto" w:fill="auto"/>
            <w:noWrap/>
            <w:vAlign w:val="center"/>
            <w:hideMark/>
          </w:tcPr>
          <w:p w14:paraId="3F275FD9"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6494D66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3CF3288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5767AD52"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40D86301"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6DEE8EC5"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Creatine</w:t>
            </w:r>
          </w:p>
        </w:tc>
        <w:tc>
          <w:tcPr>
            <w:tcW w:w="768" w:type="dxa"/>
            <w:tcBorders>
              <w:top w:val="nil"/>
              <w:left w:val="nil"/>
              <w:bottom w:val="single" w:sz="4" w:space="0" w:color="auto"/>
              <w:right w:val="single" w:sz="4" w:space="0" w:color="auto"/>
            </w:tcBorders>
            <w:shd w:val="clear" w:color="auto" w:fill="auto"/>
            <w:noWrap/>
            <w:vAlign w:val="center"/>
            <w:hideMark/>
          </w:tcPr>
          <w:p w14:paraId="73E7FD45"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C00300</w:t>
            </w:r>
          </w:p>
        </w:tc>
        <w:tc>
          <w:tcPr>
            <w:tcW w:w="1012" w:type="dxa"/>
            <w:tcBorders>
              <w:top w:val="nil"/>
              <w:left w:val="nil"/>
              <w:bottom w:val="single" w:sz="4" w:space="0" w:color="auto"/>
              <w:right w:val="single" w:sz="4" w:space="0" w:color="auto"/>
            </w:tcBorders>
            <w:shd w:val="clear" w:color="auto" w:fill="auto"/>
            <w:noWrap/>
            <w:vAlign w:val="center"/>
            <w:hideMark/>
          </w:tcPr>
          <w:p w14:paraId="25EC3AE0"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0.132</w:t>
            </w:r>
          </w:p>
        </w:tc>
        <w:tc>
          <w:tcPr>
            <w:tcW w:w="1170" w:type="dxa"/>
            <w:tcBorders>
              <w:top w:val="nil"/>
              <w:left w:val="nil"/>
              <w:bottom w:val="single" w:sz="4" w:space="0" w:color="auto"/>
              <w:right w:val="single" w:sz="4" w:space="0" w:color="auto"/>
            </w:tcBorders>
            <w:shd w:val="clear" w:color="auto" w:fill="auto"/>
            <w:noWrap/>
            <w:vAlign w:val="center"/>
            <w:hideMark/>
          </w:tcPr>
          <w:p w14:paraId="729B721F"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50760BCB"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0.002</w:t>
            </w:r>
          </w:p>
        </w:tc>
        <w:tc>
          <w:tcPr>
            <w:tcW w:w="714" w:type="dxa"/>
            <w:tcBorders>
              <w:top w:val="nil"/>
              <w:left w:val="nil"/>
              <w:bottom w:val="single" w:sz="4" w:space="0" w:color="auto"/>
              <w:right w:val="single" w:sz="4" w:space="0" w:color="auto"/>
            </w:tcBorders>
            <w:shd w:val="clear" w:color="auto" w:fill="auto"/>
            <w:noWrap/>
            <w:vAlign w:val="center"/>
            <w:hideMark/>
          </w:tcPr>
          <w:p w14:paraId="5BAF406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0.003</w:t>
            </w:r>
          </w:p>
        </w:tc>
        <w:tc>
          <w:tcPr>
            <w:tcW w:w="750" w:type="dxa"/>
            <w:tcBorders>
              <w:top w:val="nil"/>
              <w:left w:val="nil"/>
              <w:bottom w:val="single" w:sz="4" w:space="0" w:color="auto"/>
              <w:right w:val="single" w:sz="4" w:space="0" w:color="auto"/>
            </w:tcBorders>
            <w:shd w:val="clear" w:color="auto" w:fill="auto"/>
            <w:noWrap/>
            <w:vAlign w:val="center"/>
            <w:hideMark/>
          </w:tcPr>
          <w:p w14:paraId="6D460767"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0.056</w:t>
            </w:r>
          </w:p>
        </w:tc>
        <w:tc>
          <w:tcPr>
            <w:tcW w:w="578" w:type="dxa"/>
            <w:tcBorders>
              <w:top w:val="nil"/>
              <w:left w:val="nil"/>
              <w:bottom w:val="single" w:sz="4" w:space="0" w:color="auto"/>
              <w:right w:val="single" w:sz="4" w:space="0" w:color="auto"/>
            </w:tcBorders>
            <w:shd w:val="clear" w:color="auto" w:fill="auto"/>
            <w:noWrap/>
            <w:vAlign w:val="center"/>
            <w:hideMark/>
          </w:tcPr>
          <w:p w14:paraId="3296FAC5"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651F373F"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79976A5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5A835860"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485AE286"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Allantoin</w:t>
            </w:r>
          </w:p>
        </w:tc>
        <w:tc>
          <w:tcPr>
            <w:tcW w:w="768" w:type="dxa"/>
            <w:tcBorders>
              <w:top w:val="nil"/>
              <w:left w:val="nil"/>
              <w:bottom w:val="single" w:sz="4" w:space="0" w:color="auto"/>
              <w:right w:val="single" w:sz="4" w:space="0" w:color="auto"/>
            </w:tcBorders>
            <w:shd w:val="clear" w:color="auto" w:fill="auto"/>
            <w:noWrap/>
            <w:vAlign w:val="center"/>
            <w:hideMark/>
          </w:tcPr>
          <w:p w14:paraId="61B0FB4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C01551</w:t>
            </w:r>
          </w:p>
        </w:tc>
        <w:tc>
          <w:tcPr>
            <w:tcW w:w="1012" w:type="dxa"/>
            <w:tcBorders>
              <w:top w:val="nil"/>
              <w:left w:val="nil"/>
              <w:bottom w:val="single" w:sz="4" w:space="0" w:color="auto"/>
              <w:right w:val="single" w:sz="4" w:space="0" w:color="auto"/>
            </w:tcBorders>
            <w:shd w:val="clear" w:color="auto" w:fill="auto"/>
            <w:noWrap/>
            <w:vAlign w:val="center"/>
            <w:hideMark/>
          </w:tcPr>
          <w:p w14:paraId="5DA3DEE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0.135</w:t>
            </w:r>
          </w:p>
        </w:tc>
        <w:tc>
          <w:tcPr>
            <w:tcW w:w="1170" w:type="dxa"/>
            <w:tcBorders>
              <w:top w:val="nil"/>
              <w:left w:val="nil"/>
              <w:bottom w:val="single" w:sz="4" w:space="0" w:color="auto"/>
              <w:right w:val="single" w:sz="4" w:space="0" w:color="auto"/>
            </w:tcBorders>
            <w:shd w:val="clear" w:color="auto" w:fill="auto"/>
            <w:noWrap/>
            <w:vAlign w:val="center"/>
            <w:hideMark/>
          </w:tcPr>
          <w:p w14:paraId="72AA37A6"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0725DA50"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0.002</w:t>
            </w:r>
          </w:p>
        </w:tc>
        <w:tc>
          <w:tcPr>
            <w:tcW w:w="714" w:type="dxa"/>
            <w:tcBorders>
              <w:top w:val="nil"/>
              <w:left w:val="nil"/>
              <w:bottom w:val="single" w:sz="4" w:space="0" w:color="auto"/>
              <w:right w:val="single" w:sz="4" w:space="0" w:color="auto"/>
            </w:tcBorders>
            <w:shd w:val="clear" w:color="auto" w:fill="auto"/>
            <w:noWrap/>
            <w:vAlign w:val="center"/>
            <w:hideMark/>
          </w:tcPr>
          <w:p w14:paraId="5234DE0B"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0.007</w:t>
            </w:r>
          </w:p>
        </w:tc>
        <w:tc>
          <w:tcPr>
            <w:tcW w:w="750" w:type="dxa"/>
            <w:tcBorders>
              <w:top w:val="nil"/>
              <w:left w:val="nil"/>
              <w:bottom w:val="single" w:sz="4" w:space="0" w:color="auto"/>
              <w:right w:val="single" w:sz="4" w:space="0" w:color="auto"/>
            </w:tcBorders>
            <w:shd w:val="clear" w:color="auto" w:fill="auto"/>
            <w:noWrap/>
            <w:vAlign w:val="center"/>
            <w:hideMark/>
          </w:tcPr>
          <w:p w14:paraId="51372190"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4B0F7BC9"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2C0CAC22"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7D344D38"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69504F4D"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7BE23E9A"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1-Methyladenosine</w:t>
            </w:r>
          </w:p>
        </w:tc>
        <w:tc>
          <w:tcPr>
            <w:tcW w:w="768" w:type="dxa"/>
            <w:tcBorders>
              <w:top w:val="nil"/>
              <w:left w:val="nil"/>
              <w:bottom w:val="single" w:sz="4" w:space="0" w:color="auto"/>
              <w:right w:val="single" w:sz="4" w:space="0" w:color="auto"/>
            </w:tcBorders>
            <w:shd w:val="clear" w:color="auto" w:fill="auto"/>
            <w:noWrap/>
            <w:vAlign w:val="center"/>
            <w:hideMark/>
          </w:tcPr>
          <w:p w14:paraId="31889115"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C02494</w:t>
            </w:r>
          </w:p>
        </w:tc>
        <w:tc>
          <w:tcPr>
            <w:tcW w:w="1012" w:type="dxa"/>
            <w:tcBorders>
              <w:top w:val="nil"/>
              <w:left w:val="nil"/>
              <w:bottom w:val="single" w:sz="4" w:space="0" w:color="auto"/>
              <w:right w:val="single" w:sz="4" w:space="0" w:color="auto"/>
            </w:tcBorders>
            <w:shd w:val="clear" w:color="auto" w:fill="auto"/>
            <w:noWrap/>
            <w:vAlign w:val="center"/>
            <w:hideMark/>
          </w:tcPr>
          <w:p w14:paraId="5F32A546"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0.138</w:t>
            </w:r>
          </w:p>
        </w:tc>
        <w:tc>
          <w:tcPr>
            <w:tcW w:w="1170" w:type="dxa"/>
            <w:tcBorders>
              <w:top w:val="nil"/>
              <w:left w:val="nil"/>
              <w:bottom w:val="single" w:sz="4" w:space="0" w:color="auto"/>
              <w:right w:val="single" w:sz="4" w:space="0" w:color="auto"/>
            </w:tcBorders>
            <w:shd w:val="clear" w:color="auto" w:fill="auto"/>
            <w:noWrap/>
            <w:vAlign w:val="center"/>
            <w:hideMark/>
          </w:tcPr>
          <w:p w14:paraId="34FB55AF"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2912D997"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0.015</w:t>
            </w:r>
          </w:p>
        </w:tc>
        <w:tc>
          <w:tcPr>
            <w:tcW w:w="714" w:type="dxa"/>
            <w:tcBorders>
              <w:top w:val="nil"/>
              <w:left w:val="nil"/>
              <w:bottom w:val="single" w:sz="4" w:space="0" w:color="auto"/>
              <w:right w:val="single" w:sz="4" w:space="0" w:color="auto"/>
            </w:tcBorders>
            <w:shd w:val="clear" w:color="auto" w:fill="auto"/>
            <w:noWrap/>
            <w:vAlign w:val="center"/>
            <w:hideMark/>
          </w:tcPr>
          <w:p w14:paraId="5332467A"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50" w:type="dxa"/>
            <w:tcBorders>
              <w:top w:val="nil"/>
              <w:left w:val="nil"/>
              <w:bottom w:val="single" w:sz="4" w:space="0" w:color="auto"/>
              <w:right w:val="single" w:sz="4" w:space="0" w:color="auto"/>
            </w:tcBorders>
            <w:shd w:val="clear" w:color="auto" w:fill="auto"/>
            <w:noWrap/>
            <w:vAlign w:val="center"/>
            <w:hideMark/>
          </w:tcPr>
          <w:p w14:paraId="4AC6A13E"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0.020</w:t>
            </w:r>
          </w:p>
        </w:tc>
        <w:tc>
          <w:tcPr>
            <w:tcW w:w="578" w:type="dxa"/>
            <w:tcBorders>
              <w:top w:val="nil"/>
              <w:left w:val="nil"/>
              <w:bottom w:val="single" w:sz="4" w:space="0" w:color="auto"/>
              <w:right w:val="single" w:sz="4" w:space="0" w:color="auto"/>
            </w:tcBorders>
            <w:shd w:val="clear" w:color="auto" w:fill="auto"/>
            <w:noWrap/>
            <w:vAlign w:val="center"/>
            <w:hideMark/>
          </w:tcPr>
          <w:p w14:paraId="4124A915"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0.049</w:t>
            </w:r>
          </w:p>
        </w:tc>
        <w:tc>
          <w:tcPr>
            <w:tcW w:w="748" w:type="dxa"/>
            <w:tcBorders>
              <w:top w:val="nil"/>
              <w:left w:val="nil"/>
              <w:bottom w:val="single" w:sz="4" w:space="0" w:color="auto"/>
              <w:right w:val="single" w:sz="4" w:space="0" w:color="auto"/>
            </w:tcBorders>
            <w:shd w:val="clear" w:color="auto" w:fill="auto"/>
            <w:noWrap/>
            <w:vAlign w:val="center"/>
            <w:hideMark/>
          </w:tcPr>
          <w:p w14:paraId="36775123"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0.042</w:t>
            </w:r>
          </w:p>
        </w:tc>
        <w:tc>
          <w:tcPr>
            <w:tcW w:w="1025" w:type="dxa"/>
            <w:tcBorders>
              <w:top w:val="nil"/>
              <w:left w:val="nil"/>
              <w:bottom w:val="single" w:sz="4" w:space="0" w:color="auto"/>
              <w:right w:val="single" w:sz="4" w:space="0" w:color="auto"/>
            </w:tcBorders>
            <w:shd w:val="clear" w:color="auto" w:fill="auto"/>
            <w:noWrap/>
            <w:vAlign w:val="center"/>
            <w:hideMark/>
          </w:tcPr>
          <w:p w14:paraId="1A7082A2"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r w:rsidR="000C7C40" w:rsidRPr="002B2491" w14:paraId="214F70F3" w14:textId="77777777" w:rsidTr="005C665A">
        <w:trPr>
          <w:trHeight w:val="274"/>
          <w:jc w:val="center"/>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48FF1DA1"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Homocysteine</w:t>
            </w:r>
          </w:p>
        </w:tc>
        <w:tc>
          <w:tcPr>
            <w:tcW w:w="768" w:type="dxa"/>
            <w:tcBorders>
              <w:top w:val="nil"/>
              <w:left w:val="nil"/>
              <w:bottom w:val="single" w:sz="4" w:space="0" w:color="auto"/>
              <w:right w:val="single" w:sz="4" w:space="0" w:color="auto"/>
            </w:tcBorders>
            <w:shd w:val="clear" w:color="auto" w:fill="auto"/>
            <w:noWrap/>
            <w:vAlign w:val="center"/>
            <w:hideMark/>
          </w:tcPr>
          <w:p w14:paraId="7E208F76"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C00155</w:t>
            </w:r>
          </w:p>
        </w:tc>
        <w:tc>
          <w:tcPr>
            <w:tcW w:w="1012" w:type="dxa"/>
            <w:tcBorders>
              <w:top w:val="nil"/>
              <w:left w:val="nil"/>
              <w:bottom w:val="single" w:sz="4" w:space="0" w:color="auto"/>
              <w:right w:val="single" w:sz="4" w:space="0" w:color="auto"/>
            </w:tcBorders>
            <w:shd w:val="clear" w:color="auto" w:fill="auto"/>
            <w:noWrap/>
            <w:vAlign w:val="center"/>
            <w:hideMark/>
          </w:tcPr>
          <w:p w14:paraId="422CAA3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0.138</w:t>
            </w:r>
          </w:p>
        </w:tc>
        <w:tc>
          <w:tcPr>
            <w:tcW w:w="1170" w:type="dxa"/>
            <w:tcBorders>
              <w:top w:val="nil"/>
              <w:left w:val="nil"/>
              <w:bottom w:val="single" w:sz="4" w:space="0" w:color="auto"/>
              <w:right w:val="single" w:sz="4" w:space="0" w:color="auto"/>
            </w:tcBorders>
            <w:shd w:val="clear" w:color="auto" w:fill="auto"/>
            <w:noWrap/>
            <w:vAlign w:val="center"/>
            <w:hideMark/>
          </w:tcPr>
          <w:p w14:paraId="468BB01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77F02D16"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0.002</w:t>
            </w:r>
          </w:p>
        </w:tc>
        <w:tc>
          <w:tcPr>
            <w:tcW w:w="714" w:type="dxa"/>
            <w:tcBorders>
              <w:top w:val="nil"/>
              <w:left w:val="nil"/>
              <w:bottom w:val="single" w:sz="4" w:space="0" w:color="auto"/>
              <w:right w:val="single" w:sz="4" w:space="0" w:color="auto"/>
            </w:tcBorders>
            <w:shd w:val="clear" w:color="auto" w:fill="auto"/>
            <w:noWrap/>
            <w:vAlign w:val="center"/>
            <w:hideMark/>
          </w:tcPr>
          <w:p w14:paraId="53FE9C0D"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0.019</w:t>
            </w:r>
          </w:p>
        </w:tc>
        <w:tc>
          <w:tcPr>
            <w:tcW w:w="750" w:type="dxa"/>
            <w:tcBorders>
              <w:top w:val="nil"/>
              <w:left w:val="nil"/>
              <w:bottom w:val="single" w:sz="4" w:space="0" w:color="auto"/>
              <w:right w:val="single" w:sz="4" w:space="0" w:color="auto"/>
            </w:tcBorders>
            <w:shd w:val="clear" w:color="auto" w:fill="auto"/>
            <w:noWrap/>
            <w:vAlign w:val="center"/>
            <w:hideMark/>
          </w:tcPr>
          <w:p w14:paraId="69B590B0"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578" w:type="dxa"/>
            <w:tcBorders>
              <w:top w:val="nil"/>
              <w:left w:val="nil"/>
              <w:bottom w:val="single" w:sz="4" w:space="0" w:color="auto"/>
              <w:right w:val="single" w:sz="4" w:space="0" w:color="auto"/>
            </w:tcBorders>
            <w:shd w:val="clear" w:color="auto" w:fill="auto"/>
            <w:noWrap/>
            <w:vAlign w:val="center"/>
            <w:hideMark/>
          </w:tcPr>
          <w:p w14:paraId="757C9457"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748" w:type="dxa"/>
            <w:tcBorders>
              <w:top w:val="nil"/>
              <w:left w:val="nil"/>
              <w:bottom w:val="single" w:sz="4" w:space="0" w:color="auto"/>
              <w:right w:val="single" w:sz="4" w:space="0" w:color="auto"/>
            </w:tcBorders>
            <w:shd w:val="clear" w:color="auto" w:fill="auto"/>
            <w:noWrap/>
            <w:vAlign w:val="center"/>
            <w:hideMark/>
          </w:tcPr>
          <w:p w14:paraId="4753B6BB"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c>
          <w:tcPr>
            <w:tcW w:w="1025" w:type="dxa"/>
            <w:tcBorders>
              <w:top w:val="nil"/>
              <w:left w:val="nil"/>
              <w:bottom w:val="single" w:sz="4" w:space="0" w:color="auto"/>
              <w:right w:val="single" w:sz="4" w:space="0" w:color="auto"/>
            </w:tcBorders>
            <w:shd w:val="clear" w:color="auto" w:fill="auto"/>
            <w:noWrap/>
            <w:vAlign w:val="center"/>
            <w:hideMark/>
          </w:tcPr>
          <w:p w14:paraId="7195F7C7" w14:textId="77777777" w:rsidR="00911360" w:rsidRPr="000C7C40" w:rsidRDefault="00911360" w:rsidP="00E34316">
            <w:pPr>
              <w:jc w:val="center"/>
              <w:rPr>
                <w:rFonts w:ascii="Times New Roman" w:hAnsi="Times New Roman" w:cs="Times New Roman"/>
                <w:color w:val="000000"/>
                <w:sz w:val="16"/>
                <w:szCs w:val="16"/>
              </w:rPr>
            </w:pPr>
            <w:r w:rsidRPr="000C7C40">
              <w:rPr>
                <w:rFonts w:ascii="Times New Roman" w:hAnsi="Times New Roman" w:cs="Times New Roman"/>
                <w:color w:val="000000"/>
                <w:sz w:val="16"/>
                <w:szCs w:val="16"/>
              </w:rPr>
              <w:t>NA</w:t>
            </w:r>
          </w:p>
        </w:tc>
      </w:tr>
    </w:tbl>
    <w:p w14:paraId="77385475" w14:textId="77777777" w:rsidR="00412E33" w:rsidRDefault="00412E33" w:rsidP="00F3560F">
      <w:pPr>
        <w:jc w:val="both"/>
        <w:rPr>
          <w:rFonts w:ascii="Times New Roman" w:hAnsi="Times New Roman" w:cs="Times New Roman"/>
          <w:bCs/>
          <w:color w:val="000000"/>
        </w:rPr>
      </w:pPr>
    </w:p>
    <w:p w14:paraId="5FEE9A51" w14:textId="50D367C3" w:rsidR="00600C14" w:rsidRDefault="00600C14" w:rsidP="00F3560F">
      <w:pPr>
        <w:jc w:val="both"/>
        <w:rPr>
          <w:rFonts w:ascii="Times New Roman" w:hAnsi="Times New Roman" w:cs="Times New Roman"/>
          <w:bCs/>
          <w:color w:val="000000"/>
        </w:rPr>
      </w:pPr>
    </w:p>
    <w:p w14:paraId="59407463" w14:textId="1C12C6DC" w:rsidR="00600C14" w:rsidRDefault="00600C14" w:rsidP="00F3560F">
      <w:pPr>
        <w:jc w:val="both"/>
        <w:rPr>
          <w:rFonts w:ascii="Times New Roman" w:hAnsi="Times New Roman" w:cs="Times New Roman"/>
          <w:bCs/>
          <w:color w:val="000000"/>
        </w:rPr>
      </w:pPr>
    </w:p>
    <w:p w14:paraId="17639A00" w14:textId="77777777" w:rsidR="00600C14" w:rsidRDefault="00600C14" w:rsidP="00F3560F">
      <w:pPr>
        <w:jc w:val="both"/>
        <w:rPr>
          <w:rFonts w:ascii="Times New Roman" w:hAnsi="Times New Roman" w:cs="Times New Roman"/>
          <w:bCs/>
          <w:color w:val="000000"/>
        </w:rPr>
      </w:pPr>
    </w:p>
    <w:p w14:paraId="1AF45E07" w14:textId="6317AEB1" w:rsidR="00F3560F" w:rsidRDefault="00600C14" w:rsidP="00F3560F">
      <w:pPr>
        <w:jc w:val="both"/>
        <w:rPr>
          <w:rFonts w:ascii="Times New Roman" w:hAnsi="Times New Roman" w:cs="Times New Roman"/>
          <w:b/>
          <w:color w:val="000000"/>
        </w:rPr>
      </w:pPr>
      <w:r w:rsidRPr="00600C14">
        <w:rPr>
          <w:rFonts w:ascii="Times New Roman" w:hAnsi="Times New Roman" w:cs="Times New Roman"/>
          <w:b/>
          <w:color w:val="000000"/>
        </w:rPr>
        <w:lastRenderedPageBreak/>
        <w:t>Table 4 continued</w:t>
      </w:r>
    </w:p>
    <w:p w14:paraId="1E959B16" w14:textId="77777777" w:rsidR="00600C14" w:rsidRPr="00600C14" w:rsidRDefault="00600C14" w:rsidP="00F3560F">
      <w:pPr>
        <w:jc w:val="both"/>
        <w:rPr>
          <w:rFonts w:ascii="Times New Roman" w:hAnsi="Times New Roman" w:cs="Times New Roman"/>
          <w:b/>
          <w:color w:val="000000"/>
        </w:rPr>
      </w:pPr>
    </w:p>
    <w:tbl>
      <w:tblPr>
        <w:tblW w:w="9465" w:type="dxa"/>
        <w:jc w:val="center"/>
        <w:tblLook w:val="04A0" w:firstRow="1" w:lastRow="0" w:firstColumn="1" w:lastColumn="0" w:noHBand="0" w:noVBand="1"/>
      </w:tblPr>
      <w:tblGrid>
        <w:gridCol w:w="1931"/>
        <w:gridCol w:w="768"/>
        <w:gridCol w:w="1006"/>
        <w:gridCol w:w="990"/>
        <w:gridCol w:w="810"/>
        <w:gridCol w:w="720"/>
        <w:gridCol w:w="810"/>
        <w:gridCol w:w="720"/>
        <w:gridCol w:w="720"/>
        <w:gridCol w:w="1025"/>
      </w:tblGrid>
      <w:tr w:rsidR="00AF45EA" w:rsidRPr="002B2491" w14:paraId="6AB13642" w14:textId="77777777" w:rsidTr="005C665A">
        <w:trPr>
          <w:trHeight w:val="312"/>
          <w:jc w:val="center"/>
        </w:trPr>
        <w:tc>
          <w:tcPr>
            <w:tcW w:w="193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F301B" w14:textId="6C4C338D" w:rsidR="00AF45EA" w:rsidRPr="005C665A" w:rsidRDefault="00AF45EA" w:rsidP="00AF45EA">
            <w:pPr>
              <w:jc w:val="center"/>
              <w:rPr>
                <w:rFonts w:ascii="Times New Roman" w:hAnsi="Times New Roman" w:cs="Times New Roman"/>
                <w:b/>
                <w:bCs/>
                <w:color w:val="000000"/>
                <w:sz w:val="16"/>
                <w:szCs w:val="16"/>
              </w:rPr>
            </w:pPr>
            <w:r w:rsidRPr="005C665A">
              <w:rPr>
                <w:rFonts w:ascii="Times New Roman" w:hAnsi="Times New Roman" w:cs="Times New Roman"/>
                <w:b/>
                <w:bCs/>
                <w:color w:val="000000"/>
                <w:sz w:val="16"/>
                <w:szCs w:val="16"/>
              </w:rPr>
              <w:t>Metabolite</w:t>
            </w:r>
          </w:p>
        </w:tc>
        <w:tc>
          <w:tcPr>
            <w:tcW w:w="76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54695" w14:textId="77777777" w:rsidR="00AF45EA" w:rsidRPr="005C665A" w:rsidRDefault="00AF45EA" w:rsidP="00AF45EA">
            <w:pPr>
              <w:jc w:val="center"/>
              <w:rPr>
                <w:rFonts w:ascii="Times New Roman" w:hAnsi="Times New Roman" w:cs="Times New Roman"/>
                <w:b/>
                <w:bCs/>
                <w:color w:val="000000"/>
                <w:sz w:val="16"/>
                <w:szCs w:val="16"/>
                <w:vertAlign w:val="superscript"/>
              </w:rPr>
            </w:pPr>
            <w:r w:rsidRPr="005C665A">
              <w:rPr>
                <w:rFonts w:ascii="Times New Roman" w:hAnsi="Times New Roman" w:cs="Times New Roman"/>
                <w:b/>
                <w:bCs/>
                <w:color w:val="000000"/>
                <w:sz w:val="16"/>
                <w:szCs w:val="16"/>
              </w:rPr>
              <w:t>KEGG ID</w:t>
            </w:r>
            <w:r w:rsidRPr="005C665A">
              <w:rPr>
                <w:rFonts w:ascii="Times New Roman" w:hAnsi="Times New Roman" w:cs="Times New Roman"/>
                <w:b/>
                <w:bCs/>
                <w:color w:val="000000"/>
                <w:sz w:val="16"/>
                <w:szCs w:val="16"/>
                <w:vertAlign w:val="superscript"/>
              </w:rPr>
              <w:t>1</w:t>
            </w:r>
          </w:p>
        </w:tc>
        <w:tc>
          <w:tcPr>
            <w:tcW w:w="6766" w:type="dxa"/>
            <w:gridSpan w:val="8"/>
            <w:tcBorders>
              <w:top w:val="single" w:sz="4" w:space="0" w:color="auto"/>
              <w:left w:val="nil"/>
              <w:bottom w:val="single" w:sz="4" w:space="0" w:color="auto"/>
              <w:right w:val="single" w:sz="4" w:space="0" w:color="000000"/>
            </w:tcBorders>
            <w:shd w:val="clear" w:color="auto" w:fill="auto"/>
            <w:noWrap/>
            <w:vAlign w:val="center"/>
            <w:hideMark/>
          </w:tcPr>
          <w:p w14:paraId="6BD1CCF8" w14:textId="77777777" w:rsidR="00AF45EA" w:rsidRPr="005C665A" w:rsidRDefault="00AF45EA" w:rsidP="00AF45EA">
            <w:pPr>
              <w:jc w:val="center"/>
              <w:rPr>
                <w:rFonts w:ascii="Times New Roman" w:hAnsi="Times New Roman" w:cs="Times New Roman"/>
                <w:b/>
                <w:bCs/>
                <w:color w:val="000000"/>
                <w:sz w:val="16"/>
                <w:szCs w:val="16"/>
                <w:vertAlign w:val="superscript"/>
              </w:rPr>
            </w:pPr>
            <w:r w:rsidRPr="005C665A">
              <w:rPr>
                <w:rFonts w:ascii="Times New Roman" w:hAnsi="Times New Roman" w:cs="Times New Roman"/>
                <w:b/>
                <w:bCs/>
                <w:color w:val="000000"/>
                <w:sz w:val="16"/>
                <w:szCs w:val="16"/>
              </w:rPr>
              <w:t>False Discovery Rate</w:t>
            </w:r>
          </w:p>
        </w:tc>
      </w:tr>
      <w:tr w:rsidR="00AF45EA" w:rsidRPr="002B2491" w14:paraId="2DC0BF72" w14:textId="77777777" w:rsidTr="005C665A">
        <w:trPr>
          <w:trHeight w:val="312"/>
          <w:jc w:val="center"/>
        </w:trPr>
        <w:tc>
          <w:tcPr>
            <w:tcW w:w="1931" w:type="dxa"/>
            <w:vMerge/>
            <w:tcBorders>
              <w:top w:val="single" w:sz="4" w:space="0" w:color="auto"/>
              <w:left w:val="single" w:sz="4" w:space="0" w:color="auto"/>
              <w:bottom w:val="single" w:sz="4" w:space="0" w:color="auto"/>
              <w:right w:val="single" w:sz="4" w:space="0" w:color="auto"/>
            </w:tcBorders>
            <w:vAlign w:val="center"/>
            <w:hideMark/>
          </w:tcPr>
          <w:p w14:paraId="2B7B7F09" w14:textId="77777777" w:rsidR="00AF45EA" w:rsidRPr="005C665A" w:rsidRDefault="00AF45EA" w:rsidP="00AF45EA">
            <w:pPr>
              <w:rPr>
                <w:rFonts w:ascii="Times New Roman" w:hAnsi="Times New Roman" w:cs="Times New Roman"/>
                <w:b/>
                <w:bCs/>
                <w:color w:val="000000"/>
                <w:sz w:val="16"/>
                <w:szCs w:val="16"/>
              </w:rPr>
            </w:pPr>
          </w:p>
        </w:tc>
        <w:tc>
          <w:tcPr>
            <w:tcW w:w="768" w:type="dxa"/>
            <w:vMerge/>
            <w:tcBorders>
              <w:top w:val="single" w:sz="4" w:space="0" w:color="auto"/>
              <w:left w:val="single" w:sz="4" w:space="0" w:color="auto"/>
              <w:bottom w:val="single" w:sz="4" w:space="0" w:color="auto"/>
              <w:right w:val="single" w:sz="4" w:space="0" w:color="auto"/>
            </w:tcBorders>
            <w:vAlign w:val="center"/>
            <w:hideMark/>
          </w:tcPr>
          <w:p w14:paraId="3BC535D1" w14:textId="77777777" w:rsidR="00AF45EA" w:rsidRPr="005C665A" w:rsidRDefault="00AF45EA" w:rsidP="00AF45EA">
            <w:pPr>
              <w:rPr>
                <w:rFonts w:ascii="Times New Roman" w:hAnsi="Times New Roman" w:cs="Times New Roman"/>
                <w:b/>
                <w:bCs/>
                <w:color w:val="000000"/>
                <w:sz w:val="16"/>
                <w:szCs w:val="16"/>
              </w:rPr>
            </w:pPr>
          </w:p>
        </w:tc>
        <w:tc>
          <w:tcPr>
            <w:tcW w:w="1006" w:type="dxa"/>
            <w:tcBorders>
              <w:top w:val="nil"/>
              <w:left w:val="nil"/>
              <w:bottom w:val="single" w:sz="4" w:space="0" w:color="auto"/>
              <w:right w:val="single" w:sz="4" w:space="0" w:color="auto"/>
            </w:tcBorders>
            <w:shd w:val="clear" w:color="auto" w:fill="auto"/>
            <w:noWrap/>
            <w:vAlign w:val="center"/>
            <w:hideMark/>
          </w:tcPr>
          <w:p w14:paraId="17AE5996" w14:textId="6B047A57" w:rsidR="00AF45EA" w:rsidRPr="005C665A" w:rsidRDefault="00AF45EA" w:rsidP="00AF45EA">
            <w:pPr>
              <w:jc w:val="center"/>
              <w:rPr>
                <w:rFonts w:ascii="Times New Roman" w:hAnsi="Times New Roman" w:cs="Times New Roman"/>
                <w:bCs/>
                <w:color w:val="000000"/>
                <w:sz w:val="16"/>
                <w:szCs w:val="16"/>
              </w:rPr>
            </w:pPr>
            <w:r w:rsidRPr="005C665A">
              <w:rPr>
                <w:rFonts w:ascii="Times New Roman" w:hAnsi="Times New Roman" w:cs="Times New Roman"/>
                <w:b/>
                <w:bCs/>
                <w:color w:val="000000"/>
                <w:sz w:val="16"/>
                <w:szCs w:val="16"/>
              </w:rPr>
              <w:t>Serum E2</w:t>
            </w:r>
            <w:r w:rsidRPr="005C665A">
              <w:rPr>
                <w:rFonts w:ascii="Times New Roman" w:hAnsi="Times New Roman" w:cs="Times New Roman"/>
                <w:b/>
                <w:bCs/>
                <w:color w:val="000000"/>
                <w:sz w:val="16"/>
                <w:szCs w:val="16"/>
                <w:vertAlign w:val="superscript"/>
              </w:rPr>
              <w:t>2</w:t>
            </w:r>
            <w:r w:rsidRPr="005C665A">
              <w:rPr>
                <w:rFonts w:ascii="Times New Roman" w:hAnsi="Times New Roman" w:cs="Times New Roman"/>
                <w:b/>
                <w:bCs/>
                <w:color w:val="000000"/>
                <w:sz w:val="16"/>
                <w:szCs w:val="16"/>
              </w:rPr>
              <w:t xml:space="preserve"> at GnRH2</w:t>
            </w:r>
            <w:r w:rsidRPr="005C665A">
              <w:rPr>
                <w:rFonts w:ascii="Times New Roman" w:hAnsi="Times New Roman" w:cs="Times New Roman"/>
                <w:b/>
                <w:bCs/>
                <w:color w:val="000000"/>
                <w:sz w:val="16"/>
                <w:szCs w:val="16"/>
                <w:vertAlign w:val="superscript"/>
              </w:rPr>
              <w:t xml:space="preserve">3 </w:t>
            </w:r>
            <w:r w:rsidRPr="005C665A">
              <w:rPr>
                <w:rFonts w:ascii="Times New Roman" w:hAnsi="Times New Roman" w:cs="Times New Roman"/>
                <w:b/>
                <w:bCs/>
                <w:color w:val="000000"/>
                <w:sz w:val="16"/>
                <w:szCs w:val="16"/>
              </w:rPr>
              <w:t>(</w:t>
            </w:r>
            <w:proofErr w:type="spellStart"/>
            <w:r w:rsidRPr="005C665A">
              <w:rPr>
                <w:rFonts w:ascii="Times New Roman" w:hAnsi="Times New Roman" w:cs="Times New Roman"/>
                <w:b/>
                <w:bCs/>
                <w:color w:val="000000"/>
                <w:sz w:val="16"/>
                <w:szCs w:val="16"/>
              </w:rPr>
              <w:t>pg</w:t>
            </w:r>
            <w:proofErr w:type="spellEnd"/>
            <w:r w:rsidRPr="005C665A">
              <w:rPr>
                <w:rFonts w:ascii="Times New Roman" w:hAnsi="Times New Roman" w:cs="Times New Roman"/>
                <w:b/>
                <w:bCs/>
                <w:color w:val="000000"/>
                <w:sz w:val="16"/>
                <w:szCs w:val="16"/>
              </w:rPr>
              <w:t>/ml)</w:t>
            </w:r>
          </w:p>
        </w:tc>
        <w:tc>
          <w:tcPr>
            <w:tcW w:w="990" w:type="dxa"/>
            <w:tcBorders>
              <w:top w:val="nil"/>
              <w:left w:val="nil"/>
              <w:bottom w:val="single" w:sz="4" w:space="0" w:color="auto"/>
              <w:right w:val="single" w:sz="4" w:space="0" w:color="auto"/>
            </w:tcBorders>
            <w:shd w:val="clear" w:color="auto" w:fill="auto"/>
            <w:noWrap/>
            <w:vAlign w:val="center"/>
            <w:hideMark/>
          </w:tcPr>
          <w:p w14:paraId="16AF8DFC" w14:textId="28DB04FC" w:rsidR="00AF45EA" w:rsidRPr="005C665A" w:rsidRDefault="00AF45EA" w:rsidP="00AF45EA">
            <w:pPr>
              <w:jc w:val="center"/>
              <w:rPr>
                <w:rFonts w:ascii="Times New Roman" w:hAnsi="Times New Roman" w:cs="Times New Roman"/>
                <w:bCs/>
                <w:color w:val="000000"/>
                <w:sz w:val="16"/>
                <w:szCs w:val="16"/>
              </w:rPr>
            </w:pPr>
            <w:r w:rsidRPr="005C665A">
              <w:rPr>
                <w:rFonts w:ascii="Times New Roman" w:hAnsi="Times New Roman" w:cs="Times New Roman"/>
                <w:b/>
                <w:bCs/>
                <w:color w:val="000000"/>
                <w:sz w:val="16"/>
                <w:szCs w:val="16"/>
              </w:rPr>
              <w:t>Follicle diameter at GnRH2 (mm)</w:t>
            </w:r>
          </w:p>
        </w:tc>
        <w:tc>
          <w:tcPr>
            <w:tcW w:w="810" w:type="dxa"/>
            <w:tcBorders>
              <w:top w:val="nil"/>
              <w:left w:val="nil"/>
              <w:bottom w:val="single" w:sz="4" w:space="0" w:color="auto"/>
              <w:right w:val="single" w:sz="4" w:space="0" w:color="auto"/>
            </w:tcBorders>
            <w:shd w:val="clear" w:color="auto" w:fill="auto"/>
            <w:noWrap/>
            <w:vAlign w:val="center"/>
            <w:hideMark/>
          </w:tcPr>
          <w:p w14:paraId="67E6C2C1" w14:textId="416EF7DF" w:rsidR="00AF45EA" w:rsidRPr="005C665A" w:rsidRDefault="00AF45EA" w:rsidP="00AF45EA">
            <w:pPr>
              <w:jc w:val="center"/>
              <w:rPr>
                <w:rFonts w:ascii="Times New Roman" w:hAnsi="Times New Roman" w:cs="Times New Roman"/>
                <w:bCs/>
                <w:color w:val="000000"/>
                <w:sz w:val="16"/>
                <w:szCs w:val="16"/>
              </w:rPr>
            </w:pPr>
            <w:r w:rsidRPr="005C665A">
              <w:rPr>
                <w:rFonts w:ascii="Times New Roman" w:hAnsi="Times New Roman" w:cs="Times New Roman"/>
                <w:b/>
                <w:bCs/>
                <w:color w:val="000000"/>
                <w:sz w:val="16"/>
                <w:szCs w:val="16"/>
              </w:rPr>
              <w:t>FF</w:t>
            </w:r>
            <w:r w:rsidRPr="005C665A">
              <w:rPr>
                <w:rFonts w:ascii="Times New Roman" w:hAnsi="Times New Roman" w:cs="Times New Roman"/>
                <w:b/>
                <w:bCs/>
                <w:color w:val="000000"/>
                <w:sz w:val="16"/>
                <w:szCs w:val="16"/>
                <w:vertAlign w:val="superscript"/>
              </w:rPr>
              <w:t>4</w:t>
            </w:r>
            <w:r w:rsidRPr="005C665A">
              <w:rPr>
                <w:rFonts w:ascii="Times New Roman" w:hAnsi="Times New Roman" w:cs="Times New Roman"/>
                <w:b/>
                <w:bCs/>
                <w:color w:val="000000"/>
                <w:sz w:val="16"/>
                <w:szCs w:val="16"/>
              </w:rPr>
              <w:t xml:space="preserve"> P4</w:t>
            </w:r>
            <w:r w:rsidRPr="005C665A">
              <w:rPr>
                <w:rFonts w:ascii="Times New Roman" w:hAnsi="Times New Roman" w:cs="Times New Roman"/>
                <w:b/>
                <w:bCs/>
                <w:color w:val="000000"/>
                <w:sz w:val="16"/>
                <w:szCs w:val="16"/>
                <w:vertAlign w:val="superscript"/>
              </w:rPr>
              <w:t>5</w:t>
            </w:r>
            <w:r w:rsidRPr="005C665A">
              <w:rPr>
                <w:rFonts w:ascii="Times New Roman" w:hAnsi="Times New Roman" w:cs="Times New Roman"/>
                <w:b/>
                <w:bCs/>
                <w:color w:val="000000"/>
                <w:sz w:val="16"/>
                <w:szCs w:val="16"/>
              </w:rPr>
              <w:t xml:space="preserve"> at FA</w:t>
            </w:r>
            <w:r w:rsidRPr="005C665A">
              <w:rPr>
                <w:rFonts w:ascii="Times New Roman" w:hAnsi="Times New Roman" w:cs="Times New Roman"/>
                <w:b/>
                <w:bCs/>
                <w:color w:val="000000"/>
                <w:sz w:val="16"/>
                <w:szCs w:val="16"/>
                <w:vertAlign w:val="superscript"/>
              </w:rPr>
              <w:t>6</w:t>
            </w:r>
            <w:r w:rsidRPr="005C665A">
              <w:rPr>
                <w:rFonts w:ascii="Times New Roman" w:hAnsi="Times New Roman" w:cs="Times New Roman"/>
                <w:b/>
                <w:bCs/>
                <w:color w:val="000000"/>
                <w:sz w:val="16"/>
                <w:szCs w:val="16"/>
              </w:rPr>
              <w:t xml:space="preserve"> (ng/ml) </w:t>
            </w:r>
          </w:p>
        </w:tc>
        <w:tc>
          <w:tcPr>
            <w:tcW w:w="720" w:type="dxa"/>
            <w:tcBorders>
              <w:top w:val="nil"/>
              <w:left w:val="nil"/>
              <w:bottom w:val="single" w:sz="4" w:space="0" w:color="auto"/>
              <w:right w:val="single" w:sz="4" w:space="0" w:color="auto"/>
            </w:tcBorders>
            <w:shd w:val="clear" w:color="auto" w:fill="auto"/>
            <w:noWrap/>
            <w:vAlign w:val="center"/>
            <w:hideMark/>
          </w:tcPr>
          <w:p w14:paraId="1ACA4786" w14:textId="6CB1F555" w:rsidR="00AF45EA" w:rsidRPr="005C665A" w:rsidRDefault="00AF45EA" w:rsidP="00AF45EA">
            <w:pPr>
              <w:jc w:val="center"/>
              <w:rPr>
                <w:rFonts w:ascii="Times New Roman" w:hAnsi="Times New Roman" w:cs="Times New Roman"/>
                <w:bCs/>
                <w:color w:val="000000"/>
                <w:sz w:val="16"/>
                <w:szCs w:val="16"/>
              </w:rPr>
            </w:pPr>
            <w:r w:rsidRPr="005C665A">
              <w:rPr>
                <w:rFonts w:ascii="Times New Roman" w:hAnsi="Times New Roman" w:cs="Times New Roman"/>
                <w:b/>
                <w:bCs/>
                <w:color w:val="000000"/>
                <w:sz w:val="16"/>
                <w:szCs w:val="16"/>
              </w:rPr>
              <w:t>Weight (kg)</w:t>
            </w:r>
          </w:p>
        </w:tc>
        <w:tc>
          <w:tcPr>
            <w:tcW w:w="810" w:type="dxa"/>
            <w:tcBorders>
              <w:top w:val="nil"/>
              <w:left w:val="nil"/>
              <w:bottom w:val="single" w:sz="4" w:space="0" w:color="auto"/>
              <w:right w:val="single" w:sz="4" w:space="0" w:color="auto"/>
            </w:tcBorders>
            <w:shd w:val="clear" w:color="auto" w:fill="auto"/>
            <w:noWrap/>
            <w:vAlign w:val="center"/>
            <w:hideMark/>
          </w:tcPr>
          <w:p w14:paraId="5D269840" w14:textId="49098946" w:rsidR="00AF45EA" w:rsidRPr="005C665A" w:rsidRDefault="00AF45EA" w:rsidP="00AF45EA">
            <w:pPr>
              <w:jc w:val="center"/>
              <w:rPr>
                <w:rFonts w:ascii="Times New Roman" w:hAnsi="Times New Roman" w:cs="Times New Roman"/>
                <w:bCs/>
                <w:color w:val="000000"/>
                <w:sz w:val="16"/>
                <w:szCs w:val="16"/>
              </w:rPr>
            </w:pPr>
            <w:r w:rsidRPr="005C665A">
              <w:rPr>
                <w:rFonts w:ascii="Times New Roman" w:hAnsi="Times New Roman" w:cs="Times New Roman"/>
                <w:b/>
                <w:bCs/>
                <w:color w:val="000000"/>
                <w:sz w:val="16"/>
                <w:szCs w:val="16"/>
              </w:rPr>
              <w:t>Hours GnRH2 to FA</w:t>
            </w:r>
          </w:p>
        </w:tc>
        <w:tc>
          <w:tcPr>
            <w:tcW w:w="720" w:type="dxa"/>
            <w:tcBorders>
              <w:top w:val="nil"/>
              <w:left w:val="nil"/>
              <w:bottom w:val="single" w:sz="4" w:space="0" w:color="auto"/>
              <w:right w:val="single" w:sz="4" w:space="0" w:color="auto"/>
            </w:tcBorders>
            <w:shd w:val="clear" w:color="auto" w:fill="auto"/>
            <w:noWrap/>
            <w:vAlign w:val="center"/>
            <w:hideMark/>
          </w:tcPr>
          <w:p w14:paraId="2CABAE69" w14:textId="036B0841" w:rsidR="00AF45EA" w:rsidRPr="005C665A" w:rsidRDefault="00AF45EA" w:rsidP="00AF45EA">
            <w:pPr>
              <w:jc w:val="center"/>
              <w:rPr>
                <w:rFonts w:ascii="Times New Roman" w:hAnsi="Times New Roman" w:cs="Times New Roman"/>
                <w:bCs/>
                <w:color w:val="000000"/>
                <w:sz w:val="16"/>
                <w:szCs w:val="16"/>
                <w:vertAlign w:val="superscript"/>
              </w:rPr>
            </w:pPr>
            <w:r w:rsidRPr="005C665A">
              <w:rPr>
                <w:rFonts w:ascii="Times New Roman" w:hAnsi="Times New Roman" w:cs="Times New Roman"/>
                <w:b/>
                <w:bCs/>
                <w:color w:val="000000"/>
                <w:sz w:val="16"/>
                <w:szCs w:val="16"/>
              </w:rPr>
              <w:t>BCS</w:t>
            </w:r>
            <w:r w:rsidRPr="005C665A">
              <w:rPr>
                <w:rFonts w:ascii="Times New Roman" w:hAnsi="Times New Roman" w:cs="Times New Roman"/>
                <w:b/>
                <w:bCs/>
                <w:color w:val="000000"/>
                <w:sz w:val="16"/>
                <w:szCs w:val="16"/>
                <w:vertAlign w:val="superscript"/>
              </w:rPr>
              <w:t>7</w:t>
            </w:r>
          </w:p>
        </w:tc>
        <w:tc>
          <w:tcPr>
            <w:tcW w:w="720" w:type="dxa"/>
            <w:tcBorders>
              <w:top w:val="nil"/>
              <w:left w:val="nil"/>
              <w:bottom w:val="single" w:sz="4" w:space="0" w:color="auto"/>
              <w:right w:val="single" w:sz="4" w:space="0" w:color="auto"/>
            </w:tcBorders>
            <w:shd w:val="clear" w:color="auto" w:fill="auto"/>
            <w:noWrap/>
            <w:vAlign w:val="center"/>
            <w:hideMark/>
          </w:tcPr>
          <w:p w14:paraId="514EBFD8" w14:textId="721422DA" w:rsidR="00AF45EA" w:rsidRPr="005C665A" w:rsidRDefault="00AF45EA" w:rsidP="00AF45EA">
            <w:pPr>
              <w:jc w:val="center"/>
              <w:rPr>
                <w:rFonts w:ascii="Times New Roman" w:hAnsi="Times New Roman" w:cs="Times New Roman"/>
                <w:bCs/>
                <w:color w:val="000000"/>
                <w:sz w:val="16"/>
                <w:szCs w:val="16"/>
              </w:rPr>
            </w:pPr>
            <w:r w:rsidRPr="005C665A">
              <w:rPr>
                <w:rFonts w:ascii="Times New Roman" w:hAnsi="Times New Roman" w:cs="Times New Roman"/>
                <w:b/>
                <w:bCs/>
                <w:color w:val="000000"/>
                <w:sz w:val="16"/>
                <w:szCs w:val="16"/>
              </w:rPr>
              <w:t>FF E2 at FA (ng/ml)</w:t>
            </w:r>
          </w:p>
        </w:tc>
        <w:tc>
          <w:tcPr>
            <w:tcW w:w="990" w:type="dxa"/>
            <w:tcBorders>
              <w:top w:val="nil"/>
              <w:left w:val="nil"/>
              <w:bottom w:val="single" w:sz="4" w:space="0" w:color="auto"/>
              <w:right w:val="single" w:sz="4" w:space="0" w:color="auto"/>
            </w:tcBorders>
            <w:shd w:val="clear" w:color="auto" w:fill="auto"/>
            <w:noWrap/>
            <w:vAlign w:val="center"/>
            <w:hideMark/>
          </w:tcPr>
          <w:p w14:paraId="5522A92B" w14:textId="7C960871" w:rsidR="00AF45EA" w:rsidRPr="005C665A" w:rsidRDefault="00AF45EA" w:rsidP="00AF45EA">
            <w:pPr>
              <w:jc w:val="center"/>
              <w:rPr>
                <w:rFonts w:ascii="Times New Roman" w:hAnsi="Times New Roman" w:cs="Times New Roman"/>
                <w:bCs/>
                <w:color w:val="000000"/>
                <w:sz w:val="16"/>
                <w:szCs w:val="16"/>
              </w:rPr>
            </w:pPr>
            <w:r w:rsidRPr="005C665A">
              <w:rPr>
                <w:rFonts w:ascii="Times New Roman" w:hAnsi="Times New Roman" w:cs="Times New Roman"/>
                <w:b/>
                <w:bCs/>
                <w:color w:val="000000"/>
                <w:sz w:val="16"/>
                <w:szCs w:val="16"/>
              </w:rPr>
              <w:t>Days Postpartum</w:t>
            </w:r>
          </w:p>
        </w:tc>
      </w:tr>
      <w:tr w:rsidR="00AF45EA" w:rsidRPr="002B2491" w14:paraId="2190FD9A"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567D56AC" w14:textId="3081A9DC"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Kynurenine</w:t>
            </w:r>
          </w:p>
        </w:tc>
        <w:tc>
          <w:tcPr>
            <w:tcW w:w="768" w:type="dxa"/>
            <w:tcBorders>
              <w:top w:val="nil"/>
              <w:left w:val="nil"/>
              <w:bottom w:val="single" w:sz="4" w:space="0" w:color="auto"/>
              <w:right w:val="single" w:sz="4" w:space="0" w:color="auto"/>
            </w:tcBorders>
            <w:shd w:val="clear" w:color="auto" w:fill="auto"/>
            <w:noWrap/>
            <w:vAlign w:val="center"/>
            <w:hideMark/>
          </w:tcPr>
          <w:p w14:paraId="2172F1A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C00328</w:t>
            </w:r>
          </w:p>
        </w:tc>
        <w:tc>
          <w:tcPr>
            <w:tcW w:w="1006" w:type="dxa"/>
            <w:tcBorders>
              <w:top w:val="nil"/>
              <w:left w:val="nil"/>
              <w:bottom w:val="single" w:sz="4" w:space="0" w:color="auto"/>
              <w:right w:val="single" w:sz="4" w:space="0" w:color="auto"/>
            </w:tcBorders>
            <w:shd w:val="clear" w:color="auto" w:fill="auto"/>
            <w:noWrap/>
            <w:vAlign w:val="center"/>
            <w:hideMark/>
          </w:tcPr>
          <w:p w14:paraId="51AD867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0.138</w:t>
            </w:r>
          </w:p>
        </w:tc>
        <w:tc>
          <w:tcPr>
            <w:tcW w:w="990" w:type="dxa"/>
            <w:tcBorders>
              <w:top w:val="nil"/>
              <w:left w:val="nil"/>
              <w:bottom w:val="single" w:sz="4" w:space="0" w:color="auto"/>
              <w:right w:val="single" w:sz="4" w:space="0" w:color="auto"/>
            </w:tcBorders>
            <w:shd w:val="clear" w:color="auto" w:fill="auto"/>
            <w:noWrap/>
            <w:vAlign w:val="center"/>
            <w:hideMark/>
          </w:tcPr>
          <w:p w14:paraId="090C1AD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306E3F8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0.009</w:t>
            </w:r>
          </w:p>
        </w:tc>
        <w:tc>
          <w:tcPr>
            <w:tcW w:w="720" w:type="dxa"/>
            <w:tcBorders>
              <w:top w:val="nil"/>
              <w:left w:val="nil"/>
              <w:bottom w:val="single" w:sz="4" w:space="0" w:color="auto"/>
              <w:right w:val="single" w:sz="4" w:space="0" w:color="auto"/>
            </w:tcBorders>
            <w:shd w:val="clear" w:color="auto" w:fill="auto"/>
            <w:noWrap/>
            <w:vAlign w:val="center"/>
            <w:hideMark/>
          </w:tcPr>
          <w:p w14:paraId="108842A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0.004</w:t>
            </w:r>
          </w:p>
        </w:tc>
        <w:tc>
          <w:tcPr>
            <w:tcW w:w="810" w:type="dxa"/>
            <w:tcBorders>
              <w:top w:val="nil"/>
              <w:left w:val="nil"/>
              <w:bottom w:val="single" w:sz="4" w:space="0" w:color="auto"/>
              <w:right w:val="single" w:sz="4" w:space="0" w:color="auto"/>
            </w:tcBorders>
            <w:shd w:val="clear" w:color="auto" w:fill="auto"/>
            <w:noWrap/>
            <w:vAlign w:val="center"/>
            <w:hideMark/>
          </w:tcPr>
          <w:p w14:paraId="567229B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74B6D63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25444D6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4859369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24855042"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525DCB3F" w14:textId="15EEC94C"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Uridine</w:t>
            </w:r>
          </w:p>
        </w:tc>
        <w:tc>
          <w:tcPr>
            <w:tcW w:w="768" w:type="dxa"/>
            <w:tcBorders>
              <w:top w:val="nil"/>
              <w:left w:val="nil"/>
              <w:bottom w:val="single" w:sz="4" w:space="0" w:color="auto"/>
              <w:right w:val="single" w:sz="4" w:space="0" w:color="auto"/>
            </w:tcBorders>
            <w:shd w:val="clear" w:color="auto" w:fill="auto"/>
            <w:noWrap/>
            <w:vAlign w:val="center"/>
            <w:hideMark/>
          </w:tcPr>
          <w:p w14:paraId="734B029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C00299</w:t>
            </w:r>
          </w:p>
        </w:tc>
        <w:tc>
          <w:tcPr>
            <w:tcW w:w="1006" w:type="dxa"/>
            <w:tcBorders>
              <w:top w:val="nil"/>
              <w:left w:val="nil"/>
              <w:bottom w:val="single" w:sz="4" w:space="0" w:color="auto"/>
              <w:right w:val="single" w:sz="4" w:space="0" w:color="auto"/>
            </w:tcBorders>
            <w:shd w:val="clear" w:color="auto" w:fill="auto"/>
            <w:noWrap/>
            <w:vAlign w:val="center"/>
            <w:hideMark/>
          </w:tcPr>
          <w:p w14:paraId="1FAFE28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0.139</w:t>
            </w:r>
          </w:p>
        </w:tc>
        <w:tc>
          <w:tcPr>
            <w:tcW w:w="990" w:type="dxa"/>
            <w:tcBorders>
              <w:top w:val="nil"/>
              <w:left w:val="nil"/>
              <w:bottom w:val="single" w:sz="4" w:space="0" w:color="auto"/>
              <w:right w:val="single" w:sz="4" w:space="0" w:color="auto"/>
            </w:tcBorders>
            <w:shd w:val="clear" w:color="auto" w:fill="auto"/>
            <w:noWrap/>
            <w:vAlign w:val="center"/>
            <w:hideMark/>
          </w:tcPr>
          <w:p w14:paraId="3992366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393CD8D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0.004</w:t>
            </w:r>
          </w:p>
        </w:tc>
        <w:tc>
          <w:tcPr>
            <w:tcW w:w="720" w:type="dxa"/>
            <w:tcBorders>
              <w:top w:val="nil"/>
              <w:left w:val="nil"/>
              <w:bottom w:val="single" w:sz="4" w:space="0" w:color="auto"/>
              <w:right w:val="single" w:sz="4" w:space="0" w:color="auto"/>
            </w:tcBorders>
            <w:shd w:val="clear" w:color="auto" w:fill="auto"/>
            <w:noWrap/>
            <w:vAlign w:val="center"/>
            <w:hideMark/>
          </w:tcPr>
          <w:p w14:paraId="6E57936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0.017</w:t>
            </w:r>
          </w:p>
        </w:tc>
        <w:tc>
          <w:tcPr>
            <w:tcW w:w="810" w:type="dxa"/>
            <w:tcBorders>
              <w:top w:val="nil"/>
              <w:left w:val="nil"/>
              <w:bottom w:val="single" w:sz="4" w:space="0" w:color="auto"/>
              <w:right w:val="single" w:sz="4" w:space="0" w:color="auto"/>
            </w:tcBorders>
            <w:shd w:val="clear" w:color="auto" w:fill="auto"/>
            <w:noWrap/>
            <w:vAlign w:val="center"/>
            <w:hideMark/>
          </w:tcPr>
          <w:p w14:paraId="30BE0A4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059DA41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0BAD76E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18B64BC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59A52560"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2964B457" w14:textId="69831990"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N-Acetyl-β-Alanine</w:t>
            </w:r>
          </w:p>
        </w:tc>
        <w:tc>
          <w:tcPr>
            <w:tcW w:w="768" w:type="dxa"/>
            <w:tcBorders>
              <w:top w:val="nil"/>
              <w:left w:val="nil"/>
              <w:bottom w:val="single" w:sz="4" w:space="0" w:color="auto"/>
              <w:right w:val="single" w:sz="4" w:space="0" w:color="auto"/>
            </w:tcBorders>
            <w:shd w:val="clear" w:color="auto" w:fill="auto"/>
            <w:noWrap/>
            <w:vAlign w:val="center"/>
            <w:hideMark/>
          </w:tcPr>
          <w:p w14:paraId="1767489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C01073</w:t>
            </w:r>
          </w:p>
        </w:tc>
        <w:tc>
          <w:tcPr>
            <w:tcW w:w="1006" w:type="dxa"/>
            <w:tcBorders>
              <w:top w:val="nil"/>
              <w:left w:val="nil"/>
              <w:bottom w:val="single" w:sz="4" w:space="0" w:color="auto"/>
              <w:right w:val="single" w:sz="4" w:space="0" w:color="auto"/>
            </w:tcBorders>
            <w:shd w:val="clear" w:color="auto" w:fill="auto"/>
            <w:noWrap/>
            <w:vAlign w:val="center"/>
            <w:hideMark/>
          </w:tcPr>
          <w:p w14:paraId="7057D02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0.139</w:t>
            </w:r>
          </w:p>
        </w:tc>
        <w:tc>
          <w:tcPr>
            <w:tcW w:w="990" w:type="dxa"/>
            <w:tcBorders>
              <w:top w:val="nil"/>
              <w:left w:val="nil"/>
              <w:bottom w:val="single" w:sz="4" w:space="0" w:color="auto"/>
              <w:right w:val="single" w:sz="4" w:space="0" w:color="auto"/>
            </w:tcBorders>
            <w:shd w:val="clear" w:color="auto" w:fill="auto"/>
            <w:noWrap/>
            <w:vAlign w:val="center"/>
            <w:hideMark/>
          </w:tcPr>
          <w:p w14:paraId="73D903B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677163D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0.013</w:t>
            </w:r>
          </w:p>
        </w:tc>
        <w:tc>
          <w:tcPr>
            <w:tcW w:w="720" w:type="dxa"/>
            <w:tcBorders>
              <w:top w:val="nil"/>
              <w:left w:val="nil"/>
              <w:bottom w:val="single" w:sz="4" w:space="0" w:color="auto"/>
              <w:right w:val="single" w:sz="4" w:space="0" w:color="auto"/>
            </w:tcBorders>
            <w:shd w:val="clear" w:color="auto" w:fill="auto"/>
            <w:noWrap/>
            <w:vAlign w:val="center"/>
            <w:hideMark/>
          </w:tcPr>
          <w:p w14:paraId="04111F6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0.010</w:t>
            </w:r>
          </w:p>
        </w:tc>
        <w:tc>
          <w:tcPr>
            <w:tcW w:w="810" w:type="dxa"/>
            <w:tcBorders>
              <w:top w:val="nil"/>
              <w:left w:val="nil"/>
              <w:bottom w:val="single" w:sz="4" w:space="0" w:color="auto"/>
              <w:right w:val="single" w:sz="4" w:space="0" w:color="auto"/>
            </w:tcBorders>
            <w:shd w:val="clear" w:color="auto" w:fill="auto"/>
            <w:noWrap/>
            <w:vAlign w:val="center"/>
            <w:hideMark/>
          </w:tcPr>
          <w:p w14:paraId="1FED9D0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79AD4E9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08ACA9C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62FB317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59524AAF"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2F97C5D8" w14:textId="600C2A22"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Glutamine</w:t>
            </w:r>
          </w:p>
        </w:tc>
        <w:tc>
          <w:tcPr>
            <w:tcW w:w="768" w:type="dxa"/>
            <w:tcBorders>
              <w:top w:val="nil"/>
              <w:left w:val="nil"/>
              <w:bottom w:val="single" w:sz="4" w:space="0" w:color="auto"/>
              <w:right w:val="single" w:sz="4" w:space="0" w:color="auto"/>
            </w:tcBorders>
            <w:shd w:val="clear" w:color="auto" w:fill="auto"/>
            <w:noWrap/>
            <w:vAlign w:val="center"/>
            <w:hideMark/>
          </w:tcPr>
          <w:p w14:paraId="6C8DAD8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C00064</w:t>
            </w:r>
          </w:p>
        </w:tc>
        <w:tc>
          <w:tcPr>
            <w:tcW w:w="1006" w:type="dxa"/>
            <w:tcBorders>
              <w:top w:val="nil"/>
              <w:left w:val="nil"/>
              <w:bottom w:val="single" w:sz="4" w:space="0" w:color="auto"/>
              <w:right w:val="single" w:sz="4" w:space="0" w:color="auto"/>
            </w:tcBorders>
            <w:shd w:val="clear" w:color="auto" w:fill="auto"/>
            <w:noWrap/>
            <w:vAlign w:val="center"/>
            <w:hideMark/>
          </w:tcPr>
          <w:p w14:paraId="12463D5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0.140</w:t>
            </w:r>
          </w:p>
        </w:tc>
        <w:tc>
          <w:tcPr>
            <w:tcW w:w="990" w:type="dxa"/>
            <w:tcBorders>
              <w:top w:val="nil"/>
              <w:left w:val="nil"/>
              <w:bottom w:val="single" w:sz="4" w:space="0" w:color="auto"/>
              <w:right w:val="single" w:sz="4" w:space="0" w:color="auto"/>
            </w:tcBorders>
            <w:shd w:val="clear" w:color="auto" w:fill="auto"/>
            <w:noWrap/>
            <w:vAlign w:val="center"/>
            <w:hideMark/>
          </w:tcPr>
          <w:p w14:paraId="2BAC798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12BF86C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0.001</w:t>
            </w:r>
          </w:p>
        </w:tc>
        <w:tc>
          <w:tcPr>
            <w:tcW w:w="720" w:type="dxa"/>
            <w:tcBorders>
              <w:top w:val="nil"/>
              <w:left w:val="nil"/>
              <w:bottom w:val="single" w:sz="4" w:space="0" w:color="auto"/>
              <w:right w:val="single" w:sz="4" w:space="0" w:color="auto"/>
            </w:tcBorders>
            <w:shd w:val="clear" w:color="auto" w:fill="auto"/>
            <w:noWrap/>
            <w:vAlign w:val="center"/>
            <w:hideMark/>
          </w:tcPr>
          <w:p w14:paraId="58A2BD3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0.004</w:t>
            </w:r>
          </w:p>
        </w:tc>
        <w:tc>
          <w:tcPr>
            <w:tcW w:w="810" w:type="dxa"/>
            <w:tcBorders>
              <w:top w:val="nil"/>
              <w:left w:val="nil"/>
              <w:bottom w:val="single" w:sz="4" w:space="0" w:color="auto"/>
              <w:right w:val="single" w:sz="4" w:space="0" w:color="auto"/>
            </w:tcBorders>
            <w:shd w:val="clear" w:color="auto" w:fill="auto"/>
            <w:noWrap/>
            <w:vAlign w:val="center"/>
            <w:hideMark/>
          </w:tcPr>
          <w:p w14:paraId="7640B10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2AD53F0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51DFBA6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0EFEA02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0F3608BB"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450811F6" w14:textId="583BC922" w:rsidR="00AF45EA" w:rsidRPr="005C665A" w:rsidRDefault="00AF45EA" w:rsidP="00AF45EA">
            <w:pPr>
              <w:jc w:val="center"/>
              <w:rPr>
                <w:rFonts w:ascii="Times New Roman" w:hAnsi="Times New Roman" w:cs="Times New Roman"/>
                <w:color w:val="000000"/>
                <w:sz w:val="16"/>
                <w:szCs w:val="16"/>
              </w:rPr>
            </w:pPr>
            <w:proofErr w:type="spellStart"/>
            <w:r w:rsidRPr="005C665A">
              <w:rPr>
                <w:rFonts w:ascii="Times New Roman" w:hAnsi="Times New Roman" w:cs="Times New Roman"/>
                <w:color w:val="000000"/>
                <w:sz w:val="16"/>
                <w:szCs w:val="16"/>
              </w:rPr>
              <w:t>Homocitrulline</w:t>
            </w:r>
            <w:proofErr w:type="spellEnd"/>
          </w:p>
        </w:tc>
        <w:tc>
          <w:tcPr>
            <w:tcW w:w="768" w:type="dxa"/>
            <w:tcBorders>
              <w:top w:val="nil"/>
              <w:left w:val="nil"/>
              <w:bottom w:val="single" w:sz="4" w:space="0" w:color="auto"/>
              <w:right w:val="single" w:sz="4" w:space="0" w:color="auto"/>
            </w:tcBorders>
            <w:shd w:val="clear" w:color="auto" w:fill="auto"/>
            <w:noWrap/>
            <w:vAlign w:val="center"/>
            <w:hideMark/>
          </w:tcPr>
          <w:p w14:paraId="61A5E3E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C02427</w:t>
            </w:r>
          </w:p>
        </w:tc>
        <w:tc>
          <w:tcPr>
            <w:tcW w:w="1006" w:type="dxa"/>
            <w:tcBorders>
              <w:top w:val="nil"/>
              <w:left w:val="nil"/>
              <w:bottom w:val="single" w:sz="4" w:space="0" w:color="auto"/>
              <w:right w:val="single" w:sz="4" w:space="0" w:color="auto"/>
            </w:tcBorders>
            <w:shd w:val="clear" w:color="auto" w:fill="auto"/>
            <w:noWrap/>
            <w:vAlign w:val="center"/>
            <w:hideMark/>
          </w:tcPr>
          <w:p w14:paraId="3425177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0.140</w:t>
            </w:r>
          </w:p>
        </w:tc>
        <w:tc>
          <w:tcPr>
            <w:tcW w:w="990" w:type="dxa"/>
            <w:tcBorders>
              <w:top w:val="nil"/>
              <w:left w:val="nil"/>
              <w:bottom w:val="single" w:sz="4" w:space="0" w:color="auto"/>
              <w:right w:val="single" w:sz="4" w:space="0" w:color="auto"/>
            </w:tcBorders>
            <w:shd w:val="clear" w:color="auto" w:fill="auto"/>
            <w:noWrap/>
            <w:vAlign w:val="center"/>
            <w:hideMark/>
          </w:tcPr>
          <w:p w14:paraId="0E0133E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5F31D7D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0.015</w:t>
            </w:r>
          </w:p>
        </w:tc>
        <w:tc>
          <w:tcPr>
            <w:tcW w:w="720" w:type="dxa"/>
            <w:tcBorders>
              <w:top w:val="nil"/>
              <w:left w:val="nil"/>
              <w:bottom w:val="single" w:sz="4" w:space="0" w:color="auto"/>
              <w:right w:val="single" w:sz="4" w:space="0" w:color="auto"/>
            </w:tcBorders>
            <w:shd w:val="clear" w:color="auto" w:fill="auto"/>
            <w:noWrap/>
            <w:vAlign w:val="center"/>
            <w:hideMark/>
          </w:tcPr>
          <w:p w14:paraId="1631937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0.024</w:t>
            </w:r>
          </w:p>
        </w:tc>
        <w:tc>
          <w:tcPr>
            <w:tcW w:w="810" w:type="dxa"/>
            <w:tcBorders>
              <w:top w:val="nil"/>
              <w:left w:val="nil"/>
              <w:bottom w:val="single" w:sz="4" w:space="0" w:color="auto"/>
              <w:right w:val="single" w:sz="4" w:space="0" w:color="auto"/>
            </w:tcBorders>
            <w:shd w:val="clear" w:color="auto" w:fill="auto"/>
            <w:noWrap/>
            <w:vAlign w:val="center"/>
            <w:hideMark/>
          </w:tcPr>
          <w:p w14:paraId="06F41A7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5DA760C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79398D0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2FE56A9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33DE4C12"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26F9AF6C" w14:textId="36F163D1"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Succinate/Methylmalonate</w:t>
            </w:r>
          </w:p>
        </w:tc>
        <w:tc>
          <w:tcPr>
            <w:tcW w:w="768" w:type="dxa"/>
            <w:tcBorders>
              <w:top w:val="nil"/>
              <w:left w:val="nil"/>
              <w:bottom w:val="single" w:sz="4" w:space="0" w:color="auto"/>
              <w:right w:val="single" w:sz="4" w:space="0" w:color="auto"/>
            </w:tcBorders>
            <w:shd w:val="clear" w:color="auto" w:fill="auto"/>
            <w:noWrap/>
            <w:vAlign w:val="center"/>
            <w:hideMark/>
          </w:tcPr>
          <w:p w14:paraId="53CB92A2" w14:textId="77777777" w:rsidR="00AF45EA" w:rsidRPr="005C665A" w:rsidRDefault="00AF45EA" w:rsidP="00AF45EA">
            <w:pPr>
              <w:jc w:val="center"/>
              <w:rPr>
                <w:rFonts w:ascii="Times New Roman" w:hAnsi="Times New Roman" w:cs="Times New Roman"/>
                <w:color w:val="000000"/>
                <w:sz w:val="16"/>
                <w:szCs w:val="16"/>
              </w:rPr>
            </w:pPr>
            <w:proofErr w:type="gramStart"/>
            <w:r w:rsidRPr="005C665A">
              <w:rPr>
                <w:rFonts w:ascii="Times New Roman" w:hAnsi="Times New Roman" w:cs="Times New Roman"/>
                <w:color w:val="000000"/>
                <w:sz w:val="16"/>
                <w:szCs w:val="16"/>
              </w:rPr>
              <w:t>C00042;</w:t>
            </w:r>
            <w:proofErr w:type="gramEnd"/>
          </w:p>
          <w:p w14:paraId="43C526D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C02170</w:t>
            </w:r>
          </w:p>
        </w:tc>
        <w:tc>
          <w:tcPr>
            <w:tcW w:w="1006" w:type="dxa"/>
            <w:tcBorders>
              <w:top w:val="nil"/>
              <w:left w:val="nil"/>
              <w:bottom w:val="single" w:sz="4" w:space="0" w:color="auto"/>
              <w:right w:val="single" w:sz="4" w:space="0" w:color="auto"/>
            </w:tcBorders>
            <w:shd w:val="clear" w:color="auto" w:fill="auto"/>
            <w:noWrap/>
            <w:vAlign w:val="center"/>
            <w:hideMark/>
          </w:tcPr>
          <w:p w14:paraId="7D71009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0.140</w:t>
            </w:r>
          </w:p>
        </w:tc>
        <w:tc>
          <w:tcPr>
            <w:tcW w:w="990" w:type="dxa"/>
            <w:tcBorders>
              <w:top w:val="nil"/>
              <w:left w:val="nil"/>
              <w:bottom w:val="single" w:sz="4" w:space="0" w:color="auto"/>
              <w:right w:val="single" w:sz="4" w:space="0" w:color="auto"/>
            </w:tcBorders>
            <w:shd w:val="clear" w:color="auto" w:fill="auto"/>
            <w:noWrap/>
            <w:vAlign w:val="center"/>
            <w:hideMark/>
          </w:tcPr>
          <w:p w14:paraId="732FA66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06105ED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0.023</w:t>
            </w:r>
          </w:p>
        </w:tc>
        <w:tc>
          <w:tcPr>
            <w:tcW w:w="720" w:type="dxa"/>
            <w:tcBorders>
              <w:top w:val="nil"/>
              <w:left w:val="nil"/>
              <w:bottom w:val="single" w:sz="4" w:space="0" w:color="auto"/>
              <w:right w:val="single" w:sz="4" w:space="0" w:color="auto"/>
            </w:tcBorders>
            <w:shd w:val="clear" w:color="auto" w:fill="auto"/>
            <w:noWrap/>
            <w:vAlign w:val="center"/>
            <w:hideMark/>
          </w:tcPr>
          <w:p w14:paraId="3D14383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0.039</w:t>
            </w:r>
          </w:p>
        </w:tc>
        <w:tc>
          <w:tcPr>
            <w:tcW w:w="810" w:type="dxa"/>
            <w:tcBorders>
              <w:top w:val="nil"/>
              <w:left w:val="nil"/>
              <w:bottom w:val="single" w:sz="4" w:space="0" w:color="auto"/>
              <w:right w:val="single" w:sz="4" w:space="0" w:color="auto"/>
            </w:tcBorders>
            <w:shd w:val="clear" w:color="auto" w:fill="auto"/>
            <w:noWrap/>
            <w:vAlign w:val="center"/>
            <w:hideMark/>
          </w:tcPr>
          <w:p w14:paraId="4BBCD64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2675C5F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0F37D8C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6C848B3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220EB5C9"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72192F45" w14:textId="40A865A8"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Methionine</w:t>
            </w:r>
          </w:p>
        </w:tc>
        <w:tc>
          <w:tcPr>
            <w:tcW w:w="768" w:type="dxa"/>
            <w:tcBorders>
              <w:top w:val="nil"/>
              <w:left w:val="nil"/>
              <w:bottom w:val="single" w:sz="4" w:space="0" w:color="auto"/>
              <w:right w:val="single" w:sz="4" w:space="0" w:color="auto"/>
            </w:tcBorders>
            <w:shd w:val="clear" w:color="auto" w:fill="auto"/>
            <w:noWrap/>
            <w:vAlign w:val="center"/>
            <w:hideMark/>
          </w:tcPr>
          <w:p w14:paraId="4B37570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C00073</w:t>
            </w:r>
          </w:p>
        </w:tc>
        <w:tc>
          <w:tcPr>
            <w:tcW w:w="1006" w:type="dxa"/>
            <w:tcBorders>
              <w:top w:val="nil"/>
              <w:left w:val="nil"/>
              <w:bottom w:val="single" w:sz="4" w:space="0" w:color="auto"/>
              <w:right w:val="single" w:sz="4" w:space="0" w:color="auto"/>
            </w:tcBorders>
            <w:shd w:val="clear" w:color="auto" w:fill="auto"/>
            <w:noWrap/>
            <w:vAlign w:val="center"/>
            <w:hideMark/>
          </w:tcPr>
          <w:p w14:paraId="2511EC2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0.141</w:t>
            </w:r>
          </w:p>
        </w:tc>
        <w:tc>
          <w:tcPr>
            <w:tcW w:w="990" w:type="dxa"/>
            <w:tcBorders>
              <w:top w:val="nil"/>
              <w:left w:val="nil"/>
              <w:bottom w:val="single" w:sz="4" w:space="0" w:color="auto"/>
              <w:right w:val="single" w:sz="4" w:space="0" w:color="auto"/>
            </w:tcBorders>
            <w:shd w:val="clear" w:color="auto" w:fill="auto"/>
            <w:noWrap/>
            <w:vAlign w:val="center"/>
            <w:hideMark/>
          </w:tcPr>
          <w:p w14:paraId="3B9C5FE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7917869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0.006</w:t>
            </w:r>
          </w:p>
        </w:tc>
        <w:tc>
          <w:tcPr>
            <w:tcW w:w="720" w:type="dxa"/>
            <w:tcBorders>
              <w:top w:val="nil"/>
              <w:left w:val="nil"/>
              <w:bottom w:val="single" w:sz="4" w:space="0" w:color="auto"/>
              <w:right w:val="single" w:sz="4" w:space="0" w:color="auto"/>
            </w:tcBorders>
            <w:shd w:val="clear" w:color="auto" w:fill="auto"/>
            <w:noWrap/>
            <w:vAlign w:val="center"/>
            <w:hideMark/>
          </w:tcPr>
          <w:p w14:paraId="16943E9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0.034</w:t>
            </w:r>
          </w:p>
        </w:tc>
        <w:tc>
          <w:tcPr>
            <w:tcW w:w="810" w:type="dxa"/>
            <w:tcBorders>
              <w:top w:val="nil"/>
              <w:left w:val="nil"/>
              <w:bottom w:val="single" w:sz="4" w:space="0" w:color="auto"/>
              <w:right w:val="single" w:sz="4" w:space="0" w:color="auto"/>
            </w:tcBorders>
            <w:shd w:val="clear" w:color="auto" w:fill="auto"/>
            <w:noWrap/>
            <w:vAlign w:val="center"/>
            <w:hideMark/>
          </w:tcPr>
          <w:p w14:paraId="503286A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3D65171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6A34172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6B68799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526878D5"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29609E96" w14:textId="0E37BCDC"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Phosphoenolpyruvate</w:t>
            </w:r>
          </w:p>
        </w:tc>
        <w:tc>
          <w:tcPr>
            <w:tcW w:w="768" w:type="dxa"/>
            <w:tcBorders>
              <w:top w:val="nil"/>
              <w:left w:val="nil"/>
              <w:bottom w:val="single" w:sz="4" w:space="0" w:color="auto"/>
              <w:right w:val="single" w:sz="4" w:space="0" w:color="auto"/>
            </w:tcBorders>
            <w:shd w:val="clear" w:color="auto" w:fill="auto"/>
            <w:noWrap/>
            <w:vAlign w:val="center"/>
            <w:hideMark/>
          </w:tcPr>
          <w:p w14:paraId="7AB0ADA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C00074</w:t>
            </w:r>
          </w:p>
        </w:tc>
        <w:tc>
          <w:tcPr>
            <w:tcW w:w="1006" w:type="dxa"/>
            <w:tcBorders>
              <w:top w:val="nil"/>
              <w:left w:val="nil"/>
              <w:bottom w:val="single" w:sz="4" w:space="0" w:color="auto"/>
              <w:right w:val="single" w:sz="4" w:space="0" w:color="auto"/>
            </w:tcBorders>
            <w:shd w:val="clear" w:color="auto" w:fill="auto"/>
            <w:noWrap/>
            <w:vAlign w:val="center"/>
            <w:hideMark/>
          </w:tcPr>
          <w:p w14:paraId="6703566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0.141</w:t>
            </w:r>
          </w:p>
        </w:tc>
        <w:tc>
          <w:tcPr>
            <w:tcW w:w="990" w:type="dxa"/>
            <w:tcBorders>
              <w:top w:val="nil"/>
              <w:left w:val="nil"/>
              <w:bottom w:val="single" w:sz="4" w:space="0" w:color="auto"/>
              <w:right w:val="single" w:sz="4" w:space="0" w:color="auto"/>
            </w:tcBorders>
            <w:shd w:val="clear" w:color="auto" w:fill="auto"/>
            <w:noWrap/>
            <w:vAlign w:val="center"/>
            <w:hideMark/>
          </w:tcPr>
          <w:p w14:paraId="0616B32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2FE434D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60CCDD9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0.0276</w:t>
            </w:r>
          </w:p>
        </w:tc>
        <w:tc>
          <w:tcPr>
            <w:tcW w:w="810" w:type="dxa"/>
            <w:tcBorders>
              <w:top w:val="nil"/>
              <w:left w:val="nil"/>
              <w:bottom w:val="single" w:sz="4" w:space="0" w:color="auto"/>
              <w:right w:val="single" w:sz="4" w:space="0" w:color="auto"/>
            </w:tcBorders>
            <w:shd w:val="clear" w:color="auto" w:fill="auto"/>
            <w:noWrap/>
            <w:vAlign w:val="center"/>
            <w:hideMark/>
          </w:tcPr>
          <w:p w14:paraId="2E5F06B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0.056</w:t>
            </w:r>
          </w:p>
        </w:tc>
        <w:tc>
          <w:tcPr>
            <w:tcW w:w="720" w:type="dxa"/>
            <w:tcBorders>
              <w:top w:val="nil"/>
              <w:left w:val="nil"/>
              <w:bottom w:val="single" w:sz="4" w:space="0" w:color="auto"/>
              <w:right w:val="single" w:sz="4" w:space="0" w:color="auto"/>
            </w:tcBorders>
            <w:shd w:val="clear" w:color="auto" w:fill="auto"/>
            <w:noWrap/>
            <w:vAlign w:val="center"/>
            <w:hideMark/>
          </w:tcPr>
          <w:p w14:paraId="0E9147D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767CCC4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2CB5B83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0CB805B8"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0CF06A55" w14:textId="574782D8"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Hydroxyproline</w:t>
            </w:r>
          </w:p>
        </w:tc>
        <w:tc>
          <w:tcPr>
            <w:tcW w:w="768" w:type="dxa"/>
            <w:tcBorders>
              <w:top w:val="nil"/>
              <w:left w:val="nil"/>
              <w:bottom w:val="single" w:sz="4" w:space="0" w:color="auto"/>
              <w:right w:val="single" w:sz="4" w:space="0" w:color="auto"/>
            </w:tcBorders>
            <w:shd w:val="clear" w:color="auto" w:fill="auto"/>
            <w:noWrap/>
            <w:vAlign w:val="center"/>
            <w:hideMark/>
          </w:tcPr>
          <w:p w14:paraId="7E2C086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C01157</w:t>
            </w:r>
          </w:p>
        </w:tc>
        <w:tc>
          <w:tcPr>
            <w:tcW w:w="1006" w:type="dxa"/>
            <w:tcBorders>
              <w:top w:val="nil"/>
              <w:left w:val="nil"/>
              <w:bottom w:val="single" w:sz="4" w:space="0" w:color="auto"/>
              <w:right w:val="single" w:sz="4" w:space="0" w:color="auto"/>
            </w:tcBorders>
            <w:shd w:val="clear" w:color="auto" w:fill="auto"/>
            <w:noWrap/>
            <w:vAlign w:val="center"/>
            <w:hideMark/>
          </w:tcPr>
          <w:p w14:paraId="7A4A78B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0.152</w:t>
            </w:r>
          </w:p>
        </w:tc>
        <w:tc>
          <w:tcPr>
            <w:tcW w:w="990" w:type="dxa"/>
            <w:tcBorders>
              <w:top w:val="nil"/>
              <w:left w:val="nil"/>
              <w:bottom w:val="single" w:sz="4" w:space="0" w:color="auto"/>
              <w:right w:val="single" w:sz="4" w:space="0" w:color="auto"/>
            </w:tcBorders>
            <w:shd w:val="clear" w:color="auto" w:fill="auto"/>
            <w:noWrap/>
            <w:vAlign w:val="center"/>
            <w:hideMark/>
          </w:tcPr>
          <w:p w14:paraId="1605A12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71052B1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0.0002</w:t>
            </w:r>
          </w:p>
        </w:tc>
        <w:tc>
          <w:tcPr>
            <w:tcW w:w="720" w:type="dxa"/>
            <w:tcBorders>
              <w:top w:val="nil"/>
              <w:left w:val="nil"/>
              <w:bottom w:val="single" w:sz="4" w:space="0" w:color="auto"/>
              <w:right w:val="single" w:sz="4" w:space="0" w:color="auto"/>
            </w:tcBorders>
            <w:shd w:val="clear" w:color="auto" w:fill="auto"/>
            <w:noWrap/>
            <w:vAlign w:val="center"/>
            <w:hideMark/>
          </w:tcPr>
          <w:p w14:paraId="6E51FE5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0.002</w:t>
            </w:r>
          </w:p>
        </w:tc>
        <w:tc>
          <w:tcPr>
            <w:tcW w:w="810" w:type="dxa"/>
            <w:tcBorders>
              <w:top w:val="nil"/>
              <w:left w:val="nil"/>
              <w:bottom w:val="single" w:sz="4" w:space="0" w:color="auto"/>
              <w:right w:val="single" w:sz="4" w:space="0" w:color="auto"/>
            </w:tcBorders>
            <w:shd w:val="clear" w:color="auto" w:fill="auto"/>
            <w:noWrap/>
            <w:vAlign w:val="center"/>
            <w:hideMark/>
          </w:tcPr>
          <w:p w14:paraId="5A9767C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7D75608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1B06464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5AC32D9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5BB33B28"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0AC028DB" w14:textId="02B57E33"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Xylitol</w:t>
            </w:r>
          </w:p>
        </w:tc>
        <w:tc>
          <w:tcPr>
            <w:tcW w:w="768" w:type="dxa"/>
            <w:tcBorders>
              <w:top w:val="nil"/>
              <w:left w:val="nil"/>
              <w:bottom w:val="single" w:sz="4" w:space="0" w:color="auto"/>
              <w:right w:val="single" w:sz="4" w:space="0" w:color="auto"/>
            </w:tcBorders>
            <w:shd w:val="clear" w:color="auto" w:fill="auto"/>
            <w:noWrap/>
            <w:vAlign w:val="center"/>
            <w:hideMark/>
          </w:tcPr>
          <w:p w14:paraId="08EC183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C00379</w:t>
            </w:r>
          </w:p>
        </w:tc>
        <w:tc>
          <w:tcPr>
            <w:tcW w:w="1006" w:type="dxa"/>
            <w:tcBorders>
              <w:top w:val="nil"/>
              <w:left w:val="nil"/>
              <w:bottom w:val="single" w:sz="4" w:space="0" w:color="auto"/>
              <w:right w:val="single" w:sz="4" w:space="0" w:color="auto"/>
            </w:tcBorders>
            <w:shd w:val="clear" w:color="auto" w:fill="auto"/>
            <w:noWrap/>
            <w:vAlign w:val="center"/>
            <w:hideMark/>
          </w:tcPr>
          <w:p w14:paraId="646930A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0.152</w:t>
            </w:r>
          </w:p>
        </w:tc>
        <w:tc>
          <w:tcPr>
            <w:tcW w:w="990" w:type="dxa"/>
            <w:tcBorders>
              <w:top w:val="nil"/>
              <w:left w:val="nil"/>
              <w:bottom w:val="single" w:sz="4" w:space="0" w:color="auto"/>
              <w:right w:val="single" w:sz="4" w:space="0" w:color="auto"/>
            </w:tcBorders>
            <w:shd w:val="clear" w:color="auto" w:fill="auto"/>
            <w:noWrap/>
            <w:vAlign w:val="center"/>
            <w:hideMark/>
          </w:tcPr>
          <w:p w14:paraId="327D0FA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02CE32F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0.013</w:t>
            </w:r>
          </w:p>
        </w:tc>
        <w:tc>
          <w:tcPr>
            <w:tcW w:w="720" w:type="dxa"/>
            <w:tcBorders>
              <w:top w:val="nil"/>
              <w:left w:val="nil"/>
              <w:bottom w:val="single" w:sz="4" w:space="0" w:color="auto"/>
              <w:right w:val="single" w:sz="4" w:space="0" w:color="auto"/>
            </w:tcBorders>
            <w:shd w:val="clear" w:color="auto" w:fill="auto"/>
            <w:noWrap/>
            <w:vAlign w:val="center"/>
            <w:hideMark/>
          </w:tcPr>
          <w:p w14:paraId="3B86EC0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0.070</w:t>
            </w:r>
          </w:p>
        </w:tc>
        <w:tc>
          <w:tcPr>
            <w:tcW w:w="810" w:type="dxa"/>
            <w:tcBorders>
              <w:top w:val="nil"/>
              <w:left w:val="nil"/>
              <w:bottom w:val="single" w:sz="4" w:space="0" w:color="auto"/>
              <w:right w:val="single" w:sz="4" w:space="0" w:color="auto"/>
            </w:tcBorders>
            <w:shd w:val="clear" w:color="auto" w:fill="auto"/>
            <w:noWrap/>
            <w:vAlign w:val="center"/>
            <w:hideMark/>
          </w:tcPr>
          <w:p w14:paraId="4219936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6A388C2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166523F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41224B6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6D5B2990"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05F142BB" w14:textId="185FCE85"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Deoxycytidine</w:t>
            </w:r>
          </w:p>
        </w:tc>
        <w:tc>
          <w:tcPr>
            <w:tcW w:w="768" w:type="dxa"/>
            <w:tcBorders>
              <w:top w:val="nil"/>
              <w:left w:val="nil"/>
              <w:bottom w:val="single" w:sz="4" w:space="0" w:color="auto"/>
              <w:right w:val="single" w:sz="4" w:space="0" w:color="auto"/>
            </w:tcBorders>
            <w:shd w:val="clear" w:color="auto" w:fill="auto"/>
            <w:noWrap/>
            <w:vAlign w:val="center"/>
            <w:hideMark/>
          </w:tcPr>
          <w:p w14:paraId="1399A13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C00881</w:t>
            </w:r>
          </w:p>
        </w:tc>
        <w:tc>
          <w:tcPr>
            <w:tcW w:w="1006" w:type="dxa"/>
            <w:tcBorders>
              <w:top w:val="nil"/>
              <w:left w:val="nil"/>
              <w:bottom w:val="single" w:sz="4" w:space="0" w:color="auto"/>
              <w:right w:val="single" w:sz="4" w:space="0" w:color="auto"/>
            </w:tcBorders>
            <w:shd w:val="clear" w:color="auto" w:fill="auto"/>
            <w:noWrap/>
            <w:vAlign w:val="center"/>
            <w:hideMark/>
          </w:tcPr>
          <w:p w14:paraId="07CA143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0.164</w:t>
            </w:r>
          </w:p>
        </w:tc>
        <w:tc>
          <w:tcPr>
            <w:tcW w:w="990" w:type="dxa"/>
            <w:tcBorders>
              <w:top w:val="nil"/>
              <w:left w:val="nil"/>
              <w:bottom w:val="single" w:sz="4" w:space="0" w:color="auto"/>
              <w:right w:val="single" w:sz="4" w:space="0" w:color="auto"/>
            </w:tcBorders>
            <w:shd w:val="clear" w:color="auto" w:fill="auto"/>
            <w:noWrap/>
            <w:vAlign w:val="center"/>
            <w:hideMark/>
          </w:tcPr>
          <w:p w14:paraId="6E776BE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7672A36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0.004</w:t>
            </w:r>
          </w:p>
        </w:tc>
        <w:tc>
          <w:tcPr>
            <w:tcW w:w="720" w:type="dxa"/>
            <w:tcBorders>
              <w:top w:val="nil"/>
              <w:left w:val="nil"/>
              <w:bottom w:val="single" w:sz="4" w:space="0" w:color="auto"/>
              <w:right w:val="single" w:sz="4" w:space="0" w:color="auto"/>
            </w:tcBorders>
            <w:shd w:val="clear" w:color="auto" w:fill="auto"/>
            <w:noWrap/>
            <w:vAlign w:val="center"/>
            <w:hideMark/>
          </w:tcPr>
          <w:p w14:paraId="26F297D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0.011</w:t>
            </w:r>
          </w:p>
        </w:tc>
        <w:tc>
          <w:tcPr>
            <w:tcW w:w="810" w:type="dxa"/>
            <w:tcBorders>
              <w:top w:val="nil"/>
              <w:left w:val="nil"/>
              <w:bottom w:val="single" w:sz="4" w:space="0" w:color="auto"/>
              <w:right w:val="single" w:sz="4" w:space="0" w:color="auto"/>
            </w:tcBorders>
            <w:shd w:val="clear" w:color="auto" w:fill="auto"/>
            <w:noWrap/>
            <w:vAlign w:val="center"/>
            <w:hideMark/>
          </w:tcPr>
          <w:p w14:paraId="43B786E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72BEC1B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1B1AE1C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7155383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754D0080"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5D567C83" w14:textId="623C4E46"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Tryptophan</w:t>
            </w:r>
          </w:p>
        </w:tc>
        <w:tc>
          <w:tcPr>
            <w:tcW w:w="768" w:type="dxa"/>
            <w:tcBorders>
              <w:top w:val="nil"/>
              <w:left w:val="nil"/>
              <w:bottom w:val="single" w:sz="4" w:space="0" w:color="auto"/>
              <w:right w:val="single" w:sz="4" w:space="0" w:color="auto"/>
            </w:tcBorders>
            <w:shd w:val="clear" w:color="auto" w:fill="auto"/>
            <w:noWrap/>
            <w:vAlign w:val="center"/>
            <w:hideMark/>
          </w:tcPr>
          <w:p w14:paraId="59F3898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C00078</w:t>
            </w:r>
          </w:p>
        </w:tc>
        <w:tc>
          <w:tcPr>
            <w:tcW w:w="1006" w:type="dxa"/>
            <w:tcBorders>
              <w:top w:val="nil"/>
              <w:left w:val="nil"/>
              <w:bottom w:val="single" w:sz="4" w:space="0" w:color="auto"/>
              <w:right w:val="single" w:sz="4" w:space="0" w:color="auto"/>
            </w:tcBorders>
            <w:shd w:val="clear" w:color="auto" w:fill="auto"/>
            <w:noWrap/>
            <w:vAlign w:val="center"/>
            <w:hideMark/>
          </w:tcPr>
          <w:p w14:paraId="6EEFD50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0.183</w:t>
            </w:r>
          </w:p>
        </w:tc>
        <w:tc>
          <w:tcPr>
            <w:tcW w:w="990" w:type="dxa"/>
            <w:tcBorders>
              <w:top w:val="nil"/>
              <w:left w:val="nil"/>
              <w:bottom w:val="single" w:sz="4" w:space="0" w:color="auto"/>
              <w:right w:val="single" w:sz="4" w:space="0" w:color="auto"/>
            </w:tcBorders>
            <w:shd w:val="clear" w:color="auto" w:fill="auto"/>
            <w:noWrap/>
            <w:vAlign w:val="center"/>
            <w:hideMark/>
          </w:tcPr>
          <w:p w14:paraId="01CBAD2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7DBF967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0.015</w:t>
            </w:r>
          </w:p>
        </w:tc>
        <w:tc>
          <w:tcPr>
            <w:tcW w:w="720" w:type="dxa"/>
            <w:tcBorders>
              <w:top w:val="nil"/>
              <w:left w:val="nil"/>
              <w:bottom w:val="single" w:sz="4" w:space="0" w:color="auto"/>
              <w:right w:val="single" w:sz="4" w:space="0" w:color="auto"/>
            </w:tcBorders>
            <w:shd w:val="clear" w:color="auto" w:fill="auto"/>
            <w:noWrap/>
            <w:vAlign w:val="center"/>
            <w:hideMark/>
          </w:tcPr>
          <w:p w14:paraId="39FD8FB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0.031</w:t>
            </w:r>
          </w:p>
        </w:tc>
        <w:tc>
          <w:tcPr>
            <w:tcW w:w="810" w:type="dxa"/>
            <w:tcBorders>
              <w:top w:val="nil"/>
              <w:left w:val="nil"/>
              <w:bottom w:val="single" w:sz="4" w:space="0" w:color="auto"/>
              <w:right w:val="single" w:sz="4" w:space="0" w:color="auto"/>
            </w:tcBorders>
            <w:shd w:val="clear" w:color="auto" w:fill="auto"/>
            <w:noWrap/>
            <w:vAlign w:val="center"/>
            <w:hideMark/>
          </w:tcPr>
          <w:p w14:paraId="4F7EF03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53D14EA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1FC462F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4C15A44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6BDDE650"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2619293C" w14:textId="436C4633"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Aconitate</w:t>
            </w:r>
          </w:p>
        </w:tc>
        <w:tc>
          <w:tcPr>
            <w:tcW w:w="768" w:type="dxa"/>
            <w:tcBorders>
              <w:top w:val="nil"/>
              <w:left w:val="nil"/>
              <w:bottom w:val="single" w:sz="4" w:space="0" w:color="auto"/>
              <w:right w:val="single" w:sz="4" w:space="0" w:color="auto"/>
            </w:tcBorders>
            <w:shd w:val="clear" w:color="auto" w:fill="auto"/>
            <w:noWrap/>
            <w:vAlign w:val="center"/>
            <w:hideMark/>
          </w:tcPr>
          <w:p w14:paraId="2E4FAAA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C00417</w:t>
            </w:r>
          </w:p>
        </w:tc>
        <w:tc>
          <w:tcPr>
            <w:tcW w:w="1006" w:type="dxa"/>
            <w:tcBorders>
              <w:top w:val="nil"/>
              <w:left w:val="nil"/>
              <w:bottom w:val="single" w:sz="4" w:space="0" w:color="auto"/>
              <w:right w:val="single" w:sz="4" w:space="0" w:color="auto"/>
            </w:tcBorders>
            <w:shd w:val="clear" w:color="auto" w:fill="auto"/>
            <w:noWrap/>
            <w:vAlign w:val="center"/>
            <w:hideMark/>
          </w:tcPr>
          <w:p w14:paraId="4152A9E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0.198</w:t>
            </w:r>
          </w:p>
        </w:tc>
        <w:tc>
          <w:tcPr>
            <w:tcW w:w="990" w:type="dxa"/>
            <w:tcBorders>
              <w:top w:val="nil"/>
              <w:left w:val="nil"/>
              <w:bottom w:val="single" w:sz="4" w:space="0" w:color="auto"/>
              <w:right w:val="single" w:sz="4" w:space="0" w:color="auto"/>
            </w:tcBorders>
            <w:shd w:val="clear" w:color="auto" w:fill="auto"/>
            <w:noWrap/>
            <w:vAlign w:val="center"/>
            <w:hideMark/>
          </w:tcPr>
          <w:p w14:paraId="1B4DBA1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0FE9122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0.003</w:t>
            </w:r>
          </w:p>
        </w:tc>
        <w:tc>
          <w:tcPr>
            <w:tcW w:w="720" w:type="dxa"/>
            <w:tcBorders>
              <w:top w:val="nil"/>
              <w:left w:val="nil"/>
              <w:bottom w:val="single" w:sz="4" w:space="0" w:color="auto"/>
              <w:right w:val="single" w:sz="4" w:space="0" w:color="auto"/>
            </w:tcBorders>
            <w:shd w:val="clear" w:color="auto" w:fill="auto"/>
            <w:noWrap/>
            <w:vAlign w:val="center"/>
            <w:hideMark/>
          </w:tcPr>
          <w:p w14:paraId="7B68FC3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0.031</w:t>
            </w:r>
          </w:p>
        </w:tc>
        <w:tc>
          <w:tcPr>
            <w:tcW w:w="810" w:type="dxa"/>
            <w:tcBorders>
              <w:top w:val="nil"/>
              <w:left w:val="nil"/>
              <w:bottom w:val="single" w:sz="4" w:space="0" w:color="auto"/>
              <w:right w:val="single" w:sz="4" w:space="0" w:color="auto"/>
            </w:tcBorders>
            <w:shd w:val="clear" w:color="auto" w:fill="auto"/>
            <w:noWrap/>
            <w:vAlign w:val="center"/>
            <w:hideMark/>
          </w:tcPr>
          <w:p w14:paraId="05A0925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7C1BBF3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4F8495F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2C7A536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60F06DCB"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3AD973BD" w14:textId="189DC50B"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Phenylalanine</w:t>
            </w:r>
          </w:p>
        </w:tc>
        <w:tc>
          <w:tcPr>
            <w:tcW w:w="768" w:type="dxa"/>
            <w:tcBorders>
              <w:top w:val="nil"/>
              <w:left w:val="nil"/>
              <w:bottom w:val="single" w:sz="4" w:space="0" w:color="auto"/>
              <w:right w:val="single" w:sz="4" w:space="0" w:color="auto"/>
            </w:tcBorders>
            <w:shd w:val="clear" w:color="auto" w:fill="auto"/>
            <w:noWrap/>
            <w:vAlign w:val="center"/>
            <w:hideMark/>
          </w:tcPr>
          <w:p w14:paraId="4339EA0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C00079</w:t>
            </w:r>
          </w:p>
        </w:tc>
        <w:tc>
          <w:tcPr>
            <w:tcW w:w="1006" w:type="dxa"/>
            <w:tcBorders>
              <w:top w:val="nil"/>
              <w:left w:val="nil"/>
              <w:bottom w:val="single" w:sz="4" w:space="0" w:color="auto"/>
              <w:right w:val="single" w:sz="4" w:space="0" w:color="auto"/>
            </w:tcBorders>
            <w:shd w:val="clear" w:color="auto" w:fill="auto"/>
            <w:noWrap/>
            <w:vAlign w:val="center"/>
            <w:hideMark/>
          </w:tcPr>
          <w:p w14:paraId="1FD5177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0.198</w:t>
            </w:r>
          </w:p>
        </w:tc>
        <w:tc>
          <w:tcPr>
            <w:tcW w:w="990" w:type="dxa"/>
            <w:tcBorders>
              <w:top w:val="nil"/>
              <w:left w:val="nil"/>
              <w:bottom w:val="single" w:sz="4" w:space="0" w:color="auto"/>
              <w:right w:val="single" w:sz="4" w:space="0" w:color="auto"/>
            </w:tcBorders>
            <w:shd w:val="clear" w:color="auto" w:fill="auto"/>
            <w:noWrap/>
            <w:vAlign w:val="center"/>
            <w:hideMark/>
          </w:tcPr>
          <w:p w14:paraId="4CF21E2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7F7B838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0.023</w:t>
            </w:r>
          </w:p>
        </w:tc>
        <w:tc>
          <w:tcPr>
            <w:tcW w:w="720" w:type="dxa"/>
            <w:tcBorders>
              <w:top w:val="nil"/>
              <w:left w:val="nil"/>
              <w:bottom w:val="single" w:sz="4" w:space="0" w:color="auto"/>
              <w:right w:val="single" w:sz="4" w:space="0" w:color="auto"/>
            </w:tcBorders>
            <w:shd w:val="clear" w:color="auto" w:fill="auto"/>
            <w:noWrap/>
            <w:vAlign w:val="center"/>
            <w:hideMark/>
          </w:tcPr>
          <w:p w14:paraId="407299B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0.025</w:t>
            </w:r>
          </w:p>
        </w:tc>
        <w:tc>
          <w:tcPr>
            <w:tcW w:w="810" w:type="dxa"/>
            <w:tcBorders>
              <w:top w:val="nil"/>
              <w:left w:val="nil"/>
              <w:bottom w:val="single" w:sz="4" w:space="0" w:color="auto"/>
              <w:right w:val="single" w:sz="4" w:space="0" w:color="auto"/>
            </w:tcBorders>
            <w:shd w:val="clear" w:color="auto" w:fill="auto"/>
            <w:noWrap/>
            <w:vAlign w:val="center"/>
            <w:hideMark/>
          </w:tcPr>
          <w:p w14:paraId="077F745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0.406</w:t>
            </w:r>
          </w:p>
        </w:tc>
        <w:tc>
          <w:tcPr>
            <w:tcW w:w="720" w:type="dxa"/>
            <w:tcBorders>
              <w:top w:val="nil"/>
              <w:left w:val="nil"/>
              <w:bottom w:val="single" w:sz="4" w:space="0" w:color="auto"/>
              <w:right w:val="single" w:sz="4" w:space="0" w:color="auto"/>
            </w:tcBorders>
            <w:shd w:val="clear" w:color="auto" w:fill="auto"/>
            <w:noWrap/>
            <w:vAlign w:val="center"/>
            <w:hideMark/>
          </w:tcPr>
          <w:p w14:paraId="3FA01C2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7C64F47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48041D9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45B8DDA1"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02B0DE37" w14:textId="7990C380"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Pyroglutamic Acid</w:t>
            </w:r>
          </w:p>
        </w:tc>
        <w:tc>
          <w:tcPr>
            <w:tcW w:w="768" w:type="dxa"/>
            <w:tcBorders>
              <w:top w:val="nil"/>
              <w:left w:val="nil"/>
              <w:bottom w:val="single" w:sz="4" w:space="0" w:color="auto"/>
              <w:right w:val="single" w:sz="4" w:space="0" w:color="auto"/>
            </w:tcBorders>
            <w:shd w:val="clear" w:color="auto" w:fill="auto"/>
            <w:noWrap/>
            <w:vAlign w:val="center"/>
            <w:hideMark/>
          </w:tcPr>
          <w:p w14:paraId="564992C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C01879</w:t>
            </w:r>
          </w:p>
        </w:tc>
        <w:tc>
          <w:tcPr>
            <w:tcW w:w="1006" w:type="dxa"/>
            <w:tcBorders>
              <w:top w:val="nil"/>
              <w:left w:val="nil"/>
              <w:bottom w:val="single" w:sz="4" w:space="0" w:color="auto"/>
              <w:right w:val="single" w:sz="4" w:space="0" w:color="auto"/>
            </w:tcBorders>
            <w:shd w:val="clear" w:color="auto" w:fill="auto"/>
            <w:noWrap/>
            <w:vAlign w:val="center"/>
            <w:hideMark/>
          </w:tcPr>
          <w:p w14:paraId="5F91FD3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0.198</w:t>
            </w:r>
          </w:p>
        </w:tc>
        <w:tc>
          <w:tcPr>
            <w:tcW w:w="990" w:type="dxa"/>
            <w:tcBorders>
              <w:top w:val="nil"/>
              <w:left w:val="nil"/>
              <w:bottom w:val="single" w:sz="4" w:space="0" w:color="auto"/>
              <w:right w:val="single" w:sz="4" w:space="0" w:color="auto"/>
            </w:tcBorders>
            <w:shd w:val="clear" w:color="auto" w:fill="auto"/>
            <w:noWrap/>
            <w:vAlign w:val="center"/>
            <w:hideMark/>
          </w:tcPr>
          <w:p w14:paraId="7EAB4A8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0C56A49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0.005</w:t>
            </w:r>
          </w:p>
        </w:tc>
        <w:tc>
          <w:tcPr>
            <w:tcW w:w="720" w:type="dxa"/>
            <w:tcBorders>
              <w:top w:val="nil"/>
              <w:left w:val="nil"/>
              <w:bottom w:val="single" w:sz="4" w:space="0" w:color="auto"/>
              <w:right w:val="single" w:sz="4" w:space="0" w:color="auto"/>
            </w:tcBorders>
            <w:shd w:val="clear" w:color="auto" w:fill="auto"/>
            <w:noWrap/>
            <w:vAlign w:val="center"/>
            <w:hideMark/>
          </w:tcPr>
          <w:p w14:paraId="72F5DBD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0.007</w:t>
            </w:r>
          </w:p>
        </w:tc>
        <w:tc>
          <w:tcPr>
            <w:tcW w:w="810" w:type="dxa"/>
            <w:tcBorders>
              <w:top w:val="nil"/>
              <w:left w:val="nil"/>
              <w:bottom w:val="single" w:sz="4" w:space="0" w:color="auto"/>
              <w:right w:val="single" w:sz="4" w:space="0" w:color="auto"/>
            </w:tcBorders>
            <w:shd w:val="clear" w:color="auto" w:fill="auto"/>
            <w:noWrap/>
            <w:vAlign w:val="center"/>
            <w:hideMark/>
          </w:tcPr>
          <w:p w14:paraId="5CFFF23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61FD094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4359604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56CE5C5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61C47188"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601B3E88" w14:textId="09F6B70A"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Tyrosine</w:t>
            </w:r>
          </w:p>
        </w:tc>
        <w:tc>
          <w:tcPr>
            <w:tcW w:w="768" w:type="dxa"/>
            <w:tcBorders>
              <w:top w:val="nil"/>
              <w:left w:val="nil"/>
              <w:bottom w:val="single" w:sz="4" w:space="0" w:color="auto"/>
              <w:right w:val="single" w:sz="4" w:space="0" w:color="auto"/>
            </w:tcBorders>
            <w:shd w:val="clear" w:color="auto" w:fill="auto"/>
            <w:noWrap/>
            <w:vAlign w:val="center"/>
            <w:hideMark/>
          </w:tcPr>
          <w:p w14:paraId="103AC77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C00082</w:t>
            </w:r>
          </w:p>
        </w:tc>
        <w:tc>
          <w:tcPr>
            <w:tcW w:w="1006" w:type="dxa"/>
            <w:tcBorders>
              <w:top w:val="nil"/>
              <w:left w:val="nil"/>
              <w:bottom w:val="single" w:sz="4" w:space="0" w:color="auto"/>
              <w:right w:val="single" w:sz="4" w:space="0" w:color="auto"/>
            </w:tcBorders>
            <w:shd w:val="clear" w:color="auto" w:fill="auto"/>
            <w:noWrap/>
            <w:vAlign w:val="center"/>
            <w:hideMark/>
          </w:tcPr>
          <w:p w14:paraId="3A02F4D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0.198</w:t>
            </w:r>
          </w:p>
        </w:tc>
        <w:tc>
          <w:tcPr>
            <w:tcW w:w="990" w:type="dxa"/>
            <w:tcBorders>
              <w:top w:val="nil"/>
              <w:left w:val="nil"/>
              <w:bottom w:val="single" w:sz="4" w:space="0" w:color="auto"/>
              <w:right w:val="single" w:sz="4" w:space="0" w:color="auto"/>
            </w:tcBorders>
            <w:shd w:val="clear" w:color="auto" w:fill="auto"/>
            <w:noWrap/>
            <w:vAlign w:val="center"/>
            <w:hideMark/>
          </w:tcPr>
          <w:p w14:paraId="1E771F4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5AF73AA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0.006</w:t>
            </w:r>
          </w:p>
        </w:tc>
        <w:tc>
          <w:tcPr>
            <w:tcW w:w="720" w:type="dxa"/>
            <w:tcBorders>
              <w:top w:val="nil"/>
              <w:left w:val="nil"/>
              <w:bottom w:val="single" w:sz="4" w:space="0" w:color="auto"/>
              <w:right w:val="single" w:sz="4" w:space="0" w:color="auto"/>
            </w:tcBorders>
            <w:shd w:val="clear" w:color="auto" w:fill="auto"/>
            <w:noWrap/>
            <w:vAlign w:val="center"/>
            <w:hideMark/>
          </w:tcPr>
          <w:p w14:paraId="59923FC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0.019</w:t>
            </w:r>
          </w:p>
        </w:tc>
        <w:tc>
          <w:tcPr>
            <w:tcW w:w="810" w:type="dxa"/>
            <w:tcBorders>
              <w:top w:val="nil"/>
              <w:left w:val="nil"/>
              <w:bottom w:val="single" w:sz="4" w:space="0" w:color="auto"/>
              <w:right w:val="single" w:sz="4" w:space="0" w:color="auto"/>
            </w:tcBorders>
            <w:shd w:val="clear" w:color="auto" w:fill="auto"/>
            <w:noWrap/>
            <w:vAlign w:val="center"/>
            <w:hideMark/>
          </w:tcPr>
          <w:p w14:paraId="5AA4D19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0008643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5CF9893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6C10F64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3DA9A7E7"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48445EB9" w14:textId="69D1A1C3"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N-Carbamoyl-L-Aspartate</w:t>
            </w:r>
          </w:p>
        </w:tc>
        <w:tc>
          <w:tcPr>
            <w:tcW w:w="768" w:type="dxa"/>
            <w:tcBorders>
              <w:top w:val="nil"/>
              <w:left w:val="nil"/>
              <w:bottom w:val="single" w:sz="4" w:space="0" w:color="auto"/>
              <w:right w:val="single" w:sz="4" w:space="0" w:color="auto"/>
            </w:tcBorders>
            <w:shd w:val="clear" w:color="auto" w:fill="auto"/>
            <w:noWrap/>
            <w:vAlign w:val="center"/>
            <w:hideMark/>
          </w:tcPr>
          <w:p w14:paraId="01F2C3C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C00438</w:t>
            </w:r>
          </w:p>
        </w:tc>
        <w:tc>
          <w:tcPr>
            <w:tcW w:w="1006" w:type="dxa"/>
            <w:tcBorders>
              <w:top w:val="nil"/>
              <w:left w:val="nil"/>
              <w:bottom w:val="single" w:sz="4" w:space="0" w:color="auto"/>
              <w:right w:val="single" w:sz="4" w:space="0" w:color="auto"/>
            </w:tcBorders>
            <w:shd w:val="clear" w:color="auto" w:fill="auto"/>
            <w:noWrap/>
            <w:vAlign w:val="center"/>
            <w:hideMark/>
          </w:tcPr>
          <w:p w14:paraId="594CE08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0.200</w:t>
            </w:r>
          </w:p>
        </w:tc>
        <w:tc>
          <w:tcPr>
            <w:tcW w:w="990" w:type="dxa"/>
            <w:tcBorders>
              <w:top w:val="nil"/>
              <w:left w:val="nil"/>
              <w:bottom w:val="single" w:sz="4" w:space="0" w:color="auto"/>
              <w:right w:val="single" w:sz="4" w:space="0" w:color="auto"/>
            </w:tcBorders>
            <w:shd w:val="clear" w:color="auto" w:fill="auto"/>
            <w:noWrap/>
            <w:vAlign w:val="center"/>
            <w:hideMark/>
          </w:tcPr>
          <w:p w14:paraId="754ED9A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0.739</w:t>
            </w:r>
          </w:p>
        </w:tc>
        <w:tc>
          <w:tcPr>
            <w:tcW w:w="810" w:type="dxa"/>
            <w:tcBorders>
              <w:top w:val="nil"/>
              <w:left w:val="nil"/>
              <w:bottom w:val="single" w:sz="4" w:space="0" w:color="auto"/>
              <w:right w:val="single" w:sz="4" w:space="0" w:color="auto"/>
            </w:tcBorders>
            <w:shd w:val="clear" w:color="auto" w:fill="auto"/>
            <w:noWrap/>
            <w:vAlign w:val="center"/>
            <w:hideMark/>
          </w:tcPr>
          <w:p w14:paraId="6D011CD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0.006</w:t>
            </w:r>
          </w:p>
        </w:tc>
        <w:tc>
          <w:tcPr>
            <w:tcW w:w="720" w:type="dxa"/>
            <w:tcBorders>
              <w:top w:val="nil"/>
              <w:left w:val="nil"/>
              <w:bottom w:val="single" w:sz="4" w:space="0" w:color="auto"/>
              <w:right w:val="single" w:sz="4" w:space="0" w:color="auto"/>
            </w:tcBorders>
            <w:shd w:val="clear" w:color="auto" w:fill="auto"/>
            <w:noWrap/>
            <w:vAlign w:val="center"/>
            <w:hideMark/>
          </w:tcPr>
          <w:p w14:paraId="5EBBFBB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0" w:type="dxa"/>
            <w:tcBorders>
              <w:top w:val="nil"/>
              <w:left w:val="nil"/>
              <w:bottom w:val="single" w:sz="4" w:space="0" w:color="auto"/>
              <w:right w:val="single" w:sz="4" w:space="0" w:color="auto"/>
            </w:tcBorders>
            <w:shd w:val="clear" w:color="auto" w:fill="auto"/>
            <w:noWrap/>
            <w:vAlign w:val="center"/>
            <w:hideMark/>
          </w:tcPr>
          <w:p w14:paraId="6CB430F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57C8126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3176F81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3C199D0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4D7F5F7C"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309B0FA7" w14:textId="5CE1C09F"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Valine/Betaine</w:t>
            </w:r>
          </w:p>
        </w:tc>
        <w:tc>
          <w:tcPr>
            <w:tcW w:w="768" w:type="dxa"/>
            <w:tcBorders>
              <w:top w:val="nil"/>
              <w:left w:val="nil"/>
              <w:bottom w:val="single" w:sz="4" w:space="0" w:color="auto"/>
              <w:right w:val="single" w:sz="4" w:space="0" w:color="auto"/>
            </w:tcBorders>
            <w:shd w:val="clear" w:color="auto" w:fill="auto"/>
            <w:noWrap/>
            <w:vAlign w:val="center"/>
            <w:hideMark/>
          </w:tcPr>
          <w:p w14:paraId="47B43F20" w14:textId="77777777" w:rsidR="00AF45EA" w:rsidRPr="005C665A" w:rsidRDefault="00AF45EA" w:rsidP="00AF45EA">
            <w:pPr>
              <w:jc w:val="center"/>
              <w:rPr>
                <w:rFonts w:ascii="Times New Roman" w:hAnsi="Times New Roman" w:cs="Times New Roman"/>
                <w:color w:val="000000"/>
                <w:sz w:val="16"/>
                <w:szCs w:val="16"/>
              </w:rPr>
            </w:pPr>
            <w:proofErr w:type="gramStart"/>
            <w:r w:rsidRPr="005C665A">
              <w:rPr>
                <w:rFonts w:ascii="Times New Roman" w:hAnsi="Times New Roman" w:cs="Times New Roman"/>
                <w:color w:val="000000"/>
                <w:sz w:val="16"/>
                <w:szCs w:val="16"/>
              </w:rPr>
              <w:t>C00183;</w:t>
            </w:r>
            <w:proofErr w:type="gramEnd"/>
          </w:p>
          <w:p w14:paraId="68E6971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C00719</w:t>
            </w:r>
          </w:p>
        </w:tc>
        <w:tc>
          <w:tcPr>
            <w:tcW w:w="1006" w:type="dxa"/>
            <w:tcBorders>
              <w:top w:val="nil"/>
              <w:left w:val="nil"/>
              <w:bottom w:val="single" w:sz="4" w:space="0" w:color="auto"/>
              <w:right w:val="single" w:sz="4" w:space="0" w:color="auto"/>
            </w:tcBorders>
            <w:shd w:val="clear" w:color="auto" w:fill="auto"/>
            <w:noWrap/>
            <w:vAlign w:val="center"/>
            <w:hideMark/>
          </w:tcPr>
          <w:p w14:paraId="713E95A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0.200</w:t>
            </w:r>
          </w:p>
        </w:tc>
        <w:tc>
          <w:tcPr>
            <w:tcW w:w="990" w:type="dxa"/>
            <w:tcBorders>
              <w:top w:val="nil"/>
              <w:left w:val="nil"/>
              <w:bottom w:val="single" w:sz="4" w:space="0" w:color="auto"/>
              <w:right w:val="single" w:sz="4" w:space="0" w:color="auto"/>
            </w:tcBorders>
            <w:shd w:val="clear" w:color="auto" w:fill="auto"/>
            <w:noWrap/>
            <w:vAlign w:val="center"/>
            <w:hideMark/>
          </w:tcPr>
          <w:p w14:paraId="090135F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0E80F57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0.006</w:t>
            </w:r>
          </w:p>
        </w:tc>
        <w:tc>
          <w:tcPr>
            <w:tcW w:w="720" w:type="dxa"/>
            <w:tcBorders>
              <w:top w:val="nil"/>
              <w:left w:val="nil"/>
              <w:bottom w:val="single" w:sz="4" w:space="0" w:color="auto"/>
              <w:right w:val="single" w:sz="4" w:space="0" w:color="auto"/>
            </w:tcBorders>
            <w:shd w:val="clear" w:color="auto" w:fill="auto"/>
            <w:noWrap/>
            <w:vAlign w:val="center"/>
            <w:hideMark/>
          </w:tcPr>
          <w:p w14:paraId="0455A5C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0.013</w:t>
            </w:r>
          </w:p>
        </w:tc>
        <w:tc>
          <w:tcPr>
            <w:tcW w:w="810" w:type="dxa"/>
            <w:tcBorders>
              <w:top w:val="nil"/>
              <w:left w:val="nil"/>
              <w:bottom w:val="single" w:sz="4" w:space="0" w:color="auto"/>
              <w:right w:val="single" w:sz="4" w:space="0" w:color="auto"/>
            </w:tcBorders>
            <w:shd w:val="clear" w:color="auto" w:fill="auto"/>
            <w:noWrap/>
            <w:vAlign w:val="center"/>
            <w:hideMark/>
          </w:tcPr>
          <w:p w14:paraId="64C6A5E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33D869F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1066D02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534D09D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6BD5F092"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2A7F04D8" w14:textId="53818956"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D-Gluconate</w:t>
            </w:r>
          </w:p>
        </w:tc>
        <w:tc>
          <w:tcPr>
            <w:tcW w:w="768" w:type="dxa"/>
            <w:tcBorders>
              <w:top w:val="nil"/>
              <w:left w:val="nil"/>
              <w:bottom w:val="single" w:sz="4" w:space="0" w:color="auto"/>
              <w:right w:val="single" w:sz="4" w:space="0" w:color="auto"/>
            </w:tcBorders>
            <w:shd w:val="clear" w:color="auto" w:fill="auto"/>
            <w:noWrap/>
            <w:vAlign w:val="center"/>
            <w:hideMark/>
          </w:tcPr>
          <w:p w14:paraId="65E9A26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C00257</w:t>
            </w:r>
          </w:p>
        </w:tc>
        <w:tc>
          <w:tcPr>
            <w:tcW w:w="1006" w:type="dxa"/>
            <w:tcBorders>
              <w:top w:val="nil"/>
              <w:left w:val="nil"/>
              <w:bottom w:val="single" w:sz="4" w:space="0" w:color="auto"/>
              <w:right w:val="single" w:sz="4" w:space="0" w:color="auto"/>
            </w:tcBorders>
            <w:shd w:val="clear" w:color="auto" w:fill="auto"/>
            <w:noWrap/>
            <w:vAlign w:val="center"/>
            <w:hideMark/>
          </w:tcPr>
          <w:p w14:paraId="4F08B57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0.201</w:t>
            </w:r>
          </w:p>
        </w:tc>
        <w:tc>
          <w:tcPr>
            <w:tcW w:w="990" w:type="dxa"/>
            <w:tcBorders>
              <w:top w:val="nil"/>
              <w:left w:val="nil"/>
              <w:bottom w:val="single" w:sz="4" w:space="0" w:color="auto"/>
              <w:right w:val="single" w:sz="4" w:space="0" w:color="auto"/>
            </w:tcBorders>
            <w:shd w:val="clear" w:color="auto" w:fill="auto"/>
            <w:noWrap/>
            <w:vAlign w:val="center"/>
            <w:hideMark/>
          </w:tcPr>
          <w:p w14:paraId="1C25905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681EF66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0.004</w:t>
            </w:r>
          </w:p>
        </w:tc>
        <w:tc>
          <w:tcPr>
            <w:tcW w:w="720" w:type="dxa"/>
            <w:tcBorders>
              <w:top w:val="nil"/>
              <w:left w:val="nil"/>
              <w:bottom w:val="single" w:sz="4" w:space="0" w:color="auto"/>
              <w:right w:val="single" w:sz="4" w:space="0" w:color="auto"/>
            </w:tcBorders>
            <w:shd w:val="clear" w:color="auto" w:fill="auto"/>
            <w:noWrap/>
            <w:vAlign w:val="center"/>
            <w:hideMark/>
          </w:tcPr>
          <w:p w14:paraId="06DEB77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0.004</w:t>
            </w:r>
          </w:p>
        </w:tc>
        <w:tc>
          <w:tcPr>
            <w:tcW w:w="810" w:type="dxa"/>
            <w:tcBorders>
              <w:top w:val="nil"/>
              <w:left w:val="nil"/>
              <w:bottom w:val="single" w:sz="4" w:space="0" w:color="auto"/>
              <w:right w:val="single" w:sz="4" w:space="0" w:color="auto"/>
            </w:tcBorders>
            <w:shd w:val="clear" w:color="auto" w:fill="auto"/>
            <w:noWrap/>
            <w:vAlign w:val="center"/>
            <w:hideMark/>
          </w:tcPr>
          <w:p w14:paraId="2931FE7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7DFCF79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6CB2870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17F34CC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10BEF0D8"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097AEF4D" w14:textId="32DD886F" w:rsidR="00AF45EA" w:rsidRPr="005C665A" w:rsidRDefault="00AF45EA" w:rsidP="00AF45EA">
            <w:pPr>
              <w:jc w:val="center"/>
              <w:rPr>
                <w:rFonts w:ascii="Times New Roman" w:hAnsi="Times New Roman" w:cs="Times New Roman"/>
                <w:color w:val="000000"/>
                <w:sz w:val="16"/>
                <w:szCs w:val="16"/>
              </w:rPr>
            </w:pPr>
            <w:proofErr w:type="spellStart"/>
            <w:r w:rsidRPr="005C665A">
              <w:rPr>
                <w:rFonts w:ascii="Times New Roman" w:hAnsi="Times New Roman" w:cs="Times New Roman"/>
                <w:color w:val="000000"/>
                <w:sz w:val="16"/>
                <w:szCs w:val="16"/>
              </w:rPr>
              <w:t>Sulfolactate</w:t>
            </w:r>
            <w:proofErr w:type="spellEnd"/>
          </w:p>
        </w:tc>
        <w:tc>
          <w:tcPr>
            <w:tcW w:w="768" w:type="dxa"/>
            <w:tcBorders>
              <w:top w:val="nil"/>
              <w:left w:val="nil"/>
              <w:bottom w:val="single" w:sz="4" w:space="0" w:color="auto"/>
              <w:right w:val="single" w:sz="4" w:space="0" w:color="auto"/>
            </w:tcBorders>
            <w:shd w:val="clear" w:color="auto" w:fill="auto"/>
            <w:noWrap/>
            <w:vAlign w:val="center"/>
            <w:hideMark/>
          </w:tcPr>
          <w:p w14:paraId="4C3B23E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 xml:space="preserve">C11537 </w:t>
            </w:r>
          </w:p>
        </w:tc>
        <w:tc>
          <w:tcPr>
            <w:tcW w:w="1006" w:type="dxa"/>
            <w:tcBorders>
              <w:top w:val="nil"/>
              <w:left w:val="nil"/>
              <w:bottom w:val="single" w:sz="4" w:space="0" w:color="auto"/>
              <w:right w:val="single" w:sz="4" w:space="0" w:color="auto"/>
            </w:tcBorders>
            <w:shd w:val="clear" w:color="auto" w:fill="auto"/>
            <w:noWrap/>
            <w:vAlign w:val="center"/>
            <w:hideMark/>
          </w:tcPr>
          <w:p w14:paraId="13DE3BD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0.209</w:t>
            </w:r>
          </w:p>
        </w:tc>
        <w:tc>
          <w:tcPr>
            <w:tcW w:w="990" w:type="dxa"/>
            <w:tcBorders>
              <w:top w:val="nil"/>
              <w:left w:val="nil"/>
              <w:bottom w:val="single" w:sz="4" w:space="0" w:color="auto"/>
              <w:right w:val="single" w:sz="4" w:space="0" w:color="auto"/>
            </w:tcBorders>
            <w:shd w:val="clear" w:color="auto" w:fill="auto"/>
            <w:noWrap/>
            <w:vAlign w:val="center"/>
            <w:hideMark/>
          </w:tcPr>
          <w:p w14:paraId="4FA9E9B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4478DA9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6B65BD8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0.031</w:t>
            </w:r>
          </w:p>
        </w:tc>
        <w:tc>
          <w:tcPr>
            <w:tcW w:w="810" w:type="dxa"/>
            <w:tcBorders>
              <w:top w:val="nil"/>
              <w:left w:val="nil"/>
              <w:bottom w:val="single" w:sz="4" w:space="0" w:color="auto"/>
              <w:right w:val="single" w:sz="4" w:space="0" w:color="auto"/>
            </w:tcBorders>
            <w:shd w:val="clear" w:color="auto" w:fill="auto"/>
            <w:noWrap/>
            <w:vAlign w:val="center"/>
            <w:hideMark/>
          </w:tcPr>
          <w:p w14:paraId="3924972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4BC73BC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354D639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74F25BF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7EB21588"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082A4758" w14:textId="4AC82E16"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Thiamine</w:t>
            </w:r>
          </w:p>
        </w:tc>
        <w:tc>
          <w:tcPr>
            <w:tcW w:w="768" w:type="dxa"/>
            <w:tcBorders>
              <w:top w:val="nil"/>
              <w:left w:val="nil"/>
              <w:bottom w:val="single" w:sz="4" w:space="0" w:color="auto"/>
              <w:right w:val="single" w:sz="4" w:space="0" w:color="auto"/>
            </w:tcBorders>
            <w:shd w:val="clear" w:color="auto" w:fill="auto"/>
            <w:noWrap/>
            <w:vAlign w:val="center"/>
            <w:hideMark/>
          </w:tcPr>
          <w:p w14:paraId="58FFA94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C00378</w:t>
            </w:r>
          </w:p>
        </w:tc>
        <w:tc>
          <w:tcPr>
            <w:tcW w:w="1006" w:type="dxa"/>
            <w:tcBorders>
              <w:top w:val="nil"/>
              <w:left w:val="nil"/>
              <w:bottom w:val="single" w:sz="4" w:space="0" w:color="auto"/>
              <w:right w:val="single" w:sz="4" w:space="0" w:color="auto"/>
            </w:tcBorders>
            <w:shd w:val="clear" w:color="auto" w:fill="auto"/>
            <w:noWrap/>
            <w:vAlign w:val="center"/>
            <w:hideMark/>
          </w:tcPr>
          <w:p w14:paraId="630DC60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0.215</w:t>
            </w:r>
          </w:p>
        </w:tc>
        <w:tc>
          <w:tcPr>
            <w:tcW w:w="990" w:type="dxa"/>
            <w:tcBorders>
              <w:top w:val="nil"/>
              <w:left w:val="nil"/>
              <w:bottom w:val="single" w:sz="4" w:space="0" w:color="auto"/>
              <w:right w:val="single" w:sz="4" w:space="0" w:color="auto"/>
            </w:tcBorders>
            <w:shd w:val="clear" w:color="auto" w:fill="auto"/>
            <w:noWrap/>
            <w:vAlign w:val="center"/>
            <w:hideMark/>
          </w:tcPr>
          <w:p w14:paraId="227223E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0FD915D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0.003</w:t>
            </w:r>
          </w:p>
        </w:tc>
        <w:tc>
          <w:tcPr>
            <w:tcW w:w="720" w:type="dxa"/>
            <w:tcBorders>
              <w:top w:val="nil"/>
              <w:left w:val="nil"/>
              <w:bottom w:val="single" w:sz="4" w:space="0" w:color="auto"/>
              <w:right w:val="single" w:sz="4" w:space="0" w:color="auto"/>
            </w:tcBorders>
            <w:shd w:val="clear" w:color="auto" w:fill="auto"/>
            <w:noWrap/>
            <w:vAlign w:val="center"/>
            <w:hideMark/>
          </w:tcPr>
          <w:p w14:paraId="16278B4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0.008</w:t>
            </w:r>
          </w:p>
        </w:tc>
        <w:tc>
          <w:tcPr>
            <w:tcW w:w="810" w:type="dxa"/>
            <w:tcBorders>
              <w:top w:val="nil"/>
              <w:left w:val="nil"/>
              <w:bottom w:val="single" w:sz="4" w:space="0" w:color="auto"/>
              <w:right w:val="single" w:sz="4" w:space="0" w:color="auto"/>
            </w:tcBorders>
            <w:shd w:val="clear" w:color="auto" w:fill="auto"/>
            <w:noWrap/>
            <w:vAlign w:val="center"/>
            <w:hideMark/>
          </w:tcPr>
          <w:p w14:paraId="0618240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6729E6B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4D850F1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049FBA1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5CE55F02"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10F1102C" w14:textId="04548793"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Aminocaproic Acid</w:t>
            </w:r>
          </w:p>
        </w:tc>
        <w:tc>
          <w:tcPr>
            <w:tcW w:w="768" w:type="dxa"/>
            <w:tcBorders>
              <w:top w:val="nil"/>
              <w:left w:val="nil"/>
              <w:bottom w:val="single" w:sz="4" w:space="0" w:color="auto"/>
              <w:right w:val="single" w:sz="4" w:space="0" w:color="auto"/>
            </w:tcBorders>
            <w:shd w:val="clear" w:color="auto" w:fill="auto"/>
            <w:noWrap/>
            <w:vAlign w:val="center"/>
            <w:hideMark/>
          </w:tcPr>
          <w:p w14:paraId="0B0634F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C02378</w:t>
            </w:r>
          </w:p>
        </w:tc>
        <w:tc>
          <w:tcPr>
            <w:tcW w:w="1006" w:type="dxa"/>
            <w:tcBorders>
              <w:top w:val="nil"/>
              <w:left w:val="nil"/>
              <w:bottom w:val="single" w:sz="4" w:space="0" w:color="auto"/>
              <w:right w:val="single" w:sz="4" w:space="0" w:color="auto"/>
            </w:tcBorders>
            <w:shd w:val="clear" w:color="auto" w:fill="auto"/>
            <w:noWrap/>
            <w:vAlign w:val="center"/>
            <w:hideMark/>
          </w:tcPr>
          <w:p w14:paraId="0829A39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0.228</w:t>
            </w:r>
          </w:p>
        </w:tc>
        <w:tc>
          <w:tcPr>
            <w:tcW w:w="990" w:type="dxa"/>
            <w:tcBorders>
              <w:top w:val="nil"/>
              <w:left w:val="nil"/>
              <w:bottom w:val="single" w:sz="4" w:space="0" w:color="auto"/>
              <w:right w:val="single" w:sz="4" w:space="0" w:color="auto"/>
            </w:tcBorders>
            <w:shd w:val="clear" w:color="auto" w:fill="auto"/>
            <w:noWrap/>
            <w:vAlign w:val="center"/>
            <w:hideMark/>
          </w:tcPr>
          <w:p w14:paraId="4074DD5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5E5C79D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0.007</w:t>
            </w:r>
          </w:p>
        </w:tc>
        <w:tc>
          <w:tcPr>
            <w:tcW w:w="720" w:type="dxa"/>
            <w:tcBorders>
              <w:top w:val="nil"/>
              <w:left w:val="nil"/>
              <w:bottom w:val="single" w:sz="4" w:space="0" w:color="auto"/>
              <w:right w:val="single" w:sz="4" w:space="0" w:color="auto"/>
            </w:tcBorders>
            <w:shd w:val="clear" w:color="auto" w:fill="auto"/>
            <w:noWrap/>
            <w:vAlign w:val="center"/>
            <w:hideMark/>
          </w:tcPr>
          <w:p w14:paraId="1CBB3D7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0.010</w:t>
            </w:r>
          </w:p>
        </w:tc>
        <w:tc>
          <w:tcPr>
            <w:tcW w:w="810" w:type="dxa"/>
            <w:tcBorders>
              <w:top w:val="nil"/>
              <w:left w:val="nil"/>
              <w:bottom w:val="single" w:sz="4" w:space="0" w:color="auto"/>
              <w:right w:val="single" w:sz="4" w:space="0" w:color="auto"/>
            </w:tcBorders>
            <w:shd w:val="clear" w:color="auto" w:fill="auto"/>
            <w:noWrap/>
            <w:vAlign w:val="center"/>
            <w:hideMark/>
          </w:tcPr>
          <w:p w14:paraId="5632E57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7998CB4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75BB81F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3574CCE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44FE94C6"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667AA631" w14:textId="25B6174F"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Glutamate</w:t>
            </w:r>
          </w:p>
        </w:tc>
        <w:tc>
          <w:tcPr>
            <w:tcW w:w="768" w:type="dxa"/>
            <w:tcBorders>
              <w:top w:val="nil"/>
              <w:left w:val="nil"/>
              <w:bottom w:val="single" w:sz="4" w:space="0" w:color="auto"/>
              <w:right w:val="single" w:sz="4" w:space="0" w:color="auto"/>
            </w:tcBorders>
            <w:shd w:val="clear" w:color="auto" w:fill="auto"/>
            <w:noWrap/>
            <w:vAlign w:val="center"/>
            <w:hideMark/>
          </w:tcPr>
          <w:p w14:paraId="0A46972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C00025</w:t>
            </w:r>
          </w:p>
        </w:tc>
        <w:tc>
          <w:tcPr>
            <w:tcW w:w="1006" w:type="dxa"/>
            <w:tcBorders>
              <w:top w:val="nil"/>
              <w:left w:val="nil"/>
              <w:bottom w:val="single" w:sz="4" w:space="0" w:color="auto"/>
              <w:right w:val="single" w:sz="4" w:space="0" w:color="auto"/>
            </w:tcBorders>
            <w:shd w:val="clear" w:color="auto" w:fill="auto"/>
            <w:noWrap/>
            <w:vAlign w:val="center"/>
            <w:hideMark/>
          </w:tcPr>
          <w:p w14:paraId="51221FA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0.228</w:t>
            </w:r>
          </w:p>
        </w:tc>
        <w:tc>
          <w:tcPr>
            <w:tcW w:w="990" w:type="dxa"/>
            <w:tcBorders>
              <w:top w:val="nil"/>
              <w:left w:val="nil"/>
              <w:bottom w:val="single" w:sz="4" w:space="0" w:color="auto"/>
              <w:right w:val="single" w:sz="4" w:space="0" w:color="auto"/>
            </w:tcBorders>
            <w:shd w:val="clear" w:color="auto" w:fill="auto"/>
            <w:noWrap/>
            <w:vAlign w:val="center"/>
            <w:hideMark/>
          </w:tcPr>
          <w:p w14:paraId="2524BA4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0D0C397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0.014</w:t>
            </w:r>
          </w:p>
        </w:tc>
        <w:tc>
          <w:tcPr>
            <w:tcW w:w="720" w:type="dxa"/>
            <w:tcBorders>
              <w:top w:val="nil"/>
              <w:left w:val="nil"/>
              <w:bottom w:val="single" w:sz="4" w:space="0" w:color="auto"/>
              <w:right w:val="single" w:sz="4" w:space="0" w:color="auto"/>
            </w:tcBorders>
            <w:shd w:val="clear" w:color="auto" w:fill="auto"/>
            <w:noWrap/>
            <w:vAlign w:val="center"/>
            <w:hideMark/>
          </w:tcPr>
          <w:p w14:paraId="2905A97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0.036</w:t>
            </w:r>
          </w:p>
        </w:tc>
        <w:tc>
          <w:tcPr>
            <w:tcW w:w="810" w:type="dxa"/>
            <w:tcBorders>
              <w:top w:val="nil"/>
              <w:left w:val="nil"/>
              <w:bottom w:val="single" w:sz="4" w:space="0" w:color="auto"/>
              <w:right w:val="single" w:sz="4" w:space="0" w:color="auto"/>
            </w:tcBorders>
            <w:shd w:val="clear" w:color="auto" w:fill="auto"/>
            <w:noWrap/>
            <w:vAlign w:val="center"/>
            <w:hideMark/>
          </w:tcPr>
          <w:p w14:paraId="5942A07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6C126FC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1A565BB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7E09473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2C474D20"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759E50F5" w14:textId="5DDFB6F3"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Leucine/Isoleucine</w:t>
            </w:r>
          </w:p>
        </w:tc>
        <w:tc>
          <w:tcPr>
            <w:tcW w:w="768" w:type="dxa"/>
            <w:tcBorders>
              <w:top w:val="nil"/>
              <w:left w:val="nil"/>
              <w:bottom w:val="single" w:sz="4" w:space="0" w:color="auto"/>
              <w:right w:val="single" w:sz="4" w:space="0" w:color="auto"/>
            </w:tcBorders>
            <w:shd w:val="clear" w:color="auto" w:fill="auto"/>
            <w:noWrap/>
            <w:vAlign w:val="center"/>
            <w:hideMark/>
          </w:tcPr>
          <w:p w14:paraId="5594CFD2" w14:textId="77777777" w:rsidR="00AF45EA" w:rsidRPr="005C665A" w:rsidRDefault="00AF45EA" w:rsidP="00AF45EA">
            <w:pPr>
              <w:jc w:val="center"/>
              <w:rPr>
                <w:rFonts w:ascii="Times New Roman" w:hAnsi="Times New Roman" w:cs="Times New Roman"/>
                <w:color w:val="000000"/>
                <w:sz w:val="16"/>
                <w:szCs w:val="16"/>
              </w:rPr>
            </w:pPr>
            <w:proofErr w:type="gramStart"/>
            <w:r w:rsidRPr="005C665A">
              <w:rPr>
                <w:rFonts w:ascii="Times New Roman" w:hAnsi="Times New Roman" w:cs="Times New Roman"/>
                <w:color w:val="000000"/>
                <w:sz w:val="16"/>
                <w:szCs w:val="16"/>
              </w:rPr>
              <w:t>C00123;</w:t>
            </w:r>
            <w:proofErr w:type="gramEnd"/>
          </w:p>
          <w:p w14:paraId="48F59F3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C00407</w:t>
            </w:r>
          </w:p>
        </w:tc>
        <w:tc>
          <w:tcPr>
            <w:tcW w:w="1006" w:type="dxa"/>
            <w:tcBorders>
              <w:top w:val="nil"/>
              <w:left w:val="nil"/>
              <w:bottom w:val="single" w:sz="4" w:space="0" w:color="auto"/>
              <w:right w:val="single" w:sz="4" w:space="0" w:color="auto"/>
            </w:tcBorders>
            <w:shd w:val="clear" w:color="auto" w:fill="auto"/>
            <w:noWrap/>
            <w:vAlign w:val="center"/>
            <w:hideMark/>
          </w:tcPr>
          <w:p w14:paraId="11E967A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0.228</w:t>
            </w:r>
          </w:p>
        </w:tc>
        <w:tc>
          <w:tcPr>
            <w:tcW w:w="990" w:type="dxa"/>
            <w:tcBorders>
              <w:top w:val="nil"/>
              <w:left w:val="nil"/>
              <w:bottom w:val="single" w:sz="4" w:space="0" w:color="auto"/>
              <w:right w:val="single" w:sz="4" w:space="0" w:color="auto"/>
            </w:tcBorders>
            <w:shd w:val="clear" w:color="auto" w:fill="auto"/>
            <w:noWrap/>
            <w:vAlign w:val="center"/>
            <w:hideMark/>
          </w:tcPr>
          <w:p w14:paraId="423A62B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54EAA3C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0.011</w:t>
            </w:r>
          </w:p>
        </w:tc>
        <w:tc>
          <w:tcPr>
            <w:tcW w:w="720" w:type="dxa"/>
            <w:tcBorders>
              <w:top w:val="nil"/>
              <w:left w:val="nil"/>
              <w:bottom w:val="single" w:sz="4" w:space="0" w:color="auto"/>
              <w:right w:val="single" w:sz="4" w:space="0" w:color="auto"/>
            </w:tcBorders>
            <w:shd w:val="clear" w:color="auto" w:fill="auto"/>
            <w:noWrap/>
            <w:vAlign w:val="center"/>
            <w:hideMark/>
          </w:tcPr>
          <w:p w14:paraId="489B0A0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0.010</w:t>
            </w:r>
          </w:p>
        </w:tc>
        <w:tc>
          <w:tcPr>
            <w:tcW w:w="810" w:type="dxa"/>
            <w:tcBorders>
              <w:top w:val="nil"/>
              <w:left w:val="nil"/>
              <w:bottom w:val="single" w:sz="4" w:space="0" w:color="auto"/>
              <w:right w:val="single" w:sz="4" w:space="0" w:color="auto"/>
            </w:tcBorders>
            <w:shd w:val="clear" w:color="auto" w:fill="auto"/>
            <w:noWrap/>
            <w:vAlign w:val="center"/>
            <w:hideMark/>
          </w:tcPr>
          <w:p w14:paraId="7EDD63F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0E520E3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7CF8596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5E8B97B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53048D83"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466686B6" w14:textId="7DACC39D"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SN-Glycerol-3-Phosphate</w:t>
            </w:r>
          </w:p>
        </w:tc>
        <w:tc>
          <w:tcPr>
            <w:tcW w:w="768" w:type="dxa"/>
            <w:tcBorders>
              <w:top w:val="nil"/>
              <w:left w:val="nil"/>
              <w:bottom w:val="single" w:sz="4" w:space="0" w:color="auto"/>
              <w:right w:val="single" w:sz="4" w:space="0" w:color="auto"/>
            </w:tcBorders>
            <w:shd w:val="clear" w:color="auto" w:fill="auto"/>
            <w:noWrap/>
            <w:vAlign w:val="center"/>
            <w:hideMark/>
          </w:tcPr>
          <w:p w14:paraId="664AD5E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C00093</w:t>
            </w:r>
          </w:p>
        </w:tc>
        <w:tc>
          <w:tcPr>
            <w:tcW w:w="1006" w:type="dxa"/>
            <w:tcBorders>
              <w:top w:val="nil"/>
              <w:left w:val="nil"/>
              <w:bottom w:val="single" w:sz="4" w:space="0" w:color="auto"/>
              <w:right w:val="single" w:sz="4" w:space="0" w:color="auto"/>
            </w:tcBorders>
            <w:shd w:val="clear" w:color="auto" w:fill="auto"/>
            <w:noWrap/>
            <w:vAlign w:val="center"/>
            <w:hideMark/>
          </w:tcPr>
          <w:p w14:paraId="5FFCB3F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0.239</w:t>
            </w:r>
          </w:p>
        </w:tc>
        <w:tc>
          <w:tcPr>
            <w:tcW w:w="990" w:type="dxa"/>
            <w:tcBorders>
              <w:top w:val="nil"/>
              <w:left w:val="nil"/>
              <w:bottom w:val="single" w:sz="4" w:space="0" w:color="auto"/>
              <w:right w:val="single" w:sz="4" w:space="0" w:color="auto"/>
            </w:tcBorders>
            <w:shd w:val="clear" w:color="auto" w:fill="auto"/>
            <w:noWrap/>
            <w:vAlign w:val="center"/>
            <w:hideMark/>
          </w:tcPr>
          <w:p w14:paraId="7C90FBA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6112DEE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2BFD33F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0" w:type="dxa"/>
            <w:tcBorders>
              <w:top w:val="nil"/>
              <w:left w:val="nil"/>
              <w:bottom w:val="single" w:sz="4" w:space="0" w:color="auto"/>
              <w:right w:val="single" w:sz="4" w:space="0" w:color="auto"/>
            </w:tcBorders>
            <w:shd w:val="clear" w:color="auto" w:fill="auto"/>
            <w:noWrap/>
            <w:vAlign w:val="center"/>
            <w:hideMark/>
          </w:tcPr>
          <w:p w14:paraId="2BC000A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7FE5995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2637E7C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49C2D8D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3C7893B5"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70B5AE48" w14:textId="6E5341CE"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2-Oxo-4-Methylthiobutanoate</w:t>
            </w:r>
          </w:p>
        </w:tc>
        <w:tc>
          <w:tcPr>
            <w:tcW w:w="768" w:type="dxa"/>
            <w:tcBorders>
              <w:top w:val="nil"/>
              <w:left w:val="nil"/>
              <w:bottom w:val="single" w:sz="4" w:space="0" w:color="auto"/>
              <w:right w:val="single" w:sz="4" w:space="0" w:color="auto"/>
            </w:tcBorders>
            <w:shd w:val="clear" w:color="auto" w:fill="auto"/>
            <w:noWrap/>
            <w:vAlign w:val="center"/>
            <w:hideMark/>
          </w:tcPr>
          <w:p w14:paraId="04EBFC3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C01180</w:t>
            </w:r>
          </w:p>
        </w:tc>
        <w:tc>
          <w:tcPr>
            <w:tcW w:w="1006" w:type="dxa"/>
            <w:tcBorders>
              <w:top w:val="nil"/>
              <w:left w:val="nil"/>
              <w:bottom w:val="single" w:sz="4" w:space="0" w:color="auto"/>
              <w:right w:val="single" w:sz="4" w:space="0" w:color="auto"/>
            </w:tcBorders>
            <w:shd w:val="clear" w:color="auto" w:fill="auto"/>
            <w:noWrap/>
            <w:vAlign w:val="center"/>
            <w:hideMark/>
          </w:tcPr>
          <w:p w14:paraId="6C38823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0.271</w:t>
            </w:r>
          </w:p>
        </w:tc>
        <w:tc>
          <w:tcPr>
            <w:tcW w:w="990" w:type="dxa"/>
            <w:tcBorders>
              <w:top w:val="nil"/>
              <w:left w:val="nil"/>
              <w:bottom w:val="single" w:sz="4" w:space="0" w:color="auto"/>
              <w:right w:val="single" w:sz="4" w:space="0" w:color="auto"/>
            </w:tcBorders>
            <w:shd w:val="clear" w:color="auto" w:fill="auto"/>
            <w:noWrap/>
            <w:vAlign w:val="center"/>
            <w:hideMark/>
          </w:tcPr>
          <w:p w14:paraId="4EE8011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357FE26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0.029</w:t>
            </w:r>
          </w:p>
        </w:tc>
        <w:tc>
          <w:tcPr>
            <w:tcW w:w="720" w:type="dxa"/>
            <w:tcBorders>
              <w:top w:val="nil"/>
              <w:left w:val="nil"/>
              <w:bottom w:val="single" w:sz="4" w:space="0" w:color="auto"/>
              <w:right w:val="single" w:sz="4" w:space="0" w:color="auto"/>
            </w:tcBorders>
            <w:shd w:val="clear" w:color="auto" w:fill="auto"/>
            <w:noWrap/>
            <w:vAlign w:val="center"/>
            <w:hideMark/>
          </w:tcPr>
          <w:p w14:paraId="061D184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0" w:type="dxa"/>
            <w:tcBorders>
              <w:top w:val="nil"/>
              <w:left w:val="nil"/>
              <w:bottom w:val="single" w:sz="4" w:space="0" w:color="auto"/>
              <w:right w:val="single" w:sz="4" w:space="0" w:color="auto"/>
            </w:tcBorders>
            <w:shd w:val="clear" w:color="auto" w:fill="auto"/>
            <w:noWrap/>
            <w:vAlign w:val="center"/>
            <w:hideMark/>
          </w:tcPr>
          <w:p w14:paraId="25384E1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7C19292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6C4C20E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3F97C54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3721E008"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78C748D6" w14:textId="0F2EE2F1"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Uracil</w:t>
            </w:r>
          </w:p>
        </w:tc>
        <w:tc>
          <w:tcPr>
            <w:tcW w:w="768" w:type="dxa"/>
            <w:tcBorders>
              <w:top w:val="nil"/>
              <w:left w:val="nil"/>
              <w:bottom w:val="single" w:sz="4" w:space="0" w:color="auto"/>
              <w:right w:val="single" w:sz="4" w:space="0" w:color="auto"/>
            </w:tcBorders>
            <w:shd w:val="clear" w:color="auto" w:fill="auto"/>
            <w:noWrap/>
            <w:vAlign w:val="center"/>
            <w:hideMark/>
          </w:tcPr>
          <w:p w14:paraId="104241E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C00106</w:t>
            </w:r>
          </w:p>
        </w:tc>
        <w:tc>
          <w:tcPr>
            <w:tcW w:w="1006" w:type="dxa"/>
            <w:tcBorders>
              <w:top w:val="nil"/>
              <w:left w:val="nil"/>
              <w:bottom w:val="single" w:sz="4" w:space="0" w:color="auto"/>
              <w:right w:val="single" w:sz="4" w:space="0" w:color="auto"/>
            </w:tcBorders>
            <w:shd w:val="clear" w:color="auto" w:fill="auto"/>
            <w:noWrap/>
            <w:vAlign w:val="center"/>
            <w:hideMark/>
          </w:tcPr>
          <w:p w14:paraId="58E67CF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0.271</w:t>
            </w:r>
          </w:p>
        </w:tc>
        <w:tc>
          <w:tcPr>
            <w:tcW w:w="990" w:type="dxa"/>
            <w:tcBorders>
              <w:top w:val="nil"/>
              <w:left w:val="nil"/>
              <w:bottom w:val="single" w:sz="4" w:space="0" w:color="auto"/>
              <w:right w:val="single" w:sz="4" w:space="0" w:color="auto"/>
            </w:tcBorders>
            <w:shd w:val="clear" w:color="auto" w:fill="auto"/>
            <w:noWrap/>
            <w:vAlign w:val="center"/>
            <w:hideMark/>
          </w:tcPr>
          <w:p w14:paraId="1D546E2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4B130CB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34DB789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0.029</w:t>
            </w:r>
          </w:p>
        </w:tc>
        <w:tc>
          <w:tcPr>
            <w:tcW w:w="810" w:type="dxa"/>
            <w:tcBorders>
              <w:top w:val="nil"/>
              <w:left w:val="nil"/>
              <w:bottom w:val="single" w:sz="4" w:space="0" w:color="auto"/>
              <w:right w:val="single" w:sz="4" w:space="0" w:color="auto"/>
            </w:tcBorders>
            <w:shd w:val="clear" w:color="auto" w:fill="auto"/>
            <w:noWrap/>
            <w:vAlign w:val="center"/>
            <w:hideMark/>
          </w:tcPr>
          <w:p w14:paraId="62ADDD7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4317242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69D2F64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5D3E391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072ADCCD"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299C6C39" w14:textId="62E64CCA" w:rsidR="00AF45EA" w:rsidRPr="005C665A" w:rsidRDefault="00AF45EA" w:rsidP="00AF45EA">
            <w:pPr>
              <w:jc w:val="center"/>
              <w:rPr>
                <w:rFonts w:ascii="Times New Roman" w:hAnsi="Times New Roman" w:cs="Times New Roman"/>
                <w:color w:val="000000"/>
                <w:sz w:val="16"/>
                <w:szCs w:val="16"/>
              </w:rPr>
            </w:pPr>
            <w:proofErr w:type="spellStart"/>
            <w:r w:rsidRPr="005C665A">
              <w:rPr>
                <w:rFonts w:ascii="Times New Roman" w:hAnsi="Times New Roman" w:cs="Times New Roman"/>
                <w:color w:val="000000"/>
                <w:sz w:val="16"/>
                <w:szCs w:val="16"/>
              </w:rPr>
              <w:t>Ophthalmate</w:t>
            </w:r>
            <w:proofErr w:type="spellEnd"/>
          </w:p>
        </w:tc>
        <w:tc>
          <w:tcPr>
            <w:tcW w:w="768" w:type="dxa"/>
            <w:tcBorders>
              <w:top w:val="nil"/>
              <w:left w:val="nil"/>
              <w:bottom w:val="single" w:sz="4" w:space="0" w:color="auto"/>
              <w:right w:val="single" w:sz="4" w:space="0" w:color="auto"/>
            </w:tcBorders>
            <w:shd w:val="clear" w:color="auto" w:fill="auto"/>
            <w:noWrap/>
            <w:vAlign w:val="center"/>
            <w:hideMark/>
          </w:tcPr>
          <w:p w14:paraId="70F08DF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 xml:space="preserve">C21016 </w:t>
            </w:r>
          </w:p>
        </w:tc>
        <w:tc>
          <w:tcPr>
            <w:tcW w:w="1006" w:type="dxa"/>
            <w:tcBorders>
              <w:top w:val="nil"/>
              <w:left w:val="nil"/>
              <w:bottom w:val="single" w:sz="4" w:space="0" w:color="auto"/>
              <w:right w:val="single" w:sz="4" w:space="0" w:color="auto"/>
            </w:tcBorders>
            <w:shd w:val="clear" w:color="auto" w:fill="auto"/>
            <w:noWrap/>
            <w:vAlign w:val="center"/>
            <w:hideMark/>
          </w:tcPr>
          <w:p w14:paraId="57830C9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0.278</w:t>
            </w:r>
          </w:p>
        </w:tc>
        <w:tc>
          <w:tcPr>
            <w:tcW w:w="990" w:type="dxa"/>
            <w:tcBorders>
              <w:top w:val="nil"/>
              <w:left w:val="nil"/>
              <w:bottom w:val="single" w:sz="4" w:space="0" w:color="auto"/>
              <w:right w:val="single" w:sz="4" w:space="0" w:color="auto"/>
            </w:tcBorders>
            <w:shd w:val="clear" w:color="auto" w:fill="auto"/>
            <w:noWrap/>
            <w:vAlign w:val="center"/>
            <w:hideMark/>
          </w:tcPr>
          <w:p w14:paraId="5987620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39C9CBC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0D9BE54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0.029</w:t>
            </w:r>
          </w:p>
        </w:tc>
        <w:tc>
          <w:tcPr>
            <w:tcW w:w="810" w:type="dxa"/>
            <w:tcBorders>
              <w:top w:val="nil"/>
              <w:left w:val="nil"/>
              <w:bottom w:val="single" w:sz="4" w:space="0" w:color="auto"/>
              <w:right w:val="single" w:sz="4" w:space="0" w:color="auto"/>
            </w:tcBorders>
            <w:shd w:val="clear" w:color="auto" w:fill="auto"/>
            <w:noWrap/>
            <w:vAlign w:val="center"/>
            <w:hideMark/>
          </w:tcPr>
          <w:p w14:paraId="30B7363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7FA7FE5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6AD58DC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1DACBF1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2A4AC8B0"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12654DFC" w14:textId="4344147D"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Arginine</w:t>
            </w:r>
          </w:p>
        </w:tc>
        <w:tc>
          <w:tcPr>
            <w:tcW w:w="768" w:type="dxa"/>
            <w:tcBorders>
              <w:top w:val="nil"/>
              <w:left w:val="nil"/>
              <w:bottom w:val="single" w:sz="4" w:space="0" w:color="auto"/>
              <w:right w:val="single" w:sz="4" w:space="0" w:color="auto"/>
            </w:tcBorders>
            <w:shd w:val="clear" w:color="auto" w:fill="auto"/>
            <w:noWrap/>
            <w:vAlign w:val="center"/>
            <w:hideMark/>
          </w:tcPr>
          <w:p w14:paraId="536D882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C00062</w:t>
            </w:r>
          </w:p>
        </w:tc>
        <w:tc>
          <w:tcPr>
            <w:tcW w:w="1006" w:type="dxa"/>
            <w:tcBorders>
              <w:top w:val="nil"/>
              <w:left w:val="nil"/>
              <w:bottom w:val="single" w:sz="4" w:space="0" w:color="auto"/>
              <w:right w:val="single" w:sz="4" w:space="0" w:color="auto"/>
            </w:tcBorders>
            <w:shd w:val="clear" w:color="auto" w:fill="auto"/>
            <w:noWrap/>
            <w:vAlign w:val="center"/>
            <w:hideMark/>
          </w:tcPr>
          <w:p w14:paraId="2C0CFE3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0.309</w:t>
            </w:r>
          </w:p>
        </w:tc>
        <w:tc>
          <w:tcPr>
            <w:tcW w:w="990" w:type="dxa"/>
            <w:tcBorders>
              <w:top w:val="nil"/>
              <w:left w:val="nil"/>
              <w:bottom w:val="single" w:sz="4" w:space="0" w:color="auto"/>
              <w:right w:val="single" w:sz="4" w:space="0" w:color="auto"/>
            </w:tcBorders>
            <w:shd w:val="clear" w:color="auto" w:fill="auto"/>
            <w:noWrap/>
            <w:vAlign w:val="center"/>
            <w:hideMark/>
          </w:tcPr>
          <w:p w14:paraId="0981206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39C3FD0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0.001</w:t>
            </w:r>
          </w:p>
        </w:tc>
        <w:tc>
          <w:tcPr>
            <w:tcW w:w="720" w:type="dxa"/>
            <w:tcBorders>
              <w:top w:val="nil"/>
              <w:left w:val="nil"/>
              <w:bottom w:val="single" w:sz="4" w:space="0" w:color="auto"/>
              <w:right w:val="single" w:sz="4" w:space="0" w:color="auto"/>
            </w:tcBorders>
            <w:shd w:val="clear" w:color="auto" w:fill="auto"/>
            <w:noWrap/>
            <w:vAlign w:val="center"/>
            <w:hideMark/>
          </w:tcPr>
          <w:p w14:paraId="2ECE126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0.003</w:t>
            </w:r>
          </w:p>
        </w:tc>
        <w:tc>
          <w:tcPr>
            <w:tcW w:w="810" w:type="dxa"/>
            <w:tcBorders>
              <w:top w:val="nil"/>
              <w:left w:val="nil"/>
              <w:bottom w:val="single" w:sz="4" w:space="0" w:color="auto"/>
              <w:right w:val="single" w:sz="4" w:space="0" w:color="auto"/>
            </w:tcBorders>
            <w:shd w:val="clear" w:color="auto" w:fill="auto"/>
            <w:noWrap/>
            <w:vAlign w:val="center"/>
            <w:hideMark/>
          </w:tcPr>
          <w:p w14:paraId="32A53A6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07BF8A9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5A33B92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0D52531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27D275CD"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1201E347" w14:textId="24BFDF9B" w:rsidR="00AF45EA" w:rsidRPr="005C665A" w:rsidRDefault="00AF45EA" w:rsidP="00AF45EA">
            <w:pPr>
              <w:jc w:val="center"/>
              <w:rPr>
                <w:rFonts w:ascii="Times New Roman" w:hAnsi="Times New Roman" w:cs="Times New Roman"/>
                <w:color w:val="000000"/>
                <w:sz w:val="16"/>
                <w:szCs w:val="16"/>
              </w:rPr>
            </w:pPr>
            <w:proofErr w:type="spellStart"/>
            <w:r w:rsidRPr="005C665A">
              <w:rPr>
                <w:rFonts w:ascii="Times New Roman" w:hAnsi="Times New Roman" w:cs="Times New Roman"/>
                <w:color w:val="000000"/>
                <w:sz w:val="16"/>
                <w:szCs w:val="16"/>
              </w:rPr>
              <w:t>Deoxyuridine</w:t>
            </w:r>
            <w:proofErr w:type="spellEnd"/>
          </w:p>
        </w:tc>
        <w:tc>
          <w:tcPr>
            <w:tcW w:w="768" w:type="dxa"/>
            <w:tcBorders>
              <w:top w:val="nil"/>
              <w:left w:val="nil"/>
              <w:bottom w:val="single" w:sz="4" w:space="0" w:color="auto"/>
              <w:right w:val="single" w:sz="4" w:space="0" w:color="auto"/>
            </w:tcBorders>
            <w:shd w:val="clear" w:color="auto" w:fill="auto"/>
            <w:noWrap/>
            <w:vAlign w:val="center"/>
            <w:hideMark/>
          </w:tcPr>
          <w:p w14:paraId="6D78DE6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C00526</w:t>
            </w:r>
          </w:p>
        </w:tc>
        <w:tc>
          <w:tcPr>
            <w:tcW w:w="1006" w:type="dxa"/>
            <w:tcBorders>
              <w:top w:val="nil"/>
              <w:left w:val="nil"/>
              <w:bottom w:val="single" w:sz="4" w:space="0" w:color="auto"/>
              <w:right w:val="single" w:sz="4" w:space="0" w:color="auto"/>
            </w:tcBorders>
            <w:shd w:val="clear" w:color="auto" w:fill="auto"/>
            <w:noWrap/>
            <w:vAlign w:val="center"/>
            <w:hideMark/>
          </w:tcPr>
          <w:p w14:paraId="50F802E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0.321</w:t>
            </w:r>
          </w:p>
        </w:tc>
        <w:tc>
          <w:tcPr>
            <w:tcW w:w="990" w:type="dxa"/>
            <w:tcBorders>
              <w:top w:val="nil"/>
              <w:left w:val="nil"/>
              <w:bottom w:val="single" w:sz="4" w:space="0" w:color="auto"/>
              <w:right w:val="single" w:sz="4" w:space="0" w:color="auto"/>
            </w:tcBorders>
            <w:shd w:val="clear" w:color="auto" w:fill="auto"/>
            <w:noWrap/>
            <w:vAlign w:val="center"/>
            <w:hideMark/>
          </w:tcPr>
          <w:p w14:paraId="5595609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5EA8666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0.008</w:t>
            </w:r>
          </w:p>
        </w:tc>
        <w:tc>
          <w:tcPr>
            <w:tcW w:w="720" w:type="dxa"/>
            <w:tcBorders>
              <w:top w:val="nil"/>
              <w:left w:val="nil"/>
              <w:bottom w:val="single" w:sz="4" w:space="0" w:color="auto"/>
              <w:right w:val="single" w:sz="4" w:space="0" w:color="auto"/>
            </w:tcBorders>
            <w:shd w:val="clear" w:color="auto" w:fill="auto"/>
            <w:noWrap/>
            <w:vAlign w:val="center"/>
            <w:hideMark/>
          </w:tcPr>
          <w:p w14:paraId="7D6DC24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0" w:type="dxa"/>
            <w:tcBorders>
              <w:top w:val="nil"/>
              <w:left w:val="nil"/>
              <w:bottom w:val="single" w:sz="4" w:space="0" w:color="auto"/>
              <w:right w:val="single" w:sz="4" w:space="0" w:color="auto"/>
            </w:tcBorders>
            <w:shd w:val="clear" w:color="auto" w:fill="auto"/>
            <w:noWrap/>
            <w:vAlign w:val="center"/>
            <w:hideMark/>
          </w:tcPr>
          <w:p w14:paraId="76C217F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0F1E75B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1E96A14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13B5282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539A36D2" w14:textId="77777777" w:rsidTr="005C665A">
        <w:trPr>
          <w:trHeight w:val="288"/>
          <w:jc w:val="center"/>
        </w:trPr>
        <w:tc>
          <w:tcPr>
            <w:tcW w:w="1931" w:type="dxa"/>
            <w:tcBorders>
              <w:top w:val="nil"/>
              <w:left w:val="single" w:sz="4" w:space="0" w:color="auto"/>
              <w:bottom w:val="single" w:sz="4" w:space="0" w:color="auto"/>
              <w:right w:val="single" w:sz="4" w:space="0" w:color="auto"/>
            </w:tcBorders>
            <w:shd w:val="clear" w:color="auto" w:fill="auto"/>
            <w:noWrap/>
            <w:vAlign w:val="center"/>
            <w:hideMark/>
          </w:tcPr>
          <w:p w14:paraId="4FFE0932" w14:textId="31E5673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Ornithine</w:t>
            </w:r>
          </w:p>
        </w:tc>
        <w:tc>
          <w:tcPr>
            <w:tcW w:w="768" w:type="dxa"/>
            <w:tcBorders>
              <w:top w:val="nil"/>
              <w:left w:val="nil"/>
              <w:bottom w:val="single" w:sz="4" w:space="0" w:color="auto"/>
              <w:right w:val="single" w:sz="4" w:space="0" w:color="auto"/>
            </w:tcBorders>
            <w:shd w:val="clear" w:color="auto" w:fill="auto"/>
            <w:noWrap/>
            <w:vAlign w:val="center"/>
            <w:hideMark/>
          </w:tcPr>
          <w:p w14:paraId="5FB3A73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C00077</w:t>
            </w:r>
          </w:p>
        </w:tc>
        <w:tc>
          <w:tcPr>
            <w:tcW w:w="1006" w:type="dxa"/>
            <w:tcBorders>
              <w:top w:val="nil"/>
              <w:left w:val="nil"/>
              <w:bottom w:val="single" w:sz="4" w:space="0" w:color="auto"/>
              <w:right w:val="single" w:sz="4" w:space="0" w:color="auto"/>
            </w:tcBorders>
            <w:shd w:val="clear" w:color="auto" w:fill="auto"/>
            <w:noWrap/>
            <w:vAlign w:val="center"/>
            <w:hideMark/>
          </w:tcPr>
          <w:p w14:paraId="0A21EF7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0.321</w:t>
            </w:r>
          </w:p>
        </w:tc>
        <w:tc>
          <w:tcPr>
            <w:tcW w:w="990" w:type="dxa"/>
            <w:tcBorders>
              <w:top w:val="nil"/>
              <w:left w:val="nil"/>
              <w:bottom w:val="single" w:sz="4" w:space="0" w:color="auto"/>
              <w:right w:val="single" w:sz="4" w:space="0" w:color="auto"/>
            </w:tcBorders>
            <w:shd w:val="clear" w:color="auto" w:fill="auto"/>
            <w:noWrap/>
            <w:vAlign w:val="center"/>
            <w:hideMark/>
          </w:tcPr>
          <w:p w14:paraId="52EBD0C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3BB5B03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0.001</w:t>
            </w:r>
          </w:p>
        </w:tc>
        <w:tc>
          <w:tcPr>
            <w:tcW w:w="720" w:type="dxa"/>
            <w:tcBorders>
              <w:top w:val="nil"/>
              <w:left w:val="nil"/>
              <w:bottom w:val="single" w:sz="4" w:space="0" w:color="auto"/>
              <w:right w:val="single" w:sz="4" w:space="0" w:color="auto"/>
            </w:tcBorders>
            <w:shd w:val="clear" w:color="auto" w:fill="auto"/>
            <w:noWrap/>
            <w:vAlign w:val="center"/>
            <w:hideMark/>
          </w:tcPr>
          <w:p w14:paraId="44354DB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0.004</w:t>
            </w:r>
          </w:p>
        </w:tc>
        <w:tc>
          <w:tcPr>
            <w:tcW w:w="810" w:type="dxa"/>
            <w:tcBorders>
              <w:top w:val="nil"/>
              <w:left w:val="nil"/>
              <w:bottom w:val="single" w:sz="4" w:space="0" w:color="auto"/>
              <w:right w:val="single" w:sz="4" w:space="0" w:color="auto"/>
            </w:tcBorders>
            <w:shd w:val="clear" w:color="auto" w:fill="auto"/>
            <w:noWrap/>
            <w:vAlign w:val="center"/>
            <w:hideMark/>
          </w:tcPr>
          <w:p w14:paraId="4BF2963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3479425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2AF33B0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502C6E8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bl>
    <w:p w14:paraId="63442049" w14:textId="152C49FD" w:rsidR="00AF45EA" w:rsidRDefault="00F93BA4" w:rsidP="00AF45EA">
      <w:pPr>
        <w:jc w:val="both"/>
        <w:rPr>
          <w:rFonts w:ascii="Times New Roman" w:hAnsi="Times New Roman" w:cs="Times New Roman"/>
          <w:b/>
          <w:color w:val="000000"/>
        </w:rPr>
      </w:pPr>
      <w:r w:rsidRPr="00600C14">
        <w:rPr>
          <w:rFonts w:ascii="Times New Roman" w:hAnsi="Times New Roman" w:cs="Times New Roman"/>
          <w:b/>
          <w:noProof/>
        </w:rPr>
        <w:lastRenderedPageBreak/>
        <mc:AlternateContent>
          <mc:Choice Requires="wps">
            <w:drawing>
              <wp:anchor distT="0" distB="0" distL="114300" distR="114300" simplePos="0" relativeHeight="251652608" behindDoc="0" locked="0" layoutInCell="1" allowOverlap="1" wp14:anchorId="2D37C866" wp14:editId="5B1AB63E">
                <wp:simplePos x="0" y="0"/>
                <wp:positionH relativeFrom="column">
                  <wp:posOffset>-523875</wp:posOffset>
                </wp:positionH>
                <wp:positionV relativeFrom="paragraph">
                  <wp:posOffset>6572250</wp:posOffset>
                </wp:positionV>
                <wp:extent cx="6534150" cy="900430"/>
                <wp:effectExtent l="0" t="0" r="0"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900430"/>
                        </a:xfrm>
                        <a:prstGeom prst="rect">
                          <a:avLst/>
                        </a:prstGeom>
                        <a:solidFill>
                          <a:srgbClr val="FFFFFF"/>
                        </a:solidFill>
                        <a:ln w="9525">
                          <a:noFill/>
                          <a:miter lim="800000"/>
                          <a:headEnd/>
                          <a:tailEnd/>
                        </a:ln>
                      </wps:spPr>
                      <wps:txbx>
                        <w:txbxContent>
                          <w:p w14:paraId="59898EFA" w14:textId="77777777" w:rsidR="00385683" w:rsidRPr="006277FB" w:rsidRDefault="00385683" w:rsidP="00EE5452">
                            <w:pPr>
                              <w:rPr>
                                <w:rFonts w:ascii="Times New Roman" w:hAnsi="Times New Roman" w:cs="Times New Roman"/>
                                <w:sz w:val="14"/>
                              </w:rPr>
                            </w:pPr>
                            <w:r w:rsidRPr="006277FB">
                              <w:rPr>
                                <w:rFonts w:ascii="Times New Roman" w:hAnsi="Times New Roman" w:cs="Times New Roman"/>
                                <w:sz w:val="14"/>
                                <w:vertAlign w:val="superscript"/>
                              </w:rPr>
                              <w:t>1</w:t>
                            </w:r>
                            <w:r w:rsidRPr="006277FB">
                              <w:rPr>
                                <w:rFonts w:ascii="Times New Roman" w:hAnsi="Times New Roman" w:cs="Times New Roman"/>
                                <w:sz w:val="14"/>
                              </w:rPr>
                              <w:t xml:space="preserve"> KEGG = Kyoto Encyclopedia of Genes and Genomes</w:t>
                            </w:r>
                          </w:p>
                          <w:p w14:paraId="0D3EF460" w14:textId="77777777" w:rsidR="00385683" w:rsidRPr="006277FB" w:rsidRDefault="00385683" w:rsidP="00EE5452">
                            <w:pPr>
                              <w:rPr>
                                <w:rFonts w:ascii="Times New Roman" w:hAnsi="Times New Roman" w:cs="Times New Roman"/>
                                <w:sz w:val="14"/>
                              </w:rPr>
                            </w:pPr>
                            <w:r w:rsidRPr="006277FB">
                              <w:rPr>
                                <w:rFonts w:ascii="Times New Roman" w:hAnsi="Times New Roman" w:cs="Times New Roman"/>
                                <w:sz w:val="14"/>
                                <w:vertAlign w:val="superscript"/>
                              </w:rPr>
                              <w:t>2</w:t>
                            </w:r>
                            <w:r w:rsidRPr="006277FB">
                              <w:rPr>
                                <w:rFonts w:ascii="Times New Roman" w:hAnsi="Times New Roman" w:cs="Times New Roman"/>
                                <w:sz w:val="14"/>
                              </w:rPr>
                              <w:t xml:space="preserve"> E2 = Estradiol</w:t>
                            </w:r>
                          </w:p>
                          <w:p w14:paraId="4331BB66" w14:textId="77777777" w:rsidR="00385683" w:rsidRPr="006277FB" w:rsidRDefault="00385683" w:rsidP="00EE5452">
                            <w:pPr>
                              <w:rPr>
                                <w:rFonts w:ascii="Times New Roman" w:hAnsi="Times New Roman" w:cs="Times New Roman"/>
                                <w:sz w:val="14"/>
                              </w:rPr>
                            </w:pPr>
                            <w:r w:rsidRPr="006277FB">
                              <w:rPr>
                                <w:rFonts w:ascii="Times New Roman" w:hAnsi="Times New Roman" w:cs="Times New Roman"/>
                                <w:sz w:val="14"/>
                                <w:vertAlign w:val="superscript"/>
                              </w:rPr>
                              <w:t xml:space="preserve">3 </w:t>
                            </w:r>
                            <w:r w:rsidRPr="006277FB">
                              <w:rPr>
                                <w:rFonts w:ascii="Times New Roman" w:hAnsi="Times New Roman" w:cs="Times New Roman"/>
                                <w:sz w:val="14"/>
                              </w:rPr>
                              <w:t>GnRH2 = Gonadotropin releasing hormone administration to induce the pre-ovulatory gonadotropin surge</w:t>
                            </w:r>
                          </w:p>
                          <w:p w14:paraId="65EF1E8E" w14:textId="77777777" w:rsidR="00385683" w:rsidRPr="006277FB" w:rsidRDefault="00385683" w:rsidP="00EE5452">
                            <w:pPr>
                              <w:rPr>
                                <w:rFonts w:ascii="Times New Roman" w:hAnsi="Times New Roman" w:cs="Times New Roman"/>
                                <w:sz w:val="14"/>
                              </w:rPr>
                            </w:pPr>
                            <w:r w:rsidRPr="006277FB">
                              <w:rPr>
                                <w:rFonts w:ascii="Times New Roman" w:hAnsi="Times New Roman" w:cs="Times New Roman"/>
                                <w:sz w:val="14"/>
                                <w:vertAlign w:val="superscript"/>
                              </w:rPr>
                              <w:t>4</w:t>
                            </w:r>
                            <w:r w:rsidRPr="006277FB">
                              <w:rPr>
                                <w:rFonts w:ascii="Times New Roman" w:hAnsi="Times New Roman" w:cs="Times New Roman"/>
                                <w:sz w:val="14"/>
                              </w:rPr>
                              <w:t xml:space="preserve"> FF = Follicular fluid</w:t>
                            </w:r>
                          </w:p>
                          <w:p w14:paraId="21741A02" w14:textId="77777777" w:rsidR="00385683" w:rsidRPr="006277FB" w:rsidRDefault="00385683" w:rsidP="00EE5452">
                            <w:pPr>
                              <w:rPr>
                                <w:rFonts w:ascii="Times New Roman" w:hAnsi="Times New Roman" w:cs="Times New Roman"/>
                                <w:sz w:val="14"/>
                              </w:rPr>
                            </w:pPr>
                            <w:r w:rsidRPr="006277FB">
                              <w:rPr>
                                <w:rFonts w:ascii="Times New Roman" w:hAnsi="Times New Roman" w:cs="Times New Roman"/>
                                <w:sz w:val="14"/>
                                <w:vertAlign w:val="superscript"/>
                              </w:rPr>
                              <w:t>5</w:t>
                            </w:r>
                            <w:r w:rsidRPr="006277FB">
                              <w:rPr>
                                <w:rFonts w:ascii="Times New Roman" w:hAnsi="Times New Roman" w:cs="Times New Roman"/>
                                <w:sz w:val="14"/>
                              </w:rPr>
                              <w:t xml:space="preserve"> P4 = Progesterone</w:t>
                            </w:r>
                          </w:p>
                          <w:p w14:paraId="7E169231" w14:textId="77777777" w:rsidR="00385683" w:rsidRPr="006277FB" w:rsidRDefault="00385683" w:rsidP="00EE5452">
                            <w:pPr>
                              <w:rPr>
                                <w:rFonts w:ascii="Times New Roman" w:hAnsi="Times New Roman" w:cs="Times New Roman"/>
                                <w:sz w:val="14"/>
                              </w:rPr>
                            </w:pPr>
                            <w:r w:rsidRPr="006277FB">
                              <w:rPr>
                                <w:rFonts w:ascii="Times New Roman" w:hAnsi="Times New Roman" w:cs="Times New Roman"/>
                                <w:sz w:val="14"/>
                                <w:vertAlign w:val="superscript"/>
                              </w:rPr>
                              <w:t>6</w:t>
                            </w:r>
                            <w:r w:rsidRPr="006277FB">
                              <w:rPr>
                                <w:rFonts w:ascii="Times New Roman" w:hAnsi="Times New Roman" w:cs="Times New Roman"/>
                                <w:sz w:val="14"/>
                              </w:rPr>
                              <w:t xml:space="preserve"> FA = Follicle aspiration</w:t>
                            </w:r>
                          </w:p>
                          <w:p w14:paraId="42F36F57" w14:textId="77777777" w:rsidR="00385683" w:rsidRPr="006277FB" w:rsidRDefault="00385683" w:rsidP="00EE5452">
                            <w:pPr>
                              <w:rPr>
                                <w:rFonts w:ascii="Times New Roman" w:hAnsi="Times New Roman" w:cs="Times New Roman"/>
                                <w:sz w:val="14"/>
                              </w:rPr>
                            </w:pPr>
                            <w:r w:rsidRPr="006277FB">
                              <w:rPr>
                                <w:rFonts w:ascii="Times New Roman" w:hAnsi="Times New Roman" w:cs="Times New Roman"/>
                                <w:sz w:val="14"/>
                                <w:vertAlign w:val="superscript"/>
                              </w:rPr>
                              <w:t>7</w:t>
                            </w:r>
                            <w:r w:rsidRPr="006277FB">
                              <w:rPr>
                                <w:rFonts w:ascii="Times New Roman" w:hAnsi="Times New Roman" w:cs="Times New Roman"/>
                                <w:sz w:val="14"/>
                              </w:rPr>
                              <w:t xml:space="preserve"> BCS = Body condition score</w:t>
                            </w:r>
                          </w:p>
                          <w:p w14:paraId="10033B18" w14:textId="77777777" w:rsidR="00385683" w:rsidRPr="006277FB" w:rsidRDefault="00385683" w:rsidP="00EE5452">
                            <w:pPr>
                              <w:rPr>
                                <w:rFonts w:ascii="Times New Roman" w:hAnsi="Times New Roman" w:cs="Times New Roman"/>
                                <w:sz w:val="14"/>
                              </w:rPr>
                            </w:pPr>
                            <w:r w:rsidRPr="006277FB">
                              <w:rPr>
                                <w:rFonts w:ascii="Times New Roman" w:hAnsi="Times New Roman" w:cs="Times New Roman"/>
                                <w:sz w:val="14"/>
                                <w:vertAlign w:val="superscript"/>
                              </w:rPr>
                              <w:t>8</w:t>
                            </w:r>
                            <w:r w:rsidRPr="006277FB">
                              <w:rPr>
                                <w:rFonts w:ascii="Times New Roman" w:hAnsi="Times New Roman" w:cs="Times New Roman"/>
                                <w:sz w:val="14"/>
                              </w:rPr>
                              <w:t xml:space="preserve"> </w:t>
                            </w:r>
                            <w:proofErr w:type="spellStart"/>
                            <w:r w:rsidRPr="006277FB">
                              <w:rPr>
                                <w:rFonts w:ascii="Times New Roman" w:hAnsi="Times New Roman" w:cs="Times New Roman"/>
                                <w:sz w:val="14"/>
                              </w:rPr>
                              <w:t>Pubmed</w:t>
                            </w:r>
                            <w:proofErr w:type="spellEnd"/>
                            <w:r w:rsidRPr="006277FB">
                              <w:rPr>
                                <w:rFonts w:ascii="Times New Roman" w:hAnsi="Times New Roman" w:cs="Times New Roman"/>
                                <w:sz w:val="14"/>
                              </w:rPr>
                              <w:t xml:space="preserve"> chem ID</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D37C866" id="Text Box 6" o:spid="_x0000_s1027" type="#_x0000_t202" style="position:absolute;left:0;text-align:left;margin-left:-41.25pt;margin-top:517.5pt;width:514.5pt;height:70.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" stroked="f">
                <v:textbox>
                  <w:txbxContent>
                    <w:p w14:paraId="59898EFA" w14:textId="77777777" w:rsidR="00385683" w:rsidRPr="006277FB" w:rsidRDefault="00385683" w:rsidP="00EE5452">
                      <w:pPr>
                        <w:rPr>
                          <w:rFonts w:ascii="Times New Roman" w:hAnsi="Times New Roman" w:cs="Times New Roman"/>
                          <w:sz w:val="14"/>
                        </w:rPr>
                      </w:pPr>
                      <w:r w:rsidRPr="006277FB">
                        <w:rPr>
                          <w:rFonts w:ascii="Times New Roman" w:hAnsi="Times New Roman" w:cs="Times New Roman"/>
                          <w:sz w:val="14"/>
                          <w:vertAlign w:val="superscript"/>
                        </w:rPr>
                        <w:t>1</w:t>
                      </w:r>
                      <w:r w:rsidRPr="006277FB">
                        <w:rPr>
                          <w:rFonts w:ascii="Times New Roman" w:hAnsi="Times New Roman" w:cs="Times New Roman"/>
                          <w:sz w:val="14"/>
                        </w:rPr>
                        <w:t xml:space="preserve"> KEGG = Kyoto Encyclopedia of Genes and Genomes</w:t>
                      </w:r>
                    </w:p>
                    <w:p w14:paraId="0D3EF460" w14:textId="77777777" w:rsidR="00385683" w:rsidRPr="006277FB" w:rsidRDefault="00385683" w:rsidP="00EE5452">
                      <w:pPr>
                        <w:rPr>
                          <w:rFonts w:ascii="Times New Roman" w:hAnsi="Times New Roman" w:cs="Times New Roman"/>
                          <w:sz w:val="14"/>
                        </w:rPr>
                      </w:pPr>
                      <w:r w:rsidRPr="006277FB">
                        <w:rPr>
                          <w:rFonts w:ascii="Times New Roman" w:hAnsi="Times New Roman" w:cs="Times New Roman"/>
                          <w:sz w:val="14"/>
                          <w:vertAlign w:val="superscript"/>
                        </w:rPr>
                        <w:t>2</w:t>
                      </w:r>
                      <w:r w:rsidRPr="006277FB">
                        <w:rPr>
                          <w:rFonts w:ascii="Times New Roman" w:hAnsi="Times New Roman" w:cs="Times New Roman"/>
                          <w:sz w:val="14"/>
                        </w:rPr>
                        <w:t xml:space="preserve"> E2 = Estradiol</w:t>
                      </w:r>
                    </w:p>
                    <w:p w14:paraId="4331BB66" w14:textId="77777777" w:rsidR="00385683" w:rsidRPr="006277FB" w:rsidRDefault="00385683" w:rsidP="00EE5452">
                      <w:pPr>
                        <w:rPr>
                          <w:rFonts w:ascii="Times New Roman" w:hAnsi="Times New Roman" w:cs="Times New Roman"/>
                          <w:sz w:val="14"/>
                        </w:rPr>
                      </w:pPr>
                      <w:r w:rsidRPr="006277FB">
                        <w:rPr>
                          <w:rFonts w:ascii="Times New Roman" w:hAnsi="Times New Roman" w:cs="Times New Roman"/>
                          <w:sz w:val="14"/>
                          <w:vertAlign w:val="superscript"/>
                        </w:rPr>
                        <w:t xml:space="preserve">3 </w:t>
                      </w:r>
                      <w:r w:rsidRPr="006277FB">
                        <w:rPr>
                          <w:rFonts w:ascii="Times New Roman" w:hAnsi="Times New Roman" w:cs="Times New Roman"/>
                          <w:sz w:val="14"/>
                        </w:rPr>
                        <w:t>GnRH2 = Gonadotropin releasing hormone administration to induce the pre-ovulatory gonadotropin surge</w:t>
                      </w:r>
                    </w:p>
                    <w:p w14:paraId="65EF1E8E" w14:textId="77777777" w:rsidR="00385683" w:rsidRPr="006277FB" w:rsidRDefault="00385683" w:rsidP="00EE5452">
                      <w:pPr>
                        <w:rPr>
                          <w:rFonts w:ascii="Times New Roman" w:hAnsi="Times New Roman" w:cs="Times New Roman"/>
                          <w:sz w:val="14"/>
                        </w:rPr>
                      </w:pPr>
                      <w:r w:rsidRPr="006277FB">
                        <w:rPr>
                          <w:rFonts w:ascii="Times New Roman" w:hAnsi="Times New Roman" w:cs="Times New Roman"/>
                          <w:sz w:val="14"/>
                          <w:vertAlign w:val="superscript"/>
                        </w:rPr>
                        <w:t>4</w:t>
                      </w:r>
                      <w:r w:rsidRPr="006277FB">
                        <w:rPr>
                          <w:rFonts w:ascii="Times New Roman" w:hAnsi="Times New Roman" w:cs="Times New Roman"/>
                          <w:sz w:val="14"/>
                        </w:rPr>
                        <w:t xml:space="preserve"> FF = Follicular fluid</w:t>
                      </w:r>
                    </w:p>
                    <w:p w14:paraId="21741A02" w14:textId="77777777" w:rsidR="00385683" w:rsidRPr="006277FB" w:rsidRDefault="00385683" w:rsidP="00EE5452">
                      <w:pPr>
                        <w:rPr>
                          <w:rFonts w:ascii="Times New Roman" w:hAnsi="Times New Roman" w:cs="Times New Roman"/>
                          <w:sz w:val="14"/>
                        </w:rPr>
                      </w:pPr>
                      <w:r w:rsidRPr="006277FB">
                        <w:rPr>
                          <w:rFonts w:ascii="Times New Roman" w:hAnsi="Times New Roman" w:cs="Times New Roman"/>
                          <w:sz w:val="14"/>
                          <w:vertAlign w:val="superscript"/>
                        </w:rPr>
                        <w:t>5</w:t>
                      </w:r>
                      <w:r w:rsidRPr="006277FB">
                        <w:rPr>
                          <w:rFonts w:ascii="Times New Roman" w:hAnsi="Times New Roman" w:cs="Times New Roman"/>
                          <w:sz w:val="14"/>
                        </w:rPr>
                        <w:t xml:space="preserve"> P4 = Progesterone</w:t>
                      </w:r>
                    </w:p>
                    <w:p w14:paraId="7E169231" w14:textId="77777777" w:rsidR="00385683" w:rsidRPr="006277FB" w:rsidRDefault="00385683" w:rsidP="00EE5452">
                      <w:pPr>
                        <w:rPr>
                          <w:rFonts w:ascii="Times New Roman" w:hAnsi="Times New Roman" w:cs="Times New Roman"/>
                          <w:sz w:val="14"/>
                        </w:rPr>
                      </w:pPr>
                      <w:r w:rsidRPr="006277FB">
                        <w:rPr>
                          <w:rFonts w:ascii="Times New Roman" w:hAnsi="Times New Roman" w:cs="Times New Roman"/>
                          <w:sz w:val="14"/>
                          <w:vertAlign w:val="superscript"/>
                        </w:rPr>
                        <w:t>6</w:t>
                      </w:r>
                      <w:r w:rsidRPr="006277FB">
                        <w:rPr>
                          <w:rFonts w:ascii="Times New Roman" w:hAnsi="Times New Roman" w:cs="Times New Roman"/>
                          <w:sz w:val="14"/>
                        </w:rPr>
                        <w:t xml:space="preserve"> FA = Follicle aspiration</w:t>
                      </w:r>
                    </w:p>
                    <w:p w14:paraId="42F36F57" w14:textId="77777777" w:rsidR="00385683" w:rsidRPr="006277FB" w:rsidRDefault="00385683" w:rsidP="00EE5452">
                      <w:pPr>
                        <w:rPr>
                          <w:rFonts w:ascii="Times New Roman" w:hAnsi="Times New Roman" w:cs="Times New Roman"/>
                          <w:sz w:val="14"/>
                        </w:rPr>
                      </w:pPr>
                      <w:r w:rsidRPr="006277FB">
                        <w:rPr>
                          <w:rFonts w:ascii="Times New Roman" w:hAnsi="Times New Roman" w:cs="Times New Roman"/>
                          <w:sz w:val="14"/>
                          <w:vertAlign w:val="superscript"/>
                        </w:rPr>
                        <w:t>7</w:t>
                      </w:r>
                      <w:r w:rsidRPr="006277FB">
                        <w:rPr>
                          <w:rFonts w:ascii="Times New Roman" w:hAnsi="Times New Roman" w:cs="Times New Roman"/>
                          <w:sz w:val="14"/>
                        </w:rPr>
                        <w:t xml:space="preserve"> BCS = Body condition score</w:t>
                      </w:r>
                    </w:p>
                    <w:p w14:paraId="10033B18" w14:textId="77777777" w:rsidR="00385683" w:rsidRPr="006277FB" w:rsidRDefault="00385683" w:rsidP="00EE5452">
                      <w:pPr>
                        <w:rPr>
                          <w:rFonts w:ascii="Times New Roman" w:hAnsi="Times New Roman" w:cs="Times New Roman"/>
                          <w:sz w:val="14"/>
                        </w:rPr>
                      </w:pPr>
                      <w:r w:rsidRPr="006277FB">
                        <w:rPr>
                          <w:rFonts w:ascii="Times New Roman" w:hAnsi="Times New Roman" w:cs="Times New Roman"/>
                          <w:sz w:val="14"/>
                          <w:vertAlign w:val="superscript"/>
                        </w:rPr>
                        <w:t>8</w:t>
                      </w:r>
                      <w:r w:rsidRPr="006277FB">
                        <w:rPr>
                          <w:rFonts w:ascii="Times New Roman" w:hAnsi="Times New Roman" w:cs="Times New Roman"/>
                          <w:sz w:val="14"/>
                        </w:rPr>
                        <w:t xml:space="preserve"> </w:t>
                      </w:r>
                      <w:proofErr w:type="spellStart"/>
                      <w:r w:rsidRPr="006277FB">
                        <w:rPr>
                          <w:rFonts w:ascii="Times New Roman" w:hAnsi="Times New Roman" w:cs="Times New Roman"/>
                          <w:sz w:val="14"/>
                        </w:rPr>
                        <w:t>Pubmed</w:t>
                      </w:r>
                      <w:proofErr w:type="spellEnd"/>
                      <w:r w:rsidRPr="006277FB">
                        <w:rPr>
                          <w:rFonts w:ascii="Times New Roman" w:hAnsi="Times New Roman" w:cs="Times New Roman"/>
                          <w:sz w:val="14"/>
                        </w:rPr>
                        <w:t xml:space="preserve"> chem ID</w:t>
                      </w:r>
                    </w:p>
                  </w:txbxContent>
                </v:textbox>
                <w10:wrap type="square"/>
              </v:shape>
            </w:pict>
          </mc:Fallback>
        </mc:AlternateContent>
      </w:r>
      <w:r w:rsidR="00600C14" w:rsidRPr="00600C14">
        <w:rPr>
          <w:rFonts w:ascii="Times New Roman" w:hAnsi="Times New Roman" w:cs="Times New Roman"/>
          <w:b/>
          <w:color w:val="000000"/>
        </w:rPr>
        <w:t>Table 4 continued</w:t>
      </w:r>
    </w:p>
    <w:p w14:paraId="5F1F25C2" w14:textId="77777777" w:rsidR="00600C14" w:rsidRPr="00600C14" w:rsidRDefault="00600C14" w:rsidP="00AF45EA">
      <w:pPr>
        <w:jc w:val="both"/>
        <w:rPr>
          <w:rFonts w:ascii="Times New Roman" w:hAnsi="Times New Roman" w:cs="Times New Roman"/>
          <w:b/>
          <w:color w:val="000000"/>
        </w:rPr>
      </w:pPr>
    </w:p>
    <w:tbl>
      <w:tblPr>
        <w:tblW w:w="9435" w:type="dxa"/>
        <w:jc w:val="center"/>
        <w:tblLook w:val="04A0" w:firstRow="1" w:lastRow="0" w:firstColumn="1" w:lastColumn="0" w:noHBand="0" w:noVBand="1"/>
      </w:tblPr>
      <w:tblGrid>
        <w:gridCol w:w="1807"/>
        <w:gridCol w:w="768"/>
        <w:gridCol w:w="1010"/>
        <w:gridCol w:w="1170"/>
        <w:gridCol w:w="810"/>
        <w:gridCol w:w="714"/>
        <w:gridCol w:w="816"/>
        <w:gridCol w:w="630"/>
        <w:gridCol w:w="720"/>
        <w:gridCol w:w="1025"/>
      </w:tblGrid>
      <w:tr w:rsidR="00AF45EA" w:rsidRPr="002B2491" w14:paraId="19829078" w14:textId="77777777" w:rsidTr="005C665A">
        <w:trPr>
          <w:trHeight w:val="288"/>
          <w:jc w:val="center"/>
        </w:trPr>
        <w:tc>
          <w:tcPr>
            <w:tcW w:w="180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BA6E6C" w14:textId="77777777" w:rsidR="00AF45EA" w:rsidRPr="005C665A" w:rsidRDefault="00AF45EA" w:rsidP="00AF45EA">
            <w:pPr>
              <w:jc w:val="center"/>
              <w:rPr>
                <w:rFonts w:ascii="Times New Roman" w:hAnsi="Times New Roman" w:cs="Times New Roman"/>
                <w:b/>
                <w:bCs/>
                <w:color w:val="000000"/>
                <w:sz w:val="16"/>
                <w:szCs w:val="16"/>
              </w:rPr>
            </w:pPr>
            <w:r w:rsidRPr="005C665A">
              <w:rPr>
                <w:rFonts w:ascii="Times New Roman" w:hAnsi="Times New Roman" w:cs="Times New Roman"/>
                <w:b/>
                <w:bCs/>
                <w:color w:val="000000"/>
                <w:sz w:val="16"/>
                <w:szCs w:val="16"/>
              </w:rPr>
              <w:t>Metabolite</w:t>
            </w:r>
          </w:p>
        </w:tc>
        <w:tc>
          <w:tcPr>
            <w:tcW w:w="76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2B0419" w14:textId="77777777" w:rsidR="00AF45EA" w:rsidRPr="005C665A" w:rsidRDefault="00AF45EA" w:rsidP="00AF45EA">
            <w:pPr>
              <w:jc w:val="center"/>
              <w:rPr>
                <w:rFonts w:ascii="Times New Roman" w:hAnsi="Times New Roman" w:cs="Times New Roman"/>
                <w:b/>
                <w:bCs/>
                <w:color w:val="000000"/>
                <w:sz w:val="16"/>
                <w:szCs w:val="16"/>
                <w:vertAlign w:val="superscript"/>
              </w:rPr>
            </w:pPr>
            <w:r w:rsidRPr="005C665A">
              <w:rPr>
                <w:rFonts w:ascii="Times New Roman" w:hAnsi="Times New Roman" w:cs="Times New Roman"/>
                <w:b/>
                <w:bCs/>
                <w:color w:val="000000"/>
                <w:sz w:val="16"/>
                <w:szCs w:val="16"/>
              </w:rPr>
              <w:t>KEGG ID</w:t>
            </w:r>
            <w:r w:rsidRPr="005C665A">
              <w:rPr>
                <w:rFonts w:ascii="Times New Roman" w:hAnsi="Times New Roman" w:cs="Times New Roman"/>
                <w:b/>
                <w:bCs/>
                <w:color w:val="000000"/>
                <w:sz w:val="16"/>
                <w:szCs w:val="16"/>
                <w:vertAlign w:val="superscript"/>
              </w:rPr>
              <w:t>1</w:t>
            </w:r>
          </w:p>
        </w:tc>
        <w:tc>
          <w:tcPr>
            <w:tcW w:w="6860" w:type="dxa"/>
            <w:gridSpan w:val="8"/>
            <w:tcBorders>
              <w:top w:val="single" w:sz="4" w:space="0" w:color="auto"/>
              <w:left w:val="nil"/>
              <w:bottom w:val="single" w:sz="4" w:space="0" w:color="auto"/>
              <w:right w:val="single" w:sz="4" w:space="0" w:color="000000"/>
            </w:tcBorders>
            <w:shd w:val="clear" w:color="auto" w:fill="auto"/>
            <w:noWrap/>
            <w:vAlign w:val="center"/>
            <w:hideMark/>
          </w:tcPr>
          <w:p w14:paraId="3A48E4E9" w14:textId="77777777" w:rsidR="00AF45EA" w:rsidRPr="005C665A" w:rsidRDefault="00AF45EA" w:rsidP="00AF45EA">
            <w:pPr>
              <w:jc w:val="center"/>
              <w:rPr>
                <w:rFonts w:ascii="Times New Roman" w:hAnsi="Times New Roman" w:cs="Times New Roman"/>
                <w:b/>
                <w:bCs/>
                <w:color w:val="000000"/>
                <w:sz w:val="16"/>
                <w:szCs w:val="16"/>
                <w:vertAlign w:val="superscript"/>
              </w:rPr>
            </w:pPr>
            <w:r w:rsidRPr="005C665A">
              <w:rPr>
                <w:rFonts w:ascii="Times New Roman" w:hAnsi="Times New Roman" w:cs="Times New Roman"/>
                <w:b/>
                <w:bCs/>
                <w:color w:val="000000"/>
                <w:sz w:val="16"/>
                <w:szCs w:val="16"/>
              </w:rPr>
              <w:t>False Discovery Rate</w:t>
            </w:r>
          </w:p>
        </w:tc>
      </w:tr>
      <w:tr w:rsidR="00AF45EA" w:rsidRPr="002B2491" w14:paraId="54C0AB54" w14:textId="77777777" w:rsidTr="005C665A">
        <w:trPr>
          <w:trHeight w:val="288"/>
          <w:jc w:val="center"/>
        </w:trPr>
        <w:tc>
          <w:tcPr>
            <w:tcW w:w="1807" w:type="dxa"/>
            <w:vMerge/>
            <w:tcBorders>
              <w:top w:val="single" w:sz="4" w:space="0" w:color="auto"/>
              <w:left w:val="single" w:sz="4" w:space="0" w:color="auto"/>
              <w:bottom w:val="single" w:sz="4" w:space="0" w:color="auto"/>
              <w:right w:val="single" w:sz="4" w:space="0" w:color="auto"/>
            </w:tcBorders>
            <w:vAlign w:val="center"/>
            <w:hideMark/>
          </w:tcPr>
          <w:p w14:paraId="40ED0C8F" w14:textId="77777777" w:rsidR="00AF45EA" w:rsidRPr="005C665A" w:rsidRDefault="00AF45EA" w:rsidP="00AF45EA">
            <w:pPr>
              <w:rPr>
                <w:rFonts w:ascii="Times New Roman" w:hAnsi="Times New Roman" w:cs="Times New Roman"/>
                <w:b/>
                <w:bCs/>
                <w:color w:val="000000"/>
                <w:sz w:val="16"/>
                <w:szCs w:val="16"/>
              </w:rPr>
            </w:pPr>
          </w:p>
        </w:tc>
        <w:tc>
          <w:tcPr>
            <w:tcW w:w="768" w:type="dxa"/>
            <w:vMerge/>
            <w:tcBorders>
              <w:top w:val="single" w:sz="4" w:space="0" w:color="auto"/>
              <w:left w:val="single" w:sz="4" w:space="0" w:color="auto"/>
              <w:bottom w:val="single" w:sz="4" w:space="0" w:color="auto"/>
              <w:right w:val="single" w:sz="4" w:space="0" w:color="auto"/>
            </w:tcBorders>
            <w:vAlign w:val="center"/>
            <w:hideMark/>
          </w:tcPr>
          <w:p w14:paraId="61078FEE" w14:textId="77777777" w:rsidR="00AF45EA" w:rsidRPr="005C665A" w:rsidRDefault="00AF45EA" w:rsidP="00AF45EA">
            <w:pPr>
              <w:rPr>
                <w:rFonts w:ascii="Times New Roman" w:hAnsi="Times New Roman" w:cs="Times New Roman"/>
                <w:b/>
                <w:bCs/>
                <w:color w:val="000000"/>
                <w:sz w:val="16"/>
                <w:szCs w:val="16"/>
              </w:rPr>
            </w:pPr>
          </w:p>
        </w:tc>
        <w:tc>
          <w:tcPr>
            <w:tcW w:w="1010" w:type="dxa"/>
            <w:tcBorders>
              <w:top w:val="nil"/>
              <w:left w:val="nil"/>
              <w:bottom w:val="single" w:sz="4" w:space="0" w:color="auto"/>
              <w:right w:val="single" w:sz="4" w:space="0" w:color="auto"/>
            </w:tcBorders>
            <w:shd w:val="clear" w:color="auto" w:fill="auto"/>
            <w:noWrap/>
            <w:vAlign w:val="center"/>
            <w:hideMark/>
          </w:tcPr>
          <w:p w14:paraId="7A299053" w14:textId="232B6631" w:rsidR="00AF45EA" w:rsidRPr="005C665A" w:rsidRDefault="00AF45EA" w:rsidP="00AF45EA">
            <w:pPr>
              <w:jc w:val="center"/>
              <w:rPr>
                <w:rFonts w:ascii="Times New Roman" w:hAnsi="Times New Roman" w:cs="Times New Roman"/>
                <w:b/>
                <w:bCs/>
                <w:color w:val="000000"/>
                <w:sz w:val="16"/>
                <w:szCs w:val="16"/>
              </w:rPr>
            </w:pPr>
            <w:r w:rsidRPr="005C665A">
              <w:rPr>
                <w:rFonts w:ascii="Times New Roman" w:hAnsi="Times New Roman" w:cs="Times New Roman"/>
                <w:b/>
                <w:bCs/>
                <w:color w:val="000000"/>
                <w:sz w:val="16"/>
                <w:szCs w:val="16"/>
              </w:rPr>
              <w:t>Serum E2</w:t>
            </w:r>
            <w:r w:rsidRPr="005C665A">
              <w:rPr>
                <w:rFonts w:ascii="Times New Roman" w:hAnsi="Times New Roman" w:cs="Times New Roman"/>
                <w:b/>
                <w:bCs/>
                <w:color w:val="000000"/>
                <w:sz w:val="16"/>
                <w:szCs w:val="16"/>
                <w:vertAlign w:val="superscript"/>
              </w:rPr>
              <w:t>2</w:t>
            </w:r>
            <w:r w:rsidRPr="005C665A">
              <w:rPr>
                <w:rFonts w:ascii="Times New Roman" w:hAnsi="Times New Roman" w:cs="Times New Roman"/>
                <w:b/>
                <w:bCs/>
                <w:color w:val="000000"/>
                <w:sz w:val="16"/>
                <w:szCs w:val="16"/>
              </w:rPr>
              <w:t xml:space="preserve"> at GnRH2</w:t>
            </w:r>
            <w:r w:rsidRPr="005C665A">
              <w:rPr>
                <w:rFonts w:ascii="Times New Roman" w:hAnsi="Times New Roman" w:cs="Times New Roman"/>
                <w:b/>
                <w:bCs/>
                <w:color w:val="000000"/>
                <w:sz w:val="16"/>
                <w:szCs w:val="16"/>
                <w:vertAlign w:val="superscript"/>
              </w:rPr>
              <w:t xml:space="preserve">3 </w:t>
            </w:r>
            <w:r w:rsidRPr="005C665A">
              <w:rPr>
                <w:rFonts w:ascii="Times New Roman" w:hAnsi="Times New Roman" w:cs="Times New Roman"/>
                <w:b/>
                <w:bCs/>
                <w:color w:val="000000"/>
                <w:sz w:val="16"/>
                <w:szCs w:val="16"/>
              </w:rPr>
              <w:t>(</w:t>
            </w:r>
            <w:proofErr w:type="spellStart"/>
            <w:r w:rsidRPr="005C665A">
              <w:rPr>
                <w:rFonts w:ascii="Times New Roman" w:hAnsi="Times New Roman" w:cs="Times New Roman"/>
                <w:b/>
                <w:bCs/>
                <w:color w:val="000000"/>
                <w:sz w:val="16"/>
                <w:szCs w:val="16"/>
              </w:rPr>
              <w:t>pg</w:t>
            </w:r>
            <w:proofErr w:type="spellEnd"/>
            <w:r w:rsidRPr="005C665A">
              <w:rPr>
                <w:rFonts w:ascii="Times New Roman" w:hAnsi="Times New Roman" w:cs="Times New Roman"/>
                <w:b/>
                <w:bCs/>
                <w:color w:val="000000"/>
                <w:sz w:val="16"/>
                <w:szCs w:val="16"/>
              </w:rPr>
              <w:t>/ml)</w:t>
            </w:r>
          </w:p>
        </w:tc>
        <w:tc>
          <w:tcPr>
            <w:tcW w:w="1170" w:type="dxa"/>
            <w:tcBorders>
              <w:top w:val="nil"/>
              <w:left w:val="nil"/>
              <w:bottom w:val="single" w:sz="4" w:space="0" w:color="auto"/>
              <w:right w:val="single" w:sz="4" w:space="0" w:color="auto"/>
            </w:tcBorders>
            <w:shd w:val="clear" w:color="auto" w:fill="auto"/>
            <w:noWrap/>
            <w:vAlign w:val="center"/>
            <w:hideMark/>
          </w:tcPr>
          <w:p w14:paraId="2792AB74" w14:textId="31C64C64" w:rsidR="00AF45EA" w:rsidRPr="005C665A" w:rsidRDefault="00AF45EA" w:rsidP="00AF45EA">
            <w:pPr>
              <w:jc w:val="center"/>
              <w:rPr>
                <w:rFonts w:ascii="Times New Roman" w:hAnsi="Times New Roman" w:cs="Times New Roman"/>
                <w:b/>
                <w:bCs/>
                <w:color w:val="000000"/>
                <w:sz w:val="16"/>
                <w:szCs w:val="16"/>
              </w:rPr>
            </w:pPr>
            <w:r w:rsidRPr="005C665A">
              <w:rPr>
                <w:rFonts w:ascii="Times New Roman" w:hAnsi="Times New Roman" w:cs="Times New Roman"/>
                <w:b/>
                <w:bCs/>
                <w:color w:val="000000"/>
                <w:sz w:val="16"/>
                <w:szCs w:val="16"/>
              </w:rPr>
              <w:t>Follicle diameter at GnRH2 (mm)</w:t>
            </w:r>
          </w:p>
        </w:tc>
        <w:tc>
          <w:tcPr>
            <w:tcW w:w="810" w:type="dxa"/>
            <w:tcBorders>
              <w:top w:val="nil"/>
              <w:left w:val="nil"/>
              <w:bottom w:val="single" w:sz="4" w:space="0" w:color="auto"/>
              <w:right w:val="single" w:sz="4" w:space="0" w:color="auto"/>
            </w:tcBorders>
            <w:shd w:val="clear" w:color="auto" w:fill="auto"/>
            <w:noWrap/>
            <w:vAlign w:val="center"/>
            <w:hideMark/>
          </w:tcPr>
          <w:p w14:paraId="40C838D0" w14:textId="41749351" w:rsidR="00AF45EA" w:rsidRPr="005C665A" w:rsidRDefault="00AF45EA" w:rsidP="00AF45EA">
            <w:pPr>
              <w:jc w:val="center"/>
              <w:rPr>
                <w:rFonts w:ascii="Times New Roman" w:hAnsi="Times New Roman" w:cs="Times New Roman"/>
                <w:b/>
                <w:bCs/>
                <w:color w:val="000000"/>
                <w:sz w:val="16"/>
                <w:szCs w:val="16"/>
              </w:rPr>
            </w:pPr>
            <w:r w:rsidRPr="005C665A">
              <w:rPr>
                <w:rFonts w:ascii="Times New Roman" w:hAnsi="Times New Roman" w:cs="Times New Roman"/>
                <w:b/>
                <w:bCs/>
                <w:color w:val="000000"/>
                <w:sz w:val="16"/>
                <w:szCs w:val="16"/>
              </w:rPr>
              <w:t>FF</w:t>
            </w:r>
            <w:r w:rsidRPr="005C665A">
              <w:rPr>
                <w:rFonts w:ascii="Times New Roman" w:hAnsi="Times New Roman" w:cs="Times New Roman"/>
                <w:b/>
                <w:bCs/>
                <w:color w:val="000000"/>
                <w:sz w:val="16"/>
                <w:szCs w:val="16"/>
                <w:vertAlign w:val="superscript"/>
              </w:rPr>
              <w:t>4</w:t>
            </w:r>
            <w:r w:rsidRPr="005C665A">
              <w:rPr>
                <w:rFonts w:ascii="Times New Roman" w:hAnsi="Times New Roman" w:cs="Times New Roman"/>
                <w:b/>
                <w:bCs/>
                <w:color w:val="000000"/>
                <w:sz w:val="16"/>
                <w:szCs w:val="16"/>
              </w:rPr>
              <w:t xml:space="preserve"> P4</w:t>
            </w:r>
            <w:r w:rsidRPr="005C665A">
              <w:rPr>
                <w:rFonts w:ascii="Times New Roman" w:hAnsi="Times New Roman" w:cs="Times New Roman"/>
                <w:b/>
                <w:bCs/>
                <w:color w:val="000000"/>
                <w:sz w:val="16"/>
                <w:szCs w:val="16"/>
                <w:vertAlign w:val="superscript"/>
              </w:rPr>
              <w:t>5</w:t>
            </w:r>
            <w:r w:rsidRPr="005C665A">
              <w:rPr>
                <w:rFonts w:ascii="Times New Roman" w:hAnsi="Times New Roman" w:cs="Times New Roman"/>
                <w:b/>
                <w:bCs/>
                <w:color w:val="000000"/>
                <w:sz w:val="16"/>
                <w:szCs w:val="16"/>
              </w:rPr>
              <w:t xml:space="preserve"> at FA</w:t>
            </w:r>
            <w:r w:rsidRPr="005C665A">
              <w:rPr>
                <w:rFonts w:ascii="Times New Roman" w:hAnsi="Times New Roman" w:cs="Times New Roman"/>
                <w:b/>
                <w:bCs/>
                <w:color w:val="000000"/>
                <w:sz w:val="16"/>
                <w:szCs w:val="16"/>
                <w:vertAlign w:val="superscript"/>
              </w:rPr>
              <w:t>6</w:t>
            </w:r>
            <w:r w:rsidRPr="005C665A">
              <w:rPr>
                <w:rFonts w:ascii="Times New Roman" w:hAnsi="Times New Roman" w:cs="Times New Roman"/>
                <w:b/>
                <w:bCs/>
                <w:color w:val="000000"/>
                <w:sz w:val="16"/>
                <w:szCs w:val="16"/>
              </w:rPr>
              <w:t xml:space="preserve"> (ng/ml) </w:t>
            </w:r>
          </w:p>
        </w:tc>
        <w:tc>
          <w:tcPr>
            <w:tcW w:w="714" w:type="dxa"/>
            <w:tcBorders>
              <w:top w:val="nil"/>
              <w:left w:val="nil"/>
              <w:bottom w:val="single" w:sz="4" w:space="0" w:color="auto"/>
              <w:right w:val="single" w:sz="4" w:space="0" w:color="auto"/>
            </w:tcBorders>
            <w:shd w:val="clear" w:color="auto" w:fill="auto"/>
            <w:noWrap/>
            <w:vAlign w:val="center"/>
            <w:hideMark/>
          </w:tcPr>
          <w:p w14:paraId="5C385BD4" w14:textId="484EF2D4" w:rsidR="00AF45EA" w:rsidRPr="005C665A" w:rsidRDefault="00AF45EA" w:rsidP="00AF45EA">
            <w:pPr>
              <w:jc w:val="center"/>
              <w:rPr>
                <w:rFonts w:ascii="Times New Roman" w:hAnsi="Times New Roman" w:cs="Times New Roman"/>
                <w:b/>
                <w:bCs/>
                <w:color w:val="000000"/>
                <w:sz w:val="16"/>
                <w:szCs w:val="16"/>
              </w:rPr>
            </w:pPr>
            <w:r w:rsidRPr="005C665A">
              <w:rPr>
                <w:rFonts w:ascii="Times New Roman" w:hAnsi="Times New Roman" w:cs="Times New Roman"/>
                <w:b/>
                <w:bCs/>
                <w:color w:val="000000"/>
                <w:sz w:val="16"/>
                <w:szCs w:val="16"/>
              </w:rPr>
              <w:t>Weight (kg)</w:t>
            </w:r>
          </w:p>
        </w:tc>
        <w:tc>
          <w:tcPr>
            <w:tcW w:w="816" w:type="dxa"/>
            <w:tcBorders>
              <w:top w:val="nil"/>
              <w:left w:val="nil"/>
              <w:bottom w:val="single" w:sz="4" w:space="0" w:color="auto"/>
              <w:right w:val="single" w:sz="4" w:space="0" w:color="auto"/>
            </w:tcBorders>
            <w:shd w:val="clear" w:color="auto" w:fill="auto"/>
            <w:noWrap/>
            <w:vAlign w:val="center"/>
            <w:hideMark/>
          </w:tcPr>
          <w:p w14:paraId="7927ACCD" w14:textId="344F6452" w:rsidR="00AF45EA" w:rsidRPr="005C665A" w:rsidRDefault="00AF45EA" w:rsidP="00AF45EA">
            <w:pPr>
              <w:jc w:val="center"/>
              <w:rPr>
                <w:rFonts w:ascii="Times New Roman" w:hAnsi="Times New Roman" w:cs="Times New Roman"/>
                <w:b/>
                <w:bCs/>
                <w:color w:val="000000"/>
                <w:sz w:val="16"/>
                <w:szCs w:val="16"/>
              </w:rPr>
            </w:pPr>
            <w:r w:rsidRPr="005C665A">
              <w:rPr>
                <w:rFonts w:ascii="Times New Roman" w:hAnsi="Times New Roman" w:cs="Times New Roman"/>
                <w:b/>
                <w:bCs/>
                <w:color w:val="000000"/>
                <w:sz w:val="16"/>
                <w:szCs w:val="16"/>
              </w:rPr>
              <w:t>Hours GnRH2 to FA</w:t>
            </w:r>
          </w:p>
        </w:tc>
        <w:tc>
          <w:tcPr>
            <w:tcW w:w="630" w:type="dxa"/>
            <w:tcBorders>
              <w:top w:val="nil"/>
              <w:left w:val="nil"/>
              <w:bottom w:val="single" w:sz="4" w:space="0" w:color="auto"/>
              <w:right w:val="single" w:sz="4" w:space="0" w:color="auto"/>
            </w:tcBorders>
            <w:shd w:val="clear" w:color="auto" w:fill="auto"/>
            <w:noWrap/>
            <w:vAlign w:val="center"/>
            <w:hideMark/>
          </w:tcPr>
          <w:p w14:paraId="021D3E0C" w14:textId="78A5388A" w:rsidR="00AF45EA" w:rsidRPr="005C665A" w:rsidRDefault="00AF45EA" w:rsidP="00AF45EA">
            <w:pPr>
              <w:jc w:val="center"/>
              <w:rPr>
                <w:rFonts w:ascii="Times New Roman" w:hAnsi="Times New Roman" w:cs="Times New Roman"/>
                <w:b/>
                <w:bCs/>
                <w:color w:val="000000"/>
                <w:sz w:val="16"/>
                <w:szCs w:val="16"/>
                <w:vertAlign w:val="superscript"/>
              </w:rPr>
            </w:pPr>
            <w:r w:rsidRPr="005C665A">
              <w:rPr>
                <w:rFonts w:ascii="Times New Roman" w:hAnsi="Times New Roman" w:cs="Times New Roman"/>
                <w:b/>
                <w:bCs/>
                <w:color w:val="000000"/>
                <w:sz w:val="16"/>
                <w:szCs w:val="16"/>
              </w:rPr>
              <w:t>BCS</w:t>
            </w:r>
            <w:r w:rsidRPr="005C665A">
              <w:rPr>
                <w:rFonts w:ascii="Times New Roman" w:hAnsi="Times New Roman" w:cs="Times New Roman"/>
                <w:b/>
                <w:bCs/>
                <w:color w:val="000000"/>
                <w:sz w:val="16"/>
                <w:szCs w:val="16"/>
                <w:vertAlign w:val="superscript"/>
              </w:rPr>
              <w:t>7</w:t>
            </w:r>
          </w:p>
        </w:tc>
        <w:tc>
          <w:tcPr>
            <w:tcW w:w="720" w:type="dxa"/>
            <w:tcBorders>
              <w:top w:val="nil"/>
              <w:left w:val="nil"/>
              <w:bottom w:val="single" w:sz="4" w:space="0" w:color="auto"/>
              <w:right w:val="single" w:sz="4" w:space="0" w:color="auto"/>
            </w:tcBorders>
            <w:shd w:val="clear" w:color="auto" w:fill="auto"/>
            <w:noWrap/>
            <w:vAlign w:val="center"/>
            <w:hideMark/>
          </w:tcPr>
          <w:p w14:paraId="36E1F25B" w14:textId="6F04C7F9" w:rsidR="00AF45EA" w:rsidRPr="005C665A" w:rsidRDefault="00AF45EA" w:rsidP="00AF45EA">
            <w:pPr>
              <w:jc w:val="center"/>
              <w:rPr>
                <w:rFonts w:ascii="Times New Roman" w:hAnsi="Times New Roman" w:cs="Times New Roman"/>
                <w:b/>
                <w:bCs/>
                <w:color w:val="000000"/>
                <w:sz w:val="16"/>
                <w:szCs w:val="16"/>
              </w:rPr>
            </w:pPr>
            <w:r w:rsidRPr="005C665A">
              <w:rPr>
                <w:rFonts w:ascii="Times New Roman" w:hAnsi="Times New Roman" w:cs="Times New Roman"/>
                <w:b/>
                <w:bCs/>
                <w:color w:val="000000"/>
                <w:sz w:val="16"/>
                <w:szCs w:val="16"/>
              </w:rPr>
              <w:t>FF E2 at FA (ng/ml)</w:t>
            </w:r>
          </w:p>
        </w:tc>
        <w:tc>
          <w:tcPr>
            <w:tcW w:w="990" w:type="dxa"/>
            <w:tcBorders>
              <w:top w:val="nil"/>
              <w:left w:val="nil"/>
              <w:bottom w:val="single" w:sz="4" w:space="0" w:color="auto"/>
              <w:right w:val="single" w:sz="4" w:space="0" w:color="auto"/>
            </w:tcBorders>
            <w:shd w:val="clear" w:color="auto" w:fill="auto"/>
            <w:noWrap/>
            <w:vAlign w:val="center"/>
            <w:hideMark/>
          </w:tcPr>
          <w:p w14:paraId="151B560B" w14:textId="1E5D3B21" w:rsidR="00AF45EA" w:rsidRPr="005C665A" w:rsidRDefault="00AF45EA" w:rsidP="00AF45EA">
            <w:pPr>
              <w:jc w:val="center"/>
              <w:rPr>
                <w:rFonts w:ascii="Times New Roman" w:hAnsi="Times New Roman" w:cs="Times New Roman"/>
                <w:b/>
                <w:bCs/>
                <w:color w:val="000000"/>
                <w:sz w:val="16"/>
                <w:szCs w:val="16"/>
              </w:rPr>
            </w:pPr>
            <w:r w:rsidRPr="005C665A">
              <w:rPr>
                <w:rFonts w:ascii="Times New Roman" w:hAnsi="Times New Roman" w:cs="Times New Roman"/>
                <w:b/>
                <w:bCs/>
                <w:color w:val="000000"/>
                <w:sz w:val="16"/>
                <w:szCs w:val="16"/>
              </w:rPr>
              <w:t>Days Postpartum</w:t>
            </w:r>
          </w:p>
        </w:tc>
      </w:tr>
      <w:tr w:rsidR="00AF45EA" w:rsidRPr="002B2491" w14:paraId="5E9AABB6"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7E798C5B" w14:textId="6CF3A96F"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Cystathionine</w:t>
            </w:r>
          </w:p>
        </w:tc>
        <w:tc>
          <w:tcPr>
            <w:tcW w:w="768" w:type="dxa"/>
            <w:tcBorders>
              <w:top w:val="nil"/>
              <w:left w:val="nil"/>
              <w:bottom w:val="single" w:sz="4" w:space="0" w:color="auto"/>
              <w:right w:val="single" w:sz="4" w:space="0" w:color="auto"/>
            </w:tcBorders>
            <w:shd w:val="clear" w:color="auto" w:fill="auto"/>
            <w:noWrap/>
            <w:vAlign w:val="center"/>
            <w:hideMark/>
          </w:tcPr>
          <w:p w14:paraId="180A6CE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C02291</w:t>
            </w:r>
          </w:p>
        </w:tc>
        <w:tc>
          <w:tcPr>
            <w:tcW w:w="1010" w:type="dxa"/>
            <w:tcBorders>
              <w:top w:val="nil"/>
              <w:left w:val="nil"/>
              <w:bottom w:val="single" w:sz="4" w:space="0" w:color="auto"/>
              <w:right w:val="single" w:sz="4" w:space="0" w:color="auto"/>
            </w:tcBorders>
            <w:shd w:val="clear" w:color="auto" w:fill="auto"/>
            <w:noWrap/>
            <w:vAlign w:val="center"/>
            <w:hideMark/>
          </w:tcPr>
          <w:p w14:paraId="6300BED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0.324</w:t>
            </w:r>
          </w:p>
        </w:tc>
        <w:tc>
          <w:tcPr>
            <w:tcW w:w="1170" w:type="dxa"/>
            <w:tcBorders>
              <w:top w:val="nil"/>
              <w:left w:val="nil"/>
              <w:bottom w:val="single" w:sz="4" w:space="0" w:color="auto"/>
              <w:right w:val="single" w:sz="4" w:space="0" w:color="auto"/>
            </w:tcBorders>
            <w:shd w:val="clear" w:color="auto" w:fill="auto"/>
            <w:noWrap/>
            <w:vAlign w:val="center"/>
            <w:hideMark/>
          </w:tcPr>
          <w:p w14:paraId="2EA6580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3E8B220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0.011</w:t>
            </w:r>
          </w:p>
        </w:tc>
        <w:tc>
          <w:tcPr>
            <w:tcW w:w="714" w:type="dxa"/>
            <w:tcBorders>
              <w:top w:val="nil"/>
              <w:left w:val="nil"/>
              <w:bottom w:val="single" w:sz="4" w:space="0" w:color="auto"/>
              <w:right w:val="single" w:sz="4" w:space="0" w:color="auto"/>
            </w:tcBorders>
            <w:shd w:val="clear" w:color="auto" w:fill="auto"/>
            <w:noWrap/>
            <w:vAlign w:val="center"/>
            <w:hideMark/>
          </w:tcPr>
          <w:p w14:paraId="7AA4AC6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6" w:type="dxa"/>
            <w:tcBorders>
              <w:top w:val="nil"/>
              <w:left w:val="nil"/>
              <w:bottom w:val="single" w:sz="4" w:space="0" w:color="auto"/>
              <w:right w:val="single" w:sz="4" w:space="0" w:color="auto"/>
            </w:tcBorders>
            <w:shd w:val="clear" w:color="auto" w:fill="auto"/>
            <w:noWrap/>
            <w:vAlign w:val="center"/>
            <w:hideMark/>
          </w:tcPr>
          <w:p w14:paraId="1A76A0B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53FF85D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0CBE2CE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76CE2CD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046FF6FC"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6EBA5821" w14:textId="4FA6D78D"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6-Phospho-D-Gluconate</w:t>
            </w:r>
          </w:p>
        </w:tc>
        <w:tc>
          <w:tcPr>
            <w:tcW w:w="768" w:type="dxa"/>
            <w:tcBorders>
              <w:top w:val="nil"/>
              <w:left w:val="nil"/>
              <w:bottom w:val="single" w:sz="4" w:space="0" w:color="auto"/>
              <w:right w:val="single" w:sz="4" w:space="0" w:color="auto"/>
            </w:tcBorders>
            <w:shd w:val="clear" w:color="auto" w:fill="auto"/>
            <w:noWrap/>
            <w:vAlign w:val="center"/>
            <w:hideMark/>
          </w:tcPr>
          <w:p w14:paraId="7DD3E33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C00345</w:t>
            </w:r>
          </w:p>
        </w:tc>
        <w:tc>
          <w:tcPr>
            <w:tcW w:w="1010" w:type="dxa"/>
            <w:tcBorders>
              <w:top w:val="nil"/>
              <w:left w:val="nil"/>
              <w:bottom w:val="single" w:sz="4" w:space="0" w:color="auto"/>
              <w:right w:val="single" w:sz="4" w:space="0" w:color="auto"/>
            </w:tcBorders>
            <w:shd w:val="clear" w:color="auto" w:fill="auto"/>
            <w:noWrap/>
            <w:vAlign w:val="center"/>
            <w:hideMark/>
          </w:tcPr>
          <w:p w14:paraId="44C0D7A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0.335</w:t>
            </w:r>
          </w:p>
        </w:tc>
        <w:tc>
          <w:tcPr>
            <w:tcW w:w="1170" w:type="dxa"/>
            <w:tcBorders>
              <w:top w:val="nil"/>
              <w:left w:val="nil"/>
              <w:bottom w:val="single" w:sz="4" w:space="0" w:color="auto"/>
              <w:right w:val="single" w:sz="4" w:space="0" w:color="auto"/>
            </w:tcBorders>
            <w:shd w:val="clear" w:color="auto" w:fill="auto"/>
            <w:noWrap/>
            <w:vAlign w:val="center"/>
            <w:hideMark/>
          </w:tcPr>
          <w:p w14:paraId="351DE25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5680A75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14" w:type="dxa"/>
            <w:tcBorders>
              <w:top w:val="nil"/>
              <w:left w:val="nil"/>
              <w:bottom w:val="single" w:sz="4" w:space="0" w:color="auto"/>
              <w:right w:val="single" w:sz="4" w:space="0" w:color="auto"/>
            </w:tcBorders>
            <w:shd w:val="clear" w:color="auto" w:fill="auto"/>
            <w:noWrap/>
            <w:vAlign w:val="center"/>
            <w:hideMark/>
          </w:tcPr>
          <w:p w14:paraId="20A104A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6" w:type="dxa"/>
            <w:tcBorders>
              <w:top w:val="nil"/>
              <w:left w:val="nil"/>
              <w:bottom w:val="single" w:sz="4" w:space="0" w:color="auto"/>
              <w:right w:val="single" w:sz="4" w:space="0" w:color="auto"/>
            </w:tcBorders>
            <w:shd w:val="clear" w:color="auto" w:fill="auto"/>
            <w:noWrap/>
            <w:vAlign w:val="center"/>
            <w:hideMark/>
          </w:tcPr>
          <w:p w14:paraId="5C3D710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3C2545D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7CF573C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6F68040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25DDC39D"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5662E50E" w14:textId="235FFE99"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Citrulline</w:t>
            </w:r>
          </w:p>
        </w:tc>
        <w:tc>
          <w:tcPr>
            <w:tcW w:w="768" w:type="dxa"/>
            <w:tcBorders>
              <w:top w:val="nil"/>
              <w:left w:val="nil"/>
              <w:bottom w:val="single" w:sz="4" w:space="0" w:color="auto"/>
              <w:right w:val="single" w:sz="4" w:space="0" w:color="auto"/>
            </w:tcBorders>
            <w:shd w:val="clear" w:color="auto" w:fill="auto"/>
            <w:noWrap/>
            <w:vAlign w:val="center"/>
            <w:hideMark/>
          </w:tcPr>
          <w:p w14:paraId="2AFA3D2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C00327</w:t>
            </w:r>
          </w:p>
        </w:tc>
        <w:tc>
          <w:tcPr>
            <w:tcW w:w="1010" w:type="dxa"/>
            <w:tcBorders>
              <w:top w:val="nil"/>
              <w:left w:val="nil"/>
              <w:bottom w:val="single" w:sz="4" w:space="0" w:color="auto"/>
              <w:right w:val="single" w:sz="4" w:space="0" w:color="auto"/>
            </w:tcBorders>
            <w:shd w:val="clear" w:color="auto" w:fill="auto"/>
            <w:noWrap/>
            <w:vAlign w:val="center"/>
            <w:hideMark/>
          </w:tcPr>
          <w:p w14:paraId="5D09C12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0.350</w:t>
            </w:r>
          </w:p>
        </w:tc>
        <w:tc>
          <w:tcPr>
            <w:tcW w:w="1170" w:type="dxa"/>
            <w:tcBorders>
              <w:top w:val="nil"/>
              <w:left w:val="nil"/>
              <w:bottom w:val="single" w:sz="4" w:space="0" w:color="auto"/>
              <w:right w:val="single" w:sz="4" w:space="0" w:color="auto"/>
            </w:tcBorders>
            <w:shd w:val="clear" w:color="auto" w:fill="auto"/>
            <w:noWrap/>
            <w:vAlign w:val="center"/>
            <w:hideMark/>
          </w:tcPr>
          <w:p w14:paraId="5A45201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28EDAB9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0.001</w:t>
            </w:r>
          </w:p>
        </w:tc>
        <w:tc>
          <w:tcPr>
            <w:tcW w:w="714" w:type="dxa"/>
            <w:tcBorders>
              <w:top w:val="nil"/>
              <w:left w:val="nil"/>
              <w:bottom w:val="single" w:sz="4" w:space="0" w:color="auto"/>
              <w:right w:val="single" w:sz="4" w:space="0" w:color="auto"/>
            </w:tcBorders>
            <w:shd w:val="clear" w:color="auto" w:fill="auto"/>
            <w:noWrap/>
            <w:vAlign w:val="center"/>
            <w:hideMark/>
          </w:tcPr>
          <w:p w14:paraId="40DB818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0.004</w:t>
            </w:r>
          </w:p>
        </w:tc>
        <w:tc>
          <w:tcPr>
            <w:tcW w:w="816" w:type="dxa"/>
            <w:tcBorders>
              <w:top w:val="nil"/>
              <w:left w:val="nil"/>
              <w:bottom w:val="single" w:sz="4" w:space="0" w:color="auto"/>
              <w:right w:val="single" w:sz="4" w:space="0" w:color="auto"/>
            </w:tcBorders>
            <w:shd w:val="clear" w:color="auto" w:fill="auto"/>
            <w:noWrap/>
            <w:vAlign w:val="center"/>
            <w:hideMark/>
          </w:tcPr>
          <w:p w14:paraId="400556E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27E30E7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4CADE5E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465AD65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7BF893C7"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47A6291D" w14:textId="67A59DCD"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Cysteine</w:t>
            </w:r>
          </w:p>
        </w:tc>
        <w:tc>
          <w:tcPr>
            <w:tcW w:w="768" w:type="dxa"/>
            <w:tcBorders>
              <w:top w:val="nil"/>
              <w:left w:val="nil"/>
              <w:bottom w:val="single" w:sz="4" w:space="0" w:color="auto"/>
              <w:right w:val="single" w:sz="4" w:space="0" w:color="auto"/>
            </w:tcBorders>
            <w:shd w:val="clear" w:color="auto" w:fill="auto"/>
            <w:noWrap/>
            <w:vAlign w:val="center"/>
            <w:hideMark/>
          </w:tcPr>
          <w:p w14:paraId="4C84178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C00097</w:t>
            </w:r>
          </w:p>
        </w:tc>
        <w:tc>
          <w:tcPr>
            <w:tcW w:w="1010" w:type="dxa"/>
            <w:tcBorders>
              <w:top w:val="nil"/>
              <w:left w:val="nil"/>
              <w:bottom w:val="single" w:sz="4" w:space="0" w:color="auto"/>
              <w:right w:val="single" w:sz="4" w:space="0" w:color="auto"/>
            </w:tcBorders>
            <w:shd w:val="clear" w:color="auto" w:fill="auto"/>
            <w:noWrap/>
            <w:vAlign w:val="center"/>
            <w:hideMark/>
          </w:tcPr>
          <w:p w14:paraId="02874F4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0.380</w:t>
            </w:r>
          </w:p>
        </w:tc>
        <w:tc>
          <w:tcPr>
            <w:tcW w:w="1170" w:type="dxa"/>
            <w:tcBorders>
              <w:top w:val="nil"/>
              <w:left w:val="nil"/>
              <w:bottom w:val="single" w:sz="4" w:space="0" w:color="auto"/>
              <w:right w:val="single" w:sz="4" w:space="0" w:color="auto"/>
            </w:tcBorders>
            <w:shd w:val="clear" w:color="auto" w:fill="auto"/>
            <w:noWrap/>
            <w:vAlign w:val="center"/>
            <w:hideMark/>
          </w:tcPr>
          <w:p w14:paraId="1BF99B0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51BD50E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14" w:type="dxa"/>
            <w:tcBorders>
              <w:top w:val="nil"/>
              <w:left w:val="nil"/>
              <w:bottom w:val="single" w:sz="4" w:space="0" w:color="auto"/>
              <w:right w:val="single" w:sz="4" w:space="0" w:color="auto"/>
            </w:tcBorders>
            <w:shd w:val="clear" w:color="auto" w:fill="auto"/>
            <w:noWrap/>
            <w:vAlign w:val="center"/>
            <w:hideMark/>
          </w:tcPr>
          <w:p w14:paraId="66D4C9D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6" w:type="dxa"/>
            <w:tcBorders>
              <w:top w:val="nil"/>
              <w:left w:val="nil"/>
              <w:bottom w:val="single" w:sz="4" w:space="0" w:color="auto"/>
              <w:right w:val="single" w:sz="4" w:space="0" w:color="auto"/>
            </w:tcBorders>
            <w:shd w:val="clear" w:color="auto" w:fill="auto"/>
            <w:noWrap/>
            <w:vAlign w:val="center"/>
            <w:hideMark/>
          </w:tcPr>
          <w:p w14:paraId="0C4F16F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5131CD5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7EA0405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64D289A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77E164E4"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0A4A22A5" w14:textId="2A5F7C1C" w:rsidR="00AF45EA" w:rsidRPr="005C665A" w:rsidRDefault="00AF45EA" w:rsidP="00AF45EA">
            <w:pPr>
              <w:jc w:val="center"/>
              <w:rPr>
                <w:rFonts w:ascii="Times New Roman" w:hAnsi="Times New Roman" w:cs="Times New Roman"/>
                <w:color w:val="000000"/>
                <w:sz w:val="16"/>
                <w:szCs w:val="16"/>
              </w:rPr>
            </w:pPr>
            <w:proofErr w:type="spellStart"/>
            <w:r w:rsidRPr="005C665A">
              <w:rPr>
                <w:rFonts w:ascii="Times New Roman" w:hAnsi="Times New Roman" w:cs="Times New Roman"/>
                <w:color w:val="000000"/>
                <w:sz w:val="16"/>
                <w:szCs w:val="16"/>
              </w:rPr>
              <w:t>Guanidoacetic</w:t>
            </w:r>
            <w:proofErr w:type="spellEnd"/>
            <w:r w:rsidRPr="005C665A">
              <w:rPr>
                <w:rFonts w:ascii="Times New Roman" w:hAnsi="Times New Roman" w:cs="Times New Roman"/>
                <w:color w:val="000000"/>
                <w:sz w:val="16"/>
                <w:szCs w:val="16"/>
              </w:rPr>
              <w:t xml:space="preserve"> Acid</w:t>
            </w:r>
          </w:p>
        </w:tc>
        <w:tc>
          <w:tcPr>
            <w:tcW w:w="768" w:type="dxa"/>
            <w:tcBorders>
              <w:top w:val="nil"/>
              <w:left w:val="nil"/>
              <w:bottom w:val="single" w:sz="4" w:space="0" w:color="auto"/>
              <w:right w:val="single" w:sz="4" w:space="0" w:color="auto"/>
            </w:tcBorders>
            <w:shd w:val="clear" w:color="auto" w:fill="auto"/>
            <w:noWrap/>
            <w:vAlign w:val="center"/>
            <w:hideMark/>
          </w:tcPr>
          <w:p w14:paraId="591FD66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C00581</w:t>
            </w:r>
          </w:p>
        </w:tc>
        <w:tc>
          <w:tcPr>
            <w:tcW w:w="1010" w:type="dxa"/>
            <w:tcBorders>
              <w:top w:val="nil"/>
              <w:left w:val="nil"/>
              <w:bottom w:val="single" w:sz="4" w:space="0" w:color="auto"/>
              <w:right w:val="single" w:sz="4" w:space="0" w:color="auto"/>
            </w:tcBorders>
            <w:shd w:val="clear" w:color="auto" w:fill="auto"/>
            <w:noWrap/>
            <w:vAlign w:val="center"/>
            <w:hideMark/>
          </w:tcPr>
          <w:p w14:paraId="35710BA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0.430</w:t>
            </w:r>
          </w:p>
        </w:tc>
        <w:tc>
          <w:tcPr>
            <w:tcW w:w="1170" w:type="dxa"/>
            <w:tcBorders>
              <w:top w:val="nil"/>
              <w:left w:val="nil"/>
              <w:bottom w:val="single" w:sz="4" w:space="0" w:color="auto"/>
              <w:right w:val="single" w:sz="4" w:space="0" w:color="auto"/>
            </w:tcBorders>
            <w:shd w:val="clear" w:color="auto" w:fill="auto"/>
            <w:noWrap/>
            <w:vAlign w:val="center"/>
            <w:hideMark/>
          </w:tcPr>
          <w:p w14:paraId="4CD9D90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5C67613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0.006</w:t>
            </w:r>
          </w:p>
        </w:tc>
        <w:tc>
          <w:tcPr>
            <w:tcW w:w="714" w:type="dxa"/>
            <w:tcBorders>
              <w:top w:val="nil"/>
              <w:left w:val="nil"/>
              <w:bottom w:val="single" w:sz="4" w:space="0" w:color="auto"/>
              <w:right w:val="single" w:sz="4" w:space="0" w:color="auto"/>
            </w:tcBorders>
            <w:shd w:val="clear" w:color="auto" w:fill="auto"/>
            <w:noWrap/>
            <w:vAlign w:val="center"/>
            <w:hideMark/>
          </w:tcPr>
          <w:p w14:paraId="050A6BD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6" w:type="dxa"/>
            <w:tcBorders>
              <w:top w:val="nil"/>
              <w:left w:val="nil"/>
              <w:bottom w:val="single" w:sz="4" w:space="0" w:color="auto"/>
              <w:right w:val="single" w:sz="4" w:space="0" w:color="auto"/>
            </w:tcBorders>
            <w:shd w:val="clear" w:color="auto" w:fill="auto"/>
            <w:noWrap/>
            <w:vAlign w:val="center"/>
            <w:hideMark/>
          </w:tcPr>
          <w:p w14:paraId="7BD86C5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38C1909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74D4A6E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1D12DE2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210DCD3D"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1CE88028" w14:textId="3CF2FAA3"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Taurine</w:t>
            </w:r>
          </w:p>
        </w:tc>
        <w:tc>
          <w:tcPr>
            <w:tcW w:w="768" w:type="dxa"/>
            <w:tcBorders>
              <w:top w:val="nil"/>
              <w:left w:val="nil"/>
              <w:bottom w:val="single" w:sz="4" w:space="0" w:color="auto"/>
              <w:right w:val="single" w:sz="4" w:space="0" w:color="auto"/>
            </w:tcBorders>
            <w:shd w:val="clear" w:color="auto" w:fill="auto"/>
            <w:noWrap/>
            <w:vAlign w:val="center"/>
            <w:hideMark/>
          </w:tcPr>
          <w:p w14:paraId="1E8945C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C00245</w:t>
            </w:r>
          </w:p>
        </w:tc>
        <w:tc>
          <w:tcPr>
            <w:tcW w:w="1010" w:type="dxa"/>
            <w:tcBorders>
              <w:top w:val="nil"/>
              <w:left w:val="nil"/>
              <w:bottom w:val="single" w:sz="4" w:space="0" w:color="auto"/>
              <w:right w:val="single" w:sz="4" w:space="0" w:color="auto"/>
            </w:tcBorders>
            <w:shd w:val="clear" w:color="auto" w:fill="auto"/>
            <w:noWrap/>
            <w:vAlign w:val="center"/>
            <w:hideMark/>
          </w:tcPr>
          <w:p w14:paraId="1347264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0.432</w:t>
            </w:r>
          </w:p>
        </w:tc>
        <w:tc>
          <w:tcPr>
            <w:tcW w:w="1170" w:type="dxa"/>
            <w:tcBorders>
              <w:top w:val="nil"/>
              <w:left w:val="nil"/>
              <w:bottom w:val="single" w:sz="4" w:space="0" w:color="auto"/>
              <w:right w:val="single" w:sz="4" w:space="0" w:color="auto"/>
            </w:tcBorders>
            <w:shd w:val="clear" w:color="auto" w:fill="auto"/>
            <w:noWrap/>
            <w:vAlign w:val="center"/>
            <w:hideMark/>
          </w:tcPr>
          <w:p w14:paraId="2B937D9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54457B2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14" w:type="dxa"/>
            <w:tcBorders>
              <w:top w:val="nil"/>
              <w:left w:val="nil"/>
              <w:bottom w:val="single" w:sz="4" w:space="0" w:color="auto"/>
              <w:right w:val="single" w:sz="4" w:space="0" w:color="auto"/>
            </w:tcBorders>
            <w:shd w:val="clear" w:color="auto" w:fill="auto"/>
            <w:noWrap/>
            <w:vAlign w:val="center"/>
            <w:hideMark/>
          </w:tcPr>
          <w:p w14:paraId="089309C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6" w:type="dxa"/>
            <w:tcBorders>
              <w:top w:val="nil"/>
              <w:left w:val="nil"/>
              <w:bottom w:val="single" w:sz="4" w:space="0" w:color="auto"/>
              <w:right w:val="single" w:sz="4" w:space="0" w:color="auto"/>
            </w:tcBorders>
            <w:shd w:val="clear" w:color="auto" w:fill="auto"/>
            <w:noWrap/>
            <w:vAlign w:val="center"/>
            <w:hideMark/>
          </w:tcPr>
          <w:p w14:paraId="0BE9B82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204AB33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6CCA394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2503E25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5595FE16"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29875D27" w14:textId="2DCD0465"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Uric Acid</w:t>
            </w:r>
          </w:p>
        </w:tc>
        <w:tc>
          <w:tcPr>
            <w:tcW w:w="768" w:type="dxa"/>
            <w:tcBorders>
              <w:top w:val="nil"/>
              <w:left w:val="nil"/>
              <w:bottom w:val="single" w:sz="4" w:space="0" w:color="auto"/>
              <w:right w:val="single" w:sz="4" w:space="0" w:color="auto"/>
            </w:tcBorders>
            <w:shd w:val="clear" w:color="auto" w:fill="auto"/>
            <w:noWrap/>
            <w:vAlign w:val="center"/>
            <w:hideMark/>
          </w:tcPr>
          <w:p w14:paraId="490D594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C00366</w:t>
            </w:r>
          </w:p>
        </w:tc>
        <w:tc>
          <w:tcPr>
            <w:tcW w:w="1010" w:type="dxa"/>
            <w:tcBorders>
              <w:top w:val="nil"/>
              <w:left w:val="nil"/>
              <w:bottom w:val="single" w:sz="4" w:space="0" w:color="auto"/>
              <w:right w:val="single" w:sz="4" w:space="0" w:color="auto"/>
            </w:tcBorders>
            <w:shd w:val="clear" w:color="auto" w:fill="auto"/>
            <w:noWrap/>
            <w:vAlign w:val="center"/>
            <w:hideMark/>
          </w:tcPr>
          <w:p w14:paraId="2027479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0.432</w:t>
            </w:r>
          </w:p>
        </w:tc>
        <w:tc>
          <w:tcPr>
            <w:tcW w:w="1170" w:type="dxa"/>
            <w:tcBorders>
              <w:top w:val="nil"/>
              <w:left w:val="nil"/>
              <w:bottom w:val="single" w:sz="4" w:space="0" w:color="auto"/>
              <w:right w:val="single" w:sz="4" w:space="0" w:color="auto"/>
            </w:tcBorders>
            <w:shd w:val="clear" w:color="auto" w:fill="auto"/>
            <w:noWrap/>
            <w:vAlign w:val="center"/>
            <w:hideMark/>
          </w:tcPr>
          <w:p w14:paraId="1DF278A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7A0B376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0.011</w:t>
            </w:r>
          </w:p>
        </w:tc>
        <w:tc>
          <w:tcPr>
            <w:tcW w:w="714" w:type="dxa"/>
            <w:tcBorders>
              <w:top w:val="nil"/>
              <w:left w:val="nil"/>
              <w:bottom w:val="single" w:sz="4" w:space="0" w:color="auto"/>
              <w:right w:val="single" w:sz="4" w:space="0" w:color="auto"/>
            </w:tcBorders>
            <w:shd w:val="clear" w:color="auto" w:fill="auto"/>
            <w:noWrap/>
            <w:vAlign w:val="center"/>
            <w:hideMark/>
          </w:tcPr>
          <w:p w14:paraId="1B58F54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0.008</w:t>
            </w:r>
          </w:p>
        </w:tc>
        <w:tc>
          <w:tcPr>
            <w:tcW w:w="816" w:type="dxa"/>
            <w:tcBorders>
              <w:top w:val="nil"/>
              <w:left w:val="nil"/>
              <w:bottom w:val="single" w:sz="4" w:space="0" w:color="auto"/>
              <w:right w:val="single" w:sz="4" w:space="0" w:color="auto"/>
            </w:tcBorders>
            <w:shd w:val="clear" w:color="auto" w:fill="auto"/>
            <w:noWrap/>
            <w:vAlign w:val="center"/>
            <w:hideMark/>
          </w:tcPr>
          <w:p w14:paraId="3EC6B20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67A8C5C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50B9551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71012FD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4CA843F5"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764172DF" w14:textId="74DB34A4"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Trehalose Sucrose</w:t>
            </w:r>
          </w:p>
        </w:tc>
        <w:tc>
          <w:tcPr>
            <w:tcW w:w="768" w:type="dxa"/>
            <w:tcBorders>
              <w:top w:val="nil"/>
              <w:left w:val="nil"/>
              <w:bottom w:val="single" w:sz="4" w:space="0" w:color="auto"/>
              <w:right w:val="single" w:sz="4" w:space="0" w:color="auto"/>
            </w:tcBorders>
            <w:shd w:val="clear" w:color="auto" w:fill="auto"/>
            <w:noWrap/>
            <w:vAlign w:val="center"/>
            <w:hideMark/>
          </w:tcPr>
          <w:p w14:paraId="47E0CFE5" w14:textId="77777777" w:rsidR="00AF45EA" w:rsidRPr="005C665A" w:rsidRDefault="00AF45EA" w:rsidP="00AF45EA">
            <w:pPr>
              <w:jc w:val="center"/>
              <w:rPr>
                <w:rFonts w:ascii="Times New Roman" w:hAnsi="Times New Roman" w:cs="Times New Roman"/>
                <w:color w:val="000000"/>
                <w:sz w:val="16"/>
                <w:szCs w:val="16"/>
              </w:rPr>
            </w:pPr>
            <w:proofErr w:type="gramStart"/>
            <w:r w:rsidRPr="005C665A">
              <w:rPr>
                <w:rFonts w:ascii="Times New Roman" w:hAnsi="Times New Roman" w:cs="Times New Roman"/>
                <w:color w:val="000000"/>
                <w:sz w:val="16"/>
                <w:szCs w:val="16"/>
              </w:rPr>
              <w:t>C01083;</w:t>
            </w:r>
            <w:proofErr w:type="gramEnd"/>
          </w:p>
          <w:p w14:paraId="169459D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C00089</w:t>
            </w:r>
          </w:p>
        </w:tc>
        <w:tc>
          <w:tcPr>
            <w:tcW w:w="1010" w:type="dxa"/>
            <w:tcBorders>
              <w:top w:val="nil"/>
              <w:left w:val="nil"/>
              <w:bottom w:val="single" w:sz="4" w:space="0" w:color="auto"/>
              <w:right w:val="single" w:sz="4" w:space="0" w:color="auto"/>
            </w:tcBorders>
            <w:shd w:val="clear" w:color="auto" w:fill="auto"/>
            <w:noWrap/>
            <w:vAlign w:val="center"/>
            <w:hideMark/>
          </w:tcPr>
          <w:p w14:paraId="544731D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0.472</w:t>
            </w:r>
          </w:p>
        </w:tc>
        <w:tc>
          <w:tcPr>
            <w:tcW w:w="1170" w:type="dxa"/>
            <w:tcBorders>
              <w:top w:val="nil"/>
              <w:left w:val="nil"/>
              <w:bottom w:val="single" w:sz="4" w:space="0" w:color="auto"/>
              <w:right w:val="single" w:sz="4" w:space="0" w:color="auto"/>
            </w:tcBorders>
            <w:shd w:val="clear" w:color="auto" w:fill="auto"/>
            <w:noWrap/>
            <w:vAlign w:val="center"/>
            <w:hideMark/>
          </w:tcPr>
          <w:p w14:paraId="4A4F1F4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586FC66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14" w:type="dxa"/>
            <w:tcBorders>
              <w:top w:val="nil"/>
              <w:left w:val="nil"/>
              <w:bottom w:val="single" w:sz="4" w:space="0" w:color="auto"/>
              <w:right w:val="single" w:sz="4" w:space="0" w:color="auto"/>
            </w:tcBorders>
            <w:shd w:val="clear" w:color="auto" w:fill="auto"/>
            <w:noWrap/>
            <w:vAlign w:val="center"/>
            <w:hideMark/>
          </w:tcPr>
          <w:p w14:paraId="531B2E9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6" w:type="dxa"/>
            <w:tcBorders>
              <w:top w:val="nil"/>
              <w:left w:val="nil"/>
              <w:bottom w:val="single" w:sz="4" w:space="0" w:color="auto"/>
              <w:right w:val="single" w:sz="4" w:space="0" w:color="auto"/>
            </w:tcBorders>
            <w:shd w:val="clear" w:color="auto" w:fill="auto"/>
            <w:noWrap/>
            <w:vAlign w:val="center"/>
            <w:hideMark/>
          </w:tcPr>
          <w:p w14:paraId="54D63FA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3A54AE6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5DB2885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252662C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4BAE1450"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6E43FBC5" w14:textId="2A595C4B"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Methionine Sulfoxide</w:t>
            </w:r>
          </w:p>
        </w:tc>
        <w:tc>
          <w:tcPr>
            <w:tcW w:w="768" w:type="dxa"/>
            <w:tcBorders>
              <w:top w:val="nil"/>
              <w:left w:val="nil"/>
              <w:bottom w:val="single" w:sz="4" w:space="0" w:color="auto"/>
              <w:right w:val="single" w:sz="4" w:space="0" w:color="auto"/>
            </w:tcBorders>
            <w:shd w:val="clear" w:color="auto" w:fill="auto"/>
            <w:noWrap/>
            <w:vAlign w:val="center"/>
            <w:hideMark/>
          </w:tcPr>
          <w:p w14:paraId="411EB8B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C02989</w:t>
            </w:r>
          </w:p>
        </w:tc>
        <w:tc>
          <w:tcPr>
            <w:tcW w:w="1010" w:type="dxa"/>
            <w:tcBorders>
              <w:top w:val="nil"/>
              <w:left w:val="nil"/>
              <w:bottom w:val="single" w:sz="4" w:space="0" w:color="auto"/>
              <w:right w:val="single" w:sz="4" w:space="0" w:color="auto"/>
            </w:tcBorders>
            <w:shd w:val="clear" w:color="auto" w:fill="auto"/>
            <w:noWrap/>
            <w:vAlign w:val="center"/>
            <w:hideMark/>
          </w:tcPr>
          <w:p w14:paraId="52A2146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0.505</w:t>
            </w:r>
          </w:p>
        </w:tc>
        <w:tc>
          <w:tcPr>
            <w:tcW w:w="1170" w:type="dxa"/>
            <w:tcBorders>
              <w:top w:val="nil"/>
              <w:left w:val="nil"/>
              <w:bottom w:val="single" w:sz="4" w:space="0" w:color="auto"/>
              <w:right w:val="single" w:sz="4" w:space="0" w:color="auto"/>
            </w:tcBorders>
            <w:shd w:val="clear" w:color="auto" w:fill="auto"/>
            <w:noWrap/>
            <w:vAlign w:val="center"/>
            <w:hideMark/>
          </w:tcPr>
          <w:p w14:paraId="2EF4D8C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022C463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0.003</w:t>
            </w:r>
          </w:p>
        </w:tc>
        <w:tc>
          <w:tcPr>
            <w:tcW w:w="714" w:type="dxa"/>
            <w:tcBorders>
              <w:top w:val="nil"/>
              <w:left w:val="nil"/>
              <w:bottom w:val="single" w:sz="4" w:space="0" w:color="auto"/>
              <w:right w:val="single" w:sz="4" w:space="0" w:color="auto"/>
            </w:tcBorders>
            <w:shd w:val="clear" w:color="auto" w:fill="auto"/>
            <w:noWrap/>
            <w:vAlign w:val="center"/>
            <w:hideMark/>
          </w:tcPr>
          <w:p w14:paraId="778DBD1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0.007</w:t>
            </w:r>
          </w:p>
        </w:tc>
        <w:tc>
          <w:tcPr>
            <w:tcW w:w="816" w:type="dxa"/>
            <w:tcBorders>
              <w:top w:val="nil"/>
              <w:left w:val="nil"/>
              <w:bottom w:val="single" w:sz="4" w:space="0" w:color="auto"/>
              <w:right w:val="single" w:sz="4" w:space="0" w:color="auto"/>
            </w:tcBorders>
            <w:shd w:val="clear" w:color="auto" w:fill="auto"/>
            <w:noWrap/>
            <w:vAlign w:val="center"/>
            <w:hideMark/>
          </w:tcPr>
          <w:p w14:paraId="139BD56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5C579EA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286F11C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480A3C0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368142F9"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704E223E" w14:textId="60759583" w:rsidR="00AF45EA" w:rsidRPr="005C665A" w:rsidRDefault="00AF45EA" w:rsidP="00AF45EA">
            <w:pPr>
              <w:jc w:val="center"/>
              <w:rPr>
                <w:rFonts w:ascii="Times New Roman" w:hAnsi="Times New Roman" w:cs="Times New Roman"/>
                <w:color w:val="000000"/>
                <w:sz w:val="16"/>
                <w:szCs w:val="16"/>
              </w:rPr>
            </w:pPr>
            <w:proofErr w:type="spellStart"/>
            <w:r w:rsidRPr="005C665A">
              <w:rPr>
                <w:rFonts w:ascii="Times New Roman" w:hAnsi="Times New Roman" w:cs="Times New Roman"/>
                <w:color w:val="000000"/>
                <w:sz w:val="16"/>
                <w:szCs w:val="16"/>
              </w:rPr>
              <w:t>Hydroxyphenylacetate</w:t>
            </w:r>
            <w:proofErr w:type="spellEnd"/>
          </w:p>
        </w:tc>
        <w:tc>
          <w:tcPr>
            <w:tcW w:w="768" w:type="dxa"/>
            <w:tcBorders>
              <w:top w:val="nil"/>
              <w:left w:val="nil"/>
              <w:bottom w:val="single" w:sz="4" w:space="0" w:color="auto"/>
              <w:right w:val="single" w:sz="4" w:space="0" w:color="auto"/>
            </w:tcBorders>
            <w:shd w:val="clear" w:color="auto" w:fill="auto"/>
            <w:noWrap/>
            <w:vAlign w:val="center"/>
            <w:hideMark/>
          </w:tcPr>
          <w:p w14:paraId="008494E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C05852</w:t>
            </w:r>
          </w:p>
        </w:tc>
        <w:tc>
          <w:tcPr>
            <w:tcW w:w="1010" w:type="dxa"/>
            <w:tcBorders>
              <w:top w:val="nil"/>
              <w:left w:val="nil"/>
              <w:bottom w:val="single" w:sz="4" w:space="0" w:color="auto"/>
              <w:right w:val="single" w:sz="4" w:space="0" w:color="auto"/>
            </w:tcBorders>
            <w:shd w:val="clear" w:color="auto" w:fill="auto"/>
            <w:noWrap/>
            <w:vAlign w:val="center"/>
            <w:hideMark/>
          </w:tcPr>
          <w:p w14:paraId="7951C08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0.516</w:t>
            </w:r>
          </w:p>
        </w:tc>
        <w:tc>
          <w:tcPr>
            <w:tcW w:w="1170" w:type="dxa"/>
            <w:tcBorders>
              <w:top w:val="nil"/>
              <w:left w:val="nil"/>
              <w:bottom w:val="single" w:sz="4" w:space="0" w:color="auto"/>
              <w:right w:val="single" w:sz="4" w:space="0" w:color="auto"/>
            </w:tcBorders>
            <w:shd w:val="clear" w:color="auto" w:fill="auto"/>
            <w:noWrap/>
            <w:vAlign w:val="center"/>
            <w:hideMark/>
          </w:tcPr>
          <w:p w14:paraId="5053EDF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3EDDB3F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0.046</w:t>
            </w:r>
          </w:p>
        </w:tc>
        <w:tc>
          <w:tcPr>
            <w:tcW w:w="714" w:type="dxa"/>
            <w:tcBorders>
              <w:top w:val="nil"/>
              <w:left w:val="nil"/>
              <w:bottom w:val="single" w:sz="4" w:space="0" w:color="auto"/>
              <w:right w:val="single" w:sz="4" w:space="0" w:color="auto"/>
            </w:tcBorders>
            <w:shd w:val="clear" w:color="auto" w:fill="auto"/>
            <w:noWrap/>
            <w:vAlign w:val="center"/>
            <w:hideMark/>
          </w:tcPr>
          <w:p w14:paraId="5A4EC9C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6" w:type="dxa"/>
            <w:tcBorders>
              <w:top w:val="nil"/>
              <w:left w:val="nil"/>
              <w:bottom w:val="single" w:sz="4" w:space="0" w:color="auto"/>
              <w:right w:val="single" w:sz="4" w:space="0" w:color="auto"/>
            </w:tcBorders>
            <w:shd w:val="clear" w:color="auto" w:fill="auto"/>
            <w:noWrap/>
            <w:vAlign w:val="center"/>
            <w:hideMark/>
          </w:tcPr>
          <w:p w14:paraId="1B9F9B1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550E1D0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0.037</w:t>
            </w:r>
          </w:p>
        </w:tc>
        <w:tc>
          <w:tcPr>
            <w:tcW w:w="720" w:type="dxa"/>
            <w:tcBorders>
              <w:top w:val="nil"/>
              <w:left w:val="nil"/>
              <w:bottom w:val="single" w:sz="4" w:space="0" w:color="auto"/>
              <w:right w:val="single" w:sz="4" w:space="0" w:color="auto"/>
            </w:tcBorders>
            <w:shd w:val="clear" w:color="auto" w:fill="auto"/>
            <w:noWrap/>
            <w:vAlign w:val="center"/>
            <w:hideMark/>
          </w:tcPr>
          <w:p w14:paraId="197D1EB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701025A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23CF5A99"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17F31311" w14:textId="1E951624"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Cholesterol Sulfate</w:t>
            </w:r>
          </w:p>
        </w:tc>
        <w:tc>
          <w:tcPr>
            <w:tcW w:w="768" w:type="dxa"/>
            <w:tcBorders>
              <w:top w:val="nil"/>
              <w:left w:val="nil"/>
              <w:bottom w:val="single" w:sz="4" w:space="0" w:color="auto"/>
              <w:right w:val="single" w:sz="4" w:space="0" w:color="auto"/>
            </w:tcBorders>
            <w:shd w:val="clear" w:color="auto" w:fill="auto"/>
            <w:noWrap/>
            <w:vAlign w:val="center"/>
            <w:hideMark/>
          </w:tcPr>
          <w:p w14:paraId="632F270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C18043</w:t>
            </w:r>
          </w:p>
        </w:tc>
        <w:tc>
          <w:tcPr>
            <w:tcW w:w="1010" w:type="dxa"/>
            <w:tcBorders>
              <w:top w:val="nil"/>
              <w:left w:val="nil"/>
              <w:bottom w:val="single" w:sz="4" w:space="0" w:color="auto"/>
              <w:right w:val="single" w:sz="4" w:space="0" w:color="auto"/>
            </w:tcBorders>
            <w:shd w:val="clear" w:color="auto" w:fill="auto"/>
            <w:noWrap/>
            <w:vAlign w:val="center"/>
            <w:hideMark/>
          </w:tcPr>
          <w:p w14:paraId="22F905B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0.523</w:t>
            </w:r>
          </w:p>
        </w:tc>
        <w:tc>
          <w:tcPr>
            <w:tcW w:w="1170" w:type="dxa"/>
            <w:tcBorders>
              <w:top w:val="nil"/>
              <w:left w:val="nil"/>
              <w:bottom w:val="single" w:sz="4" w:space="0" w:color="auto"/>
              <w:right w:val="single" w:sz="4" w:space="0" w:color="auto"/>
            </w:tcBorders>
            <w:shd w:val="clear" w:color="auto" w:fill="auto"/>
            <w:noWrap/>
            <w:vAlign w:val="center"/>
            <w:hideMark/>
          </w:tcPr>
          <w:p w14:paraId="465C427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5C6E05E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14" w:type="dxa"/>
            <w:tcBorders>
              <w:top w:val="nil"/>
              <w:left w:val="nil"/>
              <w:bottom w:val="single" w:sz="4" w:space="0" w:color="auto"/>
              <w:right w:val="single" w:sz="4" w:space="0" w:color="auto"/>
            </w:tcBorders>
            <w:shd w:val="clear" w:color="auto" w:fill="auto"/>
            <w:noWrap/>
            <w:vAlign w:val="center"/>
            <w:hideMark/>
          </w:tcPr>
          <w:p w14:paraId="03E442E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0.008</w:t>
            </w:r>
          </w:p>
        </w:tc>
        <w:tc>
          <w:tcPr>
            <w:tcW w:w="816" w:type="dxa"/>
            <w:tcBorders>
              <w:top w:val="nil"/>
              <w:left w:val="nil"/>
              <w:bottom w:val="single" w:sz="4" w:space="0" w:color="auto"/>
              <w:right w:val="single" w:sz="4" w:space="0" w:color="auto"/>
            </w:tcBorders>
            <w:shd w:val="clear" w:color="auto" w:fill="auto"/>
            <w:noWrap/>
            <w:vAlign w:val="center"/>
            <w:hideMark/>
          </w:tcPr>
          <w:p w14:paraId="66E6B02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0.0163</w:t>
            </w:r>
          </w:p>
        </w:tc>
        <w:tc>
          <w:tcPr>
            <w:tcW w:w="630" w:type="dxa"/>
            <w:tcBorders>
              <w:top w:val="nil"/>
              <w:left w:val="nil"/>
              <w:bottom w:val="single" w:sz="4" w:space="0" w:color="auto"/>
              <w:right w:val="single" w:sz="4" w:space="0" w:color="auto"/>
            </w:tcBorders>
            <w:shd w:val="clear" w:color="auto" w:fill="auto"/>
            <w:noWrap/>
            <w:vAlign w:val="center"/>
            <w:hideMark/>
          </w:tcPr>
          <w:p w14:paraId="3B003F5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138A42B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3A2E787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586AD1A7"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64D3675D" w14:textId="1F5A4E35"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Orotate</w:t>
            </w:r>
          </w:p>
        </w:tc>
        <w:tc>
          <w:tcPr>
            <w:tcW w:w="768" w:type="dxa"/>
            <w:tcBorders>
              <w:top w:val="nil"/>
              <w:left w:val="nil"/>
              <w:bottom w:val="single" w:sz="4" w:space="0" w:color="auto"/>
              <w:right w:val="single" w:sz="4" w:space="0" w:color="auto"/>
            </w:tcBorders>
            <w:shd w:val="clear" w:color="auto" w:fill="auto"/>
            <w:noWrap/>
            <w:vAlign w:val="center"/>
            <w:hideMark/>
          </w:tcPr>
          <w:p w14:paraId="1D31351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C00295</w:t>
            </w:r>
          </w:p>
        </w:tc>
        <w:tc>
          <w:tcPr>
            <w:tcW w:w="1010" w:type="dxa"/>
            <w:tcBorders>
              <w:top w:val="nil"/>
              <w:left w:val="nil"/>
              <w:bottom w:val="single" w:sz="4" w:space="0" w:color="auto"/>
              <w:right w:val="single" w:sz="4" w:space="0" w:color="auto"/>
            </w:tcBorders>
            <w:shd w:val="clear" w:color="auto" w:fill="auto"/>
            <w:noWrap/>
            <w:vAlign w:val="center"/>
            <w:hideMark/>
          </w:tcPr>
          <w:p w14:paraId="03CDEF0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0.545</w:t>
            </w:r>
          </w:p>
        </w:tc>
        <w:tc>
          <w:tcPr>
            <w:tcW w:w="1170" w:type="dxa"/>
            <w:tcBorders>
              <w:top w:val="nil"/>
              <w:left w:val="nil"/>
              <w:bottom w:val="single" w:sz="4" w:space="0" w:color="auto"/>
              <w:right w:val="single" w:sz="4" w:space="0" w:color="auto"/>
            </w:tcBorders>
            <w:shd w:val="clear" w:color="auto" w:fill="auto"/>
            <w:noWrap/>
            <w:vAlign w:val="center"/>
            <w:hideMark/>
          </w:tcPr>
          <w:p w14:paraId="0E5779D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4CEA23F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14" w:type="dxa"/>
            <w:tcBorders>
              <w:top w:val="nil"/>
              <w:left w:val="nil"/>
              <w:bottom w:val="single" w:sz="4" w:space="0" w:color="auto"/>
              <w:right w:val="single" w:sz="4" w:space="0" w:color="auto"/>
            </w:tcBorders>
            <w:shd w:val="clear" w:color="auto" w:fill="auto"/>
            <w:noWrap/>
            <w:vAlign w:val="center"/>
            <w:hideMark/>
          </w:tcPr>
          <w:p w14:paraId="4D71B18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0.037</w:t>
            </w:r>
          </w:p>
        </w:tc>
        <w:tc>
          <w:tcPr>
            <w:tcW w:w="816" w:type="dxa"/>
            <w:tcBorders>
              <w:top w:val="nil"/>
              <w:left w:val="nil"/>
              <w:bottom w:val="single" w:sz="4" w:space="0" w:color="auto"/>
              <w:right w:val="single" w:sz="4" w:space="0" w:color="auto"/>
            </w:tcBorders>
            <w:shd w:val="clear" w:color="auto" w:fill="auto"/>
            <w:noWrap/>
            <w:vAlign w:val="center"/>
            <w:hideMark/>
          </w:tcPr>
          <w:p w14:paraId="1DB4BE9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39FFACC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2094EC1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0C313FD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3773CE2C"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14F9D680" w14:textId="4E0E69EB" w:rsidR="00AF45EA" w:rsidRPr="005C665A" w:rsidRDefault="00AF45EA" w:rsidP="00AF45EA">
            <w:pPr>
              <w:jc w:val="center"/>
              <w:rPr>
                <w:rFonts w:ascii="Times New Roman" w:hAnsi="Times New Roman" w:cs="Times New Roman"/>
                <w:color w:val="000000"/>
                <w:sz w:val="16"/>
                <w:szCs w:val="16"/>
              </w:rPr>
            </w:pPr>
            <w:proofErr w:type="spellStart"/>
            <w:r w:rsidRPr="005C665A">
              <w:rPr>
                <w:rFonts w:ascii="Times New Roman" w:hAnsi="Times New Roman" w:cs="Times New Roman"/>
                <w:color w:val="000000"/>
                <w:sz w:val="16"/>
                <w:szCs w:val="16"/>
              </w:rPr>
              <w:t>Octulose</w:t>
            </w:r>
            <w:proofErr w:type="spellEnd"/>
            <w:r w:rsidRPr="005C665A">
              <w:rPr>
                <w:rFonts w:ascii="Times New Roman" w:hAnsi="Times New Roman" w:cs="Times New Roman"/>
                <w:color w:val="000000"/>
                <w:sz w:val="16"/>
                <w:szCs w:val="16"/>
              </w:rPr>
              <w:t xml:space="preserve"> Bisphosphate</w:t>
            </w:r>
          </w:p>
        </w:tc>
        <w:tc>
          <w:tcPr>
            <w:tcW w:w="768" w:type="dxa"/>
            <w:tcBorders>
              <w:top w:val="nil"/>
              <w:left w:val="nil"/>
              <w:bottom w:val="single" w:sz="4" w:space="0" w:color="auto"/>
              <w:right w:val="single" w:sz="4" w:space="0" w:color="auto"/>
            </w:tcBorders>
            <w:shd w:val="clear" w:color="auto" w:fill="auto"/>
            <w:noWrap/>
            <w:vAlign w:val="center"/>
            <w:hideMark/>
          </w:tcPr>
          <w:p w14:paraId="4FA6B66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w:t>
            </w:r>
          </w:p>
        </w:tc>
        <w:tc>
          <w:tcPr>
            <w:tcW w:w="1010" w:type="dxa"/>
            <w:tcBorders>
              <w:top w:val="nil"/>
              <w:left w:val="nil"/>
              <w:bottom w:val="single" w:sz="4" w:space="0" w:color="auto"/>
              <w:right w:val="single" w:sz="4" w:space="0" w:color="auto"/>
            </w:tcBorders>
            <w:shd w:val="clear" w:color="auto" w:fill="auto"/>
            <w:noWrap/>
            <w:vAlign w:val="center"/>
            <w:hideMark/>
          </w:tcPr>
          <w:p w14:paraId="49AF84D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0.588</w:t>
            </w:r>
          </w:p>
        </w:tc>
        <w:tc>
          <w:tcPr>
            <w:tcW w:w="1170" w:type="dxa"/>
            <w:tcBorders>
              <w:top w:val="nil"/>
              <w:left w:val="nil"/>
              <w:bottom w:val="single" w:sz="4" w:space="0" w:color="auto"/>
              <w:right w:val="single" w:sz="4" w:space="0" w:color="auto"/>
            </w:tcBorders>
            <w:shd w:val="clear" w:color="auto" w:fill="auto"/>
            <w:noWrap/>
            <w:vAlign w:val="center"/>
            <w:hideMark/>
          </w:tcPr>
          <w:p w14:paraId="6D87677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7E99581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14" w:type="dxa"/>
            <w:tcBorders>
              <w:top w:val="nil"/>
              <w:left w:val="nil"/>
              <w:bottom w:val="single" w:sz="4" w:space="0" w:color="auto"/>
              <w:right w:val="single" w:sz="4" w:space="0" w:color="auto"/>
            </w:tcBorders>
            <w:shd w:val="clear" w:color="auto" w:fill="auto"/>
            <w:noWrap/>
            <w:vAlign w:val="center"/>
            <w:hideMark/>
          </w:tcPr>
          <w:p w14:paraId="5BD60B3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6" w:type="dxa"/>
            <w:tcBorders>
              <w:top w:val="nil"/>
              <w:left w:val="nil"/>
              <w:bottom w:val="single" w:sz="4" w:space="0" w:color="auto"/>
              <w:right w:val="single" w:sz="4" w:space="0" w:color="auto"/>
            </w:tcBorders>
            <w:shd w:val="clear" w:color="auto" w:fill="auto"/>
            <w:noWrap/>
            <w:vAlign w:val="center"/>
            <w:hideMark/>
          </w:tcPr>
          <w:p w14:paraId="3D78AC6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597B7F9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71DB250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7F27DDC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61A5B929"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70B92E58" w14:textId="61C408D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2-3-Dihydroxybenzoate</w:t>
            </w:r>
          </w:p>
        </w:tc>
        <w:tc>
          <w:tcPr>
            <w:tcW w:w="768" w:type="dxa"/>
            <w:tcBorders>
              <w:top w:val="nil"/>
              <w:left w:val="nil"/>
              <w:bottom w:val="single" w:sz="4" w:space="0" w:color="auto"/>
              <w:right w:val="single" w:sz="4" w:space="0" w:color="auto"/>
            </w:tcBorders>
            <w:shd w:val="clear" w:color="auto" w:fill="auto"/>
            <w:noWrap/>
            <w:vAlign w:val="center"/>
            <w:hideMark/>
          </w:tcPr>
          <w:p w14:paraId="0B33E74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C00230</w:t>
            </w:r>
          </w:p>
        </w:tc>
        <w:tc>
          <w:tcPr>
            <w:tcW w:w="1010" w:type="dxa"/>
            <w:tcBorders>
              <w:top w:val="nil"/>
              <w:left w:val="nil"/>
              <w:bottom w:val="single" w:sz="4" w:space="0" w:color="auto"/>
              <w:right w:val="single" w:sz="4" w:space="0" w:color="auto"/>
            </w:tcBorders>
            <w:shd w:val="clear" w:color="auto" w:fill="auto"/>
            <w:noWrap/>
            <w:vAlign w:val="center"/>
            <w:hideMark/>
          </w:tcPr>
          <w:p w14:paraId="613D15D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0.598</w:t>
            </w:r>
          </w:p>
        </w:tc>
        <w:tc>
          <w:tcPr>
            <w:tcW w:w="1170" w:type="dxa"/>
            <w:tcBorders>
              <w:top w:val="nil"/>
              <w:left w:val="nil"/>
              <w:bottom w:val="single" w:sz="4" w:space="0" w:color="auto"/>
              <w:right w:val="single" w:sz="4" w:space="0" w:color="auto"/>
            </w:tcBorders>
            <w:shd w:val="clear" w:color="auto" w:fill="auto"/>
            <w:noWrap/>
            <w:vAlign w:val="center"/>
            <w:hideMark/>
          </w:tcPr>
          <w:p w14:paraId="7F7CB58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6E4CA14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14" w:type="dxa"/>
            <w:tcBorders>
              <w:top w:val="nil"/>
              <w:left w:val="nil"/>
              <w:bottom w:val="single" w:sz="4" w:space="0" w:color="auto"/>
              <w:right w:val="single" w:sz="4" w:space="0" w:color="auto"/>
            </w:tcBorders>
            <w:shd w:val="clear" w:color="auto" w:fill="auto"/>
            <w:noWrap/>
            <w:vAlign w:val="center"/>
            <w:hideMark/>
          </w:tcPr>
          <w:p w14:paraId="0CD42BA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6" w:type="dxa"/>
            <w:tcBorders>
              <w:top w:val="nil"/>
              <w:left w:val="nil"/>
              <w:bottom w:val="single" w:sz="4" w:space="0" w:color="auto"/>
              <w:right w:val="single" w:sz="4" w:space="0" w:color="auto"/>
            </w:tcBorders>
            <w:shd w:val="clear" w:color="auto" w:fill="auto"/>
            <w:noWrap/>
            <w:vAlign w:val="center"/>
            <w:hideMark/>
          </w:tcPr>
          <w:p w14:paraId="429AD60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4911546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0.042</w:t>
            </w:r>
          </w:p>
        </w:tc>
        <w:tc>
          <w:tcPr>
            <w:tcW w:w="720" w:type="dxa"/>
            <w:tcBorders>
              <w:top w:val="nil"/>
              <w:left w:val="nil"/>
              <w:bottom w:val="single" w:sz="4" w:space="0" w:color="auto"/>
              <w:right w:val="single" w:sz="4" w:space="0" w:color="auto"/>
            </w:tcBorders>
            <w:shd w:val="clear" w:color="auto" w:fill="auto"/>
            <w:noWrap/>
            <w:vAlign w:val="center"/>
            <w:hideMark/>
          </w:tcPr>
          <w:p w14:paraId="38E0FF4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2AAD9E7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4D8B39C5"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2DBD49FD" w14:textId="23987B5A"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N-Acetylglucosamine-1-6-Phosphate</w:t>
            </w:r>
          </w:p>
        </w:tc>
        <w:tc>
          <w:tcPr>
            <w:tcW w:w="768" w:type="dxa"/>
            <w:tcBorders>
              <w:top w:val="nil"/>
              <w:left w:val="nil"/>
              <w:bottom w:val="single" w:sz="4" w:space="0" w:color="auto"/>
              <w:right w:val="single" w:sz="4" w:space="0" w:color="auto"/>
            </w:tcBorders>
            <w:shd w:val="clear" w:color="auto" w:fill="auto"/>
            <w:noWrap/>
            <w:vAlign w:val="center"/>
            <w:hideMark/>
          </w:tcPr>
          <w:p w14:paraId="51CC3E8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C00357</w:t>
            </w:r>
          </w:p>
        </w:tc>
        <w:tc>
          <w:tcPr>
            <w:tcW w:w="1010" w:type="dxa"/>
            <w:tcBorders>
              <w:top w:val="nil"/>
              <w:left w:val="nil"/>
              <w:bottom w:val="single" w:sz="4" w:space="0" w:color="auto"/>
              <w:right w:val="single" w:sz="4" w:space="0" w:color="auto"/>
            </w:tcBorders>
            <w:shd w:val="clear" w:color="auto" w:fill="auto"/>
            <w:noWrap/>
            <w:vAlign w:val="center"/>
            <w:hideMark/>
          </w:tcPr>
          <w:p w14:paraId="2388D10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0.663</w:t>
            </w:r>
          </w:p>
        </w:tc>
        <w:tc>
          <w:tcPr>
            <w:tcW w:w="1170" w:type="dxa"/>
            <w:tcBorders>
              <w:top w:val="nil"/>
              <w:left w:val="nil"/>
              <w:bottom w:val="single" w:sz="4" w:space="0" w:color="auto"/>
              <w:right w:val="single" w:sz="4" w:space="0" w:color="auto"/>
            </w:tcBorders>
            <w:shd w:val="clear" w:color="auto" w:fill="auto"/>
            <w:noWrap/>
            <w:vAlign w:val="center"/>
            <w:hideMark/>
          </w:tcPr>
          <w:p w14:paraId="52C72A7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3DB60BC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14" w:type="dxa"/>
            <w:tcBorders>
              <w:top w:val="nil"/>
              <w:left w:val="nil"/>
              <w:bottom w:val="single" w:sz="4" w:space="0" w:color="auto"/>
              <w:right w:val="single" w:sz="4" w:space="0" w:color="auto"/>
            </w:tcBorders>
            <w:shd w:val="clear" w:color="auto" w:fill="auto"/>
            <w:noWrap/>
            <w:vAlign w:val="center"/>
            <w:hideMark/>
          </w:tcPr>
          <w:p w14:paraId="0BEE894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6" w:type="dxa"/>
            <w:tcBorders>
              <w:top w:val="nil"/>
              <w:left w:val="nil"/>
              <w:bottom w:val="single" w:sz="4" w:space="0" w:color="auto"/>
              <w:right w:val="single" w:sz="4" w:space="0" w:color="auto"/>
            </w:tcBorders>
            <w:shd w:val="clear" w:color="auto" w:fill="auto"/>
            <w:noWrap/>
            <w:vAlign w:val="center"/>
            <w:hideMark/>
          </w:tcPr>
          <w:p w14:paraId="5914C37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0C9C0DF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59D1879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564C70A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51538BF9"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713418C0" w14:textId="21F66462"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Cystine</w:t>
            </w:r>
          </w:p>
        </w:tc>
        <w:tc>
          <w:tcPr>
            <w:tcW w:w="768" w:type="dxa"/>
            <w:tcBorders>
              <w:top w:val="nil"/>
              <w:left w:val="nil"/>
              <w:bottom w:val="single" w:sz="4" w:space="0" w:color="auto"/>
              <w:right w:val="single" w:sz="4" w:space="0" w:color="auto"/>
            </w:tcBorders>
            <w:shd w:val="clear" w:color="auto" w:fill="auto"/>
            <w:noWrap/>
            <w:vAlign w:val="center"/>
            <w:hideMark/>
          </w:tcPr>
          <w:p w14:paraId="76A663F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C00491</w:t>
            </w:r>
          </w:p>
        </w:tc>
        <w:tc>
          <w:tcPr>
            <w:tcW w:w="1010" w:type="dxa"/>
            <w:tcBorders>
              <w:top w:val="nil"/>
              <w:left w:val="nil"/>
              <w:bottom w:val="single" w:sz="4" w:space="0" w:color="auto"/>
              <w:right w:val="single" w:sz="4" w:space="0" w:color="auto"/>
            </w:tcBorders>
            <w:shd w:val="clear" w:color="auto" w:fill="auto"/>
            <w:noWrap/>
            <w:vAlign w:val="center"/>
            <w:hideMark/>
          </w:tcPr>
          <w:p w14:paraId="6855583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0.706</w:t>
            </w:r>
          </w:p>
        </w:tc>
        <w:tc>
          <w:tcPr>
            <w:tcW w:w="1170" w:type="dxa"/>
            <w:tcBorders>
              <w:top w:val="nil"/>
              <w:left w:val="nil"/>
              <w:bottom w:val="single" w:sz="4" w:space="0" w:color="auto"/>
              <w:right w:val="single" w:sz="4" w:space="0" w:color="auto"/>
            </w:tcBorders>
            <w:shd w:val="clear" w:color="auto" w:fill="auto"/>
            <w:noWrap/>
            <w:vAlign w:val="center"/>
            <w:hideMark/>
          </w:tcPr>
          <w:p w14:paraId="2D250D7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01827AE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0.0138</w:t>
            </w:r>
          </w:p>
        </w:tc>
        <w:tc>
          <w:tcPr>
            <w:tcW w:w="714" w:type="dxa"/>
            <w:tcBorders>
              <w:top w:val="nil"/>
              <w:left w:val="nil"/>
              <w:bottom w:val="single" w:sz="4" w:space="0" w:color="auto"/>
              <w:right w:val="single" w:sz="4" w:space="0" w:color="auto"/>
            </w:tcBorders>
            <w:shd w:val="clear" w:color="auto" w:fill="auto"/>
            <w:noWrap/>
            <w:vAlign w:val="center"/>
            <w:hideMark/>
          </w:tcPr>
          <w:p w14:paraId="05B0CBC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0.031</w:t>
            </w:r>
          </w:p>
        </w:tc>
        <w:tc>
          <w:tcPr>
            <w:tcW w:w="816" w:type="dxa"/>
            <w:tcBorders>
              <w:top w:val="nil"/>
              <w:left w:val="nil"/>
              <w:bottom w:val="single" w:sz="4" w:space="0" w:color="auto"/>
              <w:right w:val="single" w:sz="4" w:space="0" w:color="auto"/>
            </w:tcBorders>
            <w:shd w:val="clear" w:color="auto" w:fill="auto"/>
            <w:noWrap/>
            <w:vAlign w:val="center"/>
            <w:hideMark/>
          </w:tcPr>
          <w:p w14:paraId="6A855F9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19B0025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1056BB3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6A581CB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56B5EA98"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0D2DBF54" w14:textId="78479AC0"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s-Methyl-5-Thioadenosine</w:t>
            </w:r>
          </w:p>
        </w:tc>
        <w:tc>
          <w:tcPr>
            <w:tcW w:w="768" w:type="dxa"/>
            <w:tcBorders>
              <w:top w:val="nil"/>
              <w:left w:val="nil"/>
              <w:bottom w:val="single" w:sz="4" w:space="0" w:color="auto"/>
              <w:right w:val="single" w:sz="4" w:space="0" w:color="auto"/>
            </w:tcBorders>
            <w:shd w:val="clear" w:color="auto" w:fill="auto"/>
            <w:noWrap/>
            <w:vAlign w:val="center"/>
            <w:hideMark/>
          </w:tcPr>
          <w:p w14:paraId="2F11B44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C00170</w:t>
            </w:r>
          </w:p>
        </w:tc>
        <w:tc>
          <w:tcPr>
            <w:tcW w:w="1010" w:type="dxa"/>
            <w:tcBorders>
              <w:top w:val="nil"/>
              <w:left w:val="nil"/>
              <w:bottom w:val="single" w:sz="4" w:space="0" w:color="auto"/>
              <w:right w:val="single" w:sz="4" w:space="0" w:color="auto"/>
            </w:tcBorders>
            <w:shd w:val="clear" w:color="auto" w:fill="auto"/>
            <w:noWrap/>
            <w:vAlign w:val="center"/>
            <w:hideMark/>
          </w:tcPr>
          <w:p w14:paraId="553D316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0.706</w:t>
            </w:r>
          </w:p>
        </w:tc>
        <w:tc>
          <w:tcPr>
            <w:tcW w:w="1170" w:type="dxa"/>
            <w:tcBorders>
              <w:top w:val="nil"/>
              <w:left w:val="nil"/>
              <w:bottom w:val="single" w:sz="4" w:space="0" w:color="auto"/>
              <w:right w:val="single" w:sz="4" w:space="0" w:color="auto"/>
            </w:tcBorders>
            <w:shd w:val="clear" w:color="auto" w:fill="auto"/>
            <w:noWrap/>
            <w:vAlign w:val="center"/>
            <w:hideMark/>
          </w:tcPr>
          <w:p w14:paraId="279D05B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4DF0703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14" w:type="dxa"/>
            <w:tcBorders>
              <w:top w:val="nil"/>
              <w:left w:val="nil"/>
              <w:bottom w:val="single" w:sz="4" w:space="0" w:color="auto"/>
              <w:right w:val="single" w:sz="4" w:space="0" w:color="auto"/>
            </w:tcBorders>
            <w:shd w:val="clear" w:color="auto" w:fill="auto"/>
            <w:noWrap/>
            <w:vAlign w:val="center"/>
            <w:hideMark/>
          </w:tcPr>
          <w:p w14:paraId="1C0E56D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6" w:type="dxa"/>
            <w:tcBorders>
              <w:top w:val="nil"/>
              <w:left w:val="nil"/>
              <w:bottom w:val="single" w:sz="4" w:space="0" w:color="auto"/>
              <w:right w:val="single" w:sz="4" w:space="0" w:color="auto"/>
            </w:tcBorders>
            <w:shd w:val="clear" w:color="auto" w:fill="auto"/>
            <w:noWrap/>
            <w:vAlign w:val="center"/>
            <w:hideMark/>
          </w:tcPr>
          <w:p w14:paraId="6D26FE1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0BEE1C0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0.042</w:t>
            </w:r>
          </w:p>
        </w:tc>
        <w:tc>
          <w:tcPr>
            <w:tcW w:w="720" w:type="dxa"/>
            <w:tcBorders>
              <w:top w:val="nil"/>
              <w:left w:val="nil"/>
              <w:bottom w:val="single" w:sz="4" w:space="0" w:color="auto"/>
              <w:right w:val="single" w:sz="4" w:space="0" w:color="auto"/>
            </w:tcBorders>
            <w:shd w:val="clear" w:color="auto" w:fill="auto"/>
            <w:noWrap/>
            <w:vAlign w:val="center"/>
            <w:hideMark/>
          </w:tcPr>
          <w:p w14:paraId="48B645E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13A5B24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0.007</w:t>
            </w:r>
          </w:p>
        </w:tc>
      </w:tr>
      <w:tr w:rsidR="00AF45EA" w:rsidRPr="002B2491" w14:paraId="25CB774D"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1BF5B305" w14:textId="0AE2149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GMP</w:t>
            </w:r>
          </w:p>
        </w:tc>
        <w:tc>
          <w:tcPr>
            <w:tcW w:w="768" w:type="dxa"/>
            <w:tcBorders>
              <w:top w:val="nil"/>
              <w:left w:val="nil"/>
              <w:bottom w:val="single" w:sz="4" w:space="0" w:color="auto"/>
              <w:right w:val="single" w:sz="4" w:space="0" w:color="auto"/>
            </w:tcBorders>
            <w:shd w:val="clear" w:color="auto" w:fill="auto"/>
            <w:noWrap/>
            <w:vAlign w:val="center"/>
            <w:hideMark/>
          </w:tcPr>
          <w:p w14:paraId="3BE18C9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C00144</w:t>
            </w:r>
          </w:p>
        </w:tc>
        <w:tc>
          <w:tcPr>
            <w:tcW w:w="1010" w:type="dxa"/>
            <w:tcBorders>
              <w:top w:val="nil"/>
              <w:left w:val="nil"/>
              <w:bottom w:val="single" w:sz="4" w:space="0" w:color="auto"/>
              <w:right w:val="single" w:sz="4" w:space="0" w:color="auto"/>
            </w:tcBorders>
            <w:shd w:val="clear" w:color="auto" w:fill="auto"/>
            <w:noWrap/>
            <w:vAlign w:val="center"/>
            <w:hideMark/>
          </w:tcPr>
          <w:p w14:paraId="56DAC15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0.716</w:t>
            </w:r>
          </w:p>
        </w:tc>
        <w:tc>
          <w:tcPr>
            <w:tcW w:w="1170" w:type="dxa"/>
            <w:tcBorders>
              <w:top w:val="nil"/>
              <w:left w:val="nil"/>
              <w:bottom w:val="single" w:sz="4" w:space="0" w:color="auto"/>
              <w:right w:val="single" w:sz="4" w:space="0" w:color="auto"/>
            </w:tcBorders>
            <w:shd w:val="clear" w:color="auto" w:fill="auto"/>
            <w:noWrap/>
            <w:vAlign w:val="center"/>
            <w:hideMark/>
          </w:tcPr>
          <w:p w14:paraId="2138DE1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1DACA88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14" w:type="dxa"/>
            <w:tcBorders>
              <w:top w:val="nil"/>
              <w:left w:val="nil"/>
              <w:bottom w:val="single" w:sz="4" w:space="0" w:color="auto"/>
              <w:right w:val="single" w:sz="4" w:space="0" w:color="auto"/>
            </w:tcBorders>
            <w:shd w:val="clear" w:color="auto" w:fill="auto"/>
            <w:noWrap/>
            <w:vAlign w:val="center"/>
            <w:hideMark/>
          </w:tcPr>
          <w:p w14:paraId="03CA98F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6" w:type="dxa"/>
            <w:tcBorders>
              <w:top w:val="nil"/>
              <w:left w:val="nil"/>
              <w:bottom w:val="single" w:sz="4" w:space="0" w:color="auto"/>
              <w:right w:val="single" w:sz="4" w:space="0" w:color="auto"/>
            </w:tcBorders>
            <w:shd w:val="clear" w:color="auto" w:fill="auto"/>
            <w:noWrap/>
            <w:vAlign w:val="center"/>
            <w:hideMark/>
          </w:tcPr>
          <w:p w14:paraId="0E5B059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54F30F4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0B9D2BC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27A5FC4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226A6116"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09AC7A1A" w14:textId="173974B5"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Biotin</w:t>
            </w:r>
          </w:p>
        </w:tc>
        <w:tc>
          <w:tcPr>
            <w:tcW w:w="768" w:type="dxa"/>
            <w:tcBorders>
              <w:top w:val="nil"/>
              <w:left w:val="nil"/>
              <w:bottom w:val="single" w:sz="4" w:space="0" w:color="auto"/>
              <w:right w:val="single" w:sz="4" w:space="0" w:color="auto"/>
            </w:tcBorders>
            <w:shd w:val="clear" w:color="auto" w:fill="auto"/>
            <w:noWrap/>
            <w:vAlign w:val="center"/>
            <w:hideMark/>
          </w:tcPr>
          <w:p w14:paraId="38D4E29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C00120</w:t>
            </w:r>
          </w:p>
        </w:tc>
        <w:tc>
          <w:tcPr>
            <w:tcW w:w="1010" w:type="dxa"/>
            <w:tcBorders>
              <w:top w:val="nil"/>
              <w:left w:val="nil"/>
              <w:bottom w:val="single" w:sz="4" w:space="0" w:color="auto"/>
              <w:right w:val="single" w:sz="4" w:space="0" w:color="auto"/>
            </w:tcBorders>
            <w:shd w:val="clear" w:color="auto" w:fill="auto"/>
            <w:noWrap/>
            <w:vAlign w:val="center"/>
            <w:hideMark/>
          </w:tcPr>
          <w:p w14:paraId="5A061FC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0.742</w:t>
            </w:r>
          </w:p>
        </w:tc>
        <w:tc>
          <w:tcPr>
            <w:tcW w:w="1170" w:type="dxa"/>
            <w:tcBorders>
              <w:top w:val="nil"/>
              <w:left w:val="nil"/>
              <w:bottom w:val="single" w:sz="4" w:space="0" w:color="auto"/>
              <w:right w:val="single" w:sz="4" w:space="0" w:color="auto"/>
            </w:tcBorders>
            <w:shd w:val="clear" w:color="auto" w:fill="auto"/>
            <w:noWrap/>
            <w:vAlign w:val="center"/>
            <w:hideMark/>
          </w:tcPr>
          <w:p w14:paraId="37FD524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0C4B6BB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0.019</w:t>
            </w:r>
          </w:p>
        </w:tc>
        <w:tc>
          <w:tcPr>
            <w:tcW w:w="714" w:type="dxa"/>
            <w:tcBorders>
              <w:top w:val="nil"/>
              <w:left w:val="nil"/>
              <w:bottom w:val="single" w:sz="4" w:space="0" w:color="auto"/>
              <w:right w:val="single" w:sz="4" w:space="0" w:color="auto"/>
            </w:tcBorders>
            <w:shd w:val="clear" w:color="auto" w:fill="auto"/>
            <w:noWrap/>
            <w:vAlign w:val="center"/>
            <w:hideMark/>
          </w:tcPr>
          <w:p w14:paraId="446FAB6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6" w:type="dxa"/>
            <w:tcBorders>
              <w:top w:val="nil"/>
              <w:left w:val="nil"/>
              <w:bottom w:val="single" w:sz="4" w:space="0" w:color="auto"/>
              <w:right w:val="single" w:sz="4" w:space="0" w:color="auto"/>
            </w:tcBorders>
            <w:shd w:val="clear" w:color="auto" w:fill="auto"/>
            <w:noWrap/>
            <w:vAlign w:val="center"/>
            <w:hideMark/>
          </w:tcPr>
          <w:p w14:paraId="0B0FBEE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761A682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6E1A4C4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01EDFF5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22B21171"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661B5BB7" w14:textId="1590D93F"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Lactate</w:t>
            </w:r>
          </w:p>
        </w:tc>
        <w:tc>
          <w:tcPr>
            <w:tcW w:w="768" w:type="dxa"/>
            <w:tcBorders>
              <w:top w:val="nil"/>
              <w:left w:val="nil"/>
              <w:bottom w:val="single" w:sz="4" w:space="0" w:color="auto"/>
              <w:right w:val="single" w:sz="4" w:space="0" w:color="auto"/>
            </w:tcBorders>
            <w:shd w:val="clear" w:color="auto" w:fill="auto"/>
            <w:noWrap/>
            <w:vAlign w:val="center"/>
            <w:hideMark/>
          </w:tcPr>
          <w:p w14:paraId="429A5A5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C00186</w:t>
            </w:r>
          </w:p>
        </w:tc>
        <w:tc>
          <w:tcPr>
            <w:tcW w:w="1010" w:type="dxa"/>
            <w:tcBorders>
              <w:top w:val="nil"/>
              <w:left w:val="nil"/>
              <w:bottom w:val="single" w:sz="4" w:space="0" w:color="auto"/>
              <w:right w:val="single" w:sz="4" w:space="0" w:color="auto"/>
            </w:tcBorders>
            <w:shd w:val="clear" w:color="auto" w:fill="auto"/>
            <w:noWrap/>
            <w:vAlign w:val="center"/>
            <w:hideMark/>
          </w:tcPr>
          <w:p w14:paraId="368893C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0.742</w:t>
            </w:r>
          </w:p>
        </w:tc>
        <w:tc>
          <w:tcPr>
            <w:tcW w:w="1170" w:type="dxa"/>
            <w:tcBorders>
              <w:top w:val="nil"/>
              <w:left w:val="nil"/>
              <w:bottom w:val="single" w:sz="4" w:space="0" w:color="auto"/>
              <w:right w:val="single" w:sz="4" w:space="0" w:color="auto"/>
            </w:tcBorders>
            <w:shd w:val="clear" w:color="auto" w:fill="auto"/>
            <w:noWrap/>
            <w:vAlign w:val="center"/>
            <w:hideMark/>
          </w:tcPr>
          <w:p w14:paraId="309ACAE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3D67F3C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14" w:type="dxa"/>
            <w:tcBorders>
              <w:top w:val="nil"/>
              <w:left w:val="nil"/>
              <w:bottom w:val="single" w:sz="4" w:space="0" w:color="auto"/>
              <w:right w:val="single" w:sz="4" w:space="0" w:color="auto"/>
            </w:tcBorders>
            <w:shd w:val="clear" w:color="auto" w:fill="auto"/>
            <w:noWrap/>
            <w:vAlign w:val="center"/>
            <w:hideMark/>
          </w:tcPr>
          <w:p w14:paraId="5800525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6" w:type="dxa"/>
            <w:tcBorders>
              <w:top w:val="nil"/>
              <w:left w:val="nil"/>
              <w:bottom w:val="single" w:sz="4" w:space="0" w:color="auto"/>
              <w:right w:val="single" w:sz="4" w:space="0" w:color="auto"/>
            </w:tcBorders>
            <w:shd w:val="clear" w:color="auto" w:fill="auto"/>
            <w:noWrap/>
            <w:vAlign w:val="center"/>
            <w:hideMark/>
          </w:tcPr>
          <w:p w14:paraId="1F64ACA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7440479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6107BCF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00E9C18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306C18FB"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2453D4C6" w14:textId="45DE1EC5"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Myo-Inositol</w:t>
            </w:r>
          </w:p>
        </w:tc>
        <w:tc>
          <w:tcPr>
            <w:tcW w:w="768" w:type="dxa"/>
            <w:tcBorders>
              <w:top w:val="nil"/>
              <w:left w:val="nil"/>
              <w:bottom w:val="single" w:sz="4" w:space="0" w:color="auto"/>
              <w:right w:val="single" w:sz="4" w:space="0" w:color="auto"/>
            </w:tcBorders>
            <w:shd w:val="clear" w:color="auto" w:fill="auto"/>
            <w:noWrap/>
            <w:vAlign w:val="center"/>
            <w:hideMark/>
          </w:tcPr>
          <w:p w14:paraId="3F16822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C00137</w:t>
            </w:r>
          </w:p>
        </w:tc>
        <w:tc>
          <w:tcPr>
            <w:tcW w:w="1010" w:type="dxa"/>
            <w:tcBorders>
              <w:top w:val="nil"/>
              <w:left w:val="nil"/>
              <w:bottom w:val="single" w:sz="4" w:space="0" w:color="auto"/>
              <w:right w:val="single" w:sz="4" w:space="0" w:color="auto"/>
            </w:tcBorders>
            <w:shd w:val="clear" w:color="auto" w:fill="auto"/>
            <w:noWrap/>
            <w:vAlign w:val="center"/>
            <w:hideMark/>
          </w:tcPr>
          <w:p w14:paraId="5D8C595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0.742</w:t>
            </w:r>
          </w:p>
        </w:tc>
        <w:tc>
          <w:tcPr>
            <w:tcW w:w="1170" w:type="dxa"/>
            <w:tcBorders>
              <w:top w:val="nil"/>
              <w:left w:val="nil"/>
              <w:bottom w:val="single" w:sz="4" w:space="0" w:color="auto"/>
              <w:right w:val="single" w:sz="4" w:space="0" w:color="auto"/>
            </w:tcBorders>
            <w:shd w:val="clear" w:color="auto" w:fill="auto"/>
            <w:noWrap/>
            <w:vAlign w:val="center"/>
            <w:hideMark/>
          </w:tcPr>
          <w:p w14:paraId="6C4D2DA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67DE77C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14" w:type="dxa"/>
            <w:tcBorders>
              <w:top w:val="nil"/>
              <w:left w:val="nil"/>
              <w:bottom w:val="single" w:sz="4" w:space="0" w:color="auto"/>
              <w:right w:val="single" w:sz="4" w:space="0" w:color="auto"/>
            </w:tcBorders>
            <w:shd w:val="clear" w:color="auto" w:fill="auto"/>
            <w:noWrap/>
            <w:vAlign w:val="center"/>
            <w:hideMark/>
          </w:tcPr>
          <w:p w14:paraId="5CA6DC9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6" w:type="dxa"/>
            <w:tcBorders>
              <w:top w:val="nil"/>
              <w:left w:val="nil"/>
              <w:bottom w:val="single" w:sz="4" w:space="0" w:color="auto"/>
              <w:right w:val="single" w:sz="4" w:space="0" w:color="auto"/>
            </w:tcBorders>
            <w:shd w:val="clear" w:color="auto" w:fill="auto"/>
            <w:noWrap/>
            <w:vAlign w:val="center"/>
            <w:hideMark/>
          </w:tcPr>
          <w:p w14:paraId="0869AD5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592C326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0F95A78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7B48BC4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7806B2C3"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3E0734B8" w14:textId="7AC3A3F8" w:rsidR="00AF45EA" w:rsidRPr="005C665A" w:rsidRDefault="00AF45EA" w:rsidP="00AF45EA">
            <w:pPr>
              <w:jc w:val="center"/>
              <w:rPr>
                <w:rFonts w:ascii="Times New Roman" w:hAnsi="Times New Roman" w:cs="Times New Roman"/>
                <w:color w:val="000000"/>
                <w:sz w:val="16"/>
                <w:szCs w:val="16"/>
              </w:rPr>
            </w:pPr>
            <w:proofErr w:type="spellStart"/>
            <w:r w:rsidRPr="005C665A">
              <w:rPr>
                <w:rFonts w:ascii="Times New Roman" w:hAnsi="Times New Roman" w:cs="Times New Roman"/>
                <w:color w:val="000000"/>
                <w:sz w:val="16"/>
                <w:szCs w:val="16"/>
              </w:rPr>
              <w:t>Phosphorylethanolamine</w:t>
            </w:r>
            <w:proofErr w:type="spellEnd"/>
          </w:p>
        </w:tc>
        <w:tc>
          <w:tcPr>
            <w:tcW w:w="768" w:type="dxa"/>
            <w:tcBorders>
              <w:top w:val="nil"/>
              <w:left w:val="nil"/>
              <w:bottom w:val="single" w:sz="4" w:space="0" w:color="auto"/>
              <w:right w:val="single" w:sz="4" w:space="0" w:color="auto"/>
            </w:tcBorders>
            <w:shd w:val="clear" w:color="auto" w:fill="auto"/>
            <w:noWrap/>
            <w:vAlign w:val="center"/>
            <w:hideMark/>
          </w:tcPr>
          <w:p w14:paraId="357E410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C00346</w:t>
            </w:r>
          </w:p>
        </w:tc>
        <w:tc>
          <w:tcPr>
            <w:tcW w:w="1010" w:type="dxa"/>
            <w:tcBorders>
              <w:top w:val="nil"/>
              <w:left w:val="nil"/>
              <w:bottom w:val="single" w:sz="4" w:space="0" w:color="auto"/>
              <w:right w:val="single" w:sz="4" w:space="0" w:color="auto"/>
            </w:tcBorders>
            <w:shd w:val="clear" w:color="auto" w:fill="auto"/>
            <w:noWrap/>
            <w:vAlign w:val="center"/>
            <w:hideMark/>
          </w:tcPr>
          <w:p w14:paraId="4791564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0.742</w:t>
            </w:r>
          </w:p>
        </w:tc>
        <w:tc>
          <w:tcPr>
            <w:tcW w:w="1170" w:type="dxa"/>
            <w:tcBorders>
              <w:top w:val="nil"/>
              <w:left w:val="nil"/>
              <w:bottom w:val="single" w:sz="4" w:space="0" w:color="auto"/>
              <w:right w:val="single" w:sz="4" w:space="0" w:color="auto"/>
            </w:tcBorders>
            <w:shd w:val="clear" w:color="auto" w:fill="auto"/>
            <w:noWrap/>
            <w:vAlign w:val="center"/>
            <w:hideMark/>
          </w:tcPr>
          <w:p w14:paraId="2DA7A62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139D0CA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14" w:type="dxa"/>
            <w:tcBorders>
              <w:top w:val="nil"/>
              <w:left w:val="nil"/>
              <w:bottom w:val="single" w:sz="4" w:space="0" w:color="auto"/>
              <w:right w:val="single" w:sz="4" w:space="0" w:color="auto"/>
            </w:tcBorders>
            <w:shd w:val="clear" w:color="auto" w:fill="auto"/>
            <w:noWrap/>
            <w:vAlign w:val="center"/>
            <w:hideMark/>
          </w:tcPr>
          <w:p w14:paraId="0AFAC27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6" w:type="dxa"/>
            <w:tcBorders>
              <w:top w:val="nil"/>
              <w:left w:val="nil"/>
              <w:bottom w:val="single" w:sz="4" w:space="0" w:color="auto"/>
              <w:right w:val="single" w:sz="4" w:space="0" w:color="auto"/>
            </w:tcBorders>
            <w:shd w:val="clear" w:color="auto" w:fill="auto"/>
            <w:noWrap/>
            <w:vAlign w:val="center"/>
            <w:hideMark/>
          </w:tcPr>
          <w:p w14:paraId="51028B9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69B1390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4EE69FD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008E8EB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11A6B4BD"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3404D555" w14:textId="5DF57890" w:rsidR="00AF45EA" w:rsidRPr="005C665A" w:rsidRDefault="00AF45EA" w:rsidP="00AF45EA">
            <w:pPr>
              <w:jc w:val="center"/>
              <w:rPr>
                <w:rFonts w:ascii="Times New Roman" w:hAnsi="Times New Roman" w:cs="Times New Roman"/>
                <w:color w:val="000000"/>
                <w:sz w:val="16"/>
                <w:szCs w:val="16"/>
              </w:rPr>
            </w:pPr>
            <w:proofErr w:type="spellStart"/>
            <w:r w:rsidRPr="005C665A">
              <w:rPr>
                <w:rFonts w:ascii="Times New Roman" w:hAnsi="Times New Roman" w:cs="Times New Roman"/>
                <w:color w:val="000000"/>
                <w:sz w:val="16"/>
                <w:szCs w:val="16"/>
              </w:rPr>
              <w:t>Quinolinate</w:t>
            </w:r>
            <w:proofErr w:type="spellEnd"/>
          </w:p>
        </w:tc>
        <w:tc>
          <w:tcPr>
            <w:tcW w:w="768" w:type="dxa"/>
            <w:tcBorders>
              <w:top w:val="nil"/>
              <w:left w:val="nil"/>
              <w:bottom w:val="single" w:sz="4" w:space="0" w:color="auto"/>
              <w:right w:val="single" w:sz="4" w:space="0" w:color="auto"/>
            </w:tcBorders>
            <w:shd w:val="clear" w:color="auto" w:fill="auto"/>
            <w:noWrap/>
            <w:vAlign w:val="center"/>
            <w:hideMark/>
          </w:tcPr>
          <w:p w14:paraId="3878F1E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C03722</w:t>
            </w:r>
          </w:p>
        </w:tc>
        <w:tc>
          <w:tcPr>
            <w:tcW w:w="1010" w:type="dxa"/>
            <w:tcBorders>
              <w:top w:val="nil"/>
              <w:left w:val="nil"/>
              <w:bottom w:val="single" w:sz="4" w:space="0" w:color="auto"/>
              <w:right w:val="single" w:sz="4" w:space="0" w:color="auto"/>
            </w:tcBorders>
            <w:shd w:val="clear" w:color="auto" w:fill="auto"/>
            <w:noWrap/>
            <w:vAlign w:val="center"/>
            <w:hideMark/>
          </w:tcPr>
          <w:p w14:paraId="12E3E99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0.742</w:t>
            </w:r>
          </w:p>
        </w:tc>
        <w:tc>
          <w:tcPr>
            <w:tcW w:w="1170" w:type="dxa"/>
            <w:tcBorders>
              <w:top w:val="nil"/>
              <w:left w:val="nil"/>
              <w:bottom w:val="single" w:sz="4" w:space="0" w:color="auto"/>
              <w:right w:val="single" w:sz="4" w:space="0" w:color="auto"/>
            </w:tcBorders>
            <w:shd w:val="clear" w:color="auto" w:fill="auto"/>
            <w:noWrap/>
            <w:vAlign w:val="center"/>
            <w:hideMark/>
          </w:tcPr>
          <w:p w14:paraId="4C85A0D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3D79626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14" w:type="dxa"/>
            <w:tcBorders>
              <w:top w:val="nil"/>
              <w:left w:val="nil"/>
              <w:bottom w:val="single" w:sz="4" w:space="0" w:color="auto"/>
              <w:right w:val="single" w:sz="4" w:space="0" w:color="auto"/>
            </w:tcBorders>
            <w:shd w:val="clear" w:color="auto" w:fill="auto"/>
            <w:noWrap/>
            <w:vAlign w:val="center"/>
            <w:hideMark/>
          </w:tcPr>
          <w:p w14:paraId="74BFF52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6" w:type="dxa"/>
            <w:tcBorders>
              <w:top w:val="nil"/>
              <w:left w:val="nil"/>
              <w:bottom w:val="single" w:sz="4" w:space="0" w:color="auto"/>
              <w:right w:val="single" w:sz="4" w:space="0" w:color="auto"/>
            </w:tcBorders>
            <w:shd w:val="clear" w:color="auto" w:fill="auto"/>
            <w:noWrap/>
            <w:vAlign w:val="center"/>
            <w:hideMark/>
          </w:tcPr>
          <w:p w14:paraId="032C07A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4B2E2D2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4587978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7DCBE1E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44C02AE6"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43706B56" w14:textId="1C1BE23F"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Aspartate</w:t>
            </w:r>
          </w:p>
        </w:tc>
        <w:tc>
          <w:tcPr>
            <w:tcW w:w="768" w:type="dxa"/>
            <w:tcBorders>
              <w:top w:val="nil"/>
              <w:left w:val="nil"/>
              <w:bottom w:val="single" w:sz="4" w:space="0" w:color="auto"/>
              <w:right w:val="single" w:sz="4" w:space="0" w:color="auto"/>
            </w:tcBorders>
            <w:shd w:val="clear" w:color="auto" w:fill="auto"/>
            <w:noWrap/>
            <w:vAlign w:val="center"/>
            <w:hideMark/>
          </w:tcPr>
          <w:p w14:paraId="4AD2905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C00049</w:t>
            </w:r>
          </w:p>
        </w:tc>
        <w:tc>
          <w:tcPr>
            <w:tcW w:w="1010" w:type="dxa"/>
            <w:tcBorders>
              <w:top w:val="nil"/>
              <w:left w:val="nil"/>
              <w:bottom w:val="single" w:sz="4" w:space="0" w:color="auto"/>
              <w:right w:val="single" w:sz="4" w:space="0" w:color="auto"/>
            </w:tcBorders>
            <w:shd w:val="clear" w:color="auto" w:fill="auto"/>
            <w:noWrap/>
            <w:vAlign w:val="center"/>
            <w:hideMark/>
          </w:tcPr>
          <w:p w14:paraId="0AF7579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0.755</w:t>
            </w:r>
          </w:p>
        </w:tc>
        <w:tc>
          <w:tcPr>
            <w:tcW w:w="1170" w:type="dxa"/>
            <w:tcBorders>
              <w:top w:val="nil"/>
              <w:left w:val="nil"/>
              <w:bottom w:val="single" w:sz="4" w:space="0" w:color="auto"/>
              <w:right w:val="single" w:sz="4" w:space="0" w:color="auto"/>
            </w:tcBorders>
            <w:shd w:val="clear" w:color="auto" w:fill="auto"/>
            <w:noWrap/>
            <w:vAlign w:val="center"/>
            <w:hideMark/>
          </w:tcPr>
          <w:p w14:paraId="4DE8A98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71BC802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14" w:type="dxa"/>
            <w:tcBorders>
              <w:top w:val="nil"/>
              <w:left w:val="nil"/>
              <w:bottom w:val="single" w:sz="4" w:space="0" w:color="auto"/>
              <w:right w:val="single" w:sz="4" w:space="0" w:color="auto"/>
            </w:tcBorders>
            <w:shd w:val="clear" w:color="auto" w:fill="auto"/>
            <w:noWrap/>
            <w:vAlign w:val="center"/>
            <w:hideMark/>
          </w:tcPr>
          <w:p w14:paraId="678E19E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6" w:type="dxa"/>
            <w:tcBorders>
              <w:top w:val="nil"/>
              <w:left w:val="nil"/>
              <w:bottom w:val="single" w:sz="4" w:space="0" w:color="auto"/>
              <w:right w:val="single" w:sz="4" w:space="0" w:color="auto"/>
            </w:tcBorders>
            <w:shd w:val="clear" w:color="auto" w:fill="auto"/>
            <w:noWrap/>
            <w:vAlign w:val="center"/>
            <w:hideMark/>
          </w:tcPr>
          <w:p w14:paraId="5184D84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706A3DC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36D13CF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141D57DB"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2560DEA8"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1B3A9831" w14:textId="6F1FA22D"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Xanthurenic Acid</w:t>
            </w:r>
          </w:p>
        </w:tc>
        <w:tc>
          <w:tcPr>
            <w:tcW w:w="768" w:type="dxa"/>
            <w:tcBorders>
              <w:top w:val="nil"/>
              <w:left w:val="nil"/>
              <w:bottom w:val="single" w:sz="4" w:space="0" w:color="auto"/>
              <w:right w:val="single" w:sz="4" w:space="0" w:color="auto"/>
            </w:tcBorders>
            <w:shd w:val="clear" w:color="auto" w:fill="auto"/>
            <w:noWrap/>
            <w:vAlign w:val="center"/>
            <w:hideMark/>
          </w:tcPr>
          <w:p w14:paraId="31ED531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C02470</w:t>
            </w:r>
          </w:p>
        </w:tc>
        <w:tc>
          <w:tcPr>
            <w:tcW w:w="1010" w:type="dxa"/>
            <w:tcBorders>
              <w:top w:val="nil"/>
              <w:left w:val="nil"/>
              <w:bottom w:val="single" w:sz="4" w:space="0" w:color="auto"/>
              <w:right w:val="single" w:sz="4" w:space="0" w:color="auto"/>
            </w:tcBorders>
            <w:shd w:val="clear" w:color="auto" w:fill="auto"/>
            <w:noWrap/>
            <w:vAlign w:val="center"/>
            <w:hideMark/>
          </w:tcPr>
          <w:p w14:paraId="7899512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0.794</w:t>
            </w:r>
          </w:p>
        </w:tc>
        <w:tc>
          <w:tcPr>
            <w:tcW w:w="1170" w:type="dxa"/>
            <w:tcBorders>
              <w:top w:val="nil"/>
              <w:left w:val="nil"/>
              <w:bottom w:val="single" w:sz="4" w:space="0" w:color="auto"/>
              <w:right w:val="single" w:sz="4" w:space="0" w:color="auto"/>
            </w:tcBorders>
            <w:shd w:val="clear" w:color="auto" w:fill="auto"/>
            <w:noWrap/>
            <w:vAlign w:val="center"/>
            <w:hideMark/>
          </w:tcPr>
          <w:p w14:paraId="2CCC118D"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2BCA1EC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14" w:type="dxa"/>
            <w:tcBorders>
              <w:top w:val="nil"/>
              <w:left w:val="nil"/>
              <w:bottom w:val="single" w:sz="4" w:space="0" w:color="auto"/>
              <w:right w:val="single" w:sz="4" w:space="0" w:color="auto"/>
            </w:tcBorders>
            <w:shd w:val="clear" w:color="auto" w:fill="auto"/>
            <w:noWrap/>
            <w:vAlign w:val="center"/>
            <w:hideMark/>
          </w:tcPr>
          <w:p w14:paraId="040B4F8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6" w:type="dxa"/>
            <w:tcBorders>
              <w:top w:val="nil"/>
              <w:left w:val="nil"/>
              <w:bottom w:val="single" w:sz="4" w:space="0" w:color="auto"/>
              <w:right w:val="single" w:sz="4" w:space="0" w:color="auto"/>
            </w:tcBorders>
            <w:shd w:val="clear" w:color="auto" w:fill="auto"/>
            <w:noWrap/>
            <w:vAlign w:val="center"/>
            <w:hideMark/>
          </w:tcPr>
          <w:p w14:paraId="40F686F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4CA5AAC5"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0A95220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1646636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6553BAF6"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104AA442" w14:textId="25F54470" w:rsidR="00AF45EA" w:rsidRPr="005C665A" w:rsidRDefault="00AF45EA" w:rsidP="00AF45EA">
            <w:pPr>
              <w:jc w:val="center"/>
              <w:rPr>
                <w:rFonts w:ascii="Times New Roman" w:hAnsi="Times New Roman" w:cs="Times New Roman"/>
                <w:color w:val="000000"/>
                <w:sz w:val="16"/>
                <w:szCs w:val="16"/>
              </w:rPr>
            </w:pPr>
            <w:proofErr w:type="spellStart"/>
            <w:r w:rsidRPr="005C665A">
              <w:rPr>
                <w:rFonts w:ascii="Times New Roman" w:hAnsi="Times New Roman" w:cs="Times New Roman"/>
                <w:color w:val="000000"/>
                <w:sz w:val="16"/>
                <w:szCs w:val="16"/>
              </w:rPr>
              <w:t>Phenyllactic</w:t>
            </w:r>
            <w:proofErr w:type="spellEnd"/>
            <w:r w:rsidRPr="005C665A">
              <w:rPr>
                <w:rFonts w:ascii="Times New Roman" w:hAnsi="Times New Roman" w:cs="Times New Roman"/>
                <w:color w:val="000000"/>
                <w:sz w:val="16"/>
                <w:szCs w:val="16"/>
              </w:rPr>
              <w:t xml:space="preserve"> Acid</w:t>
            </w:r>
          </w:p>
        </w:tc>
        <w:tc>
          <w:tcPr>
            <w:tcW w:w="768" w:type="dxa"/>
            <w:tcBorders>
              <w:top w:val="nil"/>
              <w:left w:val="nil"/>
              <w:bottom w:val="single" w:sz="4" w:space="0" w:color="auto"/>
              <w:right w:val="single" w:sz="4" w:space="0" w:color="auto"/>
            </w:tcBorders>
            <w:shd w:val="clear" w:color="auto" w:fill="auto"/>
            <w:noWrap/>
            <w:vAlign w:val="center"/>
            <w:hideMark/>
          </w:tcPr>
          <w:p w14:paraId="1A8C278F"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C01479</w:t>
            </w:r>
          </w:p>
        </w:tc>
        <w:tc>
          <w:tcPr>
            <w:tcW w:w="1010" w:type="dxa"/>
            <w:tcBorders>
              <w:top w:val="nil"/>
              <w:left w:val="nil"/>
              <w:bottom w:val="single" w:sz="4" w:space="0" w:color="auto"/>
              <w:right w:val="single" w:sz="4" w:space="0" w:color="auto"/>
            </w:tcBorders>
            <w:shd w:val="clear" w:color="auto" w:fill="auto"/>
            <w:noWrap/>
            <w:vAlign w:val="center"/>
            <w:hideMark/>
          </w:tcPr>
          <w:p w14:paraId="0DD6598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0.823</w:t>
            </w:r>
          </w:p>
        </w:tc>
        <w:tc>
          <w:tcPr>
            <w:tcW w:w="1170" w:type="dxa"/>
            <w:tcBorders>
              <w:top w:val="nil"/>
              <w:left w:val="nil"/>
              <w:bottom w:val="single" w:sz="4" w:space="0" w:color="auto"/>
              <w:right w:val="single" w:sz="4" w:space="0" w:color="auto"/>
            </w:tcBorders>
            <w:shd w:val="clear" w:color="auto" w:fill="auto"/>
            <w:noWrap/>
            <w:vAlign w:val="center"/>
            <w:hideMark/>
          </w:tcPr>
          <w:p w14:paraId="7335CCA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71F86A52"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14" w:type="dxa"/>
            <w:tcBorders>
              <w:top w:val="nil"/>
              <w:left w:val="nil"/>
              <w:bottom w:val="single" w:sz="4" w:space="0" w:color="auto"/>
              <w:right w:val="single" w:sz="4" w:space="0" w:color="auto"/>
            </w:tcBorders>
            <w:shd w:val="clear" w:color="auto" w:fill="auto"/>
            <w:noWrap/>
            <w:vAlign w:val="center"/>
            <w:hideMark/>
          </w:tcPr>
          <w:p w14:paraId="6213B53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6" w:type="dxa"/>
            <w:tcBorders>
              <w:top w:val="nil"/>
              <w:left w:val="nil"/>
              <w:bottom w:val="single" w:sz="4" w:space="0" w:color="auto"/>
              <w:right w:val="single" w:sz="4" w:space="0" w:color="auto"/>
            </w:tcBorders>
            <w:shd w:val="clear" w:color="auto" w:fill="auto"/>
            <w:noWrap/>
            <w:vAlign w:val="center"/>
            <w:hideMark/>
          </w:tcPr>
          <w:p w14:paraId="291BC85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29E15E6A"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45EFD3D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1C9D9B1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431E8619"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58386800" w14:textId="72071FD6" w:rsidR="00AF45EA" w:rsidRPr="005C665A" w:rsidRDefault="00AF45EA" w:rsidP="00AF45EA">
            <w:pPr>
              <w:jc w:val="center"/>
              <w:rPr>
                <w:rFonts w:ascii="Times New Roman" w:hAnsi="Times New Roman" w:cs="Times New Roman"/>
                <w:color w:val="000000"/>
                <w:sz w:val="16"/>
                <w:szCs w:val="16"/>
              </w:rPr>
            </w:pPr>
            <w:proofErr w:type="spellStart"/>
            <w:r w:rsidRPr="005C665A">
              <w:rPr>
                <w:rFonts w:ascii="Times New Roman" w:hAnsi="Times New Roman" w:cs="Times New Roman"/>
                <w:color w:val="000000"/>
                <w:sz w:val="16"/>
                <w:szCs w:val="16"/>
              </w:rPr>
              <w:t>Jasmonate</w:t>
            </w:r>
            <w:proofErr w:type="spellEnd"/>
          </w:p>
        </w:tc>
        <w:tc>
          <w:tcPr>
            <w:tcW w:w="768" w:type="dxa"/>
            <w:tcBorders>
              <w:top w:val="nil"/>
              <w:left w:val="nil"/>
              <w:bottom w:val="single" w:sz="4" w:space="0" w:color="auto"/>
              <w:right w:val="single" w:sz="4" w:space="0" w:color="auto"/>
            </w:tcBorders>
            <w:shd w:val="clear" w:color="auto" w:fill="auto"/>
            <w:noWrap/>
            <w:vAlign w:val="center"/>
            <w:hideMark/>
          </w:tcPr>
          <w:p w14:paraId="06FAB2C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C08491</w:t>
            </w:r>
          </w:p>
        </w:tc>
        <w:tc>
          <w:tcPr>
            <w:tcW w:w="1010" w:type="dxa"/>
            <w:tcBorders>
              <w:top w:val="nil"/>
              <w:left w:val="nil"/>
              <w:bottom w:val="single" w:sz="4" w:space="0" w:color="auto"/>
              <w:right w:val="single" w:sz="4" w:space="0" w:color="auto"/>
            </w:tcBorders>
            <w:shd w:val="clear" w:color="auto" w:fill="auto"/>
            <w:noWrap/>
            <w:vAlign w:val="center"/>
            <w:hideMark/>
          </w:tcPr>
          <w:p w14:paraId="5AA9298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0.968</w:t>
            </w:r>
          </w:p>
        </w:tc>
        <w:tc>
          <w:tcPr>
            <w:tcW w:w="1170" w:type="dxa"/>
            <w:tcBorders>
              <w:top w:val="nil"/>
              <w:left w:val="nil"/>
              <w:bottom w:val="single" w:sz="4" w:space="0" w:color="auto"/>
              <w:right w:val="single" w:sz="4" w:space="0" w:color="auto"/>
            </w:tcBorders>
            <w:shd w:val="clear" w:color="auto" w:fill="auto"/>
            <w:noWrap/>
            <w:vAlign w:val="center"/>
            <w:hideMark/>
          </w:tcPr>
          <w:p w14:paraId="26ABD4F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29162AA0"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14" w:type="dxa"/>
            <w:tcBorders>
              <w:top w:val="nil"/>
              <w:left w:val="nil"/>
              <w:bottom w:val="single" w:sz="4" w:space="0" w:color="auto"/>
              <w:right w:val="single" w:sz="4" w:space="0" w:color="auto"/>
            </w:tcBorders>
            <w:shd w:val="clear" w:color="auto" w:fill="auto"/>
            <w:noWrap/>
            <w:vAlign w:val="center"/>
            <w:hideMark/>
          </w:tcPr>
          <w:p w14:paraId="526E119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6" w:type="dxa"/>
            <w:tcBorders>
              <w:top w:val="nil"/>
              <w:left w:val="nil"/>
              <w:bottom w:val="single" w:sz="4" w:space="0" w:color="auto"/>
              <w:right w:val="single" w:sz="4" w:space="0" w:color="auto"/>
            </w:tcBorders>
            <w:shd w:val="clear" w:color="auto" w:fill="auto"/>
            <w:noWrap/>
            <w:vAlign w:val="center"/>
            <w:hideMark/>
          </w:tcPr>
          <w:p w14:paraId="63A6BDE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630" w:type="dxa"/>
            <w:tcBorders>
              <w:top w:val="nil"/>
              <w:left w:val="nil"/>
              <w:bottom w:val="single" w:sz="4" w:space="0" w:color="auto"/>
              <w:right w:val="single" w:sz="4" w:space="0" w:color="auto"/>
            </w:tcBorders>
            <w:shd w:val="clear" w:color="auto" w:fill="auto"/>
            <w:noWrap/>
            <w:vAlign w:val="center"/>
            <w:hideMark/>
          </w:tcPr>
          <w:p w14:paraId="0ED02927"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62C775A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18F9D2F3"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r w:rsidR="00AF45EA" w:rsidRPr="002B2491" w14:paraId="02CFFAE5" w14:textId="77777777" w:rsidTr="005C665A">
        <w:trPr>
          <w:trHeight w:val="274"/>
          <w:jc w:val="center"/>
        </w:trPr>
        <w:tc>
          <w:tcPr>
            <w:tcW w:w="1807" w:type="dxa"/>
            <w:tcBorders>
              <w:top w:val="nil"/>
              <w:left w:val="single" w:sz="4" w:space="0" w:color="auto"/>
              <w:bottom w:val="single" w:sz="4" w:space="0" w:color="auto"/>
              <w:right w:val="single" w:sz="4" w:space="0" w:color="auto"/>
            </w:tcBorders>
            <w:shd w:val="clear" w:color="auto" w:fill="auto"/>
            <w:noWrap/>
            <w:vAlign w:val="center"/>
            <w:hideMark/>
          </w:tcPr>
          <w:p w14:paraId="050B5469" w14:textId="165D3793" w:rsidR="00AF45EA" w:rsidRPr="005C665A" w:rsidRDefault="00AF45EA" w:rsidP="00AF45EA">
            <w:pPr>
              <w:jc w:val="center"/>
              <w:rPr>
                <w:rFonts w:ascii="Times New Roman" w:hAnsi="Times New Roman" w:cs="Times New Roman"/>
                <w:color w:val="000000"/>
                <w:sz w:val="16"/>
                <w:szCs w:val="16"/>
              </w:rPr>
            </w:pPr>
            <w:proofErr w:type="spellStart"/>
            <w:r w:rsidRPr="005C665A">
              <w:rPr>
                <w:rFonts w:ascii="Times New Roman" w:hAnsi="Times New Roman" w:cs="Times New Roman"/>
                <w:color w:val="000000"/>
                <w:sz w:val="16"/>
                <w:szCs w:val="16"/>
              </w:rPr>
              <w:t>Citraconate</w:t>
            </w:r>
            <w:proofErr w:type="spellEnd"/>
          </w:p>
        </w:tc>
        <w:tc>
          <w:tcPr>
            <w:tcW w:w="768" w:type="dxa"/>
            <w:tcBorders>
              <w:top w:val="nil"/>
              <w:left w:val="nil"/>
              <w:bottom w:val="single" w:sz="4" w:space="0" w:color="auto"/>
              <w:right w:val="single" w:sz="4" w:space="0" w:color="auto"/>
            </w:tcBorders>
            <w:shd w:val="clear" w:color="auto" w:fill="auto"/>
            <w:noWrap/>
            <w:vAlign w:val="center"/>
            <w:hideMark/>
          </w:tcPr>
          <w:p w14:paraId="1EB20621"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C02226</w:t>
            </w:r>
          </w:p>
        </w:tc>
        <w:tc>
          <w:tcPr>
            <w:tcW w:w="1010" w:type="dxa"/>
            <w:tcBorders>
              <w:top w:val="nil"/>
              <w:left w:val="nil"/>
              <w:bottom w:val="single" w:sz="4" w:space="0" w:color="auto"/>
              <w:right w:val="single" w:sz="4" w:space="0" w:color="auto"/>
            </w:tcBorders>
            <w:shd w:val="clear" w:color="auto" w:fill="auto"/>
            <w:noWrap/>
            <w:vAlign w:val="center"/>
            <w:hideMark/>
          </w:tcPr>
          <w:p w14:paraId="2EA1EC7E"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0.992</w:t>
            </w:r>
          </w:p>
        </w:tc>
        <w:tc>
          <w:tcPr>
            <w:tcW w:w="1170" w:type="dxa"/>
            <w:tcBorders>
              <w:top w:val="nil"/>
              <w:left w:val="nil"/>
              <w:bottom w:val="single" w:sz="4" w:space="0" w:color="auto"/>
              <w:right w:val="single" w:sz="4" w:space="0" w:color="auto"/>
            </w:tcBorders>
            <w:shd w:val="clear" w:color="auto" w:fill="auto"/>
            <w:noWrap/>
            <w:vAlign w:val="center"/>
            <w:hideMark/>
          </w:tcPr>
          <w:p w14:paraId="14FA62B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0.998</w:t>
            </w:r>
          </w:p>
        </w:tc>
        <w:tc>
          <w:tcPr>
            <w:tcW w:w="810" w:type="dxa"/>
            <w:tcBorders>
              <w:top w:val="nil"/>
              <w:left w:val="nil"/>
              <w:bottom w:val="single" w:sz="4" w:space="0" w:color="auto"/>
              <w:right w:val="single" w:sz="4" w:space="0" w:color="auto"/>
            </w:tcBorders>
            <w:shd w:val="clear" w:color="auto" w:fill="auto"/>
            <w:noWrap/>
            <w:vAlign w:val="center"/>
            <w:hideMark/>
          </w:tcPr>
          <w:p w14:paraId="64A997C9"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14" w:type="dxa"/>
            <w:tcBorders>
              <w:top w:val="nil"/>
              <w:left w:val="nil"/>
              <w:bottom w:val="single" w:sz="4" w:space="0" w:color="auto"/>
              <w:right w:val="single" w:sz="4" w:space="0" w:color="auto"/>
            </w:tcBorders>
            <w:shd w:val="clear" w:color="auto" w:fill="auto"/>
            <w:noWrap/>
            <w:vAlign w:val="center"/>
            <w:hideMark/>
          </w:tcPr>
          <w:p w14:paraId="5930F8A6"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816" w:type="dxa"/>
            <w:tcBorders>
              <w:top w:val="nil"/>
              <w:left w:val="nil"/>
              <w:bottom w:val="single" w:sz="4" w:space="0" w:color="auto"/>
              <w:right w:val="single" w:sz="4" w:space="0" w:color="auto"/>
            </w:tcBorders>
            <w:shd w:val="clear" w:color="auto" w:fill="auto"/>
            <w:noWrap/>
            <w:vAlign w:val="center"/>
            <w:hideMark/>
          </w:tcPr>
          <w:p w14:paraId="46BFD118"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0.016</w:t>
            </w:r>
          </w:p>
        </w:tc>
        <w:tc>
          <w:tcPr>
            <w:tcW w:w="630" w:type="dxa"/>
            <w:tcBorders>
              <w:top w:val="nil"/>
              <w:left w:val="nil"/>
              <w:bottom w:val="single" w:sz="4" w:space="0" w:color="auto"/>
              <w:right w:val="single" w:sz="4" w:space="0" w:color="auto"/>
            </w:tcBorders>
            <w:shd w:val="clear" w:color="auto" w:fill="auto"/>
            <w:noWrap/>
            <w:vAlign w:val="center"/>
            <w:hideMark/>
          </w:tcPr>
          <w:p w14:paraId="47C568E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720" w:type="dxa"/>
            <w:tcBorders>
              <w:top w:val="nil"/>
              <w:left w:val="nil"/>
              <w:bottom w:val="single" w:sz="4" w:space="0" w:color="auto"/>
              <w:right w:val="single" w:sz="4" w:space="0" w:color="auto"/>
            </w:tcBorders>
            <w:shd w:val="clear" w:color="auto" w:fill="auto"/>
            <w:noWrap/>
            <w:vAlign w:val="center"/>
            <w:hideMark/>
          </w:tcPr>
          <w:p w14:paraId="7B571274"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c>
          <w:tcPr>
            <w:tcW w:w="990" w:type="dxa"/>
            <w:tcBorders>
              <w:top w:val="nil"/>
              <w:left w:val="nil"/>
              <w:bottom w:val="single" w:sz="4" w:space="0" w:color="auto"/>
              <w:right w:val="single" w:sz="4" w:space="0" w:color="auto"/>
            </w:tcBorders>
            <w:shd w:val="clear" w:color="auto" w:fill="auto"/>
            <w:noWrap/>
            <w:vAlign w:val="center"/>
            <w:hideMark/>
          </w:tcPr>
          <w:p w14:paraId="566BDB7C" w14:textId="77777777" w:rsidR="00AF45EA" w:rsidRPr="005C665A" w:rsidRDefault="00AF45EA" w:rsidP="00AF45EA">
            <w:pPr>
              <w:jc w:val="center"/>
              <w:rPr>
                <w:rFonts w:ascii="Times New Roman" w:hAnsi="Times New Roman" w:cs="Times New Roman"/>
                <w:color w:val="000000"/>
                <w:sz w:val="16"/>
                <w:szCs w:val="16"/>
              </w:rPr>
            </w:pPr>
            <w:r w:rsidRPr="005C665A">
              <w:rPr>
                <w:rFonts w:ascii="Times New Roman" w:hAnsi="Times New Roman" w:cs="Times New Roman"/>
                <w:color w:val="000000"/>
                <w:sz w:val="16"/>
                <w:szCs w:val="16"/>
              </w:rPr>
              <w:t>NA</w:t>
            </w:r>
          </w:p>
        </w:tc>
      </w:tr>
    </w:tbl>
    <w:p w14:paraId="60F0E868" w14:textId="14A958A9" w:rsidR="00AF45EA" w:rsidRDefault="00AF45EA" w:rsidP="00064157">
      <w:pPr>
        <w:jc w:val="both"/>
        <w:rPr>
          <w:rFonts w:ascii="Times New Roman" w:hAnsi="Times New Roman" w:cs="Times New Roman"/>
          <w:b/>
          <w:bCs/>
          <w:color w:val="000000"/>
        </w:rPr>
      </w:pPr>
    </w:p>
    <w:p w14:paraId="3FBB1234" w14:textId="77777777" w:rsidR="00600C14" w:rsidRPr="00C34188" w:rsidRDefault="00600C14" w:rsidP="00064157">
      <w:pPr>
        <w:jc w:val="both"/>
        <w:rPr>
          <w:rFonts w:ascii="Times New Roman" w:hAnsi="Times New Roman" w:cs="Times New Roman"/>
          <w:b/>
          <w:bCs/>
          <w:color w:val="000000"/>
        </w:rPr>
      </w:pPr>
    </w:p>
    <w:p w14:paraId="6D240E19" w14:textId="14F9EB8A" w:rsidR="005B1F86" w:rsidRDefault="00412E33" w:rsidP="00412E33">
      <w:pPr>
        <w:spacing w:line="480" w:lineRule="auto"/>
        <w:jc w:val="both"/>
        <w:rPr>
          <w:rFonts w:ascii="Times New Roman" w:hAnsi="Times New Roman" w:cs="Times New Roman"/>
        </w:rPr>
      </w:pPr>
      <w:r w:rsidRPr="000B5F79">
        <w:rPr>
          <w:rFonts w:ascii="Times New Roman" w:hAnsi="Times New Roman" w:cs="Times New Roman"/>
        </w:rPr>
        <w:lastRenderedPageBreak/>
        <w:t>‘Alanine, aspartate, and glutamate metabolism’, ‘D-glutamine and D-glutamate metabolism’, ‘Glyoxylate and dicarboxylate</w:t>
      </w:r>
      <w:r w:rsidRPr="005C3043">
        <w:rPr>
          <w:rFonts w:ascii="Times New Roman" w:hAnsi="Times New Roman" w:cs="Times New Roman"/>
        </w:rPr>
        <w:t xml:space="preserve"> metabolism’, ‘Cysteine and</w:t>
      </w:r>
      <w:r w:rsidRPr="005C3043">
        <w:rPr>
          <w:rFonts w:ascii="Times New Roman" w:hAnsi="Times New Roman" w:cs="Times New Roman"/>
        </w:rPr>
        <w:t xml:space="preserve"> </w:t>
      </w:r>
      <w:r w:rsidR="005B1F86" w:rsidRPr="005C3043">
        <w:rPr>
          <w:rFonts w:ascii="Times New Roman" w:hAnsi="Times New Roman" w:cs="Times New Roman"/>
        </w:rPr>
        <w:t xml:space="preserve">methionine metabolism’, ‘Phenylalanine, tyrosine, and tryptophan biosynthesis’ and ‘Pyrimidine metabolism’ (FDR&lt;0.10; Figure 5, Tables </w:t>
      </w:r>
      <w:r w:rsidR="00F37BB6" w:rsidRPr="00C87A3E">
        <w:rPr>
          <w:rFonts w:ascii="Times New Roman" w:hAnsi="Times New Roman" w:cs="Times New Roman"/>
        </w:rPr>
        <w:t>6</w:t>
      </w:r>
      <w:r w:rsidR="005B1F86" w:rsidRPr="00C87A3E">
        <w:rPr>
          <w:rFonts w:ascii="Times New Roman" w:hAnsi="Times New Roman" w:cs="Times New Roman"/>
        </w:rPr>
        <w:t xml:space="preserve"> and </w:t>
      </w:r>
      <w:r w:rsidR="00F37BB6" w:rsidRPr="00C87A3E">
        <w:rPr>
          <w:rFonts w:ascii="Times New Roman" w:hAnsi="Times New Roman" w:cs="Times New Roman"/>
        </w:rPr>
        <w:t>7</w:t>
      </w:r>
      <w:r w:rsidR="005B1F86" w:rsidRPr="00C87A3E">
        <w:rPr>
          <w:rFonts w:ascii="Times New Roman" w:hAnsi="Times New Roman" w:cs="Times New Roman"/>
        </w:rPr>
        <w:t>). The KEGG pathways ‘Glycine, serine, and threonine metabolism’ and ‘Phenylalanine me</w:t>
      </w:r>
      <w:r w:rsidR="005B1F86" w:rsidRPr="00DC10CA">
        <w:rPr>
          <w:rFonts w:ascii="Times New Roman" w:hAnsi="Times New Roman" w:cs="Times New Roman"/>
        </w:rPr>
        <w:t xml:space="preserve">tabolism’ were also enriched with metabolites significantly correlated with follicular fluid progesterone concentration at follicle aspiration (FDR &lt; 0.10; Figure 5, Table </w:t>
      </w:r>
      <w:r w:rsidR="00F37BB6" w:rsidRPr="003B6B38">
        <w:rPr>
          <w:rFonts w:ascii="Times New Roman" w:hAnsi="Times New Roman" w:cs="Times New Roman"/>
        </w:rPr>
        <w:t>6</w:t>
      </w:r>
      <w:r w:rsidR="005B1F86" w:rsidRPr="003B6B38">
        <w:rPr>
          <w:rFonts w:ascii="Times New Roman" w:hAnsi="Times New Roman" w:cs="Times New Roman"/>
        </w:rPr>
        <w:t xml:space="preserve">). </w:t>
      </w:r>
    </w:p>
    <w:p w14:paraId="35391E93" w14:textId="21C1CCE2" w:rsidR="00412E33" w:rsidRPr="003B6B38" w:rsidRDefault="004D1B7C" w:rsidP="004D1B7C">
      <w:pPr>
        <w:spacing w:line="480" w:lineRule="auto"/>
        <w:ind w:firstLine="720"/>
        <w:jc w:val="both"/>
        <w:rPr>
          <w:rFonts w:ascii="Times New Roman" w:hAnsi="Times New Roman" w:cs="Times New Roman"/>
        </w:rPr>
      </w:pPr>
      <w:r w:rsidRPr="00A42976">
        <w:rPr>
          <w:rFonts w:ascii="Times New Roman" w:hAnsi="Times New Roman" w:cs="Times New Roman"/>
        </w:rPr>
        <w:t xml:space="preserve">Metabolites that were significantly associated with serum estradiol concentration at GnRH2, follicular fluid progesterone concentration at follicle aspiration, and/or weight were primarily involved in proteinogenesis, the citric acid cycle, and pyrimidine </w:t>
      </w:r>
      <w:r w:rsidRPr="000B5F79">
        <w:rPr>
          <w:rFonts w:ascii="Times New Roman" w:hAnsi="Times New Roman" w:cs="Times New Roman"/>
        </w:rPr>
        <w:t xml:space="preserve">metabolism. Follicular fluid composition fluctuates throughout the estrous cycle and can be influenced by multiple extraovarian factors including ovarian stimulation protocols </w:t>
      </w:r>
      <w:r w:rsidRPr="005C3043">
        <w:rPr>
          <w:rFonts w:ascii="Times New Roman" w:hAnsi="Times New Roman" w:cs="Times New Roman"/>
          <w:noProof/>
        </w:rPr>
        <w:t>(Fortune and Hansel, 1985; Assey et al., 1994; Ambrose et al., 2006; Leroy et al., 2006; Bender et al., 2010; Von Wald et al., 2010; Wonnacott et al., 2010; Zachut et al., 2010; Leroy et al., 2011; Liu et al., 2012; Alves et al., 201</w:t>
      </w:r>
      <w:r w:rsidRPr="00C87A3E">
        <w:rPr>
          <w:rFonts w:ascii="Times New Roman" w:hAnsi="Times New Roman" w:cs="Times New Roman"/>
          <w:noProof/>
        </w:rPr>
        <w:t>4; O'Doherty et al., 2014; Palini et al., 2014; Moreno et al., 2015; Forde et al., 2016; Takeo et al., 2017)</w:t>
      </w:r>
      <w:r w:rsidRPr="00C87A3E">
        <w:rPr>
          <w:rFonts w:ascii="Times New Roman" w:hAnsi="Times New Roman" w:cs="Times New Roman"/>
        </w:rPr>
        <w:t xml:space="preserve">. Inducing the pre-ovulatory gonadotropin surge in physiologically immature dominant follicles prior to the onset of estrus could result in decreased levels of metabolites involved in proteinogenesis and the citric acid cycle. This is consistent with our previous study that reported decreased abundance of metabolites enriched the KEGG pathway ‘aminoacyl tRNA biosynthesis’ as well as multiple pathways </w:t>
      </w:r>
      <w:r w:rsidRPr="00DC10CA">
        <w:rPr>
          <w:rFonts w:ascii="Times New Roman" w:hAnsi="Times New Roman" w:cs="Times New Roman"/>
        </w:rPr>
        <w:t xml:space="preserve">associated with the production of citric acid cycle intermediates in pre-follicles with decreased diameter </w:t>
      </w:r>
      <w:r w:rsidRPr="003B6B38">
        <w:rPr>
          <w:rFonts w:ascii="Times New Roman" w:hAnsi="Times New Roman" w:cs="Times New Roman"/>
          <w:noProof/>
        </w:rPr>
        <w:t>(Read et al., 2021b)</w:t>
      </w:r>
      <w:r w:rsidRPr="003B6B38">
        <w:rPr>
          <w:rFonts w:ascii="Times New Roman" w:hAnsi="Times New Roman" w:cs="Times New Roman"/>
        </w:rPr>
        <w:t xml:space="preserve">. The positive relationship </w:t>
      </w:r>
    </w:p>
    <w:p w14:paraId="54E33D08" w14:textId="77777777" w:rsidR="00C61C4F" w:rsidRPr="00A42976" w:rsidRDefault="00C61C4F" w:rsidP="00154DC0">
      <w:pPr>
        <w:spacing w:line="480" w:lineRule="auto"/>
        <w:rPr>
          <w:rFonts w:ascii="Times New Roman" w:hAnsi="Times New Roman" w:cs="Times New Roman"/>
        </w:rPr>
      </w:pPr>
      <w:r w:rsidRPr="00A42976">
        <w:rPr>
          <w:rFonts w:ascii="Times New Roman" w:hAnsi="Times New Roman" w:cs="Times New Roman"/>
          <w:noProof/>
        </w:rPr>
        <w:lastRenderedPageBreak/>
        <w:drawing>
          <wp:inline distT="0" distB="0" distL="0" distR="0" wp14:anchorId="58467419" wp14:editId="21E0C816">
            <wp:extent cx="5943600" cy="43789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_5.png"/>
                    <pic:cNvPicPr/>
                  </pic:nvPicPr>
                  <pic:blipFill>
                    <a:blip r:embed="rId24">
                      <a:extLst>
                        <a:ext uri="{28A0092B-C50C-407E-A947-70E740481C1C}">
                          <a14:useLocalDpi xmlns:a14="http://schemas.microsoft.com/office/drawing/2010/main" val="0"/>
                        </a:ext>
                      </a:extLst>
                    </a:blip>
                    <a:stretch>
                      <a:fillRect/>
                    </a:stretch>
                  </pic:blipFill>
                  <pic:spPr>
                    <a:xfrm>
                      <a:off x="0" y="0"/>
                      <a:ext cx="5943600" cy="4378960"/>
                    </a:xfrm>
                    <a:prstGeom prst="rect">
                      <a:avLst/>
                    </a:prstGeom>
                  </pic:spPr>
                </pic:pic>
              </a:graphicData>
            </a:graphic>
          </wp:inline>
        </w:drawing>
      </w:r>
    </w:p>
    <w:p w14:paraId="14075CF7" w14:textId="79862F1E" w:rsidR="005E461B" w:rsidRPr="00C87A3E" w:rsidRDefault="00C61C4F" w:rsidP="005E461B">
      <w:pPr>
        <w:jc w:val="both"/>
        <w:rPr>
          <w:rFonts w:ascii="Times New Roman" w:hAnsi="Times New Roman" w:cs="Times New Roman"/>
        </w:rPr>
      </w:pPr>
      <w:r w:rsidRPr="00A42976">
        <w:rPr>
          <w:rFonts w:ascii="Times New Roman" w:hAnsi="Times New Roman" w:cs="Times New Roman"/>
          <w:b/>
          <w:bCs/>
        </w:rPr>
        <w:t xml:space="preserve">Figure </w:t>
      </w:r>
      <w:r w:rsidR="003079D4" w:rsidRPr="000B5F79">
        <w:rPr>
          <w:rFonts w:ascii="Times New Roman" w:hAnsi="Times New Roman" w:cs="Times New Roman"/>
          <w:b/>
          <w:bCs/>
        </w:rPr>
        <w:t>12</w:t>
      </w:r>
      <w:r w:rsidRPr="000B5F79">
        <w:rPr>
          <w:rFonts w:ascii="Times New Roman" w:hAnsi="Times New Roman" w:cs="Times New Roman"/>
          <w:b/>
          <w:bCs/>
        </w:rPr>
        <w:t xml:space="preserve">. </w:t>
      </w:r>
      <w:r w:rsidR="005E461B" w:rsidRPr="000B5F79">
        <w:rPr>
          <w:rFonts w:ascii="Times New Roman" w:hAnsi="Times New Roman" w:cs="Times New Roman"/>
        </w:rPr>
        <w:t>Venn diagram listing the KEGG pathways significantly enriched with follicular fluid metabolites related to serum estradiol concentration at GnRH2 (</w:t>
      </w:r>
      <w:proofErr w:type="spellStart"/>
      <w:r w:rsidR="005E461B" w:rsidRPr="000B5F79">
        <w:rPr>
          <w:rFonts w:ascii="Times New Roman" w:hAnsi="Times New Roman" w:cs="Times New Roman"/>
        </w:rPr>
        <w:t>pg</w:t>
      </w:r>
      <w:proofErr w:type="spellEnd"/>
      <w:r w:rsidR="005E461B" w:rsidRPr="000B5F79">
        <w:rPr>
          <w:rFonts w:ascii="Times New Roman" w:hAnsi="Times New Roman" w:cs="Times New Roman"/>
        </w:rPr>
        <w:t xml:space="preserve">/ml), follicular fluid progesterone concentration at follicle aspiration (ng/ml), and cow weight (kg). </w:t>
      </w:r>
      <w:r w:rsidR="005E461B" w:rsidRPr="005C3043">
        <w:rPr>
          <w:rFonts w:ascii="Times New Roman" w:hAnsi="Times New Roman" w:cs="Times New Roman"/>
          <w:color w:val="000000" w:themeColor="text1"/>
        </w:rPr>
        <w:t>GnRH2 = gonadotropin releasing hormone administration to induce the pr</w:t>
      </w:r>
      <w:r w:rsidR="005E461B" w:rsidRPr="00C87A3E">
        <w:rPr>
          <w:rFonts w:ascii="Times New Roman" w:hAnsi="Times New Roman" w:cs="Times New Roman"/>
          <w:color w:val="000000" w:themeColor="text1"/>
        </w:rPr>
        <w:t>e-ovulatory gonadotropin surge.</w:t>
      </w:r>
    </w:p>
    <w:p w14:paraId="2CA92DE1" w14:textId="261879DA" w:rsidR="00C61C4F" w:rsidRPr="00C87A3E" w:rsidRDefault="00C61C4F" w:rsidP="00064157">
      <w:pPr>
        <w:jc w:val="both"/>
        <w:rPr>
          <w:rFonts w:ascii="Times New Roman" w:hAnsi="Times New Roman" w:cs="Times New Roman"/>
          <w:color w:val="000000" w:themeColor="text1"/>
        </w:rPr>
      </w:pPr>
    </w:p>
    <w:p w14:paraId="66B6D60D" w14:textId="6895DD1D" w:rsidR="00356917" w:rsidRPr="00C87A3E" w:rsidRDefault="00356917" w:rsidP="00064157">
      <w:pPr>
        <w:jc w:val="both"/>
        <w:rPr>
          <w:rFonts w:ascii="Times New Roman" w:hAnsi="Times New Roman" w:cs="Times New Roman"/>
        </w:rPr>
      </w:pPr>
    </w:p>
    <w:p w14:paraId="58509932" w14:textId="2711F014" w:rsidR="00624151" w:rsidRPr="003B6B38" w:rsidRDefault="00624151" w:rsidP="00064157">
      <w:pPr>
        <w:jc w:val="both"/>
        <w:rPr>
          <w:rFonts w:ascii="Times New Roman" w:hAnsi="Times New Roman" w:cs="Times New Roman"/>
        </w:rPr>
      </w:pPr>
    </w:p>
    <w:p w14:paraId="05BB7D16" w14:textId="18D80EDF" w:rsidR="00624151" w:rsidRDefault="00624151" w:rsidP="00064157">
      <w:pPr>
        <w:jc w:val="both"/>
        <w:rPr>
          <w:rFonts w:ascii="Times New Roman" w:hAnsi="Times New Roman" w:cs="Times New Roman"/>
        </w:rPr>
      </w:pPr>
    </w:p>
    <w:p w14:paraId="33BF4BF1" w14:textId="613FF981" w:rsidR="0048278A" w:rsidRDefault="0048278A" w:rsidP="00064157">
      <w:pPr>
        <w:jc w:val="both"/>
        <w:rPr>
          <w:rFonts w:ascii="Times New Roman" w:hAnsi="Times New Roman" w:cs="Times New Roman"/>
        </w:rPr>
      </w:pPr>
    </w:p>
    <w:p w14:paraId="6E53C63E" w14:textId="1EE92672" w:rsidR="0048278A" w:rsidRDefault="0048278A" w:rsidP="00064157">
      <w:pPr>
        <w:jc w:val="both"/>
        <w:rPr>
          <w:rFonts w:ascii="Times New Roman" w:hAnsi="Times New Roman" w:cs="Times New Roman"/>
        </w:rPr>
      </w:pPr>
    </w:p>
    <w:p w14:paraId="7174A8DF" w14:textId="237F5B77" w:rsidR="0048278A" w:rsidRDefault="0048278A" w:rsidP="00064157">
      <w:pPr>
        <w:jc w:val="both"/>
        <w:rPr>
          <w:rFonts w:ascii="Times New Roman" w:hAnsi="Times New Roman" w:cs="Times New Roman"/>
        </w:rPr>
      </w:pPr>
    </w:p>
    <w:p w14:paraId="67E49FCC" w14:textId="48D33E75" w:rsidR="0048278A" w:rsidRDefault="0048278A" w:rsidP="00064157">
      <w:pPr>
        <w:jc w:val="both"/>
        <w:rPr>
          <w:rFonts w:ascii="Times New Roman" w:hAnsi="Times New Roman" w:cs="Times New Roman"/>
        </w:rPr>
      </w:pPr>
    </w:p>
    <w:p w14:paraId="6B0FF72D" w14:textId="5E8A7008" w:rsidR="0048278A" w:rsidRDefault="0048278A" w:rsidP="00064157">
      <w:pPr>
        <w:jc w:val="both"/>
        <w:rPr>
          <w:rFonts w:ascii="Times New Roman" w:hAnsi="Times New Roman" w:cs="Times New Roman"/>
        </w:rPr>
      </w:pPr>
    </w:p>
    <w:p w14:paraId="7FF8D851" w14:textId="088F8D78" w:rsidR="0048278A" w:rsidRDefault="0048278A" w:rsidP="00064157">
      <w:pPr>
        <w:jc w:val="both"/>
        <w:rPr>
          <w:rFonts w:ascii="Times New Roman" w:hAnsi="Times New Roman" w:cs="Times New Roman"/>
        </w:rPr>
      </w:pPr>
    </w:p>
    <w:p w14:paraId="0632F9C2" w14:textId="77777777" w:rsidR="0048278A" w:rsidRPr="005C3043" w:rsidRDefault="0048278A" w:rsidP="00064157">
      <w:pPr>
        <w:jc w:val="both"/>
        <w:rPr>
          <w:rFonts w:ascii="Times New Roman" w:hAnsi="Times New Roman" w:cs="Times New Roman"/>
        </w:rPr>
      </w:pPr>
    </w:p>
    <w:p w14:paraId="4524C48B" w14:textId="2E94EEB3" w:rsidR="00356917" w:rsidRPr="005C3043" w:rsidRDefault="00356917" w:rsidP="00064157">
      <w:pPr>
        <w:jc w:val="both"/>
        <w:rPr>
          <w:rFonts w:ascii="Times New Roman" w:hAnsi="Times New Roman" w:cs="Times New Roman"/>
        </w:rPr>
      </w:pPr>
    </w:p>
    <w:p w14:paraId="22961994" w14:textId="02471B52" w:rsidR="00356917" w:rsidRDefault="00356917" w:rsidP="00064157">
      <w:pPr>
        <w:jc w:val="both"/>
        <w:rPr>
          <w:rFonts w:ascii="Times New Roman" w:hAnsi="Times New Roman" w:cs="Times New Roman"/>
        </w:rPr>
      </w:pPr>
      <w:r w:rsidRPr="00C34188">
        <w:rPr>
          <w:rFonts w:ascii="Times New Roman" w:hAnsi="Times New Roman" w:cs="Times New Roman"/>
          <w:b/>
        </w:rPr>
        <w:lastRenderedPageBreak/>
        <w:t xml:space="preserve">Table </w:t>
      </w:r>
      <w:r w:rsidR="00C1269D" w:rsidRPr="00C34188">
        <w:rPr>
          <w:rFonts w:ascii="Times New Roman" w:hAnsi="Times New Roman" w:cs="Times New Roman"/>
          <w:b/>
        </w:rPr>
        <w:t>5</w:t>
      </w:r>
      <w:r w:rsidR="003B6B38">
        <w:rPr>
          <w:rFonts w:ascii="Times New Roman" w:hAnsi="Times New Roman" w:cs="Times New Roman"/>
          <w:b/>
        </w:rPr>
        <w:t>:</w:t>
      </w:r>
      <w:r w:rsidRPr="00C34188">
        <w:rPr>
          <w:rFonts w:ascii="Times New Roman" w:hAnsi="Times New Roman" w:cs="Times New Roman"/>
        </w:rPr>
        <w:t xml:space="preserve"> KEGG pathways significantly enriched with metabolites that were significantly correlated with serum estradiol concentration at GnRH2.</w:t>
      </w:r>
    </w:p>
    <w:p w14:paraId="7CEFC3DF" w14:textId="77777777" w:rsidR="00600C14" w:rsidRPr="00C34188" w:rsidRDefault="00600C14" w:rsidP="00064157">
      <w:pPr>
        <w:jc w:val="both"/>
        <w:rPr>
          <w:rFonts w:ascii="Times New Roman" w:hAnsi="Times New Roman" w:cs="Times New Roman"/>
        </w:rPr>
      </w:pPr>
    </w:p>
    <w:tbl>
      <w:tblPr>
        <w:tblStyle w:val="TableGrid"/>
        <w:tblW w:w="0" w:type="auto"/>
        <w:tblLook w:val="04A0" w:firstRow="1" w:lastRow="0" w:firstColumn="1" w:lastColumn="0" w:noHBand="0" w:noVBand="1"/>
      </w:tblPr>
      <w:tblGrid>
        <w:gridCol w:w="985"/>
        <w:gridCol w:w="1440"/>
        <w:gridCol w:w="1260"/>
        <w:gridCol w:w="990"/>
        <w:gridCol w:w="3955"/>
      </w:tblGrid>
      <w:tr w:rsidR="00356917" w:rsidRPr="005C3043" w14:paraId="349B964C" w14:textId="77777777" w:rsidTr="00435127">
        <w:tc>
          <w:tcPr>
            <w:tcW w:w="985" w:type="dxa"/>
            <w:vAlign w:val="center"/>
          </w:tcPr>
          <w:p w14:paraId="3E82D08C" w14:textId="716B5CD9" w:rsidR="00356917" w:rsidRPr="00C34188" w:rsidRDefault="00356917" w:rsidP="00435127">
            <w:pPr>
              <w:jc w:val="center"/>
              <w:rPr>
                <w:rFonts w:ascii="Times New Roman" w:hAnsi="Times New Roman" w:cs="Times New Roman"/>
                <w:b/>
                <w:sz w:val="18"/>
                <w:szCs w:val="18"/>
              </w:rPr>
            </w:pPr>
            <w:r w:rsidRPr="00C34188">
              <w:rPr>
                <w:rFonts w:ascii="Times New Roman" w:hAnsi="Times New Roman" w:cs="Times New Roman"/>
                <w:b/>
                <w:sz w:val="18"/>
                <w:szCs w:val="18"/>
              </w:rPr>
              <w:t>Pathway</w:t>
            </w:r>
          </w:p>
        </w:tc>
        <w:tc>
          <w:tcPr>
            <w:tcW w:w="1440" w:type="dxa"/>
            <w:vAlign w:val="center"/>
          </w:tcPr>
          <w:p w14:paraId="3086471E" w14:textId="1DEFD3C0" w:rsidR="00435127" w:rsidRPr="00C34188" w:rsidRDefault="00356917" w:rsidP="00435127">
            <w:pPr>
              <w:jc w:val="center"/>
              <w:rPr>
                <w:rFonts w:ascii="Times New Roman" w:hAnsi="Times New Roman" w:cs="Times New Roman"/>
                <w:b/>
                <w:sz w:val="18"/>
                <w:szCs w:val="18"/>
              </w:rPr>
            </w:pPr>
            <w:r w:rsidRPr="00C34188">
              <w:rPr>
                <w:rFonts w:ascii="Times New Roman" w:hAnsi="Times New Roman" w:cs="Times New Roman"/>
                <w:b/>
                <w:sz w:val="18"/>
                <w:szCs w:val="18"/>
              </w:rPr>
              <w:t>Pathway</w:t>
            </w:r>
          </w:p>
          <w:p w14:paraId="3B8769DE" w14:textId="280059EB" w:rsidR="00356917" w:rsidRPr="00C34188" w:rsidRDefault="00356917" w:rsidP="00435127">
            <w:pPr>
              <w:jc w:val="center"/>
              <w:rPr>
                <w:rFonts w:ascii="Times New Roman" w:hAnsi="Times New Roman" w:cs="Times New Roman"/>
                <w:b/>
                <w:sz w:val="18"/>
                <w:szCs w:val="18"/>
              </w:rPr>
            </w:pPr>
            <w:r w:rsidRPr="00C34188">
              <w:rPr>
                <w:rFonts w:ascii="Times New Roman" w:hAnsi="Times New Roman" w:cs="Times New Roman"/>
                <w:b/>
                <w:sz w:val="18"/>
                <w:szCs w:val="18"/>
              </w:rPr>
              <w:t>Name</w:t>
            </w:r>
          </w:p>
        </w:tc>
        <w:tc>
          <w:tcPr>
            <w:tcW w:w="1260" w:type="dxa"/>
            <w:vAlign w:val="center"/>
          </w:tcPr>
          <w:p w14:paraId="54F54FC6" w14:textId="14494A19" w:rsidR="00356917" w:rsidRPr="00C34188" w:rsidRDefault="00356917" w:rsidP="00435127">
            <w:pPr>
              <w:jc w:val="center"/>
              <w:rPr>
                <w:rFonts w:ascii="Times New Roman" w:hAnsi="Times New Roman" w:cs="Times New Roman"/>
                <w:b/>
                <w:sz w:val="18"/>
                <w:szCs w:val="18"/>
              </w:rPr>
            </w:pPr>
            <w:r w:rsidRPr="00C34188">
              <w:rPr>
                <w:rFonts w:ascii="Times New Roman" w:hAnsi="Times New Roman" w:cs="Times New Roman"/>
                <w:b/>
                <w:sz w:val="18"/>
                <w:szCs w:val="18"/>
              </w:rPr>
              <w:t>Match Status</w:t>
            </w:r>
            <w:r w:rsidRPr="00C34188">
              <w:rPr>
                <w:rFonts w:ascii="Times New Roman" w:hAnsi="Times New Roman" w:cs="Times New Roman"/>
                <w:b/>
                <w:sz w:val="18"/>
                <w:szCs w:val="18"/>
                <w:vertAlign w:val="superscript"/>
              </w:rPr>
              <w:t>1</w:t>
            </w:r>
          </w:p>
        </w:tc>
        <w:tc>
          <w:tcPr>
            <w:tcW w:w="990" w:type="dxa"/>
            <w:vAlign w:val="center"/>
          </w:tcPr>
          <w:p w14:paraId="62024EDF" w14:textId="7FF78EF5" w:rsidR="00356917" w:rsidRPr="00C34188" w:rsidRDefault="00356917" w:rsidP="00435127">
            <w:pPr>
              <w:jc w:val="center"/>
              <w:rPr>
                <w:rFonts w:ascii="Times New Roman" w:hAnsi="Times New Roman" w:cs="Times New Roman"/>
                <w:b/>
                <w:sz w:val="18"/>
                <w:szCs w:val="18"/>
              </w:rPr>
            </w:pPr>
            <w:r w:rsidRPr="00C34188">
              <w:rPr>
                <w:rFonts w:ascii="Times New Roman" w:hAnsi="Times New Roman" w:cs="Times New Roman"/>
                <w:b/>
                <w:sz w:val="18"/>
                <w:szCs w:val="18"/>
              </w:rPr>
              <w:t xml:space="preserve">FDR </w:t>
            </w:r>
            <w:r w:rsidRPr="00C34188">
              <w:rPr>
                <w:rFonts w:ascii="Times New Roman" w:hAnsi="Times New Roman" w:cs="Times New Roman"/>
                <w:b/>
                <w:bCs/>
                <w:color w:val="000000"/>
                <w:sz w:val="18"/>
                <w:szCs w:val="18"/>
              </w:rPr>
              <w:t>²</w:t>
            </w:r>
          </w:p>
        </w:tc>
        <w:tc>
          <w:tcPr>
            <w:tcW w:w="3955" w:type="dxa"/>
            <w:vAlign w:val="center"/>
          </w:tcPr>
          <w:p w14:paraId="6CFC1649" w14:textId="149B2F84" w:rsidR="00435127" w:rsidRPr="00C34188" w:rsidRDefault="00356917" w:rsidP="00435127">
            <w:pPr>
              <w:jc w:val="center"/>
              <w:rPr>
                <w:rFonts w:ascii="Times New Roman" w:hAnsi="Times New Roman" w:cs="Times New Roman"/>
                <w:b/>
                <w:sz w:val="18"/>
                <w:szCs w:val="18"/>
              </w:rPr>
            </w:pPr>
            <w:r w:rsidRPr="00C34188">
              <w:rPr>
                <w:rFonts w:ascii="Times New Roman" w:hAnsi="Times New Roman" w:cs="Times New Roman"/>
                <w:b/>
                <w:sz w:val="18"/>
                <w:szCs w:val="18"/>
              </w:rPr>
              <w:t xml:space="preserve">Differentially </w:t>
            </w:r>
            <w:r w:rsidR="00435127" w:rsidRPr="00C34188">
              <w:rPr>
                <w:rFonts w:ascii="Times New Roman" w:hAnsi="Times New Roman" w:cs="Times New Roman"/>
                <w:b/>
                <w:sz w:val="18"/>
                <w:szCs w:val="18"/>
              </w:rPr>
              <w:t>A</w:t>
            </w:r>
            <w:r w:rsidRPr="00C34188">
              <w:rPr>
                <w:rFonts w:ascii="Times New Roman" w:hAnsi="Times New Roman" w:cs="Times New Roman"/>
                <w:b/>
                <w:sz w:val="18"/>
                <w:szCs w:val="18"/>
              </w:rPr>
              <w:t>bundant</w:t>
            </w:r>
          </w:p>
          <w:p w14:paraId="0D98A917" w14:textId="6117E6BF" w:rsidR="00356917" w:rsidRPr="00C34188" w:rsidRDefault="00435127" w:rsidP="00435127">
            <w:pPr>
              <w:jc w:val="center"/>
              <w:rPr>
                <w:rFonts w:ascii="Times New Roman" w:hAnsi="Times New Roman" w:cs="Times New Roman"/>
                <w:b/>
                <w:sz w:val="18"/>
                <w:szCs w:val="18"/>
              </w:rPr>
            </w:pPr>
            <w:r w:rsidRPr="00C34188">
              <w:rPr>
                <w:rFonts w:ascii="Times New Roman" w:hAnsi="Times New Roman" w:cs="Times New Roman"/>
                <w:b/>
                <w:sz w:val="18"/>
                <w:szCs w:val="18"/>
              </w:rPr>
              <w:t>M</w:t>
            </w:r>
            <w:r w:rsidR="00356917" w:rsidRPr="00C34188">
              <w:rPr>
                <w:rFonts w:ascii="Times New Roman" w:hAnsi="Times New Roman" w:cs="Times New Roman"/>
                <w:b/>
                <w:sz w:val="18"/>
                <w:szCs w:val="18"/>
              </w:rPr>
              <w:t xml:space="preserve">etabolites in </w:t>
            </w:r>
            <w:r w:rsidRPr="00C34188">
              <w:rPr>
                <w:rFonts w:ascii="Times New Roman" w:hAnsi="Times New Roman" w:cs="Times New Roman"/>
                <w:b/>
                <w:sz w:val="18"/>
                <w:szCs w:val="18"/>
              </w:rPr>
              <w:t>P</w:t>
            </w:r>
            <w:r w:rsidR="00356917" w:rsidRPr="00C34188">
              <w:rPr>
                <w:rFonts w:ascii="Times New Roman" w:hAnsi="Times New Roman" w:cs="Times New Roman"/>
                <w:b/>
                <w:sz w:val="18"/>
                <w:szCs w:val="18"/>
              </w:rPr>
              <w:t>athway</w:t>
            </w:r>
            <w:r w:rsidRPr="00C34188">
              <w:rPr>
                <w:rFonts w:ascii="Times New Roman" w:hAnsi="Times New Roman" w:cs="Times New Roman"/>
                <w:b/>
                <w:sz w:val="18"/>
                <w:szCs w:val="18"/>
                <w:vertAlign w:val="superscript"/>
              </w:rPr>
              <w:t>3</w:t>
            </w:r>
          </w:p>
        </w:tc>
      </w:tr>
      <w:tr w:rsidR="00356917" w:rsidRPr="005C3043" w14:paraId="1BE07EAE" w14:textId="77777777" w:rsidTr="00356917">
        <w:tc>
          <w:tcPr>
            <w:tcW w:w="985" w:type="dxa"/>
            <w:vAlign w:val="center"/>
          </w:tcPr>
          <w:p w14:paraId="4FE1AB43" w14:textId="3B9CA6E4" w:rsidR="00356917" w:rsidRPr="00C34188"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bta00970</w:t>
            </w:r>
          </w:p>
        </w:tc>
        <w:tc>
          <w:tcPr>
            <w:tcW w:w="1440" w:type="dxa"/>
            <w:vAlign w:val="center"/>
          </w:tcPr>
          <w:p w14:paraId="1F741863" w14:textId="03BB5631" w:rsidR="00356917" w:rsidRPr="00C34188"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Aminoacyl-tRNA biosynthesis</w:t>
            </w:r>
          </w:p>
        </w:tc>
        <w:tc>
          <w:tcPr>
            <w:tcW w:w="1260" w:type="dxa"/>
            <w:vAlign w:val="center"/>
          </w:tcPr>
          <w:p w14:paraId="43D848C9" w14:textId="4E8DD0D5" w:rsidR="00356917" w:rsidRPr="00C34188"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5 of 48</w:t>
            </w:r>
          </w:p>
        </w:tc>
        <w:tc>
          <w:tcPr>
            <w:tcW w:w="990" w:type="dxa"/>
            <w:vAlign w:val="center"/>
          </w:tcPr>
          <w:p w14:paraId="5B6D110C" w14:textId="537324FF" w:rsidR="00356917" w:rsidRPr="00C34188"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0.018259</w:t>
            </w:r>
          </w:p>
        </w:tc>
        <w:tc>
          <w:tcPr>
            <w:tcW w:w="3955" w:type="dxa"/>
            <w:vAlign w:val="center"/>
          </w:tcPr>
          <w:p w14:paraId="0233E4E3" w14:textId="035F2A79" w:rsidR="00356917" w:rsidRPr="00C34188"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L-Asparagine (C00152), L-Histidine (C00135), Glycine (C00037), L-Lysine (C00047), L-Proline (C00148)</w:t>
            </w:r>
          </w:p>
        </w:tc>
      </w:tr>
      <w:tr w:rsidR="00356917" w:rsidRPr="005C3043" w14:paraId="7032EDB9" w14:textId="77777777" w:rsidTr="00356917">
        <w:tc>
          <w:tcPr>
            <w:tcW w:w="985" w:type="dxa"/>
            <w:vAlign w:val="center"/>
          </w:tcPr>
          <w:p w14:paraId="0E68A51E" w14:textId="200CD97D" w:rsidR="00356917" w:rsidRPr="00C34188"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bta00020</w:t>
            </w:r>
          </w:p>
        </w:tc>
        <w:tc>
          <w:tcPr>
            <w:tcW w:w="1440" w:type="dxa"/>
            <w:vAlign w:val="center"/>
          </w:tcPr>
          <w:p w14:paraId="5F933A73" w14:textId="487D59EA" w:rsidR="00356917" w:rsidRPr="00C34188"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Citrate cycle (TCA cycle)</w:t>
            </w:r>
          </w:p>
        </w:tc>
        <w:tc>
          <w:tcPr>
            <w:tcW w:w="1260" w:type="dxa"/>
            <w:vAlign w:val="center"/>
          </w:tcPr>
          <w:p w14:paraId="2E3643B7" w14:textId="1885D31E" w:rsidR="00356917" w:rsidRPr="00C34188"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3 of 20</w:t>
            </w:r>
          </w:p>
        </w:tc>
        <w:tc>
          <w:tcPr>
            <w:tcW w:w="990" w:type="dxa"/>
            <w:vAlign w:val="center"/>
          </w:tcPr>
          <w:p w14:paraId="72D09992" w14:textId="773459B0" w:rsidR="00356917" w:rsidRPr="00C34188"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0.070452</w:t>
            </w:r>
          </w:p>
        </w:tc>
        <w:tc>
          <w:tcPr>
            <w:tcW w:w="3955" w:type="dxa"/>
            <w:vAlign w:val="center"/>
          </w:tcPr>
          <w:p w14:paraId="47A06AED" w14:textId="2E61A45B" w:rsidR="00356917" w:rsidRPr="00C34188"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α-ketoglutarate (C00026), S-Malate (C00149), Pyruvate (C00022)</w:t>
            </w:r>
          </w:p>
        </w:tc>
      </w:tr>
    </w:tbl>
    <w:tbl>
      <w:tblPr>
        <w:tblW w:w="9360" w:type="dxa"/>
        <w:tblLook w:val="04A0" w:firstRow="1" w:lastRow="0" w:firstColumn="1" w:lastColumn="0" w:noHBand="0" w:noVBand="1"/>
      </w:tblPr>
      <w:tblGrid>
        <w:gridCol w:w="9360"/>
      </w:tblGrid>
      <w:tr w:rsidR="00356917" w:rsidRPr="005C665A" w14:paraId="7A625AB0" w14:textId="77777777" w:rsidTr="00356917">
        <w:trPr>
          <w:trHeight w:val="312"/>
        </w:trPr>
        <w:tc>
          <w:tcPr>
            <w:tcW w:w="9360" w:type="dxa"/>
            <w:tcBorders>
              <w:top w:val="nil"/>
              <w:left w:val="nil"/>
              <w:bottom w:val="nil"/>
              <w:right w:val="nil"/>
            </w:tcBorders>
            <w:shd w:val="clear" w:color="auto" w:fill="auto"/>
            <w:noWrap/>
            <w:vAlign w:val="bottom"/>
            <w:hideMark/>
          </w:tcPr>
          <w:p w14:paraId="10FDF9BC" w14:textId="77777777" w:rsidR="00356917" w:rsidRPr="005C665A" w:rsidRDefault="00356917" w:rsidP="00356917">
            <w:pPr>
              <w:rPr>
                <w:rFonts w:ascii="Times New Roman" w:hAnsi="Times New Roman" w:cs="Times New Roman"/>
                <w:color w:val="000000"/>
                <w:sz w:val="21"/>
                <w:szCs w:val="22"/>
              </w:rPr>
            </w:pPr>
            <w:r w:rsidRPr="005C665A">
              <w:rPr>
                <w:rFonts w:ascii="Times New Roman" w:hAnsi="Times New Roman" w:cs="Times New Roman"/>
                <w:color w:val="000000"/>
                <w:sz w:val="21"/>
                <w:szCs w:val="22"/>
              </w:rPr>
              <w:t>¹ Number of differentially abundant metabolites in pathway/total number of metabolites in pathway</w:t>
            </w:r>
          </w:p>
        </w:tc>
      </w:tr>
      <w:tr w:rsidR="00356917" w:rsidRPr="005C665A" w14:paraId="2B13F7C6" w14:textId="77777777" w:rsidTr="00356917">
        <w:trPr>
          <w:trHeight w:val="312"/>
        </w:trPr>
        <w:tc>
          <w:tcPr>
            <w:tcW w:w="9360" w:type="dxa"/>
            <w:tcBorders>
              <w:top w:val="nil"/>
              <w:left w:val="nil"/>
              <w:bottom w:val="nil"/>
              <w:right w:val="nil"/>
            </w:tcBorders>
            <w:shd w:val="clear" w:color="auto" w:fill="auto"/>
            <w:noWrap/>
            <w:vAlign w:val="bottom"/>
            <w:hideMark/>
          </w:tcPr>
          <w:p w14:paraId="2A3E1763" w14:textId="77777777" w:rsidR="00356917" w:rsidRPr="005C665A" w:rsidRDefault="00356917" w:rsidP="00356917">
            <w:pPr>
              <w:rPr>
                <w:rFonts w:ascii="Times New Roman" w:hAnsi="Times New Roman" w:cs="Times New Roman"/>
                <w:color w:val="000000"/>
                <w:sz w:val="21"/>
                <w:szCs w:val="22"/>
              </w:rPr>
            </w:pPr>
            <w:r w:rsidRPr="005C665A">
              <w:rPr>
                <w:rFonts w:ascii="Times New Roman" w:hAnsi="Times New Roman" w:cs="Times New Roman"/>
                <w:color w:val="000000"/>
                <w:sz w:val="21"/>
                <w:szCs w:val="22"/>
              </w:rPr>
              <w:t>² FDR = False Discovery Rate</w:t>
            </w:r>
          </w:p>
        </w:tc>
      </w:tr>
      <w:tr w:rsidR="00356917" w:rsidRPr="005C665A" w14:paraId="20600E64" w14:textId="77777777" w:rsidTr="00356917">
        <w:trPr>
          <w:trHeight w:val="312"/>
        </w:trPr>
        <w:tc>
          <w:tcPr>
            <w:tcW w:w="9360" w:type="dxa"/>
            <w:tcBorders>
              <w:top w:val="nil"/>
              <w:left w:val="nil"/>
              <w:bottom w:val="nil"/>
              <w:right w:val="nil"/>
            </w:tcBorders>
            <w:shd w:val="clear" w:color="auto" w:fill="auto"/>
            <w:noWrap/>
            <w:vAlign w:val="bottom"/>
            <w:hideMark/>
          </w:tcPr>
          <w:p w14:paraId="3815335B" w14:textId="7903C751" w:rsidR="00356917" w:rsidRPr="005C665A" w:rsidRDefault="00356917" w:rsidP="00356917">
            <w:pPr>
              <w:rPr>
                <w:rFonts w:ascii="Times New Roman" w:hAnsi="Times New Roman" w:cs="Times New Roman"/>
                <w:color w:val="000000"/>
                <w:sz w:val="21"/>
                <w:szCs w:val="22"/>
              </w:rPr>
            </w:pPr>
            <w:r w:rsidRPr="005C665A">
              <w:rPr>
                <w:rFonts w:ascii="Times New Roman" w:hAnsi="Times New Roman" w:cs="Times New Roman"/>
                <w:color w:val="000000"/>
                <w:sz w:val="21"/>
                <w:szCs w:val="22"/>
              </w:rPr>
              <w:t>³ Displayed as Name (KEGG identifier number); KEGG = Kyoto Encyclopedia of Genes and Genomes</w:t>
            </w:r>
          </w:p>
        </w:tc>
      </w:tr>
    </w:tbl>
    <w:p w14:paraId="5CFAF1A0" w14:textId="573439CC" w:rsidR="00356917" w:rsidRPr="00C34188" w:rsidRDefault="00356917" w:rsidP="00356917">
      <w:pPr>
        <w:jc w:val="both"/>
        <w:rPr>
          <w:rFonts w:ascii="Times New Roman" w:hAnsi="Times New Roman" w:cs="Times New Roman"/>
          <w:sz w:val="20"/>
        </w:rPr>
      </w:pPr>
    </w:p>
    <w:p w14:paraId="099A3D6D" w14:textId="641C0B59" w:rsidR="00356917" w:rsidRPr="00C34188" w:rsidRDefault="00356917" w:rsidP="00356917">
      <w:pPr>
        <w:jc w:val="both"/>
        <w:rPr>
          <w:rFonts w:ascii="Times New Roman" w:hAnsi="Times New Roman" w:cs="Times New Roman"/>
          <w:sz w:val="20"/>
        </w:rPr>
      </w:pPr>
    </w:p>
    <w:p w14:paraId="22EC41E8" w14:textId="6CA42DB0" w:rsidR="00356917" w:rsidRDefault="00356917" w:rsidP="00356917">
      <w:pPr>
        <w:jc w:val="both"/>
        <w:rPr>
          <w:rFonts w:ascii="Times New Roman" w:hAnsi="Times New Roman" w:cs="Times New Roman"/>
          <w:sz w:val="20"/>
        </w:rPr>
      </w:pPr>
    </w:p>
    <w:p w14:paraId="7179AB33" w14:textId="63A9C3E1" w:rsidR="0048278A" w:rsidRDefault="0048278A" w:rsidP="00356917">
      <w:pPr>
        <w:jc w:val="both"/>
        <w:rPr>
          <w:rFonts w:ascii="Times New Roman" w:hAnsi="Times New Roman" w:cs="Times New Roman"/>
          <w:sz w:val="20"/>
        </w:rPr>
      </w:pPr>
    </w:p>
    <w:p w14:paraId="02CC6E6D" w14:textId="77B4FD59" w:rsidR="0048278A" w:rsidRDefault="0048278A" w:rsidP="00356917">
      <w:pPr>
        <w:jc w:val="both"/>
        <w:rPr>
          <w:rFonts w:ascii="Times New Roman" w:hAnsi="Times New Roman" w:cs="Times New Roman"/>
          <w:sz w:val="20"/>
        </w:rPr>
      </w:pPr>
    </w:p>
    <w:p w14:paraId="7568308C" w14:textId="391B6D4F" w:rsidR="0048278A" w:rsidRDefault="0048278A" w:rsidP="00356917">
      <w:pPr>
        <w:jc w:val="both"/>
        <w:rPr>
          <w:rFonts w:ascii="Times New Roman" w:hAnsi="Times New Roman" w:cs="Times New Roman"/>
          <w:sz w:val="20"/>
        </w:rPr>
      </w:pPr>
    </w:p>
    <w:p w14:paraId="6C3D52AD" w14:textId="0799B508" w:rsidR="0048278A" w:rsidRDefault="0048278A" w:rsidP="00356917">
      <w:pPr>
        <w:jc w:val="both"/>
        <w:rPr>
          <w:rFonts w:ascii="Times New Roman" w:hAnsi="Times New Roman" w:cs="Times New Roman"/>
          <w:sz w:val="20"/>
        </w:rPr>
      </w:pPr>
    </w:p>
    <w:p w14:paraId="2EC2A2E3" w14:textId="7BEFB408" w:rsidR="0048278A" w:rsidRDefault="0048278A" w:rsidP="00356917">
      <w:pPr>
        <w:jc w:val="both"/>
        <w:rPr>
          <w:rFonts w:ascii="Times New Roman" w:hAnsi="Times New Roman" w:cs="Times New Roman"/>
          <w:sz w:val="20"/>
        </w:rPr>
      </w:pPr>
    </w:p>
    <w:p w14:paraId="35DA8161" w14:textId="1AA2446D" w:rsidR="0048278A" w:rsidRDefault="0048278A" w:rsidP="00356917">
      <w:pPr>
        <w:jc w:val="both"/>
        <w:rPr>
          <w:rFonts w:ascii="Times New Roman" w:hAnsi="Times New Roman" w:cs="Times New Roman"/>
          <w:sz w:val="20"/>
        </w:rPr>
      </w:pPr>
    </w:p>
    <w:p w14:paraId="5E27C96F" w14:textId="37679E3C" w:rsidR="0048278A" w:rsidRDefault="0048278A" w:rsidP="00356917">
      <w:pPr>
        <w:jc w:val="both"/>
        <w:rPr>
          <w:rFonts w:ascii="Times New Roman" w:hAnsi="Times New Roman" w:cs="Times New Roman"/>
          <w:sz w:val="20"/>
        </w:rPr>
      </w:pPr>
    </w:p>
    <w:p w14:paraId="1D2E47C1" w14:textId="1383766E" w:rsidR="0048278A" w:rsidRDefault="0048278A" w:rsidP="00356917">
      <w:pPr>
        <w:jc w:val="both"/>
        <w:rPr>
          <w:rFonts w:ascii="Times New Roman" w:hAnsi="Times New Roman" w:cs="Times New Roman"/>
          <w:sz w:val="20"/>
        </w:rPr>
      </w:pPr>
    </w:p>
    <w:p w14:paraId="35632018" w14:textId="36D31328" w:rsidR="0048278A" w:rsidRDefault="0048278A" w:rsidP="00356917">
      <w:pPr>
        <w:jc w:val="both"/>
        <w:rPr>
          <w:rFonts w:ascii="Times New Roman" w:hAnsi="Times New Roman" w:cs="Times New Roman"/>
          <w:sz w:val="20"/>
        </w:rPr>
      </w:pPr>
    </w:p>
    <w:p w14:paraId="5A92C896" w14:textId="4C260147" w:rsidR="0048278A" w:rsidRDefault="0048278A" w:rsidP="00356917">
      <w:pPr>
        <w:jc w:val="both"/>
        <w:rPr>
          <w:rFonts w:ascii="Times New Roman" w:hAnsi="Times New Roman" w:cs="Times New Roman"/>
          <w:sz w:val="20"/>
        </w:rPr>
      </w:pPr>
    </w:p>
    <w:p w14:paraId="690BD203" w14:textId="0584B966" w:rsidR="0048278A" w:rsidRDefault="0048278A" w:rsidP="00356917">
      <w:pPr>
        <w:jc w:val="both"/>
        <w:rPr>
          <w:rFonts w:ascii="Times New Roman" w:hAnsi="Times New Roman" w:cs="Times New Roman"/>
          <w:sz w:val="20"/>
        </w:rPr>
      </w:pPr>
    </w:p>
    <w:p w14:paraId="4FC93EA4" w14:textId="76750971" w:rsidR="0048278A" w:rsidRDefault="0048278A" w:rsidP="00356917">
      <w:pPr>
        <w:jc w:val="both"/>
        <w:rPr>
          <w:rFonts w:ascii="Times New Roman" w:hAnsi="Times New Roman" w:cs="Times New Roman"/>
          <w:sz w:val="20"/>
        </w:rPr>
      </w:pPr>
    </w:p>
    <w:p w14:paraId="02F83B86" w14:textId="081046BF" w:rsidR="0048278A" w:rsidRDefault="0048278A" w:rsidP="00356917">
      <w:pPr>
        <w:jc w:val="both"/>
        <w:rPr>
          <w:rFonts w:ascii="Times New Roman" w:hAnsi="Times New Roman" w:cs="Times New Roman"/>
          <w:sz w:val="20"/>
        </w:rPr>
      </w:pPr>
    </w:p>
    <w:p w14:paraId="7376B04E" w14:textId="2B568389" w:rsidR="0048278A" w:rsidRDefault="0048278A" w:rsidP="00356917">
      <w:pPr>
        <w:jc w:val="both"/>
        <w:rPr>
          <w:rFonts w:ascii="Times New Roman" w:hAnsi="Times New Roman" w:cs="Times New Roman"/>
          <w:sz w:val="20"/>
        </w:rPr>
      </w:pPr>
    </w:p>
    <w:p w14:paraId="3100D5FE" w14:textId="081E4619" w:rsidR="0048278A" w:rsidRDefault="0048278A" w:rsidP="00356917">
      <w:pPr>
        <w:jc w:val="both"/>
        <w:rPr>
          <w:rFonts w:ascii="Times New Roman" w:hAnsi="Times New Roman" w:cs="Times New Roman"/>
          <w:sz w:val="20"/>
        </w:rPr>
      </w:pPr>
    </w:p>
    <w:p w14:paraId="0C73D1E0" w14:textId="524738F8" w:rsidR="0048278A" w:rsidRDefault="0048278A" w:rsidP="00356917">
      <w:pPr>
        <w:jc w:val="both"/>
        <w:rPr>
          <w:rFonts w:ascii="Times New Roman" w:hAnsi="Times New Roman" w:cs="Times New Roman"/>
          <w:sz w:val="20"/>
        </w:rPr>
      </w:pPr>
    </w:p>
    <w:p w14:paraId="11615D96" w14:textId="5F4FEEA6" w:rsidR="0048278A" w:rsidRDefault="0048278A" w:rsidP="00356917">
      <w:pPr>
        <w:jc w:val="both"/>
        <w:rPr>
          <w:rFonts w:ascii="Times New Roman" w:hAnsi="Times New Roman" w:cs="Times New Roman"/>
          <w:sz w:val="20"/>
        </w:rPr>
      </w:pPr>
    </w:p>
    <w:p w14:paraId="18834820" w14:textId="7F72A3BA" w:rsidR="0048278A" w:rsidRDefault="0048278A" w:rsidP="00356917">
      <w:pPr>
        <w:jc w:val="both"/>
        <w:rPr>
          <w:rFonts w:ascii="Times New Roman" w:hAnsi="Times New Roman" w:cs="Times New Roman"/>
          <w:sz w:val="20"/>
        </w:rPr>
      </w:pPr>
    </w:p>
    <w:p w14:paraId="6C0007EF" w14:textId="583D5548" w:rsidR="0048278A" w:rsidRDefault="0048278A" w:rsidP="00356917">
      <w:pPr>
        <w:jc w:val="both"/>
        <w:rPr>
          <w:rFonts w:ascii="Times New Roman" w:hAnsi="Times New Roman" w:cs="Times New Roman"/>
          <w:sz w:val="20"/>
        </w:rPr>
      </w:pPr>
    </w:p>
    <w:p w14:paraId="43FD95EE" w14:textId="726D9F14" w:rsidR="0048278A" w:rsidRDefault="0048278A" w:rsidP="00356917">
      <w:pPr>
        <w:jc w:val="both"/>
        <w:rPr>
          <w:rFonts w:ascii="Times New Roman" w:hAnsi="Times New Roman" w:cs="Times New Roman"/>
          <w:sz w:val="20"/>
        </w:rPr>
      </w:pPr>
    </w:p>
    <w:p w14:paraId="727CB760" w14:textId="3593DA7B" w:rsidR="0048278A" w:rsidRDefault="0048278A" w:rsidP="00356917">
      <w:pPr>
        <w:jc w:val="both"/>
        <w:rPr>
          <w:rFonts w:ascii="Times New Roman" w:hAnsi="Times New Roman" w:cs="Times New Roman"/>
          <w:sz w:val="20"/>
        </w:rPr>
      </w:pPr>
    </w:p>
    <w:p w14:paraId="04317D39" w14:textId="799DB3B1" w:rsidR="0048278A" w:rsidRDefault="0048278A" w:rsidP="00356917">
      <w:pPr>
        <w:jc w:val="both"/>
        <w:rPr>
          <w:rFonts w:ascii="Times New Roman" w:hAnsi="Times New Roman" w:cs="Times New Roman"/>
          <w:sz w:val="20"/>
        </w:rPr>
      </w:pPr>
    </w:p>
    <w:p w14:paraId="32039226" w14:textId="4E0A9797" w:rsidR="0048278A" w:rsidRDefault="0048278A" w:rsidP="00356917">
      <w:pPr>
        <w:jc w:val="both"/>
        <w:rPr>
          <w:rFonts w:ascii="Times New Roman" w:hAnsi="Times New Roman" w:cs="Times New Roman"/>
          <w:sz w:val="20"/>
        </w:rPr>
      </w:pPr>
    </w:p>
    <w:p w14:paraId="07666941" w14:textId="7EE09D94" w:rsidR="0048278A" w:rsidRDefault="0048278A" w:rsidP="00356917">
      <w:pPr>
        <w:jc w:val="both"/>
        <w:rPr>
          <w:rFonts w:ascii="Times New Roman" w:hAnsi="Times New Roman" w:cs="Times New Roman"/>
          <w:sz w:val="20"/>
        </w:rPr>
      </w:pPr>
    </w:p>
    <w:p w14:paraId="0A0A3519" w14:textId="44A3BD26" w:rsidR="0048278A" w:rsidRDefault="0048278A" w:rsidP="00356917">
      <w:pPr>
        <w:jc w:val="both"/>
        <w:rPr>
          <w:rFonts w:ascii="Times New Roman" w:hAnsi="Times New Roman" w:cs="Times New Roman"/>
          <w:sz w:val="20"/>
        </w:rPr>
      </w:pPr>
    </w:p>
    <w:p w14:paraId="589C3611" w14:textId="7BD30D27" w:rsidR="0048278A" w:rsidRDefault="0048278A" w:rsidP="00356917">
      <w:pPr>
        <w:jc w:val="both"/>
        <w:rPr>
          <w:rFonts w:ascii="Times New Roman" w:hAnsi="Times New Roman" w:cs="Times New Roman"/>
          <w:sz w:val="20"/>
        </w:rPr>
      </w:pPr>
    </w:p>
    <w:p w14:paraId="6AAC8F58" w14:textId="79041EAC" w:rsidR="0048278A" w:rsidRDefault="0048278A" w:rsidP="00356917">
      <w:pPr>
        <w:jc w:val="both"/>
        <w:rPr>
          <w:rFonts w:ascii="Times New Roman" w:hAnsi="Times New Roman" w:cs="Times New Roman"/>
          <w:sz w:val="20"/>
        </w:rPr>
      </w:pPr>
    </w:p>
    <w:p w14:paraId="2E19A86B" w14:textId="295ED522" w:rsidR="0048278A" w:rsidRDefault="0048278A" w:rsidP="00356917">
      <w:pPr>
        <w:jc w:val="both"/>
        <w:rPr>
          <w:rFonts w:ascii="Times New Roman" w:hAnsi="Times New Roman" w:cs="Times New Roman"/>
          <w:sz w:val="20"/>
        </w:rPr>
      </w:pPr>
    </w:p>
    <w:p w14:paraId="36233F09" w14:textId="01361344" w:rsidR="0048278A" w:rsidRDefault="0048278A" w:rsidP="00356917">
      <w:pPr>
        <w:jc w:val="both"/>
        <w:rPr>
          <w:rFonts w:ascii="Times New Roman" w:hAnsi="Times New Roman" w:cs="Times New Roman"/>
          <w:sz w:val="20"/>
        </w:rPr>
      </w:pPr>
    </w:p>
    <w:p w14:paraId="128DC6C3" w14:textId="640EDD03" w:rsidR="0048278A" w:rsidRDefault="0048278A" w:rsidP="00356917">
      <w:pPr>
        <w:jc w:val="both"/>
        <w:rPr>
          <w:rFonts w:ascii="Times New Roman" w:hAnsi="Times New Roman" w:cs="Times New Roman"/>
          <w:sz w:val="20"/>
        </w:rPr>
      </w:pPr>
    </w:p>
    <w:p w14:paraId="2941ADF2" w14:textId="57BAE3A5" w:rsidR="0048278A" w:rsidRDefault="0048278A" w:rsidP="00356917">
      <w:pPr>
        <w:jc w:val="both"/>
        <w:rPr>
          <w:rFonts w:ascii="Times New Roman" w:hAnsi="Times New Roman" w:cs="Times New Roman"/>
          <w:sz w:val="20"/>
        </w:rPr>
      </w:pPr>
    </w:p>
    <w:p w14:paraId="37BC1CC4" w14:textId="46A84D4A" w:rsidR="0048278A" w:rsidRDefault="0048278A" w:rsidP="00356917">
      <w:pPr>
        <w:jc w:val="both"/>
        <w:rPr>
          <w:rFonts w:ascii="Times New Roman" w:hAnsi="Times New Roman" w:cs="Times New Roman"/>
          <w:sz w:val="20"/>
        </w:rPr>
      </w:pPr>
    </w:p>
    <w:p w14:paraId="41A9F1AA" w14:textId="2FA8E22C" w:rsidR="0048278A" w:rsidRDefault="0048278A" w:rsidP="00356917">
      <w:pPr>
        <w:jc w:val="both"/>
        <w:rPr>
          <w:rFonts w:ascii="Times New Roman" w:hAnsi="Times New Roman" w:cs="Times New Roman"/>
          <w:sz w:val="20"/>
        </w:rPr>
      </w:pPr>
    </w:p>
    <w:p w14:paraId="7CF97C89" w14:textId="0A2B89B6" w:rsidR="0048278A" w:rsidRDefault="0048278A" w:rsidP="00356917">
      <w:pPr>
        <w:jc w:val="both"/>
        <w:rPr>
          <w:rFonts w:ascii="Times New Roman" w:hAnsi="Times New Roman" w:cs="Times New Roman"/>
          <w:sz w:val="20"/>
        </w:rPr>
      </w:pPr>
    </w:p>
    <w:p w14:paraId="434EBAFF" w14:textId="3E68A519" w:rsidR="0048278A" w:rsidRDefault="0048278A" w:rsidP="00356917">
      <w:pPr>
        <w:jc w:val="both"/>
        <w:rPr>
          <w:rFonts w:ascii="Times New Roman" w:hAnsi="Times New Roman" w:cs="Times New Roman"/>
          <w:sz w:val="20"/>
        </w:rPr>
      </w:pPr>
    </w:p>
    <w:p w14:paraId="4F928F77" w14:textId="4496AAD6" w:rsidR="0048278A" w:rsidRDefault="0048278A" w:rsidP="00356917">
      <w:pPr>
        <w:jc w:val="both"/>
        <w:rPr>
          <w:rFonts w:ascii="Times New Roman" w:hAnsi="Times New Roman" w:cs="Times New Roman"/>
          <w:sz w:val="20"/>
        </w:rPr>
      </w:pPr>
    </w:p>
    <w:p w14:paraId="6324AF14" w14:textId="77777777" w:rsidR="0048278A" w:rsidRPr="00C34188" w:rsidRDefault="0048278A" w:rsidP="00356917">
      <w:pPr>
        <w:jc w:val="both"/>
        <w:rPr>
          <w:rFonts w:ascii="Times New Roman" w:hAnsi="Times New Roman" w:cs="Times New Roman"/>
          <w:sz w:val="20"/>
        </w:rPr>
      </w:pPr>
    </w:p>
    <w:p w14:paraId="6222F362" w14:textId="06B62152" w:rsidR="00356917" w:rsidRDefault="00D27A7B" w:rsidP="00356917">
      <w:pPr>
        <w:jc w:val="both"/>
        <w:rPr>
          <w:rFonts w:ascii="Times New Roman" w:hAnsi="Times New Roman" w:cs="Times New Roman"/>
        </w:rPr>
      </w:pPr>
      <w:r w:rsidRPr="00C34188">
        <w:rPr>
          <w:rFonts w:ascii="Times New Roman" w:hAnsi="Times New Roman" w:cs="Times New Roman"/>
          <w:b/>
        </w:rPr>
        <w:t xml:space="preserve">Table </w:t>
      </w:r>
      <w:r w:rsidR="00C1269D" w:rsidRPr="00C34188">
        <w:rPr>
          <w:rFonts w:ascii="Times New Roman" w:hAnsi="Times New Roman" w:cs="Times New Roman"/>
          <w:b/>
        </w:rPr>
        <w:t>6</w:t>
      </w:r>
      <w:r w:rsidR="003B6B38">
        <w:rPr>
          <w:rFonts w:ascii="Times New Roman" w:hAnsi="Times New Roman" w:cs="Times New Roman"/>
          <w:b/>
        </w:rPr>
        <w:t>:</w:t>
      </w:r>
      <w:r w:rsidRPr="00C34188">
        <w:rPr>
          <w:rFonts w:ascii="Times New Roman" w:hAnsi="Times New Roman" w:cs="Times New Roman"/>
        </w:rPr>
        <w:t xml:space="preserve"> KEGG pathways significantly enriched with metabolites that were significantly correlated with follicular fluid progesterone concentration at follicle aspiration.</w:t>
      </w:r>
    </w:p>
    <w:p w14:paraId="142904C2" w14:textId="77777777" w:rsidR="00600C14" w:rsidRPr="00C34188" w:rsidRDefault="00600C14" w:rsidP="00356917">
      <w:pPr>
        <w:jc w:val="both"/>
        <w:rPr>
          <w:rFonts w:ascii="Times New Roman" w:hAnsi="Times New Roman" w:cs="Times New Roman"/>
        </w:rPr>
      </w:pPr>
    </w:p>
    <w:tbl>
      <w:tblPr>
        <w:tblStyle w:val="TableGrid"/>
        <w:tblW w:w="0" w:type="auto"/>
        <w:jc w:val="center"/>
        <w:tblLook w:val="04A0" w:firstRow="1" w:lastRow="0" w:firstColumn="1" w:lastColumn="0" w:noHBand="0" w:noVBand="1"/>
      </w:tblPr>
      <w:tblGrid>
        <w:gridCol w:w="886"/>
        <w:gridCol w:w="1471"/>
        <w:gridCol w:w="810"/>
        <w:gridCol w:w="923"/>
        <w:gridCol w:w="4472"/>
      </w:tblGrid>
      <w:tr w:rsidR="00356917" w:rsidRPr="005C3043" w14:paraId="37B9FCDD" w14:textId="77777777" w:rsidTr="00435127">
        <w:trPr>
          <w:trHeight w:val="620"/>
          <w:jc w:val="center"/>
        </w:trPr>
        <w:tc>
          <w:tcPr>
            <w:tcW w:w="0" w:type="auto"/>
            <w:vAlign w:val="center"/>
          </w:tcPr>
          <w:p w14:paraId="7D1FDC66" w14:textId="557FE424"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b/>
                <w:bCs/>
                <w:color w:val="000000"/>
                <w:sz w:val="18"/>
                <w:szCs w:val="18"/>
              </w:rPr>
              <w:t>Pathway</w:t>
            </w:r>
          </w:p>
        </w:tc>
        <w:tc>
          <w:tcPr>
            <w:tcW w:w="1471" w:type="dxa"/>
            <w:vAlign w:val="center"/>
          </w:tcPr>
          <w:p w14:paraId="30766F7F" w14:textId="77777777" w:rsidR="00435127" w:rsidRPr="00C34188" w:rsidRDefault="00356917" w:rsidP="00435127">
            <w:pPr>
              <w:jc w:val="center"/>
              <w:rPr>
                <w:rFonts w:ascii="Times New Roman" w:hAnsi="Times New Roman" w:cs="Times New Roman"/>
                <w:b/>
                <w:bCs/>
                <w:color w:val="000000"/>
                <w:sz w:val="18"/>
                <w:szCs w:val="18"/>
              </w:rPr>
            </w:pPr>
            <w:r w:rsidRPr="00C34188">
              <w:rPr>
                <w:rFonts w:ascii="Times New Roman" w:hAnsi="Times New Roman" w:cs="Times New Roman"/>
                <w:b/>
                <w:bCs/>
                <w:color w:val="000000"/>
                <w:sz w:val="18"/>
                <w:szCs w:val="18"/>
              </w:rPr>
              <w:t xml:space="preserve">Pathway </w:t>
            </w:r>
          </w:p>
          <w:p w14:paraId="4A572EF6" w14:textId="77CA8C54"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b/>
                <w:bCs/>
                <w:color w:val="000000"/>
                <w:sz w:val="18"/>
                <w:szCs w:val="18"/>
              </w:rPr>
              <w:t>Name</w:t>
            </w:r>
          </w:p>
        </w:tc>
        <w:tc>
          <w:tcPr>
            <w:tcW w:w="810" w:type="dxa"/>
            <w:vAlign w:val="center"/>
          </w:tcPr>
          <w:p w14:paraId="0DB18197" w14:textId="4F2A0E63"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b/>
                <w:bCs/>
                <w:color w:val="000000"/>
                <w:sz w:val="18"/>
                <w:szCs w:val="18"/>
              </w:rPr>
              <w:t>Match Status ¹</w:t>
            </w:r>
          </w:p>
        </w:tc>
        <w:tc>
          <w:tcPr>
            <w:tcW w:w="923" w:type="dxa"/>
            <w:vAlign w:val="center"/>
          </w:tcPr>
          <w:p w14:paraId="6DC538BF" w14:textId="1B76CA74"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b/>
                <w:bCs/>
                <w:color w:val="000000"/>
                <w:sz w:val="18"/>
                <w:szCs w:val="18"/>
              </w:rPr>
              <w:t>FDR ²</w:t>
            </w:r>
          </w:p>
        </w:tc>
        <w:tc>
          <w:tcPr>
            <w:tcW w:w="4472" w:type="dxa"/>
            <w:vAlign w:val="center"/>
          </w:tcPr>
          <w:p w14:paraId="395C9353" w14:textId="2F8CB39D" w:rsidR="00435127" w:rsidRPr="00C34188" w:rsidRDefault="00356917" w:rsidP="00435127">
            <w:pPr>
              <w:jc w:val="center"/>
              <w:rPr>
                <w:rFonts w:ascii="Times New Roman" w:hAnsi="Times New Roman" w:cs="Times New Roman"/>
                <w:b/>
                <w:bCs/>
                <w:color w:val="000000"/>
                <w:sz w:val="18"/>
                <w:szCs w:val="18"/>
              </w:rPr>
            </w:pPr>
            <w:r w:rsidRPr="00C34188">
              <w:rPr>
                <w:rFonts w:ascii="Times New Roman" w:hAnsi="Times New Roman" w:cs="Times New Roman"/>
                <w:b/>
                <w:bCs/>
                <w:color w:val="000000"/>
                <w:sz w:val="18"/>
                <w:szCs w:val="18"/>
              </w:rPr>
              <w:t>Differentially Abundant</w:t>
            </w:r>
          </w:p>
          <w:p w14:paraId="421EEEBF" w14:textId="57001619"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b/>
                <w:bCs/>
                <w:color w:val="000000"/>
                <w:sz w:val="18"/>
                <w:szCs w:val="18"/>
              </w:rPr>
              <w:t>Metabolites in Pathway ³</w:t>
            </w:r>
          </w:p>
        </w:tc>
      </w:tr>
      <w:tr w:rsidR="00356917" w:rsidRPr="005C3043" w14:paraId="348F30F7" w14:textId="77777777" w:rsidTr="00435127">
        <w:trPr>
          <w:trHeight w:val="1169"/>
          <w:jc w:val="center"/>
        </w:trPr>
        <w:tc>
          <w:tcPr>
            <w:tcW w:w="0" w:type="auto"/>
            <w:vAlign w:val="center"/>
          </w:tcPr>
          <w:p w14:paraId="75267E34" w14:textId="65DE96D6"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bta00970</w:t>
            </w:r>
          </w:p>
        </w:tc>
        <w:tc>
          <w:tcPr>
            <w:tcW w:w="1471" w:type="dxa"/>
            <w:vAlign w:val="center"/>
          </w:tcPr>
          <w:p w14:paraId="60C47B83" w14:textId="274D7532"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Aminoacyl-tRNA biosynthesis</w:t>
            </w:r>
          </w:p>
        </w:tc>
        <w:tc>
          <w:tcPr>
            <w:tcW w:w="810" w:type="dxa"/>
            <w:vAlign w:val="center"/>
          </w:tcPr>
          <w:p w14:paraId="6CC33CB5" w14:textId="6195D6C1"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12 of 48</w:t>
            </w:r>
          </w:p>
        </w:tc>
        <w:tc>
          <w:tcPr>
            <w:tcW w:w="923" w:type="dxa"/>
            <w:vAlign w:val="center"/>
          </w:tcPr>
          <w:p w14:paraId="18FCF014" w14:textId="40B6C1B8" w:rsidR="00356917"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&lt; 0.001</w:t>
            </w:r>
          </w:p>
        </w:tc>
        <w:tc>
          <w:tcPr>
            <w:tcW w:w="4472" w:type="dxa"/>
            <w:vAlign w:val="center"/>
          </w:tcPr>
          <w:p w14:paraId="3A9300B7" w14:textId="163042F1"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L-Asparagine (C00152), L-Histidine (C00135), L-Phenylalanine (C00079), L-Arginine (C00062), L-Glutamine (C00064), Glycine (C00135), L-Methionine (C00073), Glycine (C00047), Tryptophan (C00078), L-Tyrosine (C00082), Glycine (C00148), L-Glutamate (C00025)</w:t>
            </w:r>
          </w:p>
        </w:tc>
      </w:tr>
      <w:tr w:rsidR="00356917" w:rsidRPr="005C3043" w14:paraId="11795A0D" w14:textId="77777777" w:rsidTr="00435127">
        <w:trPr>
          <w:jc w:val="center"/>
        </w:trPr>
        <w:tc>
          <w:tcPr>
            <w:tcW w:w="0" w:type="auto"/>
            <w:vAlign w:val="center"/>
          </w:tcPr>
          <w:p w14:paraId="74564E51" w14:textId="43D36D6B"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bta00220</w:t>
            </w:r>
          </w:p>
        </w:tc>
        <w:tc>
          <w:tcPr>
            <w:tcW w:w="1471" w:type="dxa"/>
            <w:vAlign w:val="center"/>
          </w:tcPr>
          <w:p w14:paraId="2E076A6B" w14:textId="07C0A273"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Arginine biosynthesis</w:t>
            </w:r>
          </w:p>
        </w:tc>
        <w:tc>
          <w:tcPr>
            <w:tcW w:w="810" w:type="dxa"/>
            <w:vAlign w:val="center"/>
          </w:tcPr>
          <w:p w14:paraId="6D8A6169" w14:textId="0424BFBE"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7 of 14</w:t>
            </w:r>
          </w:p>
        </w:tc>
        <w:tc>
          <w:tcPr>
            <w:tcW w:w="923" w:type="dxa"/>
            <w:vAlign w:val="center"/>
          </w:tcPr>
          <w:p w14:paraId="70C7F17A" w14:textId="783CB334" w:rsidR="00356917"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&lt; 0.001</w:t>
            </w:r>
          </w:p>
        </w:tc>
        <w:tc>
          <w:tcPr>
            <w:tcW w:w="4472" w:type="dxa"/>
            <w:vAlign w:val="center"/>
          </w:tcPr>
          <w:p w14:paraId="4187CABC" w14:textId="76DC05CB"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L-Glutamate (C00025), L-Arginine (C00062), N-Acetylornithine (C00437), L-Citrulline (C00327), L-Ornithine (C00077), L-Glutamine (C00064), α-ketoglutarate (C00026)</w:t>
            </w:r>
          </w:p>
        </w:tc>
      </w:tr>
      <w:tr w:rsidR="00356917" w:rsidRPr="005C3043" w14:paraId="2388D6D5" w14:textId="77777777" w:rsidTr="00435127">
        <w:trPr>
          <w:jc w:val="center"/>
        </w:trPr>
        <w:tc>
          <w:tcPr>
            <w:tcW w:w="0" w:type="auto"/>
            <w:vAlign w:val="center"/>
          </w:tcPr>
          <w:p w14:paraId="778070B2" w14:textId="2119847B"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bta00330</w:t>
            </w:r>
          </w:p>
        </w:tc>
        <w:tc>
          <w:tcPr>
            <w:tcW w:w="1471" w:type="dxa"/>
            <w:vAlign w:val="center"/>
          </w:tcPr>
          <w:p w14:paraId="157063EA" w14:textId="662AEBFA"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Arginine and proline metabolism</w:t>
            </w:r>
          </w:p>
        </w:tc>
        <w:tc>
          <w:tcPr>
            <w:tcW w:w="810" w:type="dxa"/>
            <w:vAlign w:val="center"/>
          </w:tcPr>
          <w:p w14:paraId="13B5B63E" w14:textId="17ABB103"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8 of 38</w:t>
            </w:r>
          </w:p>
        </w:tc>
        <w:tc>
          <w:tcPr>
            <w:tcW w:w="923" w:type="dxa"/>
            <w:vAlign w:val="center"/>
          </w:tcPr>
          <w:p w14:paraId="3D1D1EC6" w14:textId="30B275BD"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0.001</w:t>
            </w:r>
          </w:p>
        </w:tc>
        <w:tc>
          <w:tcPr>
            <w:tcW w:w="4472" w:type="dxa"/>
            <w:vAlign w:val="center"/>
          </w:tcPr>
          <w:p w14:paraId="213258E4" w14:textId="495BAF99"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L-Arginine (C00062), Guanidinoacetate (C00581), Creatine (C00300), Hydroxyproline (C01157), Glycine (C00148), L-Glutamate (C00025), L-Ornithine (C00077), Pyruvate (C00022)</w:t>
            </w:r>
          </w:p>
        </w:tc>
      </w:tr>
      <w:tr w:rsidR="00356917" w:rsidRPr="005C3043" w14:paraId="2E6696F2" w14:textId="77777777" w:rsidTr="00435127">
        <w:trPr>
          <w:jc w:val="center"/>
        </w:trPr>
        <w:tc>
          <w:tcPr>
            <w:tcW w:w="0" w:type="auto"/>
            <w:vAlign w:val="center"/>
          </w:tcPr>
          <w:p w14:paraId="53A65F1A" w14:textId="5D6C558D"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bta00250</w:t>
            </w:r>
          </w:p>
        </w:tc>
        <w:tc>
          <w:tcPr>
            <w:tcW w:w="1471" w:type="dxa"/>
            <w:vAlign w:val="center"/>
          </w:tcPr>
          <w:p w14:paraId="309B4B5A" w14:textId="201ADB51"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 xml:space="preserve">Alanine, </w:t>
            </w:r>
            <w:proofErr w:type="gramStart"/>
            <w:r w:rsidRPr="00C34188">
              <w:rPr>
                <w:rFonts w:ascii="Times New Roman" w:hAnsi="Times New Roman" w:cs="Times New Roman"/>
                <w:color w:val="000000"/>
                <w:sz w:val="18"/>
                <w:szCs w:val="18"/>
              </w:rPr>
              <w:t>aspartate</w:t>
            </w:r>
            <w:proofErr w:type="gramEnd"/>
            <w:r w:rsidRPr="00C34188">
              <w:rPr>
                <w:rFonts w:ascii="Times New Roman" w:hAnsi="Times New Roman" w:cs="Times New Roman"/>
                <w:color w:val="000000"/>
                <w:sz w:val="18"/>
                <w:szCs w:val="18"/>
              </w:rPr>
              <w:t xml:space="preserve"> and glutamate metabolism</w:t>
            </w:r>
          </w:p>
        </w:tc>
        <w:tc>
          <w:tcPr>
            <w:tcW w:w="810" w:type="dxa"/>
            <w:vAlign w:val="center"/>
          </w:tcPr>
          <w:p w14:paraId="50A68C8B" w14:textId="415C64C7"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6 of 28</w:t>
            </w:r>
          </w:p>
        </w:tc>
        <w:tc>
          <w:tcPr>
            <w:tcW w:w="923" w:type="dxa"/>
            <w:vAlign w:val="center"/>
          </w:tcPr>
          <w:p w14:paraId="206A89F6" w14:textId="10930288"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0.008</w:t>
            </w:r>
          </w:p>
        </w:tc>
        <w:tc>
          <w:tcPr>
            <w:tcW w:w="4472" w:type="dxa"/>
            <w:vAlign w:val="center"/>
          </w:tcPr>
          <w:p w14:paraId="323B7790" w14:textId="72D4E5E2"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L-Asparagine (C00152), L-Glutamate (C00025), L-Glutamine (C00064), Pyruvate (C00149), N-Carbamoyl-L-aspartate (C00438), α-ketoglutarate (C00026)</w:t>
            </w:r>
          </w:p>
        </w:tc>
      </w:tr>
      <w:tr w:rsidR="00356917" w:rsidRPr="005C3043" w14:paraId="3DD9D786" w14:textId="77777777" w:rsidTr="00435127">
        <w:trPr>
          <w:jc w:val="center"/>
        </w:trPr>
        <w:tc>
          <w:tcPr>
            <w:tcW w:w="0" w:type="auto"/>
            <w:vAlign w:val="center"/>
          </w:tcPr>
          <w:p w14:paraId="30B98E44" w14:textId="6C83FE11"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222222"/>
                <w:sz w:val="18"/>
                <w:szCs w:val="18"/>
              </w:rPr>
              <w:t>bta00471</w:t>
            </w:r>
          </w:p>
        </w:tc>
        <w:tc>
          <w:tcPr>
            <w:tcW w:w="1471" w:type="dxa"/>
            <w:vAlign w:val="center"/>
          </w:tcPr>
          <w:p w14:paraId="5993A410" w14:textId="1EB6D2D4"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D-Glutamine and D-glutamate metabolism</w:t>
            </w:r>
          </w:p>
        </w:tc>
        <w:tc>
          <w:tcPr>
            <w:tcW w:w="810" w:type="dxa"/>
            <w:vAlign w:val="center"/>
          </w:tcPr>
          <w:p w14:paraId="1009E018" w14:textId="66C2E435"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3 of 5</w:t>
            </w:r>
          </w:p>
        </w:tc>
        <w:tc>
          <w:tcPr>
            <w:tcW w:w="923" w:type="dxa"/>
            <w:vAlign w:val="center"/>
          </w:tcPr>
          <w:p w14:paraId="65E6A9DF" w14:textId="5DB9B33F"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0.008</w:t>
            </w:r>
          </w:p>
        </w:tc>
        <w:tc>
          <w:tcPr>
            <w:tcW w:w="4472" w:type="dxa"/>
            <w:vAlign w:val="center"/>
          </w:tcPr>
          <w:p w14:paraId="5D0FAFD8" w14:textId="381E6A9A"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L-Glutamate (C00025), L-Glutamine (C00064), α-ketoglutarate (C00026)</w:t>
            </w:r>
          </w:p>
        </w:tc>
      </w:tr>
      <w:tr w:rsidR="00356917" w:rsidRPr="005C3043" w14:paraId="1D896C37" w14:textId="77777777" w:rsidTr="00435127">
        <w:trPr>
          <w:jc w:val="center"/>
        </w:trPr>
        <w:tc>
          <w:tcPr>
            <w:tcW w:w="0" w:type="auto"/>
            <w:vAlign w:val="center"/>
          </w:tcPr>
          <w:p w14:paraId="692DF24A" w14:textId="6AFC17A8"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bta00630</w:t>
            </w:r>
          </w:p>
        </w:tc>
        <w:tc>
          <w:tcPr>
            <w:tcW w:w="1471" w:type="dxa"/>
            <w:vAlign w:val="center"/>
          </w:tcPr>
          <w:p w14:paraId="22B4ED15" w14:textId="67105D9C"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Glyoxylate and dicarboxylate metabolism</w:t>
            </w:r>
          </w:p>
        </w:tc>
        <w:tc>
          <w:tcPr>
            <w:tcW w:w="810" w:type="dxa"/>
            <w:vAlign w:val="center"/>
          </w:tcPr>
          <w:p w14:paraId="11F7FD32" w14:textId="79E4278D"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6 of 32</w:t>
            </w:r>
          </w:p>
        </w:tc>
        <w:tc>
          <w:tcPr>
            <w:tcW w:w="923" w:type="dxa"/>
            <w:vAlign w:val="center"/>
          </w:tcPr>
          <w:p w14:paraId="71B93456" w14:textId="40CE430F"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0.012</w:t>
            </w:r>
          </w:p>
        </w:tc>
        <w:tc>
          <w:tcPr>
            <w:tcW w:w="4472" w:type="dxa"/>
            <w:vAlign w:val="center"/>
          </w:tcPr>
          <w:p w14:paraId="6919CAE4" w14:textId="43EF7396"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cis-Aconitate (C00417), S-Malate (C00149), Glycine (C00135), L-Glutamate (C00025), Pyruvate (C00149), L-Glutamine (C00064)</w:t>
            </w:r>
          </w:p>
        </w:tc>
      </w:tr>
      <w:tr w:rsidR="00356917" w:rsidRPr="005C3043" w14:paraId="607F8A5F" w14:textId="77777777" w:rsidTr="00435127">
        <w:trPr>
          <w:jc w:val="center"/>
        </w:trPr>
        <w:tc>
          <w:tcPr>
            <w:tcW w:w="0" w:type="auto"/>
            <w:vAlign w:val="center"/>
          </w:tcPr>
          <w:p w14:paraId="3C093639" w14:textId="642471FA"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bta00270</w:t>
            </w:r>
          </w:p>
        </w:tc>
        <w:tc>
          <w:tcPr>
            <w:tcW w:w="1471" w:type="dxa"/>
            <w:vAlign w:val="center"/>
          </w:tcPr>
          <w:p w14:paraId="6A33904D" w14:textId="5733D035" w:rsidR="00356917" w:rsidRPr="00C34188" w:rsidRDefault="00356917" w:rsidP="00435127">
            <w:pPr>
              <w:jc w:val="center"/>
              <w:rPr>
                <w:rFonts w:ascii="Times New Roman" w:hAnsi="Times New Roman" w:cs="Times New Roman"/>
                <w:color w:val="000000"/>
                <w:sz w:val="18"/>
                <w:szCs w:val="18"/>
              </w:rPr>
            </w:pPr>
            <w:r w:rsidRPr="00C34188">
              <w:rPr>
                <w:rFonts w:ascii="Times New Roman" w:hAnsi="Times New Roman" w:cs="Times New Roman"/>
                <w:color w:val="000000"/>
                <w:sz w:val="18"/>
                <w:szCs w:val="18"/>
              </w:rPr>
              <w:t>Cysteine</w:t>
            </w:r>
          </w:p>
          <w:p w14:paraId="4872040B" w14:textId="5339C47B"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and methionine metabolism</w:t>
            </w:r>
          </w:p>
        </w:tc>
        <w:tc>
          <w:tcPr>
            <w:tcW w:w="810" w:type="dxa"/>
            <w:vAlign w:val="center"/>
          </w:tcPr>
          <w:p w14:paraId="591203F2" w14:textId="4FB005F7"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6 of 33</w:t>
            </w:r>
          </w:p>
        </w:tc>
        <w:tc>
          <w:tcPr>
            <w:tcW w:w="923" w:type="dxa"/>
            <w:vAlign w:val="center"/>
          </w:tcPr>
          <w:p w14:paraId="232E2E9C" w14:textId="2EE1C559"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0.012</w:t>
            </w:r>
          </w:p>
        </w:tc>
        <w:tc>
          <w:tcPr>
            <w:tcW w:w="4472" w:type="dxa"/>
            <w:vAlign w:val="center"/>
          </w:tcPr>
          <w:p w14:paraId="3DBEEC64" w14:textId="265CC166"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4-Methylthio-2-oxobutanoic acid (C01180), L-Cystathionine (C02291), L-Homocysteine (C00155), L-Methionine (C00073), L-Cystine (C00491), Pyruvate (C00149)</w:t>
            </w:r>
          </w:p>
        </w:tc>
      </w:tr>
      <w:tr w:rsidR="00356917" w:rsidRPr="005C3043" w14:paraId="72F42E87" w14:textId="77777777" w:rsidTr="00435127">
        <w:trPr>
          <w:jc w:val="center"/>
        </w:trPr>
        <w:tc>
          <w:tcPr>
            <w:tcW w:w="0" w:type="auto"/>
            <w:vAlign w:val="center"/>
          </w:tcPr>
          <w:p w14:paraId="17EC5ABF" w14:textId="65357E07"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bta00240</w:t>
            </w:r>
          </w:p>
        </w:tc>
        <w:tc>
          <w:tcPr>
            <w:tcW w:w="1471" w:type="dxa"/>
            <w:vAlign w:val="center"/>
          </w:tcPr>
          <w:p w14:paraId="61620B01" w14:textId="35ECF218"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Pyrimidine metabolism</w:t>
            </w:r>
          </w:p>
        </w:tc>
        <w:tc>
          <w:tcPr>
            <w:tcW w:w="810" w:type="dxa"/>
            <w:vAlign w:val="center"/>
          </w:tcPr>
          <w:p w14:paraId="094D195B" w14:textId="5E105211"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6 of 38</w:t>
            </w:r>
          </w:p>
        </w:tc>
        <w:tc>
          <w:tcPr>
            <w:tcW w:w="923" w:type="dxa"/>
            <w:vAlign w:val="center"/>
          </w:tcPr>
          <w:p w14:paraId="6DD2726D" w14:textId="33293DBA"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0.023</w:t>
            </w:r>
          </w:p>
        </w:tc>
        <w:tc>
          <w:tcPr>
            <w:tcW w:w="4472" w:type="dxa"/>
            <w:vAlign w:val="center"/>
          </w:tcPr>
          <w:p w14:paraId="3D7CAC8B" w14:textId="5F5A12D3"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 xml:space="preserve">L-Glutamine (C00064), Uridine (C00299), Cytidine (C00475), </w:t>
            </w:r>
            <w:proofErr w:type="spellStart"/>
            <w:r w:rsidRPr="00C34188">
              <w:rPr>
                <w:rFonts w:ascii="Times New Roman" w:hAnsi="Times New Roman" w:cs="Times New Roman"/>
                <w:color w:val="000000"/>
                <w:sz w:val="18"/>
                <w:szCs w:val="18"/>
              </w:rPr>
              <w:t>Deoxycitidine</w:t>
            </w:r>
            <w:proofErr w:type="spellEnd"/>
            <w:r w:rsidRPr="00C34188">
              <w:rPr>
                <w:rFonts w:ascii="Times New Roman" w:hAnsi="Times New Roman" w:cs="Times New Roman"/>
                <w:color w:val="000000"/>
                <w:sz w:val="18"/>
                <w:szCs w:val="18"/>
              </w:rPr>
              <w:t xml:space="preserve"> (C00881), </w:t>
            </w:r>
            <w:proofErr w:type="spellStart"/>
            <w:r w:rsidRPr="00C34188">
              <w:rPr>
                <w:rFonts w:ascii="Times New Roman" w:hAnsi="Times New Roman" w:cs="Times New Roman"/>
                <w:color w:val="000000"/>
                <w:sz w:val="18"/>
                <w:szCs w:val="18"/>
              </w:rPr>
              <w:t>Deoxy</w:t>
            </w:r>
            <w:r w:rsidR="006521DC" w:rsidRPr="00C34188">
              <w:rPr>
                <w:rFonts w:ascii="Times New Roman" w:hAnsi="Times New Roman" w:cs="Times New Roman"/>
                <w:color w:val="000000"/>
                <w:sz w:val="18"/>
                <w:szCs w:val="18"/>
              </w:rPr>
              <w:t>u</w:t>
            </w:r>
            <w:r w:rsidRPr="00C34188">
              <w:rPr>
                <w:rFonts w:ascii="Times New Roman" w:hAnsi="Times New Roman" w:cs="Times New Roman"/>
                <w:color w:val="000000"/>
                <w:sz w:val="18"/>
                <w:szCs w:val="18"/>
              </w:rPr>
              <w:t>ridine</w:t>
            </w:r>
            <w:proofErr w:type="spellEnd"/>
            <w:r w:rsidRPr="00C34188">
              <w:rPr>
                <w:rFonts w:ascii="Times New Roman" w:hAnsi="Times New Roman" w:cs="Times New Roman"/>
                <w:color w:val="000000"/>
                <w:sz w:val="18"/>
                <w:szCs w:val="18"/>
              </w:rPr>
              <w:t xml:space="preserve"> (C00299), N-Carbamoyl-L-aspartate (C00438)</w:t>
            </w:r>
          </w:p>
        </w:tc>
      </w:tr>
      <w:tr w:rsidR="00356917" w:rsidRPr="005C3043" w14:paraId="488DA1E7" w14:textId="77777777" w:rsidTr="00435127">
        <w:trPr>
          <w:jc w:val="center"/>
        </w:trPr>
        <w:tc>
          <w:tcPr>
            <w:tcW w:w="0" w:type="auto"/>
            <w:vAlign w:val="center"/>
          </w:tcPr>
          <w:p w14:paraId="1CA9EFAD" w14:textId="5030B632"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bta00020</w:t>
            </w:r>
          </w:p>
        </w:tc>
        <w:tc>
          <w:tcPr>
            <w:tcW w:w="1471" w:type="dxa"/>
            <w:vAlign w:val="center"/>
          </w:tcPr>
          <w:p w14:paraId="2BCC2F27" w14:textId="79C77337" w:rsidR="00356917" w:rsidRPr="00C34188" w:rsidRDefault="00356917" w:rsidP="00435127">
            <w:pPr>
              <w:jc w:val="center"/>
              <w:rPr>
                <w:rFonts w:ascii="Times New Roman" w:hAnsi="Times New Roman" w:cs="Times New Roman"/>
                <w:color w:val="000000"/>
                <w:sz w:val="18"/>
                <w:szCs w:val="18"/>
              </w:rPr>
            </w:pPr>
            <w:r w:rsidRPr="00C34188">
              <w:rPr>
                <w:rFonts w:ascii="Times New Roman" w:hAnsi="Times New Roman" w:cs="Times New Roman"/>
                <w:color w:val="000000"/>
                <w:sz w:val="18"/>
                <w:szCs w:val="18"/>
              </w:rPr>
              <w:t>Citrate</w:t>
            </w:r>
          </w:p>
          <w:p w14:paraId="3E5C726D" w14:textId="21C8B4C8"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cycle (TCA cycle)</w:t>
            </w:r>
          </w:p>
        </w:tc>
        <w:tc>
          <w:tcPr>
            <w:tcW w:w="810" w:type="dxa"/>
            <w:vAlign w:val="center"/>
          </w:tcPr>
          <w:p w14:paraId="7B9E8A5F" w14:textId="16C0127E"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4 of 20</w:t>
            </w:r>
          </w:p>
        </w:tc>
        <w:tc>
          <w:tcPr>
            <w:tcW w:w="923" w:type="dxa"/>
            <w:vAlign w:val="center"/>
          </w:tcPr>
          <w:p w14:paraId="0C2F695B" w14:textId="61922C96"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0.049</w:t>
            </w:r>
          </w:p>
        </w:tc>
        <w:tc>
          <w:tcPr>
            <w:tcW w:w="4472" w:type="dxa"/>
            <w:vAlign w:val="center"/>
          </w:tcPr>
          <w:p w14:paraId="11E991DE" w14:textId="3FC554E7"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α-ketoglutarate (C00026), S-Malate (C00149), cis-Aconitate (C00417), Pyruvate (C00149)</w:t>
            </w:r>
          </w:p>
        </w:tc>
      </w:tr>
      <w:tr w:rsidR="00356917" w:rsidRPr="005C3043" w14:paraId="7B9441F3" w14:textId="77777777" w:rsidTr="00435127">
        <w:trPr>
          <w:jc w:val="center"/>
        </w:trPr>
        <w:tc>
          <w:tcPr>
            <w:tcW w:w="0" w:type="auto"/>
            <w:vAlign w:val="center"/>
          </w:tcPr>
          <w:p w14:paraId="7C88F3DB" w14:textId="1056F6AA"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bta00260</w:t>
            </w:r>
          </w:p>
        </w:tc>
        <w:tc>
          <w:tcPr>
            <w:tcW w:w="1471" w:type="dxa"/>
            <w:vAlign w:val="center"/>
          </w:tcPr>
          <w:p w14:paraId="2D0009B4" w14:textId="73419BF1"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 xml:space="preserve">Glycine, </w:t>
            </w:r>
            <w:proofErr w:type="gramStart"/>
            <w:r w:rsidRPr="00C34188">
              <w:rPr>
                <w:rFonts w:ascii="Times New Roman" w:hAnsi="Times New Roman" w:cs="Times New Roman"/>
                <w:color w:val="000000"/>
                <w:sz w:val="18"/>
                <w:szCs w:val="18"/>
              </w:rPr>
              <w:t>serine</w:t>
            </w:r>
            <w:proofErr w:type="gramEnd"/>
            <w:r w:rsidRPr="00C34188">
              <w:rPr>
                <w:rFonts w:ascii="Times New Roman" w:hAnsi="Times New Roman" w:cs="Times New Roman"/>
                <w:color w:val="000000"/>
                <w:sz w:val="18"/>
                <w:szCs w:val="18"/>
              </w:rPr>
              <w:t xml:space="preserve"> and threonine metabolism</w:t>
            </w:r>
          </w:p>
        </w:tc>
        <w:tc>
          <w:tcPr>
            <w:tcW w:w="810" w:type="dxa"/>
            <w:vAlign w:val="center"/>
          </w:tcPr>
          <w:p w14:paraId="7580FCA7" w14:textId="370851A1"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5 of 34</w:t>
            </w:r>
          </w:p>
        </w:tc>
        <w:tc>
          <w:tcPr>
            <w:tcW w:w="923" w:type="dxa"/>
            <w:vAlign w:val="center"/>
          </w:tcPr>
          <w:p w14:paraId="706990B2" w14:textId="553068AD"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0.058</w:t>
            </w:r>
          </w:p>
        </w:tc>
        <w:tc>
          <w:tcPr>
            <w:tcW w:w="4472" w:type="dxa"/>
            <w:vAlign w:val="center"/>
          </w:tcPr>
          <w:p w14:paraId="1CE0EA96" w14:textId="3D2C90DC"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Guanidinoacetate (C00581), L-Cystathionine (C02291), Glycine (C00135), Creatine (C00300), Pyruvate (C00149)</w:t>
            </w:r>
          </w:p>
        </w:tc>
      </w:tr>
      <w:tr w:rsidR="00356917" w:rsidRPr="005C3043" w14:paraId="5F4407C7" w14:textId="77777777" w:rsidTr="00435127">
        <w:trPr>
          <w:jc w:val="center"/>
        </w:trPr>
        <w:tc>
          <w:tcPr>
            <w:tcW w:w="0" w:type="auto"/>
            <w:vAlign w:val="center"/>
          </w:tcPr>
          <w:p w14:paraId="01B2EFBB" w14:textId="71BE23DB"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bta00400</w:t>
            </w:r>
          </w:p>
        </w:tc>
        <w:tc>
          <w:tcPr>
            <w:tcW w:w="1471" w:type="dxa"/>
            <w:vAlign w:val="center"/>
          </w:tcPr>
          <w:p w14:paraId="3168EFEA" w14:textId="739C0FBF" w:rsidR="00356917" w:rsidRPr="00C34188" w:rsidRDefault="00356917" w:rsidP="00435127">
            <w:pPr>
              <w:jc w:val="center"/>
              <w:rPr>
                <w:rFonts w:ascii="Times New Roman" w:hAnsi="Times New Roman" w:cs="Times New Roman"/>
                <w:color w:val="000000"/>
                <w:sz w:val="18"/>
                <w:szCs w:val="18"/>
              </w:rPr>
            </w:pPr>
            <w:r w:rsidRPr="00C34188">
              <w:rPr>
                <w:rFonts w:ascii="Times New Roman" w:hAnsi="Times New Roman" w:cs="Times New Roman"/>
                <w:color w:val="000000"/>
                <w:sz w:val="18"/>
                <w:szCs w:val="18"/>
              </w:rPr>
              <w:t>Phenylalanine, tyrosine,</w:t>
            </w:r>
          </w:p>
          <w:p w14:paraId="48A39480" w14:textId="4EEB3BFB"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and tryptophan biosynthesis</w:t>
            </w:r>
          </w:p>
        </w:tc>
        <w:tc>
          <w:tcPr>
            <w:tcW w:w="810" w:type="dxa"/>
            <w:vAlign w:val="center"/>
          </w:tcPr>
          <w:p w14:paraId="4684DBDA" w14:textId="123A9B12"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2 of 4</w:t>
            </w:r>
          </w:p>
        </w:tc>
        <w:tc>
          <w:tcPr>
            <w:tcW w:w="923" w:type="dxa"/>
            <w:vAlign w:val="center"/>
          </w:tcPr>
          <w:p w14:paraId="71F31382" w14:textId="6D5BC1D3"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0.058</w:t>
            </w:r>
          </w:p>
        </w:tc>
        <w:tc>
          <w:tcPr>
            <w:tcW w:w="4472" w:type="dxa"/>
            <w:vAlign w:val="center"/>
          </w:tcPr>
          <w:p w14:paraId="15404FD9" w14:textId="7427B602"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L-Phenylalanine (C00079), L-Tyrosine (C00082)</w:t>
            </w:r>
          </w:p>
        </w:tc>
      </w:tr>
      <w:tr w:rsidR="00356917" w:rsidRPr="005C3043" w14:paraId="0F7D6DA8" w14:textId="77777777" w:rsidTr="00435127">
        <w:trPr>
          <w:jc w:val="center"/>
        </w:trPr>
        <w:tc>
          <w:tcPr>
            <w:tcW w:w="0" w:type="auto"/>
            <w:vAlign w:val="center"/>
          </w:tcPr>
          <w:p w14:paraId="4FEB563A" w14:textId="327E5C65"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bta00360</w:t>
            </w:r>
          </w:p>
        </w:tc>
        <w:tc>
          <w:tcPr>
            <w:tcW w:w="1471" w:type="dxa"/>
            <w:vAlign w:val="center"/>
          </w:tcPr>
          <w:p w14:paraId="1257CF5B" w14:textId="34AB574C"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Phenylalanine metabolism</w:t>
            </w:r>
          </w:p>
        </w:tc>
        <w:tc>
          <w:tcPr>
            <w:tcW w:w="810" w:type="dxa"/>
            <w:vAlign w:val="center"/>
          </w:tcPr>
          <w:p w14:paraId="4DBA9932" w14:textId="2C40D8D3"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3 of 12</w:t>
            </w:r>
          </w:p>
        </w:tc>
        <w:tc>
          <w:tcPr>
            <w:tcW w:w="923" w:type="dxa"/>
            <w:vAlign w:val="center"/>
          </w:tcPr>
          <w:p w14:paraId="0A93E36A" w14:textId="4ECAE4CD"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0.058</w:t>
            </w:r>
          </w:p>
        </w:tc>
        <w:tc>
          <w:tcPr>
            <w:tcW w:w="4472" w:type="dxa"/>
            <w:vAlign w:val="center"/>
          </w:tcPr>
          <w:p w14:paraId="66882196" w14:textId="58B8779E" w:rsidR="00356917" w:rsidRPr="00A42976" w:rsidRDefault="00356917"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L-Phenylalanine (C00079), 2-Hydroxyphenylacetate (C05852), L-Tyrosine (C00082)</w:t>
            </w:r>
          </w:p>
        </w:tc>
      </w:tr>
    </w:tbl>
    <w:tbl>
      <w:tblPr>
        <w:tblW w:w="9360" w:type="dxa"/>
        <w:tblLook w:val="04A0" w:firstRow="1" w:lastRow="0" w:firstColumn="1" w:lastColumn="0" w:noHBand="0" w:noVBand="1"/>
      </w:tblPr>
      <w:tblGrid>
        <w:gridCol w:w="9360"/>
      </w:tblGrid>
      <w:tr w:rsidR="00356917" w:rsidRPr="00090F0D" w14:paraId="68B21F79" w14:textId="77777777" w:rsidTr="00AC6DC1">
        <w:trPr>
          <w:trHeight w:val="312"/>
        </w:trPr>
        <w:tc>
          <w:tcPr>
            <w:tcW w:w="9360" w:type="dxa"/>
            <w:tcBorders>
              <w:top w:val="nil"/>
              <w:left w:val="nil"/>
              <w:bottom w:val="nil"/>
              <w:right w:val="nil"/>
            </w:tcBorders>
            <w:shd w:val="clear" w:color="auto" w:fill="auto"/>
            <w:noWrap/>
            <w:vAlign w:val="bottom"/>
            <w:hideMark/>
          </w:tcPr>
          <w:p w14:paraId="63F27CFF" w14:textId="77777777" w:rsidR="00356917" w:rsidRPr="00090F0D" w:rsidRDefault="00356917" w:rsidP="00AC6DC1">
            <w:pPr>
              <w:rPr>
                <w:rFonts w:ascii="Times New Roman" w:hAnsi="Times New Roman" w:cs="Times New Roman"/>
                <w:color w:val="000000"/>
                <w:sz w:val="21"/>
                <w:szCs w:val="22"/>
              </w:rPr>
            </w:pPr>
            <w:r w:rsidRPr="00090F0D">
              <w:rPr>
                <w:rFonts w:ascii="Times New Roman" w:hAnsi="Times New Roman" w:cs="Times New Roman"/>
                <w:color w:val="000000"/>
                <w:sz w:val="21"/>
                <w:szCs w:val="22"/>
              </w:rPr>
              <w:t>¹ Number of differentially abundant metabolites in pathway/total number of metabolites in pathway</w:t>
            </w:r>
          </w:p>
        </w:tc>
      </w:tr>
      <w:tr w:rsidR="00356917" w:rsidRPr="00090F0D" w14:paraId="64B9864A" w14:textId="77777777" w:rsidTr="00AC6DC1">
        <w:trPr>
          <w:trHeight w:val="312"/>
        </w:trPr>
        <w:tc>
          <w:tcPr>
            <w:tcW w:w="9360" w:type="dxa"/>
            <w:tcBorders>
              <w:top w:val="nil"/>
              <w:left w:val="nil"/>
              <w:bottom w:val="nil"/>
              <w:right w:val="nil"/>
            </w:tcBorders>
            <w:shd w:val="clear" w:color="auto" w:fill="auto"/>
            <w:noWrap/>
            <w:vAlign w:val="bottom"/>
            <w:hideMark/>
          </w:tcPr>
          <w:p w14:paraId="146E40D2" w14:textId="77777777" w:rsidR="00356917" w:rsidRPr="00090F0D" w:rsidRDefault="00356917" w:rsidP="00AC6DC1">
            <w:pPr>
              <w:rPr>
                <w:rFonts w:ascii="Times New Roman" w:hAnsi="Times New Roman" w:cs="Times New Roman"/>
                <w:color w:val="000000"/>
                <w:sz w:val="21"/>
                <w:szCs w:val="22"/>
              </w:rPr>
            </w:pPr>
            <w:r w:rsidRPr="00090F0D">
              <w:rPr>
                <w:rFonts w:ascii="Times New Roman" w:hAnsi="Times New Roman" w:cs="Times New Roman"/>
                <w:color w:val="000000"/>
                <w:sz w:val="21"/>
                <w:szCs w:val="22"/>
              </w:rPr>
              <w:t>² FDR = False Discovery Rate</w:t>
            </w:r>
          </w:p>
        </w:tc>
      </w:tr>
      <w:tr w:rsidR="00356917" w:rsidRPr="00090F0D" w14:paraId="08944B10" w14:textId="77777777" w:rsidTr="00AC6DC1">
        <w:trPr>
          <w:trHeight w:val="312"/>
        </w:trPr>
        <w:tc>
          <w:tcPr>
            <w:tcW w:w="9360" w:type="dxa"/>
            <w:tcBorders>
              <w:top w:val="nil"/>
              <w:left w:val="nil"/>
              <w:bottom w:val="nil"/>
              <w:right w:val="nil"/>
            </w:tcBorders>
            <w:shd w:val="clear" w:color="auto" w:fill="auto"/>
            <w:noWrap/>
            <w:vAlign w:val="bottom"/>
            <w:hideMark/>
          </w:tcPr>
          <w:p w14:paraId="3C61A218" w14:textId="07D70A3A" w:rsidR="00356917" w:rsidRPr="00090F0D" w:rsidRDefault="00356917" w:rsidP="00AC6DC1">
            <w:pPr>
              <w:rPr>
                <w:rFonts w:ascii="Times New Roman" w:hAnsi="Times New Roman" w:cs="Times New Roman"/>
                <w:color w:val="000000"/>
                <w:sz w:val="21"/>
                <w:szCs w:val="22"/>
              </w:rPr>
            </w:pPr>
            <w:r w:rsidRPr="00090F0D">
              <w:rPr>
                <w:rFonts w:ascii="Times New Roman" w:hAnsi="Times New Roman" w:cs="Times New Roman"/>
                <w:color w:val="000000"/>
                <w:sz w:val="21"/>
                <w:szCs w:val="22"/>
              </w:rPr>
              <w:t>³ Displayed as Name (KEGG identifier number); KEGG = Kyoto Encyclopedia of Genes and Genomes</w:t>
            </w:r>
          </w:p>
        </w:tc>
      </w:tr>
    </w:tbl>
    <w:p w14:paraId="7120F2E4" w14:textId="35F914B6" w:rsidR="00356917" w:rsidRPr="00A42976" w:rsidRDefault="00356917" w:rsidP="00356917">
      <w:pPr>
        <w:spacing w:line="480" w:lineRule="auto"/>
        <w:jc w:val="both"/>
        <w:rPr>
          <w:rFonts w:ascii="Times New Roman" w:hAnsi="Times New Roman" w:cs="Times New Roman"/>
        </w:rPr>
      </w:pPr>
    </w:p>
    <w:p w14:paraId="2F9C665B" w14:textId="1E0F7B8A" w:rsidR="00D27A7B" w:rsidRPr="00A42976" w:rsidRDefault="00D27A7B" w:rsidP="00356917">
      <w:pPr>
        <w:spacing w:line="480" w:lineRule="auto"/>
        <w:jc w:val="both"/>
        <w:rPr>
          <w:rFonts w:ascii="Times New Roman" w:hAnsi="Times New Roman" w:cs="Times New Roman"/>
        </w:rPr>
      </w:pPr>
    </w:p>
    <w:p w14:paraId="530325BD" w14:textId="04A84246" w:rsidR="00D27A7B" w:rsidRDefault="00D27A7B" w:rsidP="00D27A7B">
      <w:pPr>
        <w:jc w:val="both"/>
        <w:rPr>
          <w:rFonts w:ascii="Times New Roman" w:hAnsi="Times New Roman" w:cs="Times New Roman"/>
        </w:rPr>
      </w:pPr>
      <w:r w:rsidRPr="00C34188">
        <w:rPr>
          <w:rFonts w:ascii="Times New Roman" w:hAnsi="Times New Roman" w:cs="Times New Roman"/>
          <w:b/>
        </w:rPr>
        <w:t xml:space="preserve">Table </w:t>
      </w:r>
      <w:r w:rsidR="00C1269D" w:rsidRPr="00C34188">
        <w:rPr>
          <w:rFonts w:ascii="Times New Roman" w:hAnsi="Times New Roman" w:cs="Times New Roman"/>
          <w:b/>
        </w:rPr>
        <w:t>7</w:t>
      </w:r>
      <w:r w:rsidR="003B6B38">
        <w:rPr>
          <w:rFonts w:ascii="Times New Roman" w:hAnsi="Times New Roman" w:cs="Times New Roman"/>
          <w:b/>
        </w:rPr>
        <w:t>:</w:t>
      </w:r>
      <w:r w:rsidRPr="00C34188">
        <w:rPr>
          <w:rFonts w:ascii="Times New Roman" w:hAnsi="Times New Roman" w:cs="Times New Roman"/>
        </w:rPr>
        <w:t xml:space="preserve"> KEGG pathways significantly enriched with metabolites that were significantly correlated with animal weight.</w:t>
      </w:r>
    </w:p>
    <w:p w14:paraId="460328F5" w14:textId="77777777" w:rsidR="00600C14" w:rsidRPr="00C34188" w:rsidRDefault="00600C14" w:rsidP="00D27A7B">
      <w:pPr>
        <w:jc w:val="both"/>
        <w:rPr>
          <w:rFonts w:ascii="Times New Roman" w:hAnsi="Times New Roman" w:cs="Times New Roman"/>
        </w:rPr>
      </w:pPr>
    </w:p>
    <w:tbl>
      <w:tblPr>
        <w:tblStyle w:val="TableGrid"/>
        <w:tblW w:w="0" w:type="auto"/>
        <w:tblLook w:val="04A0" w:firstRow="1" w:lastRow="0" w:firstColumn="1" w:lastColumn="0" w:noHBand="0" w:noVBand="1"/>
      </w:tblPr>
      <w:tblGrid>
        <w:gridCol w:w="1075"/>
        <w:gridCol w:w="1710"/>
        <w:gridCol w:w="900"/>
        <w:gridCol w:w="1170"/>
        <w:gridCol w:w="3775"/>
      </w:tblGrid>
      <w:tr w:rsidR="00D27A7B" w:rsidRPr="005C3043" w14:paraId="5193ADC3" w14:textId="77777777" w:rsidTr="00D27A7B">
        <w:tc>
          <w:tcPr>
            <w:tcW w:w="1075" w:type="dxa"/>
            <w:vAlign w:val="center"/>
          </w:tcPr>
          <w:p w14:paraId="2B1BED9E" w14:textId="6A113027"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b/>
                <w:bCs/>
                <w:color w:val="000000"/>
                <w:sz w:val="18"/>
                <w:szCs w:val="18"/>
              </w:rPr>
              <w:t>Pathway</w:t>
            </w:r>
          </w:p>
        </w:tc>
        <w:tc>
          <w:tcPr>
            <w:tcW w:w="1710" w:type="dxa"/>
            <w:vAlign w:val="center"/>
          </w:tcPr>
          <w:p w14:paraId="7EFAAE0A" w14:textId="77777777" w:rsidR="00435127" w:rsidRPr="00C34188" w:rsidRDefault="00D27A7B" w:rsidP="00435127">
            <w:pPr>
              <w:jc w:val="center"/>
              <w:rPr>
                <w:rFonts w:ascii="Times New Roman" w:hAnsi="Times New Roman" w:cs="Times New Roman"/>
                <w:b/>
                <w:bCs/>
                <w:color w:val="000000"/>
                <w:sz w:val="18"/>
                <w:szCs w:val="18"/>
              </w:rPr>
            </w:pPr>
            <w:r w:rsidRPr="00C34188">
              <w:rPr>
                <w:rFonts w:ascii="Times New Roman" w:hAnsi="Times New Roman" w:cs="Times New Roman"/>
                <w:b/>
                <w:bCs/>
                <w:color w:val="000000"/>
                <w:sz w:val="18"/>
                <w:szCs w:val="18"/>
              </w:rPr>
              <w:t>Pathway</w:t>
            </w:r>
          </w:p>
          <w:p w14:paraId="69777DC5" w14:textId="3F28EC51"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b/>
                <w:bCs/>
                <w:color w:val="000000"/>
                <w:sz w:val="18"/>
                <w:szCs w:val="18"/>
              </w:rPr>
              <w:t>Name</w:t>
            </w:r>
          </w:p>
        </w:tc>
        <w:tc>
          <w:tcPr>
            <w:tcW w:w="900" w:type="dxa"/>
            <w:vAlign w:val="center"/>
          </w:tcPr>
          <w:p w14:paraId="2820D153" w14:textId="03DE429A"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b/>
                <w:bCs/>
                <w:color w:val="000000"/>
                <w:sz w:val="18"/>
                <w:szCs w:val="18"/>
              </w:rPr>
              <w:t>Match Status ¹</w:t>
            </w:r>
          </w:p>
        </w:tc>
        <w:tc>
          <w:tcPr>
            <w:tcW w:w="1170" w:type="dxa"/>
            <w:vAlign w:val="center"/>
          </w:tcPr>
          <w:p w14:paraId="0E0B2011" w14:textId="00ADCCF7"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b/>
                <w:bCs/>
                <w:color w:val="000000"/>
                <w:sz w:val="18"/>
                <w:szCs w:val="18"/>
              </w:rPr>
              <w:t>FDR ²</w:t>
            </w:r>
          </w:p>
        </w:tc>
        <w:tc>
          <w:tcPr>
            <w:tcW w:w="3775" w:type="dxa"/>
            <w:vAlign w:val="center"/>
          </w:tcPr>
          <w:p w14:paraId="2F2BD220" w14:textId="77777777" w:rsidR="00435127" w:rsidRPr="00C34188" w:rsidRDefault="00D27A7B" w:rsidP="00435127">
            <w:pPr>
              <w:jc w:val="center"/>
              <w:rPr>
                <w:rFonts w:ascii="Times New Roman" w:hAnsi="Times New Roman" w:cs="Times New Roman"/>
                <w:b/>
                <w:bCs/>
                <w:color w:val="000000"/>
                <w:sz w:val="18"/>
                <w:szCs w:val="18"/>
              </w:rPr>
            </w:pPr>
            <w:r w:rsidRPr="00C34188">
              <w:rPr>
                <w:rFonts w:ascii="Times New Roman" w:hAnsi="Times New Roman" w:cs="Times New Roman"/>
                <w:b/>
                <w:bCs/>
                <w:color w:val="000000"/>
                <w:sz w:val="18"/>
                <w:szCs w:val="18"/>
              </w:rPr>
              <w:t>Differentially Abundant</w:t>
            </w:r>
          </w:p>
          <w:p w14:paraId="5BD9E785" w14:textId="1FFEBF56"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b/>
                <w:bCs/>
                <w:color w:val="000000"/>
                <w:sz w:val="18"/>
                <w:szCs w:val="18"/>
              </w:rPr>
              <w:t>Metabolites in Pathway ³</w:t>
            </w:r>
          </w:p>
        </w:tc>
      </w:tr>
      <w:tr w:rsidR="00D27A7B" w:rsidRPr="005C3043" w14:paraId="7AC4DBE7" w14:textId="77777777" w:rsidTr="00D27A7B">
        <w:tc>
          <w:tcPr>
            <w:tcW w:w="1075" w:type="dxa"/>
            <w:vAlign w:val="center"/>
          </w:tcPr>
          <w:p w14:paraId="297DE084" w14:textId="0AFF0CE7"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bta00220</w:t>
            </w:r>
          </w:p>
        </w:tc>
        <w:tc>
          <w:tcPr>
            <w:tcW w:w="1710" w:type="dxa"/>
            <w:vAlign w:val="center"/>
          </w:tcPr>
          <w:p w14:paraId="5D1AF727" w14:textId="109AAD71"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Arginine biosynthesis</w:t>
            </w:r>
          </w:p>
        </w:tc>
        <w:tc>
          <w:tcPr>
            <w:tcW w:w="900" w:type="dxa"/>
            <w:vAlign w:val="center"/>
          </w:tcPr>
          <w:p w14:paraId="6E886CC8" w14:textId="18FC76CF"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7 of 14</w:t>
            </w:r>
          </w:p>
        </w:tc>
        <w:tc>
          <w:tcPr>
            <w:tcW w:w="1170" w:type="dxa"/>
            <w:vAlign w:val="center"/>
          </w:tcPr>
          <w:p w14:paraId="02C217CA" w14:textId="16E847DD" w:rsidR="00D27A7B" w:rsidRPr="000B5F79" w:rsidRDefault="00D27A7B" w:rsidP="00435127">
            <w:pPr>
              <w:jc w:val="center"/>
              <w:rPr>
                <w:rFonts w:ascii="Times New Roman" w:hAnsi="Times New Roman" w:cs="Times New Roman"/>
                <w:sz w:val="18"/>
                <w:szCs w:val="18"/>
              </w:rPr>
            </w:pPr>
            <w:r w:rsidRPr="00A42976">
              <w:rPr>
                <w:rFonts w:ascii="Times New Roman" w:hAnsi="Times New Roman" w:cs="Times New Roman"/>
                <w:sz w:val="18"/>
                <w:szCs w:val="18"/>
              </w:rPr>
              <w:t xml:space="preserve">&lt; </w:t>
            </w:r>
            <w:r w:rsidRPr="000B5F79">
              <w:rPr>
                <w:rFonts w:ascii="Times New Roman" w:hAnsi="Times New Roman" w:cs="Times New Roman"/>
                <w:sz w:val="18"/>
                <w:szCs w:val="18"/>
              </w:rPr>
              <w:t>0.001</w:t>
            </w:r>
          </w:p>
        </w:tc>
        <w:tc>
          <w:tcPr>
            <w:tcW w:w="3775" w:type="dxa"/>
            <w:vAlign w:val="center"/>
          </w:tcPr>
          <w:p w14:paraId="6B175FD8" w14:textId="0DCBADB5"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L-Glutamate (C00025); L-Arginine (C00062); N-Acetylornithine (C00437), L-Citrulline (C00327), L-Ornithine (C00077), L-Glutamine (C00064); α-ketoglutarate (C00026)</w:t>
            </w:r>
          </w:p>
        </w:tc>
      </w:tr>
      <w:tr w:rsidR="00D27A7B" w:rsidRPr="005C3043" w14:paraId="0E7CACE8" w14:textId="77777777" w:rsidTr="00D27A7B">
        <w:tc>
          <w:tcPr>
            <w:tcW w:w="1075" w:type="dxa"/>
            <w:vAlign w:val="center"/>
          </w:tcPr>
          <w:p w14:paraId="6D351631" w14:textId="681A6076"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bta00970</w:t>
            </w:r>
          </w:p>
        </w:tc>
        <w:tc>
          <w:tcPr>
            <w:tcW w:w="1710" w:type="dxa"/>
            <w:vAlign w:val="center"/>
          </w:tcPr>
          <w:p w14:paraId="28A13795" w14:textId="56F378AA"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Aminoacyl-tRNA biosynthesis</w:t>
            </w:r>
          </w:p>
        </w:tc>
        <w:tc>
          <w:tcPr>
            <w:tcW w:w="900" w:type="dxa"/>
            <w:vAlign w:val="center"/>
          </w:tcPr>
          <w:p w14:paraId="4BDE2A9E" w14:textId="5568FDE1"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11 of 48</w:t>
            </w:r>
          </w:p>
        </w:tc>
        <w:tc>
          <w:tcPr>
            <w:tcW w:w="1170" w:type="dxa"/>
            <w:vAlign w:val="center"/>
          </w:tcPr>
          <w:p w14:paraId="2515C0EC" w14:textId="01B8135E"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&lt; 0.001</w:t>
            </w:r>
          </w:p>
        </w:tc>
        <w:tc>
          <w:tcPr>
            <w:tcW w:w="3775" w:type="dxa"/>
            <w:vAlign w:val="center"/>
          </w:tcPr>
          <w:p w14:paraId="4E96E930" w14:textId="59D3A0D7"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L-Asparagine (C00152), L-Phenylalanine (C00079); L-Arginine (C00062); L-Glutamine (C00064), Glycine (C00037), L-Methionine (C00073), L-</w:t>
            </w:r>
            <w:proofErr w:type="spellStart"/>
            <w:r w:rsidRPr="00C34188">
              <w:rPr>
                <w:rFonts w:ascii="Times New Roman" w:hAnsi="Times New Roman" w:cs="Times New Roman"/>
                <w:color w:val="000000"/>
                <w:sz w:val="18"/>
                <w:szCs w:val="18"/>
              </w:rPr>
              <w:t>Lycine</w:t>
            </w:r>
            <w:proofErr w:type="spellEnd"/>
            <w:r w:rsidRPr="00C34188">
              <w:rPr>
                <w:rFonts w:ascii="Times New Roman" w:hAnsi="Times New Roman" w:cs="Times New Roman"/>
                <w:color w:val="000000"/>
                <w:sz w:val="18"/>
                <w:szCs w:val="18"/>
              </w:rPr>
              <w:t xml:space="preserve"> (C00047), L-Tryptophan (C00078), L-Tyrosine (C00082); L-Proline (C00148); L-Glutamate (C00025)</w:t>
            </w:r>
          </w:p>
        </w:tc>
      </w:tr>
      <w:tr w:rsidR="00D27A7B" w:rsidRPr="005C3043" w14:paraId="6B77283A" w14:textId="77777777" w:rsidTr="00D27A7B">
        <w:tc>
          <w:tcPr>
            <w:tcW w:w="1075" w:type="dxa"/>
            <w:vAlign w:val="center"/>
          </w:tcPr>
          <w:p w14:paraId="60020B48" w14:textId="759EB868"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bta00330</w:t>
            </w:r>
          </w:p>
        </w:tc>
        <w:tc>
          <w:tcPr>
            <w:tcW w:w="1710" w:type="dxa"/>
            <w:vAlign w:val="center"/>
          </w:tcPr>
          <w:p w14:paraId="4977C28A" w14:textId="7AB47BA4"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Arginine and proline metabolism</w:t>
            </w:r>
          </w:p>
        </w:tc>
        <w:tc>
          <w:tcPr>
            <w:tcW w:w="900" w:type="dxa"/>
            <w:vAlign w:val="center"/>
          </w:tcPr>
          <w:p w14:paraId="126F0BDE" w14:textId="78F832E4"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7 of 38</w:t>
            </w:r>
          </w:p>
        </w:tc>
        <w:tc>
          <w:tcPr>
            <w:tcW w:w="1170" w:type="dxa"/>
            <w:vAlign w:val="center"/>
          </w:tcPr>
          <w:p w14:paraId="4926EE0F" w14:textId="64C55FD1"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0.007</w:t>
            </w:r>
          </w:p>
        </w:tc>
        <w:tc>
          <w:tcPr>
            <w:tcW w:w="3775" w:type="dxa"/>
            <w:vAlign w:val="center"/>
          </w:tcPr>
          <w:p w14:paraId="758787F1" w14:textId="02F9D309"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L-Arginine (C00062), Creatine (C00300), Hydroxyproline (C00148); L-Proline (C00148), L-Glutamate (C00025), L-Ornithine (C00077), Pyruvate (C00022)</w:t>
            </w:r>
          </w:p>
        </w:tc>
      </w:tr>
      <w:tr w:rsidR="00D27A7B" w:rsidRPr="005C3043" w14:paraId="1CE76962" w14:textId="77777777" w:rsidTr="00D27A7B">
        <w:tc>
          <w:tcPr>
            <w:tcW w:w="1075" w:type="dxa"/>
            <w:vAlign w:val="center"/>
          </w:tcPr>
          <w:p w14:paraId="554F26B0" w14:textId="4521A848"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222222"/>
                <w:sz w:val="18"/>
                <w:szCs w:val="18"/>
              </w:rPr>
              <w:t>bta00471</w:t>
            </w:r>
          </w:p>
        </w:tc>
        <w:tc>
          <w:tcPr>
            <w:tcW w:w="1710" w:type="dxa"/>
            <w:vAlign w:val="center"/>
          </w:tcPr>
          <w:p w14:paraId="588C2440" w14:textId="3741ABD9"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D-Glutamine and D-Glutamate metabolism</w:t>
            </w:r>
          </w:p>
        </w:tc>
        <w:tc>
          <w:tcPr>
            <w:tcW w:w="900" w:type="dxa"/>
            <w:vAlign w:val="center"/>
          </w:tcPr>
          <w:p w14:paraId="13577DD3" w14:textId="6D6A7E91"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3 of 5</w:t>
            </w:r>
          </w:p>
        </w:tc>
        <w:tc>
          <w:tcPr>
            <w:tcW w:w="1170" w:type="dxa"/>
            <w:vAlign w:val="center"/>
          </w:tcPr>
          <w:p w14:paraId="1E82C193" w14:textId="29867F9B"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0.008</w:t>
            </w:r>
          </w:p>
        </w:tc>
        <w:tc>
          <w:tcPr>
            <w:tcW w:w="3775" w:type="dxa"/>
            <w:vAlign w:val="center"/>
          </w:tcPr>
          <w:p w14:paraId="1948E78A" w14:textId="27DA2BC3"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L-Glutamate (C00025</w:t>
            </w:r>
            <w:proofErr w:type="gramStart"/>
            <w:r w:rsidRPr="00C34188">
              <w:rPr>
                <w:rFonts w:ascii="Times New Roman" w:hAnsi="Times New Roman" w:cs="Times New Roman"/>
                <w:color w:val="000000"/>
                <w:sz w:val="18"/>
                <w:szCs w:val="18"/>
              </w:rPr>
              <w:t>);  L</w:t>
            </w:r>
            <w:proofErr w:type="gramEnd"/>
            <w:r w:rsidRPr="00C34188">
              <w:rPr>
                <w:rFonts w:ascii="Times New Roman" w:hAnsi="Times New Roman" w:cs="Times New Roman"/>
                <w:color w:val="000000"/>
                <w:sz w:val="18"/>
                <w:szCs w:val="18"/>
              </w:rPr>
              <w:t>-Glutamine (C00064); α-ketoglutarate (C00026)</w:t>
            </w:r>
          </w:p>
        </w:tc>
      </w:tr>
      <w:tr w:rsidR="00D27A7B" w:rsidRPr="005C3043" w14:paraId="2C20DA76" w14:textId="77777777" w:rsidTr="00D27A7B">
        <w:tc>
          <w:tcPr>
            <w:tcW w:w="1075" w:type="dxa"/>
            <w:vAlign w:val="center"/>
          </w:tcPr>
          <w:p w14:paraId="74C29CAE" w14:textId="65155A5A"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bta00020</w:t>
            </w:r>
          </w:p>
        </w:tc>
        <w:tc>
          <w:tcPr>
            <w:tcW w:w="1710" w:type="dxa"/>
            <w:vAlign w:val="center"/>
          </w:tcPr>
          <w:p w14:paraId="6901B55F" w14:textId="246C0855"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Citrate cycle (TCA cycle)</w:t>
            </w:r>
          </w:p>
        </w:tc>
        <w:tc>
          <w:tcPr>
            <w:tcW w:w="900" w:type="dxa"/>
            <w:vAlign w:val="center"/>
          </w:tcPr>
          <w:p w14:paraId="0197E897" w14:textId="5F886098"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5 of 20</w:t>
            </w:r>
          </w:p>
        </w:tc>
        <w:tc>
          <w:tcPr>
            <w:tcW w:w="1170" w:type="dxa"/>
            <w:vAlign w:val="center"/>
          </w:tcPr>
          <w:p w14:paraId="3BC28B9F" w14:textId="0DEE9E82"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0.008</w:t>
            </w:r>
          </w:p>
        </w:tc>
        <w:tc>
          <w:tcPr>
            <w:tcW w:w="3775" w:type="dxa"/>
            <w:vAlign w:val="center"/>
          </w:tcPr>
          <w:p w14:paraId="31733765" w14:textId="16439B4D"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α-ketoglutarate (C00026), S-Malate (C00149); cis-Aconitate (C00417), Pyruvate (C00022), Phosphoenolpyruvate (C00074)</w:t>
            </w:r>
          </w:p>
        </w:tc>
      </w:tr>
      <w:tr w:rsidR="00D27A7B" w:rsidRPr="005C3043" w14:paraId="325E7899" w14:textId="77777777" w:rsidTr="00D27A7B">
        <w:tc>
          <w:tcPr>
            <w:tcW w:w="1075" w:type="dxa"/>
            <w:vAlign w:val="center"/>
          </w:tcPr>
          <w:p w14:paraId="0369A043" w14:textId="7F38102C"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bta00630</w:t>
            </w:r>
          </w:p>
        </w:tc>
        <w:tc>
          <w:tcPr>
            <w:tcW w:w="1710" w:type="dxa"/>
            <w:vAlign w:val="center"/>
          </w:tcPr>
          <w:p w14:paraId="0635D115" w14:textId="142D9895"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Glyoxylate and dicarboxylate metabolism</w:t>
            </w:r>
          </w:p>
        </w:tc>
        <w:tc>
          <w:tcPr>
            <w:tcW w:w="900" w:type="dxa"/>
            <w:vAlign w:val="center"/>
          </w:tcPr>
          <w:p w14:paraId="59A2C295" w14:textId="344354F6"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6 of 32</w:t>
            </w:r>
          </w:p>
        </w:tc>
        <w:tc>
          <w:tcPr>
            <w:tcW w:w="1170" w:type="dxa"/>
            <w:vAlign w:val="center"/>
          </w:tcPr>
          <w:p w14:paraId="540FB18F" w14:textId="161F2A20"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0.009</w:t>
            </w:r>
          </w:p>
        </w:tc>
        <w:tc>
          <w:tcPr>
            <w:tcW w:w="3775" w:type="dxa"/>
            <w:vAlign w:val="center"/>
          </w:tcPr>
          <w:p w14:paraId="791B9635" w14:textId="449FCF69"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cis-Aconitate (C00417), S-Malate (C00149), Glycine (C00037), L-Glutamate (C00025), Pyruvate (C00022), L-Glutamine (C00064)</w:t>
            </w:r>
          </w:p>
        </w:tc>
      </w:tr>
      <w:tr w:rsidR="00D27A7B" w:rsidRPr="005C3043" w14:paraId="65B39029" w14:textId="77777777" w:rsidTr="00D27A7B">
        <w:tc>
          <w:tcPr>
            <w:tcW w:w="1075" w:type="dxa"/>
            <w:vAlign w:val="center"/>
          </w:tcPr>
          <w:p w14:paraId="6D455D78" w14:textId="24D17441"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bta00240</w:t>
            </w:r>
          </w:p>
        </w:tc>
        <w:tc>
          <w:tcPr>
            <w:tcW w:w="1710" w:type="dxa"/>
            <w:vAlign w:val="center"/>
          </w:tcPr>
          <w:p w14:paraId="191FC745" w14:textId="03C25D69"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Pyrimidine metabolism</w:t>
            </w:r>
          </w:p>
        </w:tc>
        <w:tc>
          <w:tcPr>
            <w:tcW w:w="900" w:type="dxa"/>
            <w:vAlign w:val="center"/>
          </w:tcPr>
          <w:p w14:paraId="732C7383" w14:textId="528627D6"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6 of 38</w:t>
            </w:r>
          </w:p>
        </w:tc>
        <w:tc>
          <w:tcPr>
            <w:tcW w:w="1170" w:type="dxa"/>
            <w:vAlign w:val="center"/>
          </w:tcPr>
          <w:p w14:paraId="0B585371" w14:textId="7FB31A66"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0.019</w:t>
            </w:r>
          </w:p>
        </w:tc>
        <w:tc>
          <w:tcPr>
            <w:tcW w:w="3775" w:type="dxa"/>
            <w:vAlign w:val="center"/>
          </w:tcPr>
          <w:p w14:paraId="5685CA6D" w14:textId="615573B5"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L-Glutamine (C00064), Uridine (C00299), Cytidine (C00475), Deoxy</w:t>
            </w:r>
            <w:r w:rsidR="006521DC" w:rsidRPr="00C34188">
              <w:rPr>
                <w:rFonts w:ascii="Times New Roman" w:hAnsi="Times New Roman" w:cs="Times New Roman"/>
                <w:color w:val="000000"/>
                <w:sz w:val="18"/>
                <w:szCs w:val="18"/>
              </w:rPr>
              <w:t>c</w:t>
            </w:r>
            <w:r w:rsidRPr="00C34188">
              <w:rPr>
                <w:rFonts w:ascii="Times New Roman" w:hAnsi="Times New Roman" w:cs="Times New Roman"/>
                <w:color w:val="000000"/>
                <w:sz w:val="18"/>
                <w:szCs w:val="18"/>
              </w:rPr>
              <w:t>ytidine (C00475), Orotate (C00295); Uracil (C00106)</w:t>
            </w:r>
          </w:p>
        </w:tc>
      </w:tr>
      <w:tr w:rsidR="00D27A7B" w:rsidRPr="005C3043" w14:paraId="2356798F" w14:textId="77777777" w:rsidTr="00D27A7B">
        <w:tc>
          <w:tcPr>
            <w:tcW w:w="1075" w:type="dxa"/>
            <w:vAlign w:val="center"/>
          </w:tcPr>
          <w:p w14:paraId="34AE698F" w14:textId="0B4F615D"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bta00250</w:t>
            </w:r>
          </w:p>
        </w:tc>
        <w:tc>
          <w:tcPr>
            <w:tcW w:w="1710" w:type="dxa"/>
            <w:vAlign w:val="center"/>
          </w:tcPr>
          <w:p w14:paraId="221465AC" w14:textId="53D6EF1D"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 xml:space="preserve">Alanine, </w:t>
            </w:r>
            <w:proofErr w:type="gramStart"/>
            <w:r w:rsidRPr="00C34188">
              <w:rPr>
                <w:rFonts w:ascii="Times New Roman" w:hAnsi="Times New Roman" w:cs="Times New Roman"/>
                <w:color w:val="000000"/>
                <w:sz w:val="18"/>
                <w:szCs w:val="18"/>
              </w:rPr>
              <w:t>aspartate</w:t>
            </w:r>
            <w:proofErr w:type="gramEnd"/>
            <w:r w:rsidRPr="00C34188">
              <w:rPr>
                <w:rFonts w:ascii="Times New Roman" w:hAnsi="Times New Roman" w:cs="Times New Roman"/>
                <w:color w:val="000000"/>
                <w:sz w:val="18"/>
                <w:szCs w:val="18"/>
              </w:rPr>
              <w:t xml:space="preserve"> and glutamate metabolism</w:t>
            </w:r>
          </w:p>
        </w:tc>
        <w:tc>
          <w:tcPr>
            <w:tcW w:w="900" w:type="dxa"/>
            <w:vAlign w:val="center"/>
          </w:tcPr>
          <w:p w14:paraId="038D3F58" w14:textId="4511030D"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5 of 28</w:t>
            </w:r>
          </w:p>
        </w:tc>
        <w:tc>
          <w:tcPr>
            <w:tcW w:w="1170" w:type="dxa"/>
            <w:vAlign w:val="center"/>
          </w:tcPr>
          <w:p w14:paraId="5CC3CDDC" w14:textId="38AEED74"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0.024</w:t>
            </w:r>
          </w:p>
        </w:tc>
        <w:tc>
          <w:tcPr>
            <w:tcW w:w="3775" w:type="dxa"/>
            <w:vAlign w:val="center"/>
          </w:tcPr>
          <w:p w14:paraId="5EBD6848" w14:textId="26CE4FC5"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Asparagine (C00152), L-Glutamate (C00025</w:t>
            </w:r>
            <w:proofErr w:type="gramStart"/>
            <w:r w:rsidRPr="00C34188">
              <w:rPr>
                <w:rFonts w:ascii="Times New Roman" w:hAnsi="Times New Roman" w:cs="Times New Roman"/>
                <w:color w:val="000000"/>
                <w:sz w:val="18"/>
                <w:szCs w:val="18"/>
              </w:rPr>
              <w:t>),  L</w:t>
            </w:r>
            <w:proofErr w:type="gramEnd"/>
            <w:r w:rsidRPr="00C34188">
              <w:rPr>
                <w:rFonts w:ascii="Times New Roman" w:hAnsi="Times New Roman" w:cs="Times New Roman"/>
                <w:color w:val="000000"/>
                <w:sz w:val="18"/>
                <w:szCs w:val="18"/>
              </w:rPr>
              <w:t>-Glutamine (C00064), Pyruvate (C00022), α-ketoglutarate (C00026)</w:t>
            </w:r>
          </w:p>
        </w:tc>
      </w:tr>
      <w:tr w:rsidR="00D27A7B" w:rsidRPr="005C3043" w14:paraId="2C29A01B" w14:textId="77777777" w:rsidTr="00D27A7B">
        <w:tc>
          <w:tcPr>
            <w:tcW w:w="1075" w:type="dxa"/>
            <w:vAlign w:val="center"/>
          </w:tcPr>
          <w:p w14:paraId="47822FE7" w14:textId="1265964A"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bta00270</w:t>
            </w:r>
          </w:p>
        </w:tc>
        <w:tc>
          <w:tcPr>
            <w:tcW w:w="1710" w:type="dxa"/>
            <w:vAlign w:val="center"/>
          </w:tcPr>
          <w:p w14:paraId="6874794C" w14:textId="1669882E"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Cysteine and methionine metabolism</w:t>
            </w:r>
          </w:p>
        </w:tc>
        <w:tc>
          <w:tcPr>
            <w:tcW w:w="900" w:type="dxa"/>
            <w:vAlign w:val="center"/>
          </w:tcPr>
          <w:p w14:paraId="575E4448" w14:textId="699A13F7"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5 of 33</w:t>
            </w:r>
          </w:p>
        </w:tc>
        <w:tc>
          <w:tcPr>
            <w:tcW w:w="1170" w:type="dxa"/>
            <w:vAlign w:val="center"/>
          </w:tcPr>
          <w:p w14:paraId="566E58AB" w14:textId="56FCE0F7"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0.046</w:t>
            </w:r>
          </w:p>
        </w:tc>
        <w:tc>
          <w:tcPr>
            <w:tcW w:w="3775" w:type="dxa"/>
            <w:vAlign w:val="center"/>
          </w:tcPr>
          <w:p w14:paraId="624C8225" w14:textId="3E4F55B2"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 xml:space="preserve">L-Homocysteine (C00155); L-Methionine (C00073), L-Cystine (C00491), Pyruvate (C00022), </w:t>
            </w:r>
            <w:proofErr w:type="spellStart"/>
            <w:r w:rsidRPr="00C34188">
              <w:rPr>
                <w:rFonts w:ascii="Times New Roman" w:hAnsi="Times New Roman" w:cs="Times New Roman"/>
                <w:color w:val="000000"/>
                <w:sz w:val="18"/>
                <w:szCs w:val="18"/>
              </w:rPr>
              <w:t>Ophthalmate</w:t>
            </w:r>
            <w:proofErr w:type="spellEnd"/>
          </w:p>
        </w:tc>
      </w:tr>
      <w:tr w:rsidR="00D27A7B" w:rsidRPr="005C3043" w14:paraId="379A57FB" w14:textId="77777777" w:rsidTr="00D27A7B">
        <w:tc>
          <w:tcPr>
            <w:tcW w:w="1075" w:type="dxa"/>
            <w:vAlign w:val="center"/>
          </w:tcPr>
          <w:p w14:paraId="53EFFD68" w14:textId="04977212"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bta00400</w:t>
            </w:r>
          </w:p>
        </w:tc>
        <w:tc>
          <w:tcPr>
            <w:tcW w:w="1710" w:type="dxa"/>
            <w:vAlign w:val="center"/>
          </w:tcPr>
          <w:p w14:paraId="38D95134" w14:textId="40FFDF4D"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Phenylalanine, tyrosine, and tryptophan biosynthesis</w:t>
            </w:r>
          </w:p>
        </w:tc>
        <w:tc>
          <w:tcPr>
            <w:tcW w:w="900" w:type="dxa"/>
            <w:vAlign w:val="center"/>
          </w:tcPr>
          <w:p w14:paraId="040D0A3E" w14:textId="332660BE"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2 of 4</w:t>
            </w:r>
          </w:p>
        </w:tc>
        <w:tc>
          <w:tcPr>
            <w:tcW w:w="1170" w:type="dxa"/>
            <w:vAlign w:val="center"/>
          </w:tcPr>
          <w:p w14:paraId="034E918B" w14:textId="625A35B5"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0.058</w:t>
            </w:r>
          </w:p>
        </w:tc>
        <w:tc>
          <w:tcPr>
            <w:tcW w:w="3775" w:type="dxa"/>
            <w:vAlign w:val="center"/>
          </w:tcPr>
          <w:p w14:paraId="78322AA1" w14:textId="5E4362F5" w:rsidR="00D27A7B" w:rsidRPr="00A42976" w:rsidRDefault="00D27A7B" w:rsidP="00435127">
            <w:pPr>
              <w:jc w:val="center"/>
              <w:rPr>
                <w:rFonts w:ascii="Times New Roman" w:hAnsi="Times New Roman" w:cs="Times New Roman"/>
                <w:sz w:val="18"/>
                <w:szCs w:val="18"/>
              </w:rPr>
            </w:pPr>
            <w:r w:rsidRPr="00C34188">
              <w:rPr>
                <w:rFonts w:ascii="Times New Roman" w:hAnsi="Times New Roman" w:cs="Times New Roman"/>
                <w:color w:val="000000"/>
                <w:sz w:val="18"/>
                <w:szCs w:val="18"/>
              </w:rPr>
              <w:t>L-Phenylalanine (C00079); L-Tyrosine (C00082)</w:t>
            </w:r>
          </w:p>
        </w:tc>
      </w:tr>
    </w:tbl>
    <w:tbl>
      <w:tblPr>
        <w:tblW w:w="9360" w:type="dxa"/>
        <w:tblLook w:val="04A0" w:firstRow="1" w:lastRow="0" w:firstColumn="1" w:lastColumn="0" w:noHBand="0" w:noVBand="1"/>
      </w:tblPr>
      <w:tblGrid>
        <w:gridCol w:w="9360"/>
      </w:tblGrid>
      <w:tr w:rsidR="00D27A7B" w:rsidRPr="005C3043" w14:paraId="749B50D5" w14:textId="77777777" w:rsidTr="00D27A7B">
        <w:trPr>
          <w:trHeight w:val="312"/>
        </w:trPr>
        <w:tc>
          <w:tcPr>
            <w:tcW w:w="9360" w:type="dxa"/>
            <w:tcBorders>
              <w:top w:val="nil"/>
              <w:left w:val="nil"/>
              <w:bottom w:val="nil"/>
              <w:right w:val="nil"/>
            </w:tcBorders>
            <w:shd w:val="clear" w:color="auto" w:fill="auto"/>
            <w:noWrap/>
            <w:vAlign w:val="bottom"/>
            <w:hideMark/>
          </w:tcPr>
          <w:p w14:paraId="1889AC15" w14:textId="77777777" w:rsidR="00D27A7B" w:rsidRPr="00C34188" w:rsidRDefault="00D27A7B" w:rsidP="00D27A7B">
            <w:pPr>
              <w:rPr>
                <w:rFonts w:ascii="Times New Roman" w:hAnsi="Times New Roman" w:cs="Times New Roman"/>
                <w:color w:val="000000"/>
                <w:sz w:val="20"/>
              </w:rPr>
            </w:pPr>
            <w:r w:rsidRPr="00C34188">
              <w:rPr>
                <w:rFonts w:ascii="Times New Roman" w:hAnsi="Times New Roman" w:cs="Times New Roman"/>
                <w:color w:val="000000"/>
                <w:sz w:val="20"/>
              </w:rPr>
              <w:t>¹ Number of differentially abundant metabolites in pathway/total number of metabolites in pathway</w:t>
            </w:r>
          </w:p>
        </w:tc>
      </w:tr>
      <w:tr w:rsidR="00D27A7B" w:rsidRPr="005C3043" w14:paraId="0A16BA62" w14:textId="77777777" w:rsidTr="00D27A7B">
        <w:trPr>
          <w:trHeight w:val="312"/>
        </w:trPr>
        <w:tc>
          <w:tcPr>
            <w:tcW w:w="9360" w:type="dxa"/>
            <w:tcBorders>
              <w:top w:val="nil"/>
              <w:left w:val="nil"/>
              <w:bottom w:val="nil"/>
              <w:right w:val="nil"/>
            </w:tcBorders>
            <w:shd w:val="clear" w:color="auto" w:fill="auto"/>
            <w:noWrap/>
            <w:vAlign w:val="bottom"/>
            <w:hideMark/>
          </w:tcPr>
          <w:p w14:paraId="0578E5DB" w14:textId="77777777" w:rsidR="00D27A7B" w:rsidRPr="00C34188" w:rsidRDefault="00D27A7B" w:rsidP="00D27A7B">
            <w:pPr>
              <w:rPr>
                <w:rFonts w:ascii="Times New Roman" w:hAnsi="Times New Roman" w:cs="Times New Roman"/>
                <w:color w:val="000000"/>
                <w:sz w:val="20"/>
              </w:rPr>
            </w:pPr>
            <w:r w:rsidRPr="00C34188">
              <w:rPr>
                <w:rFonts w:ascii="Times New Roman" w:hAnsi="Times New Roman" w:cs="Times New Roman"/>
                <w:color w:val="000000"/>
                <w:sz w:val="20"/>
              </w:rPr>
              <w:t>² FDR = False Discovery Rate</w:t>
            </w:r>
          </w:p>
        </w:tc>
      </w:tr>
      <w:tr w:rsidR="00D27A7B" w:rsidRPr="005C3043" w14:paraId="7FB91C98" w14:textId="77777777" w:rsidTr="00D27A7B">
        <w:trPr>
          <w:trHeight w:val="312"/>
        </w:trPr>
        <w:tc>
          <w:tcPr>
            <w:tcW w:w="9360" w:type="dxa"/>
            <w:tcBorders>
              <w:top w:val="nil"/>
              <w:left w:val="nil"/>
              <w:bottom w:val="nil"/>
              <w:right w:val="nil"/>
            </w:tcBorders>
            <w:shd w:val="clear" w:color="auto" w:fill="auto"/>
            <w:noWrap/>
            <w:vAlign w:val="bottom"/>
            <w:hideMark/>
          </w:tcPr>
          <w:p w14:paraId="24F90171" w14:textId="77777777" w:rsidR="00D27A7B" w:rsidRPr="00C34188" w:rsidRDefault="00D27A7B" w:rsidP="00D27A7B">
            <w:pPr>
              <w:rPr>
                <w:rFonts w:ascii="Times New Roman" w:hAnsi="Times New Roman" w:cs="Times New Roman"/>
                <w:color w:val="000000"/>
                <w:sz w:val="20"/>
              </w:rPr>
            </w:pPr>
            <w:r w:rsidRPr="00C34188">
              <w:rPr>
                <w:rFonts w:ascii="Times New Roman" w:hAnsi="Times New Roman" w:cs="Times New Roman"/>
                <w:color w:val="000000"/>
                <w:sz w:val="20"/>
              </w:rPr>
              <w:t>³ Displayed as Name (KEGG identifier number); KEGG = Kyoto Encyclopedia of Genes and Genomes</w:t>
            </w:r>
          </w:p>
        </w:tc>
      </w:tr>
    </w:tbl>
    <w:p w14:paraId="50B2A529" w14:textId="115D7C38" w:rsidR="00D27A7B" w:rsidRDefault="00D27A7B" w:rsidP="00356917">
      <w:pPr>
        <w:spacing w:line="480" w:lineRule="auto"/>
        <w:jc w:val="both"/>
        <w:rPr>
          <w:rFonts w:ascii="Times New Roman" w:hAnsi="Times New Roman" w:cs="Times New Roman"/>
          <w:sz w:val="22"/>
        </w:rPr>
      </w:pPr>
    </w:p>
    <w:p w14:paraId="4A731DAD" w14:textId="3D464B91" w:rsidR="0048278A" w:rsidRDefault="0048278A" w:rsidP="00356917">
      <w:pPr>
        <w:spacing w:line="480" w:lineRule="auto"/>
        <w:jc w:val="both"/>
        <w:rPr>
          <w:rFonts w:ascii="Times New Roman" w:hAnsi="Times New Roman" w:cs="Times New Roman"/>
          <w:sz w:val="22"/>
        </w:rPr>
      </w:pPr>
    </w:p>
    <w:p w14:paraId="4CCDCBB9" w14:textId="0E0D4E14" w:rsidR="0048278A" w:rsidRDefault="0048278A" w:rsidP="00356917">
      <w:pPr>
        <w:spacing w:line="480" w:lineRule="auto"/>
        <w:jc w:val="both"/>
        <w:rPr>
          <w:rFonts w:ascii="Times New Roman" w:hAnsi="Times New Roman" w:cs="Times New Roman"/>
          <w:sz w:val="22"/>
        </w:rPr>
      </w:pPr>
    </w:p>
    <w:p w14:paraId="2F790EE3" w14:textId="523CE817" w:rsidR="0048278A" w:rsidRDefault="0048278A" w:rsidP="00356917">
      <w:pPr>
        <w:spacing w:line="480" w:lineRule="auto"/>
        <w:jc w:val="both"/>
        <w:rPr>
          <w:rFonts w:ascii="Times New Roman" w:hAnsi="Times New Roman" w:cs="Times New Roman"/>
          <w:sz w:val="22"/>
        </w:rPr>
      </w:pPr>
    </w:p>
    <w:p w14:paraId="05A09B17" w14:textId="7D6A87EF" w:rsidR="0048278A" w:rsidRDefault="0048278A" w:rsidP="00356917">
      <w:pPr>
        <w:spacing w:line="480" w:lineRule="auto"/>
        <w:jc w:val="both"/>
        <w:rPr>
          <w:rFonts w:ascii="Times New Roman" w:hAnsi="Times New Roman" w:cs="Times New Roman"/>
          <w:sz w:val="22"/>
        </w:rPr>
      </w:pPr>
    </w:p>
    <w:p w14:paraId="7AEDE012" w14:textId="77777777" w:rsidR="0048278A" w:rsidRPr="00A42976" w:rsidRDefault="0048278A" w:rsidP="00356917">
      <w:pPr>
        <w:spacing w:line="480" w:lineRule="auto"/>
        <w:jc w:val="both"/>
        <w:rPr>
          <w:rFonts w:ascii="Times New Roman" w:hAnsi="Times New Roman" w:cs="Times New Roman"/>
          <w:sz w:val="22"/>
        </w:rPr>
      </w:pPr>
    </w:p>
    <w:p w14:paraId="32078282" w14:textId="6526967B" w:rsidR="004D1B7C" w:rsidRDefault="004D1B7C" w:rsidP="004D1B7C">
      <w:pPr>
        <w:spacing w:line="480" w:lineRule="auto"/>
        <w:jc w:val="both"/>
        <w:rPr>
          <w:rFonts w:ascii="Times New Roman" w:hAnsi="Times New Roman" w:cs="Times New Roman"/>
        </w:rPr>
      </w:pPr>
      <w:r w:rsidRPr="003B6B38">
        <w:rPr>
          <w:rFonts w:ascii="Times New Roman" w:hAnsi="Times New Roman" w:cs="Times New Roman"/>
        </w:rPr>
        <w:t>between serum estradiol concentration at GnRH2 administration and metabolites involved in proteinogen</w:t>
      </w:r>
      <w:r w:rsidRPr="005C3043">
        <w:rPr>
          <w:rFonts w:ascii="Times New Roman" w:hAnsi="Times New Roman" w:cs="Times New Roman"/>
        </w:rPr>
        <w:t xml:space="preserve">esis or the citric acid cycle suggests altered protein production and metabolism throughout the </w:t>
      </w:r>
      <w:proofErr w:type="gramStart"/>
      <w:r w:rsidRPr="005C3043">
        <w:rPr>
          <w:rFonts w:ascii="Times New Roman" w:hAnsi="Times New Roman" w:cs="Times New Roman"/>
        </w:rPr>
        <w:t>time period</w:t>
      </w:r>
      <w:proofErr w:type="gramEnd"/>
      <w:r w:rsidRPr="005C3043">
        <w:rPr>
          <w:rFonts w:ascii="Times New Roman" w:hAnsi="Times New Roman" w:cs="Times New Roman"/>
        </w:rPr>
        <w:t xml:space="preserve"> of oocyte maturation in less physiologically mature follicles near the time of the pre-ovulatory gonadotropin surge.</w:t>
      </w:r>
    </w:p>
    <w:p w14:paraId="4D989B0A" w14:textId="22DDCCD3" w:rsidR="00C61C4F" w:rsidRPr="005C3043" w:rsidRDefault="005B1F86" w:rsidP="00C34188">
      <w:pPr>
        <w:spacing w:line="480" w:lineRule="auto"/>
        <w:ind w:firstLine="720"/>
        <w:jc w:val="both"/>
        <w:rPr>
          <w:rFonts w:ascii="Times New Roman" w:hAnsi="Times New Roman" w:cs="Times New Roman"/>
        </w:rPr>
      </w:pPr>
      <w:r w:rsidRPr="005C3043">
        <w:rPr>
          <w:rFonts w:ascii="Times New Roman" w:hAnsi="Times New Roman" w:cs="Times New Roman"/>
        </w:rPr>
        <w:t xml:space="preserve">Follicular fluid collected from ovulatory follicles contains proteins that are important for luteinization, maturation of the oocyte, and expansion of the cumulus cells </w:t>
      </w:r>
      <w:r w:rsidRPr="005C3043">
        <w:rPr>
          <w:rFonts w:ascii="Times New Roman" w:hAnsi="Times New Roman" w:cs="Times New Roman"/>
          <w:noProof/>
        </w:rPr>
        <w:t>(Krisher, 2013; Brown et al., 2017; Ferrazza et al., 2017)</w:t>
      </w:r>
      <w:r w:rsidRPr="005C3043">
        <w:rPr>
          <w:rFonts w:ascii="Times New Roman" w:hAnsi="Times New Roman" w:cs="Times New Roman"/>
        </w:rPr>
        <w:t xml:space="preserve">. Bovine ovulatory follicles have increased expression of proteins involved in inflammatory, nitric oxide synthase (NOS), and reactive oxygen species (ROS) pathways compared to follicular fluid obtained from follicles prior to the LH surge </w:t>
      </w:r>
      <w:r w:rsidRPr="005C3043">
        <w:rPr>
          <w:rFonts w:ascii="Times New Roman" w:hAnsi="Times New Roman" w:cs="Times New Roman"/>
          <w:noProof/>
        </w:rPr>
        <w:t>(Ferrazza et al., 2017)</w:t>
      </w:r>
      <w:r w:rsidRPr="005C3043">
        <w:rPr>
          <w:rFonts w:ascii="Times New Roman" w:hAnsi="Times New Roman" w:cs="Times New Roman"/>
        </w:rPr>
        <w:t xml:space="preserve">. Free amino acids in the follicular fluid are important to support the increased protein production occurring during the peri-ovulatory time period. In fact, aberrant follicular fluid protein expression is associated with reduced fertility in dairy cattle </w:t>
      </w:r>
      <w:r w:rsidRPr="005C3043">
        <w:rPr>
          <w:rFonts w:ascii="Times New Roman" w:hAnsi="Times New Roman" w:cs="Times New Roman"/>
          <w:noProof/>
        </w:rPr>
        <w:t>(Zachut et al., 2016)</w:t>
      </w:r>
      <w:r w:rsidRPr="005C3043">
        <w:rPr>
          <w:rFonts w:ascii="Times New Roman" w:hAnsi="Times New Roman" w:cs="Times New Roman"/>
        </w:rPr>
        <w:t xml:space="preserve">. Amino acids can also be converted to substrates for the citric acid cycle </w:t>
      </w:r>
      <w:r w:rsidRPr="005C3043">
        <w:rPr>
          <w:rFonts w:ascii="Times New Roman" w:hAnsi="Times New Roman" w:cs="Times New Roman"/>
          <w:noProof/>
        </w:rPr>
        <w:t>(Guda et al., 2007; Martínez-Reyes and Chandel, 2020)</w:t>
      </w:r>
      <w:r w:rsidRPr="005C3043">
        <w:rPr>
          <w:rFonts w:ascii="Times New Roman" w:hAnsi="Times New Roman" w:cs="Times New Roman"/>
        </w:rPr>
        <w:t>. The citric acid cycle generates ATP for cellular energy and NADH/FADH</w:t>
      </w:r>
      <w:r w:rsidRPr="005C3043">
        <w:rPr>
          <w:rFonts w:ascii="Times New Roman" w:hAnsi="Times New Roman" w:cs="Times New Roman"/>
          <w:vertAlign w:val="subscript"/>
        </w:rPr>
        <w:t>2</w:t>
      </w:r>
      <w:r w:rsidRPr="005C3043">
        <w:rPr>
          <w:rFonts w:ascii="Times New Roman" w:hAnsi="Times New Roman" w:cs="Times New Roman"/>
        </w:rPr>
        <w:t xml:space="preserve"> that are used during oxidative phosphorylation to generate additional energy </w:t>
      </w:r>
      <w:r w:rsidRPr="005C3043">
        <w:rPr>
          <w:rFonts w:ascii="Times New Roman" w:hAnsi="Times New Roman" w:cs="Times New Roman"/>
          <w:noProof/>
        </w:rPr>
        <w:t>(Fernie et al., 2004; Martínez-Reyes and Chandel, 2020)</w:t>
      </w:r>
      <w:r w:rsidRPr="005C3043">
        <w:rPr>
          <w:rFonts w:ascii="Times New Roman" w:hAnsi="Times New Roman" w:cs="Times New Roman"/>
        </w:rPr>
        <w:t xml:space="preserve">. Increased levels of the metabolic substrates utilized by the citric acid cycle indicates increased citric acid cycle activity of the follicular cells. This aligns with previous studies demonstrating that cumulus cells have high glycolytic activity and NADH production </w:t>
      </w:r>
      <w:r w:rsidRPr="005C3043">
        <w:rPr>
          <w:rFonts w:ascii="Times New Roman" w:hAnsi="Times New Roman" w:cs="Times New Roman"/>
          <w:noProof/>
        </w:rPr>
        <w:t>(Biggers et al., 1967; Sutton-McDowall et al., 2010; Cinco et al., 2016; Richani et al., 2021)</w:t>
      </w:r>
      <w:r w:rsidRPr="005C3043">
        <w:rPr>
          <w:rFonts w:ascii="Times New Roman" w:hAnsi="Times New Roman" w:cs="Times New Roman"/>
        </w:rPr>
        <w:t xml:space="preserve">. </w:t>
      </w:r>
      <w:r w:rsidR="00C61C4F" w:rsidRPr="005C3043">
        <w:rPr>
          <w:rFonts w:ascii="Times New Roman" w:hAnsi="Times New Roman" w:cs="Times New Roman"/>
        </w:rPr>
        <w:t xml:space="preserve"> </w:t>
      </w:r>
    </w:p>
    <w:p w14:paraId="207777B4" w14:textId="77777777" w:rsidR="005B1F86" w:rsidRPr="005C3043" w:rsidRDefault="005B1F86" w:rsidP="00C34188">
      <w:pPr>
        <w:spacing w:line="480" w:lineRule="auto"/>
        <w:ind w:firstLine="720"/>
        <w:jc w:val="both"/>
        <w:rPr>
          <w:rFonts w:ascii="Times New Roman" w:hAnsi="Times New Roman" w:cs="Times New Roman"/>
        </w:rPr>
      </w:pPr>
      <w:r w:rsidRPr="005C3043">
        <w:rPr>
          <w:rFonts w:ascii="Times New Roman" w:hAnsi="Times New Roman" w:cs="Times New Roman"/>
        </w:rPr>
        <w:lastRenderedPageBreak/>
        <w:t xml:space="preserve">The metabolites within the numerous pathways that were significantly associated with follicular fluid progesterone or weight are primarily involved in the citric acid cycle. They are either components of the citric acid cycle (pyruvate, malate, and α-ketoglutarate, cis-aconitate) or are amino acids that can be converted into cycle intermediates (tyrosine, phenylalanine, asparagine, glycine, cysteine, tryptophan, arginine, histidine, glutamine, glutamate, methionine). There may be a direct effect of follicular fluid progesterone concentration at the time of follicle aspiration on both COC metabolism and follicular fluid metabolites. Both bovine cumulus cells and oocytes express progesterone receptors </w:t>
      </w:r>
      <w:r w:rsidRPr="005C3043">
        <w:rPr>
          <w:rFonts w:ascii="Times New Roman" w:hAnsi="Times New Roman" w:cs="Times New Roman"/>
          <w:noProof/>
        </w:rPr>
        <w:t>(Aparicio et al., 2011)</w:t>
      </w:r>
      <w:r w:rsidRPr="005C3043">
        <w:rPr>
          <w:rFonts w:ascii="Times New Roman" w:hAnsi="Times New Roman" w:cs="Times New Roman"/>
        </w:rPr>
        <w:t xml:space="preserve">.  In somatic cells, progesterone increases oxidative phosphorylation and beta oxidation </w:t>
      </w:r>
      <w:r w:rsidRPr="005C3043">
        <w:rPr>
          <w:rFonts w:ascii="Times New Roman" w:hAnsi="Times New Roman" w:cs="Times New Roman"/>
          <w:noProof/>
        </w:rPr>
        <w:t>(Behera et al., 2009; Dai et al., 2019; Dai et al., 2020; Lee et al., 2021)</w:t>
      </w:r>
      <w:r w:rsidRPr="005C3043">
        <w:rPr>
          <w:rFonts w:ascii="Times New Roman" w:hAnsi="Times New Roman" w:cs="Times New Roman"/>
        </w:rPr>
        <w:t xml:space="preserve">. During oocyte meiotic maturation, energy production via oxidative phosphorylation increases </w:t>
      </w:r>
      <w:r w:rsidRPr="005C3043">
        <w:rPr>
          <w:rFonts w:ascii="Times New Roman" w:hAnsi="Times New Roman" w:cs="Times New Roman"/>
          <w:noProof/>
        </w:rPr>
        <w:t>(Biggers et al., 1967; Babayev and Seli, 2015; Coticchio et al., 2015; Brown et al., 2017)</w:t>
      </w:r>
      <w:r w:rsidRPr="005C3043">
        <w:rPr>
          <w:rFonts w:ascii="Times New Roman" w:hAnsi="Times New Roman" w:cs="Times New Roman"/>
        </w:rPr>
        <w:t xml:space="preserve">. Beta oxidation of fatty acids also increases and is used to generate substrates for use in the citric acid cycle </w:t>
      </w:r>
      <w:r w:rsidRPr="005C3043">
        <w:rPr>
          <w:rFonts w:ascii="Times New Roman" w:hAnsi="Times New Roman" w:cs="Times New Roman"/>
          <w:noProof/>
        </w:rPr>
        <w:t>(Hyttel et al., 1986; Sturmey et al., 2009; Paczkowski et al., 2013; Dunning et al., 2014; Dalbies-Tran et al., 2020)</w:t>
      </w:r>
      <w:r w:rsidRPr="005C3043">
        <w:rPr>
          <w:rFonts w:ascii="Times New Roman" w:hAnsi="Times New Roman" w:cs="Times New Roman"/>
        </w:rPr>
        <w:t>. The citric acid cycle produces ATP as well as the NADH and FADH</w:t>
      </w:r>
      <w:r w:rsidRPr="005C3043">
        <w:rPr>
          <w:rFonts w:ascii="Times New Roman" w:hAnsi="Times New Roman" w:cs="Times New Roman"/>
          <w:vertAlign w:val="subscript"/>
        </w:rPr>
        <w:t>2</w:t>
      </w:r>
      <w:r w:rsidRPr="005C3043">
        <w:rPr>
          <w:rFonts w:ascii="Times New Roman" w:hAnsi="Times New Roman" w:cs="Times New Roman"/>
        </w:rPr>
        <w:t xml:space="preserve"> that are required for oxidative phosphorylation </w:t>
      </w:r>
      <w:r w:rsidRPr="005C3043">
        <w:rPr>
          <w:rFonts w:ascii="Times New Roman" w:hAnsi="Times New Roman" w:cs="Times New Roman"/>
          <w:noProof/>
        </w:rPr>
        <w:t>(Martínez-Reyes and Chandel, 2020)</w:t>
      </w:r>
      <w:r w:rsidRPr="005C3043">
        <w:rPr>
          <w:rFonts w:ascii="Times New Roman" w:hAnsi="Times New Roman" w:cs="Times New Roman"/>
        </w:rPr>
        <w:t xml:space="preserve">. Based on this information, the increased presence of citric acid cycle components in follicular fluid with increased progesterone concentration could be directly due to progesterone receptor signaling to increase oxidative phosphorylation and beta oxidation within the oocyte and/or cumulus cells. Progesterone receptor signaling also induces the expression of genes involved with ovulation in granulosa cells </w:t>
      </w:r>
      <w:r w:rsidRPr="005C3043">
        <w:rPr>
          <w:rFonts w:ascii="Times New Roman" w:hAnsi="Times New Roman" w:cs="Times New Roman"/>
          <w:noProof/>
        </w:rPr>
        <w:t>(Robker et al., 2009)</w:t>
      </w:r>
      <w:r w:rsidRPr="005C3043">
        <w:rPr>
          <w:rFonts w:ascii="Times New Roman" w:hAnsi="Times New Roman" w:cs="Times New Roman"/>
        </w:rPr>
        <w:t xml:space="preserve">. </w:t>
      </w:r>
    </w:p>
    <w:p w14:paraId="050F1691" w14:textId="647BD72D" w:rsidR="00357344" w:rsidRPr="005C3043" w:rsidRDefault="00C61C4F" w:rsidP="000B5F79">
      <w:pPr>
        <w:spacing w:line="480" w:lineRule="auto"/>
        <w:jc w:val="both"/>
        <w:rPr>
          <w:rFonts w:ascii="Times New Roman" w:hAnsi="Times New Roman" w:cs="Times New Roman"/>
        </w:rPr>
      </w:pPr>
      <w:r w:rsidRPr="005C3043">
        <w:rPr>
          <w:rFonts w:ascii="Times New Roman" w:hAnsi="Times New Roman" w:cs="Times New Roman"/>
        </w:rPr>
        <w:lastRenderedPageBreak/>
        <w:tab/>
      </w:r>
      <w:r w:rsidR="00ED7057" w:rsidRPr="005C3043">
        <w:rPr>
          <w:rFonts w:ascii="Times New Roman" w:hAnsi="Times New Roman" w:cs="Times New Roman"/>
        </w:rPr>
        <w:t>Once false discovery rate was applied to account for testing multiple hypotheses, we did not detect a significant relationship between any follicular fluid metabolites and oocyte ATP level (FDR &gt;0.10, Table 3). This preliminary experiment may have been performed too late in oocyte maturation to detect significant relationships among follicular fluid metabolites and oocyte ATP.  Samples in the present study were collected near ovulation and the completion of oocyte maturation when the oocytes have decoupled from their surrounding cumulus cells. Collection of samples earlier or at the time of the pre-ovulatory gonadotropin surge, may have better represented the metabolic environment available to the COC before or early in maturation when a higher level of active transfer of metabolites from the cumulus cells to the oocyte was present. Potential influences of granulosa cell metabolism on the follicular fluid metabolome may have also overshadowed potential relationships between the follicular fluid metabolome and oocyte ATP at ~19 hours after GnRH2 administration. We are optimistic to further explore relationships between the follicular fluid milieu and oocyte metabolic competency in future studies.</w:t>
      </w:r>
      <w:r w:rsidRPr="005C3043">
        <w:rPr>
          <w:rFonts w:ascii="Times New Roman" w:hAnsi="Times New Roman" w:cs="Times New Roman"/>
        </w:rPr>
        <w:t xml:space="preserve"> </w:t>
      </w:r>
    </w:p>
    <w:p w14:paraId="170311B9" w14:textId="77777777" w:rsidR="00C61C4F" w:rsidRPr="00513835" w:rsidRDefault="00C61C4F" w:rsidP="00513835">
      <w:pPr>
        <w:pStyle w:val="Diss2"/>
      </w:pPr>
      <w:bookmarkStart w:id="79" w:name="_Toc100072201"/>
      <w:r w:rsidRPr="00513835">
        <w:t>Conclusions</w:t>
      </w:r>
      <w:bookmarkEnd w:id="79"/>
    </w:p>
    <w:p w14:paraId="7A2C46B1" w14:textId="77777777" w:rsidR="00ED7057" w:rsidRPr="005C3043" w:rsidRDefault="00ED7057" w:rsidP="00C34188">
      <w:pPr>
        <w:spacing w:line="480" w:lineRule="auto"/>
        <w:ind w:firstLine="720"/>
        <w:jc w:val="both"/>
        <w:rPr>
          <w:rFonts w:ascii="Times New Roman" w:hAnsi="Times New Roman" w:cs="Times New Roman"/>
        </w:rPr>
      </w:pPr>
      <w:r w:rsidRPr="005C3043">
        <w:rPr>
          <w:rFonts w:ascii="Times New Roman" w:hAnsi="Times New Roman" w:cs="Times New Roman"/>
        </w:rPr>
        <w:t xml:space="preserve">The results of the present study provided an essential advancement to our knowledge of the relationship between pre-ovulatory follicle physiological status near the time of an induced gonadotropin surge on oocyte developmental and metabolic competency. We identified a positive relationship between serum estradiol concentration at GnRH2 and time from GnRH2 to follicle aspiration on the availability of ATP within the oocyte after ~17 hours of maturation. Pre-ovulatory serum estradiol concentration’s positive association with total ATP levels and ATP produced per </w:t>
      </w:r>
      <w:proofErr w:type="spellStart"/>
      <w:r w:rsidRPr="005C3043">
        <w:rPr>
          <w:rFonts w:ascii="Times New Roman" w:hAnsi="Times New Roman" w:cs="Times New Roman"/>
        </w:rPr>
        <w:t>mtDNA</w:t>
      </w:r>
      <w:proofErr w:type="spellEnd"/>
      <w:r w:rsidRPr="005C3043">
        <w:rPr>
          <w:rFonts w:ascii="Times New Roman" w:hAnsi="Times New Roman" w:cs="Times New Roman"/>
        </w:rPr>
        <w:t xml:space="preserve"> copy number in </w:t>
      </w:r>
      <w:r w:rsidRPr="005C3043">
        <w:rPr>
          <w:rFonts w:ascii="Times New Roman" w:hAnsi="Times New Roman" w:cs="Times New Roman"/>
        </w:rPr>
        <w:lastRenderedPageBreak/>
        <w:t>oocytes may be both correlative due to estradiol’s relationship with follicle maturity at the time of GnRH2 and causative due to estradiol’s upregulation of gap junction transfer of metabolites between the cumulus cells and oocyte. Oocyte meiotic maturation and early embryo development are energy-demanding processes, and the decreased developmental competence of oocytes following premature induction of the pre-ovulatory gonadotropin surge in physiologically immature pre-ovulatory follicle is likely due to decreased metabolic capacity of the oocyte. Additionally, we found a positive relationship between the follicle’s physiological status before and after exposure to the pre-ovulatory gonadotropin surge on the metabolome of the follicular fluid. Premature exposure of the follicle to the LH surge coupled with reduced follicular fluid progesterone production post surge resulted in an altered follicular environment that could have implications for oocyte developmental competence related to metabolism and areas beyond what was measured in this study. Future studies will seek to further elucidate the effects of premature induction of ovulation on oocyte developmental competence.</w:t>
      </w:r>
    </w:p>
    <w:p w14:paraId="21C23365" w14:textId="12BA034F" w:rsidR="00624151" w:rsidRDefault="00624151" w:rsidP="00064157">
      <w:pPr>
        <w:pStyle w:val="Heading1"/>
        <w:spacing w:line="480" w:lineRule="auto"/>
        <w:rPr>
          <w:rFonts w:ascii="Times New Roman" w:hAnsi="Times New Roman" w:cs="Times New Roman"/>
        </w:rPr>
      </w:pPr>
    </w:p>
    <w:p w14:paraId="051DAF6A" w14:textId="5EDF3472" w:rsidR="0048278A" w:rsidRDefault="0048278A" w:rsidP="0048278A"/>
    <w:p w14:paraId="33EBE96F" w14:textId="7C671000" w:rsidR="0048278A" w:rsidRDefault="0048278A" w:rsidP="0048278A"/>
    <w:p w14:paraId="18DDD78C" w14:textId="11A2DFF7" w:rsidR="0048278A" w:rsidRDefault="0048278A" w:rsidP="0048278A"/>
    <w:p w14:paraId="3076D2DC" w14:textId="59840A60" w:rsidR="0048278A" w:rsidRDefault="0048278A" w:rsidP="0048278A"/>
    <w:p w14:paraId="398EF784" w14:textId="3CBA5959" w:rsidR="0048278A" w:rsidRDefault="0048278A" w:rsidP="0048278A"/>
    <w:p w14:paraId="54026F5E" w14:textId="7C774049" w:rsidR="0048278A" w:rsidRDefault="0048278A" w:rsidP="0048278A"/>
    <w:p w14:paraId="05EA3A3E" w14:textId="05C90A9C" w:rsidR="0048278A" w:rsidRDefault="0048278A" w:rsidP="0048278A"/>
    <w:p w14:paraId="0CA8AAFD" w14:textId="3DB454BF" w:rsidR="0048278A" w:rsidRDefault="0048278A" w:rsidP="0048278A"/>
    <w:p w14:paraId="4A23FD00" w14:textId="61ADCC21" w:rsidR="0048278A" w:rsidRDefault="0048278A" w:rsidP="0048278A"/>
    <w:p w14:paraId="637CF3BD" w14:textId="4B9F8D20" w:rsidR="0048278A" w:rsidRDefault="0048278A" w:rsidP="0048278A"/>
    <w:p w14:paraId="42F5DAF1" w14:textId="6CDD32FA" w:rsidR="0048278A" w:rsidRDefault="0048278A" w:rsidP="0048278A"/>
    <w:p w14:paraId="274550B7" w14:textId="1467E40C" w:rsidR="0048278A" w:rsidRDefault="0048278A" w:rsidP="0048278A"/>
    <w:p w14:paraId="70A46165" w14:textId="77777777" w:rsidR="004D1B7C" w:rsidRDefault="004D1B7C" w:rsidP="0048278A"/>
    <w:p w14:paraId="213360A6" w14:textId="77777777" w:rsidR="0048278A" w:rsidRPr="0048278A" w:rsidRDefault="0048278A" w:rsidP="0048278A"/>
    <w:p w14:paraId="1C78EABD" w14:textId="32FCA7E8" w:rsidR="00236E6D" w:rsidRPr="005C3043" w:rsidRDefault="00526151" w:rsidP="00064157">
      <w:pPr>
        <w:pStyle w:val="Heading1"/>
        <w:spacing w:line="480" w:lineRule="auto"/>
        <w:rPr>
          <w:rFonts w:ascii="Times New Roman" w:hAnsi="Times New Roman" w:cs="Times New Roman"/>
          <w:sz w:val="24"/>
        </w:rPr>
      </w:pPr>
      <w:bookmarkStart w:id="80" w:name="_Toc100072202"/>
      <w:r w:rsidRPr="005C3043">
        <w:rPr>
          <w:rFonts w:ascii="Times New Roman" w:hAnsi="Times New Roman" w:cs="Times New Roman"/>
        </w:rPr>
        <w:lastRenderedPageBreak/>
        <w:t>CONCLUSION</w:t>
      </w:r>
      <w:bookmarkEnd w:id="80"/>
    </w:p>
    <w:p w14:paraId="046593AB" w14:textId="0775D4EA" w:rsidR="00154DC0" w:rsidRPr="005C3043" w:rsidRDefault="00B51D95" w:rsidP="00064157">
      <w:pPr>
        <w:spacing w:line="480" w:lineRule="auto"/>
        <w:ind w:firstLine="720"/>
        <w:jc w:val="both"/>
        <w:rPr>
          <w:rFonts w:ascii="Times New Roman" w:hAnsi="Times New Roman" w:cs="Times New Roman"/>
        </w:rPr>
      </w:pPr>
      <w:r w:rsidRPr="005C3043">
        <w:rPr>
          <w:rFonts w:ascii="Times New Roman" w:hAnsi="Times New Roman" w:cs="Times New Roman"/>
        </w:rPr>
        <w:t>Previous studies have reported decreased pregnancy rate, embryo quality, and fertilization rate in cattle induced to ovulate</w:t>
      </w:r>
      <w:r w:rsidR="00131726" w:rsidRPr="005C3043">
        <w:rPr>
          <w:rFonts w:ascii="Times New Roman" w:hAnsi="Times New Roman" w:cs="Times New Roman"/>
        </w:rPr>
        <w:t xml:space="preserve"> prior to estrus</w:t>
      </w:r>
      <w:r w:rsidRPr="005C3043">
        <w:rPr>
          <w:rFonts w:ascii="Times New Roman" w:hAnsi="Times New Roman" w:cs="Times New Roman"/>
        </w:rPr>
        <w:t xml:space="preserve"> during a </w:t>
      </w:r>
      <w:r w:rsidR="00131726" w:rsidRPr="005C3043">
        <w:rPr>
          <w:rFonts w:ascii="Times New Roman" w:hAnsi="Times New Roman" w:cs="Times New Roman"/>
        </w:rPr>
        <w:t>FTAI</w:t>
      </w:r>
      <w:r w:rsidRPr="005C3043">
        <w:rPr>
          <w:rFonts w:ascii="Times New Roman" w:hAnsi="Times New Roman" w:cs="Times New Roman"/>
        </w:rPr>
        <w:t xml:space="preserve"> protocol. A subsequent study reported d</w:t>
      </w:r>
      <w:r w:rsidR="00131726" w:rsidRPr="005C3043">
        <w:rPr>
          <w:rFonts w:ascii="Times New Roman" w:hAnsi="Times New Roman" w:cs="Times New Roman"/>
        </w:rPr>
        <w:t>ecreased</w:t>
      </w:r>
      <w:r w:rsidRPr="005C3043">
        <w:rPr>
          <w:rFonts w:ascii="Times New Roman" w:hAnsi="Times New Roman" w:cs="Times New Roman"/>
        </w:rPr>
        <w:t xml:space="preserve"> </w:t>
      </w:r>
      <w:r w:rsidR="00131726" w:rsidRPr="005C3043">
        <w:rPr>
          <w:rFonts w:ascii="Times New Roman" w:hAnsi="Times New Roman" w:cs="Times New Roman"/>
        </w:rPr>
        <w:t xml:space="preserve">expression of transcripts involved </w:t>
      </w:r>
      <w:r w:rsidRPr="005C3043">
        <w:rPr>
          <w:rFonts w:ascii="Times New Roman" w:hAnsi="Times New Roman" w:cs="Times New Roman"/>
        </w:rPr>
        <w:t>with cumulus cell glycolysis and oocyte oxidative phosph</w:t>
      </w:r>
      <w:r w:rsidR="00131726" w:rsidRPr="005C3043">
        <w:rPr>
          <w:rFonts w:ascii="Times New Roman" w:hAnsi="Times New Roman" w:cs="Times New Roman"/>
        </w:rPr>
        <w:t>or</w:t>
      </w:r>
      <w:r w:rsidRPr="005C3043">
        <w:rPr>
          <w:rFonts w:ascii="Times New Roman" w:hAnsi="Times New Roman" w:cs="Times New Roman"/>
        </w:rPr>
        <w:t xml:space="preserve">ylation in cumulus-oocyte-complexes retrieved from smaller </w:t>
      </w:r>
      <w:r w:rsidR="00743ADF" w:rsidRPr="005C3043">
        <w:rPr>
          <w:rFonts w:ascii="Times New Roman" w:hAnsi="Times New Roman" w:cs="Times New Roman"/>
        </w:rPr>
        <w:t>pre-ovulatory</w:t>
      </w:r>
      <w:r w:rsidRPr="005C3043">
        <w:rPr>
          <w:rFonts w:ascii="Times New Roman" w:hAnsi="Times New Roman" w:cs="Times New Roman"/>
        </w:rPr>
        <w:t xml:space="preserve"> follicles</w:t>
      </w:r>
      <w:r w:rsidR="00131726" w:rsidRPr="005C3043">
        <w:rPr>
          <w:rFonts w:ascii="Times New Roman" w:hAnsi="Times New Roman" w:cs="Times New Roman"/>
        </w:rPr>
        <w:t xml:space="preserve"> exposed to an exogenous GnRH surge prior to estrus</w:t>
      </w:r>
      <w:r w:rsidRPr="005C3043">
        <w:rPr>
          <w:rFonts w:ascii="Times New Roman" w:hAnsi="Times New Roman" w:cs="Times New Roman"/>
        </w:rPr>
        <w:t xml:space="preserve">. </w:t>
      </w:r>
      <w:r w:rsidR="00154DC0" w:rsidRPr="005C3043">
        <w:rPr>
          <w:rFonts w:ascii="Times New Roman" w:hAnsi="Times New Roman" w:cs="Times New Roman"/>
        </w:rPr>
        <w:t>The overall objective of the studies included in this dissertation was to e</w:t>
      </w:r>
      <w:r w:rsidRPr="005C3043">
        <w:rPr>
          <w:rFonts w:ascii="Times New Roman" w:hAnsi="Times New Roman" w:cs="Times New Roman"/>
        </w:rPr>
        <w:t>xamine</w:t>
      </w:r>
      <w:r w:rsidR="00154DC0" w:rsidRPr="005C3043">
        <w:rPr>
          <w:rFonts w:ascii="Times New Roman" w:hAnsi="Times New Roman" w:cs="Times New Roman"/>
        </w:rPr>
        <w:t xml:space="preserve"> the relationship between follicle physiological status at GnRH administration to induce the pre-ovulatory gonadotropin surge </w:t>
      </w:r>
      <w:r w:rsidR="00786A76" w:rsidRPr="005C3043">
        <w:rPr>
          <w:rFonts w:ascii="Times New Roman" w:hAnsi="Times New Roman" w:cs="Times New Roman"/>
        </w:rPr>
        <w:t xml:space="preserve">(GnRH2) </w:t>
      </w:r>
      <w:r w:rsidR="00154DC0" w:rsidRPr="005C3043">
        <w:rPr>
          <w:rFonts w:ascii="Times New Roman" w:hAnsi="Times New Roman" w:cs="Times New Roman"/>
        </w:rPr>
        <w:t xml:space="preserve">and oocyte metabolic capacity and the follicular fluid metabolome.  An initial study revealed eighteen out of thirty-eight metabolites in follicular fluid </w:t>
      </w:r>
      <w:r w:rsidR="00131726" w:rsidRPr="005C3043">
        <w:rPr>
          <w:rFonts w:ascii="Times New Roman" w:hAnsi="Times New Roman" w:cs="Times New Roman"/>
        </w:rPr>
        <w:t xml:space="preserve">19.59±0.34 hours after GnRH administration </w:t>
      </w:r>
      <w:r w:rsidR="00154DC0" w:rsidRPr="005C3043">
        <w:rPr>
          <w:rFonts w:ascii="Times New Roman" w:hAnsi="Times New Roman" w:cs="Times New Roman"/>
        </w:rPr>
        <w:t xml:space="preserve">were positively correlated with follicle diameter at the time of GnRH administration. KEGG pathway analysis of the significantly correlated metabolites revealed significant enrichment in glucose metabolism, energy production, and proteinogenesis. The composition of the follicular fluid provides the cumulus-oocyte complex with nutrients and metabolic substrates that are important for the acquisition of oocyte developmental competence. Decreased availability of metabolites and proteinogenic components to cumulus-oocyte-complexes from smaller </w:t>
      </w:r>
      <w:r w:rsidR="00743ADF" w:rsidRPr="005C3043">
        <w:rPr>
          <w:rFonts w:ascii="Times New Roman" w:hAnsi="Times New Roman" w:cs="Times New Roman"/>
        </w:rPr>
        <w:t>pre-ovulatory</w:t>
      </w:r>
      <w:r w:rsidR="00131726" w:rsidRPr="005C3043">
        <w:rPr>
          <w:rFonts w:ascii="Times New Roman" w:hAnsi="Times New Roman" w:cs="Times New Roman"/>
        </w:rPr>
        <w:t xml:space="preserve"> </w:t>
      </w:r>
      <w:r w:rsidR="00154DC0" w:rsidRPr="005C3043">
        <w:rPr>
          <w:rFonts w:ascii="Times New Roman" w:hAnsi="Times New Roman" w:cs="Times New Roman"/>
        </w:rPr>
        <w:t xml:space="preserve">follicles </w:t>
      </w:r>
      <w:r w:rsidR="00131726" w:rsidRPr="005C3043">
        <w:rPr>
          <w:rFonts w:ascii="Times New Roman" w:hAnsi="Times New Roman" w:cs="Times New Roman"/>
        </w:rPr>
        <w:t>ma</w:t>
      </w:r>
      <w:r w:rsidR="00154DC0" w:rsidRPr="005C3043">
        <w:rPr>
          <w:rFonts w:ascii="Times New Roman" w:hAnsi="Times New Roman" w:cs="Times New Roman"/>
        </w:rPr>
        <w:t>y contribute to the reduced oocyte developmental competence and lower pregnancy rates observed when beef cows are induced to ovulate a small</w:t>
      </w:r>
      <w:r w:rsidR="00131726" w:rsidRPr="005C3043">
        <w:rPr>
          <w:rFonts w:ascii="Times New Roman" w:hAnsi="Times New Roman" w:cs="Times New Roman"/>
        </w:rPr>
        <w:t>er</w:t>
      </w:r>
      <w:r w:rsidR="00154DC0" w:rsidRPr="005C3043">
        <w:rPr>
          <w:rFonts w:ascii="Times New Roman" w:hAnsi="Times New Roman" w:cs="Times New Roman"/>
        </w:rPr>
        <w:t xml:space="preserve"> pre-ovulatory follicle. </w:t>
      </w:r>
      <w:r w:rsidR="00131726" w:rsidRPr="005C3043">
        <w:rPr>
          <w:rFonts w:ascii="Times New Roman" w:hAnsi="Times New Roman" w:cs="Times New Roman"/>
        </w:rPr>
        <w:t>A method was developed</w:t>
      </w:r>
      <w:r w:rsidR="00154DC0" w:rsidRPr="005C3043">
        <w:rPr>
          <w:rFonts w:ascii="Times New Roman" w:hAnsi="Times New Roman" w:cs="Times New Roman"/>
        </w:rPr>
        <w:t xml:space="preserve"> to quantify intraoocyte ATP levels and </w:t>
      </w:r>
      <w:proofErr w:type="spellStart"/>
      <w:r w:rsidR="00154DC0" w:rsidRPr="005C3043">
        <w:rPr>
          <w:rFonts w:ascii="Times New Roman" w:hAnsi="Times New Roman" w:cs="Times New Roman"/>
        </w:rPr>
        <w:t>mtDNA</w:t>
      </w:r>
      <w:proofErr w:type="spellEnd"/>
      <w:r w:rsidR="00154DC0" w:rsidRPr="005C3043">
        <w:rPr>
          <w:rFonts w:ascii="Times New Roman" w:hAnsi="Times New Roman" w:cs="Times New Roman"/>
        </w:rPr>
        <w:t xml:space="preserve"> copy number within individual oocytes. This allowed us to determine the metabolic capacity of individual oocyte samples and relate it to the </w:t>
      </w:r>
      <w:r w:rsidR="00154DC0" w:rsidRPr="005C3043">
        <w:rPr>
          <w:rFonts w:ascii="Times New Roman" w:hAnsi="Times New Roman" w:cs="Times New Roman"/>
        </w:rPr>
        <w:lastRenderedPageBreak/>
        <w:t xml:space="preserve">physiological status of the corresponding follicle. We utilized these methods and identified a significant, positive relationship between oocyte ATP and serum estradiol </w:t>
      </w:r>
      <w:r w:rsidR="00131726" w:rsidRPr="005C3043">
        <w:rPr>
          <w:rFonts w:ascii="Times New Roman" w:hAnsi="Times New Roman" w:cs="Times New Roman"/>
        </w:rPr>
        <w:t xml:space="preserve">concentration </w:t>
      </w:r>
      <w:r w:rsidR="00154DC0" w:rsidRPr="005C3043">
        <w:rPr>
          <w:rFonts w:ascii="Times New Roman" w:hAnsi="Times New Roman" w:cs="Times New Roman"/>
        </w:rPr>
        <w:t>at GnRH2 a</w:t>
      </w:r>
      <w:r w:rsidR="00786A76" w:rsidRPr="005C3043">
        <w:rPr>
          <w:rFonts w:ascii="Times New Roman" w:hAnsi="Times New Roman" w:cs="Times New Roman"/>
        </w:rPr>
        <w:t>s well as</w:t>
      </w:r>
      <w:r w:rsidR="00154DC0" w:rsidRPr="005C3043">
        <w:rPr>
          <w:rFonts w:ascii="Times New Roman" w:hAnsi="Times New Roman" w:cs="Times New Roman"/>
        </w:rPr>
        <w:t xml:space="preserve"> hours between GnRH2 and follicle aspiration. Reduced availability of ATP within the oocytes collected from pre-ovulatory follicles with decreased estradiol levels </w:t>
      </w:r>
      <w:r w:rsidR="00786A76" w:rsidRPr="005C3043">
        <w:rPr>
          <w:rFonts w:ascii="Times New Roman" w:hAnsi="Times New Roman" w:cs="Times New Roman"/>
        </w:rPr>
        <w:t>suggest an</w:t>
      </w:r>
      <w:r w:rsidR="00154DC0" w:rsidRPr="005C3043">
        <w:rPr>
          <w:rFonts w:ascii="Times New Roman" w:hAnsi="Times New Roman" w:cs="Times New Roman"/>
        </w:rPr>
        <w:t xml:space="preserve"> importance of completion of the</w:t>
      </w:r>
      <w:r w:rsidR="00526D45" w:rsidRPr="005C3043">
        <w:rPr>
          <w:rFonts w:ascii="Times New Roman" w:hAnsi="Times New Roman" w:cs="Times New Roman"/>
        </w:rPr>
        <w:t xml:space="preserve"> oocyte</w:t>
      </w:r>
      <w:r w:rsidR="00154DC0" w:rsidRPr="005C3043">
        <w:rPr>
          <w:rFonts w:ascii="Times New Roman" w:hAnsi="Times New Roman" w:cs="Times New Roman"/>
        </w:rPr>
        <w:t xml:space="preserve"> capacitation phase on the metabolic capacity of the oocyte. The</w:t>
      </w:r>
      <w:r w:rsidR="00786A76" w:rsidRPr="005C3043">
        <w:rPr>
          <w:rFonts w:ascii="Times New Roman" w:hAnsi="Times New Roman" w:cs="Times New Roman"/>
        </w:rPr>
        <w:t xml:space="preserve"> positive</w:t>
      </w:r>
      <w:r w:rsidR="00154DC0" w:rsidRPr="005C3043">
        <w:rPr>
          <w:rFonts w:ascii="Times New Roman" w:hAnsi="Times New Roman" w:cs="Times New Roman"/>
        </w:rPr>
        <w:t xml:space="preserve"> relationship between serum estradiol </w:t>
      </w:r>
      <w:r w:rsidR="00786A76" w:rsidRPr="005C3043">
        <w:rPr>
          <w:rFonts w:ascii="Times New Roman" w:hAnsi="Times New Roman" w:cs="Times New Roman"/>
        </w:rPr>
        <w:t xml:space="preserve">concentration </w:t>
      </w:r>
      <w:r w:rsidR="00154DC0" w:rsidRPr="005C3043">
        <w:rPr>
          <w:rFonts w:ascii="Times New Roman" w:hAnsi="Times New Roman" w:cs="Times New Roman"/>
        </w:rPr>
        <w:t xml:space="preserve">and oocyte metabolic capacity could be due to estradiol’s relationship with follicle maturity or because of the increase in functional gap junctions available to transport metabolic substrates between the cumulus cells and the oocyte. The </w:t>
      </w:r>
      <w:r w:rsidR="00786A76" w:rsidRPr="005C3043">
        <w:rPr>
          <w:rFonts w:ascii="Times New Roman" w:hAnsi="Times New Roman" w:cs="Times New Roman"/>
        </w:rPr>
        <w:t xml:space="preserve">positive </w:t>
      </w:r>
      <w:r w:rsidR="00154DC0" w:rsidRPr="005C3043">
        <w:rPr>
          <w:rFonts w:ascii="Times New Roman" w:hAnsi="Times New Roman" w:cs="Times New Roman"/>
        </w:rPr>
        <w:t xml:space="preserve">relationship between oocyte ATP levels and time from GnRH2 administration to follicle aspiration is likely due to the increase in intraoocyte ATP levels </w:t>
      </w:r>
      <w:r w:rsidR="00501773" w:rsidRPr="005C3043">
        <w:rPr>
          <w:rFonts w:ascii="Times New Roman" w:hAnsi="Times New Roman" w:cs="Times New Roman"/>
        </w:rPr>
        <w:t>observed</w:t>
      </w:r>
      <w:r w:rsidR="00154DC0" w:rsidRPr="005C3043">
        <w:rPr>
          <w:rFonts w:ascii="Times New Roman" w:hAnsi="Times New Roman" w:cs="Times New Roman"/>
        </w:rPr>
        <w:t xml:space="preserve"> as oocytes progress through meiotic maturation. We also identified a significant positive relationship between the physiological status of the follicle before and after exposure to the exogenous pre-ovulatory gonadotropin surge and follicular fluid metabolome profiles. Lower serum estradiol concentrations at the time of GnRH injection and reduced follicular fluid progesterone production by ~19 hours post surge </w:t>
      </w:r>
      <w:r w:rsidR="00786A76" w:rsidRPr="005C3043">
        <w:rPr>
          <w:rFonts w:ascii="Times New Roman" w:hAnsi="Times New Roman" w:cs="Times New Roman"/>
        </w:rPr>
        <w:t>was associated with</w:t>
      </w:r>
      <w:r w:rsidR="00154DC0" w:rsidRPr="005C3043">
        <w:rPr>
          <w:rFonts w:ascii="Times New Roman" w:hAnsi="Times New Roman" w:cs="Times New Roman"/>
        </w:rPr>
        <w:t xml:space="preserve"> alterations in 22 and 63 metabolites, respectively, that were enriched in KEGG pathways primarily related to proteinogenesis and the TCA cycle. Follicular fluid composition is susceptible to multiple extraovarian factors. Changes in the follicular fluid proteinogenic and TCA cycle components as a result of premature induction of ovulation are indicative of altered metabolism of the cells within the follicle. Future studies will seek to further elucidate the </w:t>
      </w:r>
      <w:r w:rsidR="00154DC0" w:rsidRPr="005C3043">
        <w:rPr>
          <w:rFonts w:ascii="Times New Roman" w:hAnsi="Times New Roman" w:cs="Times New Roman"/>
        </w:rPr>
        <w:lastRenderedPageBreak/>
        <w:t xml:space="preserve">importance of the </w:t>
      </w:r>
      <w:r w:rsidR="00526D45" w:rsidRPr="005C3043">
        <w:rPr>
          <w:rFonts w:ascii="Times New Roman" w:hAnsi="Times New Roman" w:cs="Times New Roman"/>
        </w:rPr>
        <w:t xml:space="preserve">pre-ovulatory </w:t>
      </w:r>
      <w:r w:rsidR="00154DC0" w:rsidRPr="005C3043">
        <w:rPr>
          <w:rFonts w:ascii="Times New Roman" w:hAnsi="Times New Roman" w:cs="Times New Roman"/>
        </w:rPr>
        <w:t xml:space="preserve">follicular environment and the </w:t>
      </w:r>
      <w:r w:rsidR="00526D45" w:rsidRPr="005C3043">
        <w:rPr>
          <w:rFonts w:ascii="Times New Roman" w:hAnsi="Times New Roman" w:cs="Times New Roman"/>
        </w:rPr>
        <w:t xml:space="preserve">oocyte </w:t>
      </w:r>
      <w:r w:rsidR="00154DC0" w:rsidRPr="005C3043">
        <w:rPr>
          <w:rFonts w:ascii="Times New Roman" w:hAnsi="Times New Roman" w:cs="Times New Roman"/>
        </w:rPr>
        <w:t>capacitation phase on oocyte metabolic capacity and developmental competence.</w:t>
      </w:r>
    </w:p>
    <w:p w14:paraId="76DFEE43" w14:textId="07C47FF2" w:rsidR="00064157" w:rsidRPr="005C3043" w:rsidRDefault="00064157" w:rsidP="00064157">
      <w:pPr>
        <w:spacing w:line="480" w:lineRule="auto"/>
        <w:ind w:firstLine="720"/>
        <w:jc w:val="both"/>
        <w:rPr>
          <w:rFonts w:ascii="Times New Roman" w:hAnsi="Times New Roman" w:cs="Times New Roman"/>
        </w:rPr>
      </w:pPr>
    </w:p>
    <w:p w14:paraId="186D2748" w14:textId="2E88A9C2" w:rsidR="00064157" w:rsidRPr="005C3043" w:rsidRDefault="00064157" w:rsidP="00064157">
      <w:pPr>
        <w:spacing w:line="480" w:lineRule="auto"/>
        <w:ind w:firstLine="720"/>
        <w:jc w:val="both"/>
        <w:rPr>
          <w:rFonts w:ascii="Times New Roman" w:hAnsi="Times New Roman" w:cs="Times New Roman"/>
        </w:rPr>
      </w:pPr>
    </w:p>
    <w:p w14:paraId="4BE53E95" w14:textId="349EC26E" w:rsidR="00064157" w:rsidRPr="005C3043" w:rsidRDefault="00064157" w:rsidP="00064157">
      <w:pPr>
        <w:spacing w:line="480" w:lineRule="auto"/>
        <w:ind w:firstLine="720"/>
        <w:jc w:val="both"/>
        <w:rPr>
          <w:rFonts w:ascii="Times New Roman" w:hAnsi="Times New Roman" w:cs="Times New Roman"/>
        </w:rPr>
      </w:pPr>
    </w:p>
    <w:p w14:paraId="4995C9CE" w14:textId="126BC77E" w:rsidR="00064157" w:rsidRPr="005C3043" w:rsidRDefault="00064157" w:rsidP="00064157">
      <w:pPr>
        <w:spacing w:line="480" w:lineRule="auto"/>
        <w:ind w:firstLine="720"/>
        <w:jc w:val="both"/>
        <w:rPr>
          <w:rFonts w:ascii="Times New Roman" w:hAnsi="Times New Roman" w:cs="Times New Roman"/>
        </w:rPr>
      </w:pPr>
    </w:p>
    <w:p w14:paraId="4BD0F694" w14:textId="2A906262" w:rsidR="00064157" w:rsidRPr="005C3043" w:rsidRDefault="00064157" w:rsidP="00064157">
      <w:pPr>
        <w:spacing w:line="480" w:lineRule="auto"/>
        <w:ind w:firstLine="720"/>
        <w:jc w:val="both"/>
        <w:rPr>
          <w:rFonts w:ascii="Times New Roman" w:hAnsi="Times New Roman" w:cs="Times New Roman"/>
        </w:rPr>
      </w:pPr>
    </w:p>
    <w:p w14:paraId="748980FF" w14:textId="77777777" w:rsidR="00624151" w:rsidRPr="005C3043" w:rsidRDefault="00624151" w:rsidP="00064157">
      <w:pPr>
        <w:pStyle w:val="Heading1"/>
        <w:spacing w:line="480" w:lineRule="auto"/>
        <w:rPr>
          <w:rFonts w:ascii="Times New Roman" w:hAnsi="Times New Roman" w:cs="Times New Roman"/>
        </w:rPr>
      </w:pPr>
    </w:p>
    <w:p w14:paraId="3C7BEF8D" w14:textId="466B8290" w:rsidR="000E228A" w:rsidRPr="00C34188" w:rsidRDefault="000E228A" w:rsidP="00064157">
      <w:pPr>
        <w:jc w:val="both"/>
        <w:rPr>
          <w:rFonts w:ascii="Times New Roman" w:hAnsi="Times New Roman" w:cs="Times New Roman"/>
        </w:rPr>
      </w:pPr>
    </w:p>
    <w:p w14:paraId="06A3CFE3" w14:textId="2C08F947" w:rsidR="000E228A" w:rsidRPr="00A42976" w:rsidRDefault="000E228A" w:rsidP="009C7CF6">
      <w:pPr>
        <w:rPr>
          <w:rFonts w:ascii="Times New Roman" w:hAnsi="Times New Roman" w:cs="Times New Roman"/>
        </w:rPr>
      </w:pPr>
    </w:p>
    <w:p w14:paraId="6F4FD6E8" w14:textId="64F480C2" w:rsidR="00064157" w:rsidRPr="00A42976" w:rsidRDefault="00064157" w:rsidP="009C7CF6">
      <w:pPr>
        <w:rPr>
          <w:rFonts w:ascii="Times New Roman" w:hAnsi="Times New Roman" w:cs="Times New Roman"/>
        </w:rPr>
      </w:pPr>
    </w:p>
    <w:p w14:paraId="12FC83B2" w14:textId="7C5508BF" w:rsidR="00064157" w:rsidRPr="000B5F79" w:rsidRDefault="00064157" w:rsidP="009C7CF6">
      <w:pPr>
        <w:rPr>
          <w:rFonts w:ascii="Times New Roman" w:hAnsi="Times New Roman" w:cs="Times New Roman"/>
        </w:rPr>
      </w:pPr>
    </w:p>
    <w:p w14:paraId="653D735B" w14:textId="017F6086" w:rsidR="00064157" w:rsidRPr="005C3043" w:rsidRDefault="00064157" w:rsidP="009C7CF6">
      <w:pPr>
        <w:rPr>
          <w:rFonts w:ascii="Times New Roman" w:hAnsi="Times New Roman" w:cs="Times New Roman"/>
        </w:rPr>
      </w:pPr>
    </w:p>
    <w:p w14:paraId="0EA6AED4" w14:textId="2B8DACB2" w:rsidR="00064157" w:rsidRPr="00C87A3E" w:rsidRDefault="00064157" w:rsidP="009C7CF6">
      <w:pPr>
        <w:rPr>
          <w:rFonts w:ascii="Times New Roman" w:hAnsi="Times New Roman" w:cs="Times New Roman"/>
        </w:rPr>
      </w:pPr>
    </w:p>
    <w:p w14:paraId="7526F80C" w14:textId="7306E293" w:rsidR="00064157" w:rsidRPr="00C87A3E" w:rsidRDefault="00064157" w:rsidP="009C7CF6">
      <w:pPr>
        <w:rPr>
          <w:rFonts w:ascii="Times New Roman" w:hAnsi="Times New Roman" w:cs="Times New Roman"/>
        </w:rPr>
      </w:pPr>
    </w:p>
    <w:p w14:paraId="6A2F0D86" w14:textId="2A26ABB7" w:rsidR="00064157" w:rsidRPr="00C87A3E" w:rsidRDefault="00064157" w:rsidP="009C7CF6">
      <w:pPr>
        <w:rPr>
          <w:rFonts w:ascii="Times New Roman" w:hAnsi="Times New Roman" w:cs="Times New Roman"/>
        </w:rPr>
      </w:pPr>
    </w:p>
    <w:p w14:paraId="289663BF" w14:textId="2C7D6F2E" w:rsidR="00064157" w:rsidRPr="00DC10CA" w:rsidRDefault="00064157" w:rsidP="009C7CF6">
      <w:pPr>
        <w:rPr>
          <w:rFonts w:ascii="Times New Roman" w:hAnsi="Times New Roman" w:cs="Times New Roman"/>
        </w:rPr>
      </w:pPr>
    </w:p>
    <w:p w14:paraId="631EF48D" w14:textId="3598B1F2" w:rsidR="00064157" w:rsidRPr="003B6B38" w:rsidRDefault="00064157" w:rsidP="009C7CF6">
      <w:pPr>
        <w:rPr>
          <w:rFonts w:ascii="Times New Roman" w:hAnsi="Times New Roman" w:cs="Times New Roman"/>
        </w:rPr>
      </w:pPr>
    </w:p>
    <w:p w14:paraId="3DEF59E5" w14:textId="22587CE3" w:rsidR="00064157" w:rsidRPr="003B6B38" w:rsidRDefault="00064157" w:rsidP="009C7CF6">
      <w:pPr>
        <w:rPr>
          <w:rFonts w:ascii="Times New Roman" w:hAnsi="Times New Roman" w:cs="Times New Roman"/>
        </w:rPr>
      </w:pPr>
    </w:p>
    <w:p w14:paraId="37BBCA03" w14:textId="3A419BBF" w:rsidR="00064157" w:rsidRPr="005C3043" w:rsidRDefault="00064157" w:rsidP="009C7CF6">
      <w:pPr>
        <w:rPr>
          <w:rFonts w:ascii="Times New Roman" w:hAnsi="Times New Roman" w:cs="Times New Roman"/>
        </w:rPr>
      </w:pPr>
    </w:p>
    <w:p w14:paraId="0200D33F" w14:textId="74B4B7BA" w:rsidR="00064157" w:rsidRPr="005C3043" w:rsidRDefault="00064157" w:rsidP="009C7CF6">
      <w:pPr>
        <w:rPr>
          <w:rFonts w:ascii="Times New Roman" w:hAnsi="Times New Roman" w:cs="Times New Roman"/>
        </w:rPr>
      </w:pPr>
    </w:p>
    <w:p w14:paraId="53F96258" w14:textId="213E999F" w:rsidR="00064157" w:rsidRPr="005C3043" w:rsidRDefault="00064157" w:rsidP="009C7CF6">
      <w:pPr>
        <w:rPr>
          <w:rFonts w:ascii="Times New Roman" w:hAnsi="Times New Roman" w:cs="Times New Roman"/>
        </w:rPr>
      </w:pPr>
    </w:p>
    <w:p w14:paraId="79981F75" w14:textId="5BFBBC45" w:rsidR="00064157" w:rsidRPr="005C3043" w:rsidRDefault="00064157" w:rsidP="009C7CF6">
      <w:pPr>
        <w:rPr>
          <w:rFonts w:ascii="Times New Roman" w:hAnsi="Times New Roman" w:cs="Times New Roman"/>
        </w:rPr>
      </w:pPr>
    </w:p>
    <w:p w14:paraId="63728B24" w14:textId="3C50C962" w:rsidR="00064157" w:rsidRPr="005C3043" w:rsidRDefault="00064157" w:rsidP="009C7CF6">
      <w:pPr>
        <w:rPr>
          <w:rFonts w:ascii="Times New Roman" w:hAnsi="Times New Roman" w:cs="Times New Roman"/>
        </w:rPr>
      </w:pPr>
    </w:p>
    <w:p w14:paraId="024A7E43" w14:textId="7EDA72A7" w:rsidR="00064157" w:rsidRPr="005C3043" w:rsidRDefault="00064157" w:rsidP="009C7CF6">
      <w:pPr>
        <w:rPr>
          <w:rFonts w:ascii="Times New Roman" w:hAnsi="Times New Roman" w:cs="Times New Roman"/>
        </w:rPr>
      </w:pPr>
    </w:p>
    <w:p w14:paraId="1D6D7838" w14:textId="0BA9B704" w:rsidR="00064157" w:rsidRPr="005C3043" w:rsidRDefault="00064157" w:rsidP="009C7CF6">
      <w:pPr>
        <w:rPr>
          <w:rFonts w:ascii="Times New Roman" w:hAnsi="Times New Roman" w:cs="Times New Roman"/>
        </w:rPr>
      </w:pPr>
    </w:p>
    <w:p w14:paraId="08DED08D" w14:textId="66F35842" w:rsidR="00064157" w:rsidRPr="005C3043" w:rsidRDefault="00064157" w:rsidP="009C7CF6">
      <w:pPr>
        <w:rPr>
          <w:rFonts w:ascii="Times New Roman" w:hAnsi="Times New Roman" w:cs="Times New Roman"/>
        </w:rPr>
      </w:pPr>
    </w:p>
    <w:p w14:paraId="208DCE2B" w14:textId="7B2B1A90" w:rsidR="00064157" w:rsidRPr="005C3043" w:rsidRDefault="00064157" w:rsidP="009C7CF6">
      <w:pPr>
        <w:rPr>
          <w:rFonts w:ascii="Times New Roman" w:hAnsi="Times New Roman" w:cs="Times New Roman"/>
        </w:rPr>
      </w:pPr>
    </w:p>
    <w:p w14:paraId="3FA70970" w14:textId="0621E2BC" w:rsidR="00064157" w:rsidRPr="005C3043" w:rsidRDefault="00064157" w:rsidP="009C7CF6">
      <w:pPr>
        <w:rPr>
          <w:rFonts w:ascii="Times New Roman" w:hAnsi="Times New Roman" w:cs="Times New Roman"/>
        </w:rPr>
      </w:pPr>
    </w:p>
    <w:p w14:paraId="5D03FFFD" w14:textId="7D8087DD" w:rsidR="00064157" w:rsidRPr="005C3043" w:rsidRDefault="00064157" w:rsidP="009C7CF6">
      <w:pPr>
        <w:rPr>
          <w:rFonts w:ascii="Times New Roman" w:hAnsi="Times New Roman" w:cs="Times New Roman"/>
        </w:rPr>
      </w:pPr>
    </w:p>
    <w:p w14:paraId="46E92C42" w14:textId="7A53CD4B" w:rsidR="00064157" w:rsidRPr="005C3043" w:rsidRDefault="00064157" w:rsidP="009C7CF6">
      <w:pPr>
        <w:rPr>
          <w:rFonts w:ascii="Times New Roman" w:hAnsi="Times New Roman" w:cs="Times New Roman"/>
        </w:rPr>
      </w:pPr>
    </w:p>
    <w:p w14:paraId="7BF7B6F8" w14:textId="69334AB1" w:rsidR="00064157" w:rsidRPr="005C3043" w:rsidRDefault="00064157" w:rsidP="009C7CF6">
      <w:pPr>
        <w:rPr>
          <w:rFonts w:ascii="Times New Roman" w:hAnsi="Times New Roman" w:cs="Times New Roman"/>
        </w:rPr>
      </w:pPr>
    </w:p>
    <w:p w14:paraId="6FC55937" w14:textId="00FC88EC" w:rsidR="00064157" w:rsidRPr="005C3043" w:rsidRDefault="00064157" w:rsidP="009C7CF6">
      <w:pPr>
        <w:rPr>
          <w:rFonts w:ascii="Times New Roman" w:hAnsi="Times New Roman" w:cs="Times New Roman"/>
        </w:rPr>
      </w:pPr>
    </w:p>
    <w:p w14:paraId="731D759C" w14:textId="4C35E47F" w:rsidR="00064157" w:rsidRPr="005C3043" w:rsidRDefault="00064157" w:rsidP="009C7CF6">
      <w:pPr>
        <w:rPr>
          <w:rFonts w:ascii="Times New Roman" w:hAnsi="Times New Roman" w:cs="Times New Roman"/>
        </w:rPr>
      </w:pPr>
    </w:p>
    <w:p w14:paraId="4A8BC70F" w14:textId="6F606C01" w:rsidR="00064157" w:rsidRPr="005C3043" w:rsidRDefault="00064157" w:rsidP="009C7CF6">
      <w:pPr>
        <w:rPr>
          <w:rFonts w:ascii="Times New Roman" w:hAnsi="Times New Roman" w:cs="Times New Roman"/>
        </w:rPr>
      </w:pPr>
    </w:p>
    <w:p w14:paraId="4BD585CC" w14:textId="77777777" w:rsidR="0048278A" w:rsidRDefault="0048278A" w:rsidP="00064157">
      <w:pPr>
        <w:jc w:val="center"/>
        <w:rPr>
          <w:rFonts w:ascii="Times New Roman" w:hAnsi="Times New Roman" w:cs="Times New Roman"/>
          <w:b/>
          <w:sz w:val="28"/>
        </w:rPr>
      </w:pPr>
    </w:p>
    <w:p w14:paraId="03D4D96E" w14:textId="222A4CEB" w:rsidR="000E228A" w:rsidRPr="002F0A5C" w:rsidRDefault="000E228A" w:rsidP="002F0A5C">
      <w:pPr>
        <w:pStyle w:val="Heading1"/>
        <w:rPr>
          <w:rFonts w:ascii="Times New Roman" w:hAnsi="Times New Roman" w:cs="Times New Roman"/>
        </w:rPr>
      </w:pPr>
      <w:bookmarkStart w:id="81" w:name="_Toc100072203"/>
      <w:r w:rsidRPr="002F0A5C">
        <w:rPr>
          <w:rFonts w:ascii="Times New Roman" w:hAnsi="Times New Roman" w:cs="Times New Roman"/>
        </w:rPr>
        <w:lastRenderedPageBreak/>
        <w:t>REFERENCES</w:t>
      </w:r>
      <w:bookmarkEnd w:id="81"/>
    </w:p>
    <w:p w14:paraId="704832D2" w14:textId="77777777" w:rsidR="00E65B3B" w:rsidRPr="005C3043" w:rsidRDefault="00E65B3B" w:rsidP="009C7CF6">
      <w:pPr>
        <w:rPr>
          <w:rFonts w:ascii="Times New Roman" w:hAnsi="Times New Roman" w:cs="Times New Roman"/>
        </w:rPr>
      </w:pPr>
    </w:p>
    <w:p w14:paraId="485B8B82" w14:textId="77777777" w:rsidR="00937F46" w:rsidRPr="00C34188" w:rsidRDefault="00937F4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Aardema, H., B. A. Roelen, H. T. van Tol, C. H. Oei, B. M. Gadella, and P. L. Vos. 2013. Follicular 17β-estradiol and progesterone concentrations and degree of cumulus cell expansion as predictors of in vivo-matured oocyte developmental competence in superstimulated heifers. Theriogenology. 80(6):576-583. doi: 10.1016/j.theriogenology.2013.05.025.</w:t>
      </w:r>
    </w:p>
    <w:p w14:paraId="7B03D137" w14:textId="77777777" w:rsidR="00937F46" w:rsidRPr="00C34188" w:rsidRDefault="00937F4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Abel, J. M., B. E. Bishop, J. M. Thomas, M. R. Ellersieck, S. E. Poock, M. F. Smith, and D. J. Patterson. 2017. Comparing strategies to synchronize estrus before fixed-time artificial insemination in primiparous 2-year-old beef cows. Theriogenology. 87:306-315. doi: 10.1016/j.theriogenology.2016.09.010.</w:t>
      </w:r>
    </w:p>
    <w:p w14:paraId="5C7E26C3" w14:textId="77777777" w:rsidR="00937F46" w:rsidRPr="00C34188" w:rsidRDefault="00937F4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Aerts, J. M., and P. E. Bols. 2010. Ovarian follicular dynamics. A review with emphasis on the bovine species. Part II: Antral development, exogenous influence and future prospects. Reproduction in domestic animals. Zuchthygiene. 45(1):180-187. doi: 10.1111/j.1439-0531.2008.01298x.</w:t>
      </w:r>
    </w:p>
    <w:p w14:paraId="6EA1E360" w14:textId="77777777" w:rsidR="00937F46" w:rsidRPr="00C34188" w:rsidRDefault="00937F4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Aerts, J. M., and P. E. Bols. 2010. Ovarian follicular dynamics: a review with emphasis on the bovine species. Part I: Folliculogenesis and pre-antral follicle development. Reproduction in domestic animals. Zuchthygiene. 45(1):171-179. doi: 10.1111/j.1439-0531.2008.01302x.</w:t>
      </w:r>
    </w:p>
    <w:p w14:paraId="539CC03A" w14:textId="0937C2A2" w:rsidR="00937F46" w:rsidRPr="00C34188" w:rsidRDefault="00937F4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Aguila, L., F. Treulen, J. Therrien, R. Felmer, M. Valdivia, and L. C. Smith. 2020. Oocyte selection for in vitro embryo production in bovine species: noninvasive approaches for new challenges of oocyte competence. Animals (Basel). 10(12):2196. doi: 10.3390/ani10122196.</w:t>
      </w:r>
    </w:p>
    <w:p w14:paraId="3B327D65" w14:textId="683A38AE" w:rsidR="0055059B" w:rsidRPr="00C34188" w:rsidRDefault="0055059B"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Allrich, R. D. </w:t>
      </w:r>
      <w:r w:rsidR="00892E1B" w:rsidRPr="00C34188">
        <w:rPr>
          <w:rFonts w:ascii="Times New Roman" w:hAnsi="Times New Roman" w:cs="Times New Roman"/>
        </w:rPr>
        <w:t>1994. Endocrine and neural control of estrus in dairy cows. J. Dairy Sci. 77(9):2738-2744. doi: 10.3168/jds.S0022-0302(94)77216-7.</w:t>
      </w:r>
    </w:p>
    <w:p w14:paraId="3F874FB5" w14:textId="77777777" w:rsidR="00937F46" w:rsidRPr="00C34188" w:rsidRDefault="00937F4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Alvarez, P., L. J. Spicer, C. C. Chase, Jr., M. E. Payton, T. D. Hamilton, R. E. Stewart, A. C. Hammond, T. A. Olson, and R. P. Wettemann. 2000. Ovarian and endocrine characteristics during an estrous cycle in Angus, Brahman, and Senepol cows in a subtropical environment. J. Anim. Sci. 78(5):1291-1302. doi: 10.2527/2000.7851291x.</w:t>
      </w:r>
    </w:p>
    <w:p w14:paraId="636F9A6B" w14:textId="77777777" w:rsidR="00937F46" w:rsidRPr="00C34188" w:rsidRDefault="00937F4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Alves, B. G., K. A. Alves, M. C. Martins, L. S. Braga, T. H. Silva, B. G. Alves, R. M. Santos, T. V. Silva, M. A. Viu, M. E. Beletti, J. O. Jacomini, and M. L. Gambarini. 2014. Metabolic profile of serum and follicular fluid from postpartum dairy cows during summer and winter. Reprod. Fertil. Dev. 26(6):866-874. doi: 10.1071/rd13102.</w:t>
      </w:r>
    </w:p>
    <w:p w14:paraId="4B83EE09" w14:textId="77777777" w:rsidR="00937F46" w:rsidRPr="00C34188" w:rsidRDefault="00937F4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Ambrose, D. J., J. P. Kastelic, R. Corbett, P. A. Pitney, H. V. Petit, J. A. Small, and P. Zalkovic. 2006. Lower pregnancy losses in lactating dairy cows fed a diet enriched in alpha-linolenic acid. J. Dairy. Sci. 89(8):3066-3074. doi: 10.3168/jds.S0022-0302(06)72581-4.</w:t>
      </w:r>
    </w:p>
    <w:p w14:paraId="1F4FB014" w14:textId="77777777" w:rsidR="00937F46" w:rsidRPr="00C34188" w:rsidRDefault="00937F4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Aparicio, I. M., M. Garcia-Herreros, L. C. O'Shea, C. Hensey, P. Lonergan, and T. Fair. 2011. Expression, regulation, and function of progesterone receptors in bovine cumulus oocyte complexes during in vitro maturation. Biol. Reprod. 84(5):910-921. doi: 10.1095/biolreprod.110.087411.</w:t>
      </w:r>
    </w:p>
    <w:p w14:paraId="4F22BCD1" w14:textId="77777777" w:rsidR="00937F46" w:rsidRPr="00C34188" w:rsidRDefault="00937F4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lastRenderedPageBreak/>
        <w:t>Archer, S. L. 2013. Mitochondrial dynamics—mitochondrial fission and fusion in human diseases. N. Engl. J. Med. 369(23):2236-2251. doi: 10.1056/NEJMra1215233.</w:t>
      </w:r>
    </w:p>
    <w:p w14:paraId="02B277B2" w14:textId="77777777" w:rsidR="00937F46" w:rsidRPr="00C34188" w:rsidRDefault="00937F4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Arlotto, T., J. L. Schwartz, N. L. First, and M. L. Leibfried-Rutledge. 1996. Aspects of follicle and oocyte stage that affect in vitro maturation and development of bovine oocytes. Theriogenology. 45(5):943-956. doi: 10.1016/0093-691x(96)00024-6.</w:t>
      </w:r>
    </w:p>
    <w:p w14:paraId="13A68C02" w14:textId="77777777" w:rsidR="00937F46" w:rsidRPr="00C34188" w:rsidRDefault="00937F4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Assey, R. J., P. Hyttel, J. F. Roche, and M. Boland. 1994. Oocyte structure and follicular steroid concentrations in superovulated versus unstimulated heifers. Mol. Reprod. Dev. 39(1):8-16. doi: 10.1002/mrd.1080390103.</w:t>
      </w:r>
    </w:p>
    <w:p w14:paraId="7755DFE0" w14:textId="77777777" w:rsidR="00937F46" w:rsidRPr="00C34188" w:rsidRDefault="00937F4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Atkins, J. A., M. F. Smith, M. D. MacNeil, E. M. Jinks, F. M. Abreu, L. J. Alexander, and T. W. Geary. 2013. Pregnancy establishment and maintenance in cattle. J. Anim. Sci. 91(2):722-733. doi: 10.2527/jas.2012-5368.</w:t>
      </w:r>
    </w:p>
    <w:p w14:paraId="3FD9D124" w14:textId="77777777" w:rsidR="00937F46" w:rsidRPr="00C34188" w:rsidRDefault="00937F46" w:rsidP="00C34188">
      <w:pPr>
        <w:pStyle w:val="EndNoteBibliography"/>
        <w:ind w:left="720" w:hanging="720"/>
        <w:jc w:val="both"/>
        <w:rPr>
          <w:rFonts w:ascii="Times New Roman" w:hAnsi="Times New Roman" w:cs="Times New Roman"/>
        </w:rPr>
      </w:pPr>
      <w:bookmarkStart w:id="82" w:name="_Hlk94490352"/>
      <w:r w:rsidRPr="00C34188">
        <w:rPr>
          <w:rFonts w:ascii="Times New Roman" w:hAnsi="Times New Roman" w:cs="Times New Roman"/>
        </w:rPr>
        <w:t>Atkins, J. A., M. F. Smith, K. J. Wells, and T. W. Geary. 2010. Factors affecting preovulatory follicle diameter and ovulation rate after gonadotropin-releasing hormone in postpartum beef cows. Part I: cycling cows. J. Anim. Sci. 88(7):2300-2310. doi: 10.2527/jas.2009-2531.</w:t>
      </w:r>
    </w:p>
    <w:bookmarkEnd w:id="82"/>
    <w:p w14:paraId="2239270D" w14:textId="18516BAD" w:rsidR="00937F46" w:rsidRPr="00C34188" w:rsidRDefault="00937F4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Atkins, J. A., M. F. Smith, K. J. Wells, and T. W. Geary. 2010. Factors affecting preovulatory follicle diameter and ovulation rate after gonadotropin-releasing hormone in postpartum beef cows. Part II: anestrous cows. J. Anim. Sci. 88(7):2311-2320. doi: 10.2527/jas.2009-2532.</w:t>
      </w:r>
    </w:p>
    <w:p w14:paraId="069C7A15" w14:textId="0A8C8186" w:rsidR="0055059B" w:rsidRPr="00C34188" w:rsidRDefault="0055059B"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ATP molarity was calculated using the GraphPad QuickCalcs Web site: https://www.graphpad.com/quickcalcs/molarityform/ (accessed June 2021).  </w:t>
      </w:r>
    </w:p>
    <w:p w14:paraId="059BD074" w14:textId="77777777" w:rsidR="00937F46" w:rsidRPr="00C34188" w:rsidRDefault="00937F4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Babayev, E., and E. Seli. 2015. Oocyte mitochondrial function and reproduction. Curr. Opin. Obstet. 27(3):175-181. doi: 10.1097/gco.0000000000000164.</w:t>
      </w:r>
    </w:p>
    <w:p w14:paraId="4598A47E" w14:textId="77777777" w:rsidR="00937F46" w:rsidRPr="00C34188" w:rsidRDefault="00937F4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Baka, S., and A. Malamitsi-Puchner. 2006. Novel follicular fluid factors influencing oocyte developmental potential in IVF: a review. Reprod. Biomed. Online. 12(4):500-506. doi: 10.1016/s1472-6483(10)62005-6.</w:t>
      </w:r>
    </w:p>
    <w:p w14:paraId="0BEB5203" w14:textId="77777777" w:rsidR="00937F46" w:rsidRPr="00C34188" w:rsidRDefault="00937F4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Baruselli, P. S., R. M. Ferreira, M. F. Filho, and G. A. Bó. 2018. Review: using artificial insemination v. natural service in beef herds. Animal. 12(1):45-52. doi: 10.1017/s175173111800054x.</w:t>
      </w:r>
    </w:p>
    <w:p w14:paraId="5EDD3584"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Bazer, F. W., T. E. Spencer, G. A. Johnson, and R. C. Burghardt. 2011. Uterine receptivity to implantation of blastocysts in mammals. Front. Biosci. 3:745-767. doi: 10.2741/s184.</w:t>
      </w:r>
    </w:p>
    <w:p w14:paraId="02D85FCD" w14:textId="1B864F30"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Behera, M. A., Q. Dai, R. Garde, C. Saner, E. Jungheim, and T. M. Price. 2009. Progesterone stimulates mitochondrial activity with subsequent inhibition of apoptosis in MCF-10A benign breast epithelial cells.</w:t>
      </w:r>
      <w:r w:rsidR="00980769" w:rsidRPr="00C34188">
        <w:rPr>
          <w:rFonts w:ascii="Times New Roman" w:hAnsi="Times New Roman" w:cs="Times New Roman"/>
        </w:rPr>
        <w:t xml:space="preserve"> Am. J. Physiol. Endocrinol. Metab.</w:t>
      </w:r>
      <w:r w:rsidRPr="00C34188">
        <w:rPr>
          <w:rFonts w:ascii="Times New Roman" w:hAnsi="Times New Roman" w:cs="Times New Roman"/>
        </w:rPr>
        <w:t xml:space="preserve"> 297(5):1089-1096. doi: 10.1152/ajpendo.00209.2009</w:t>
      </w:r>
    </w:p>
    <w:p w14:paraId="76A909DA"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Bender, K., S. Walsh, A. C. Evans, T. Fair, and L. Brennan. 2010. Metabolite concentrations in follicular fluid may explain differences in fertility between heifers and lactating cows. Reproduction. 139(6):1047-1055. doi: 10.1530/rep-10-0068.</w:t>
      </w:r>
    </w:p>
    <w:p w14:paraId="4DEBE203"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Bernabé, B. P., I. Thiele, E. Galdones, A. Siletz, S. Chandrasekaran, T. K. Woodruff, L. J. Broadbelt, and L. D. Shea. 2019. Dynamic genome-scale cell-specific metabolic models reveal novel inter-cellular and intra-cellular metabolic communications during ovarian follicle development. BMC Bioinform. 20(1):1-16. doi: 10.1186/s12859-019-2825-2.</w:t>
      </w:r>
    </w:p>
    <w:p w14:paraId="6D4A63A1"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lastRenderedPageBreak/>
        <w:t>Berry, D. P., P. R. Amer, R. D. Evans, T. Byrne, A. R. Cromie, and F. Hely. 2019. A breeding index to rank beef bulls for use on dairy females to maximize profit. J. Dairy. Sci. 102(11):10056-10072. doi: 10.3168/jds.2019-16912.</w:t>
      </w:r>
    </w:p>
    <w:p w14:paraId="59DD0FD2"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Bertoldo, M. J., L. Nadal-Desbarats, N. Gérard, A. Dubois, P. K. Holyoake, and C. G. Grupen. 2013. Differences in the metabolomic signatures of porcine follicular fluid collected from environments associated with good and poor oocyte quality. Reproduction. 146(3):221-231. doi: 10.1530/rep-13-0142.</w:t>
      </w:r>
    </w:p>
    <w:p w14:paraId="10B4E0B4"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Biggers, J., D. Whittingham, and R. Donahue. 1967. The pattern of energy metabolism in the mouse oocyte and zygote. Proc. Natl. Acad. Sci. U.S.A. 58(2):560-567. doi: 10.1073/pnas.58.2.560.</w:t>
      </w:r>
    </w:p>
    <w:p w14:paraId="061D2512"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Bilodeau-Goeseels, S. 2006. Effects of culture media and energy sources on the inhibition of nuclear maturation in bovine oocytes. Theriogenology. 66(2):297-306. doi: https://doi.org/10.1016/j.theriogenology.2005.11.014.</w:t>
      </w:r>
    </w:p>
    <w:p w14:paraId="2723E88D"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Bisinotto, R. S., and J. E. Santos. 2011. The use of endocrine treatments to improve pregnancy rates in cattle. Reprod. Fertil. Dev. 24(1):258-266. doi: 10.1071/rd11916.</w:t>
      </w:r>
    </w:p>
    <w:p w14:paraId="279D27DD"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Blaschka, C., G. Schuler, A. Sánchez-Guijo, B. Zimmer, S. Feller, F. Kotarski, S. A. Wudy, and C. Wrenzycki. 2018. Occurrence of sulfonated steroids and ovarian expression of steroid sulfatase and SULT1E1 in cyclic cows. J. Steroid. Biochem. Mol. Biol. 179:79-87. doi: 10.1016/j.jsbmb.2017.12.010.</w:t>
      </w:r>
    </w:p>
    <w:p w14:paraId="10D1C97D"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Blondin, P., K. Coenen, L. A. Guilbault, and M. A. Sirard. 1996. Superovulation can reduce the developmental competence of bovine embryos. Theriogenology. 46(7):1191-1203. doi: 10.1016/s0093-691x(96)00290-7.</w:t>
      </w:r>
    </w:p>
    <w:p w14:paraId="5B2B80B3"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Blondin, P., and M. A. Sirard. 1995. Oocyte and follicular morphology as determining characteristics for developmental competence in bovine oocytes. Mol. Reprod. Dev. 41(1):54-62. doi: 10.1002/mrd.1080410109.</w:t>
      </w:r>
    </w:p>
    <w:p w14:paraId="2EF52706"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Bodensteiner, K. J., M. C. Wiltbank, D. R. Bergfelt, and O. J. Ginther. 1996. Alterations in follicular estradiol and gonadotropin receptors during development of bovine antral follicles. Theriogenology. 45(2):499-512. doi: https://doi.org/10.1016/0093-691X(95)00386-M.</w:t>
      </w:r>
    </w:p>
    <w:p w14:paraId="0DE6DC69"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Bódis, J., E. Sulyok, M. Koppán, V. Prémusz, K. Gödöny, W. Rascher, and M. Rauh. 2020. Tryptophan catabolism to serotonin and kynurenine in women undergoing in-vitro fertilization. Physiol. Res. 69(6):1113-1124. doi: 10.33549/physiolres.934435.</w:t>
      </w:r>
    </w:p>
    <w:p w14:paraId="6CA269B4"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Bonacker, R. C., K. R. Gray, C. A. Breiner, J. M. Anderson, D. J. Patterson, C. M. Spinka, and J. M. Thomas. 2020. Comparison of the 7 &amp; 7 Synch protocol and the 7-day CO-Synch + CIDR protocol among recipient beef cows in an embryo transfer program. Theriogenology. 158:490-496. doi: 10.1016/j.theriogenology.2020.09.033.</w:t>
      </w:r>
    </w:p>
    <w:p w14:paraId="2CDD9021"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Boni, R. 2012. Origins and effects of oocyte quality in cattle. Anim. Reprod. 9(3):333-340. </w:t>
      </w:r>
    </w:p>
    <w:p w14:paraId="4AEEFE15"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Bou Nemer, L., H. Shi, B. R. Carr, R. A. Word, and O. Bukulmez. 2019. Effect of body weight on metabolic hormones and fatty acid metabolism in follicular fluid of women undergoing in vitro fertilization: a pilot study. Reprod. Sci. 26(3):404-411. doi: 10.1177/1933719118776787.</w:t>
      </w:r>
    </w:p>
    <w:p w14:paraId="4D963908"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lastRenderedPageBreak/>
        <w:t>Boyer, C.N., A. P. Griffith, and K. L. DeLong. 2020. Reproductive failure and long-term profitability of spring- and fall-calving beef cows. J. Agric. Resour. 45(1):78-91. doi: 10.22004/ag.econ.298435.</w:t>
      </w:r>
    </w:p>
    <w:p w14:paraId="1716B3BD"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Breuel, K. F., P. E. Lewis, F. N. Schrick, A. W. Lishman, E. K. Inskeep, and R. L. Butcher. 1993. Factors affecting fertility in the postpartum cow: role of the oocyte and follicle in conception rate. Biol. Reprod. 48(3):655-661. doi: 10.1095/biolreprod48.3.655.</w:t>
      </w:r>
    </w:p>
    <w:p w14:paraId="5CFA063E"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Bridges, G. A., S. L. Lake, S. G. Kruse, S. L. Bird, B. J. Funnell, R. Arias, J. A. Walker, J. K. Grant, and G. A. Perry. 2014. Comparison of three CIDR-based fixed-time AI protocols in beef heifers. J. Anim. Sci. 92(7):3127-3133. doi: 10.2527/jas.2013-7404.</w:t>
      </w:r>
    </w:p>
    <w:p w14:paraId="7ECE5548"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Brown, H. M., K. R. Dunning, M. Sutton-McDowall, R. B. Gilchrist, J. G. Thompson, and D. L. Russell. 2017. Failure to launch: aberrant cumulus gene expression during oocyte in vitro maturation. Reproduction. 153(3):109-120. doi: 10.1530/REP-16-0426</w:t>
      </w:r>
    </w:p>
    <w:p w14:paraId="4CAAA66A"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Bucher, A., R. Kasimanickam, J. B. Hall, J. M. DeJarnette, W. D. Whittier, W. Kähn, and Z. Xu. 2009. Fixed-time AI pregnancy rate following insemination with frozen-thawed or fresh-extended semen in progesterone supplemented CO-Synch protocol in beef cows. Theriogenology. 71(7):1180-1185. doi: https://doi.org/10.1016/j.theriogenology.2008.12.009.</w:t>
      </w:r>
    </w:p>
    <w:p w14:paraId="49BF02B4"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Busch, D. C., J. A. Atkins, J. F. Bader, D. J. Schafer, D. J. Patterson, T. W. Geary, and M. F. Smith. 2008. Effect of ovulatory follicle size and expression of estrus on progesterone secretion in beef cows. J. Anim. Sci. 86(3):553-563. doi: 10.2527/jas.2007-0570.</w:t>
      </w:r>
    </w:p>
    <w:p w14:paraId="554D5944"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Calarco, P. G. 1995. Polarization of mitochondria in the unfertilized mouse oocyte. Dev. Genet. 16(1):36-43. doi: 10.1002/dvg.1020160108.</w:t>
      </w:r>
    </w:p>
    <w:p w14:paraId="13666B16"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Cao, L., H. Shitara, T. Horii, Y. Nagao, H. Imai, K. Abe, T. Hara, J.-I. Hayashi, and H. Yonekawa. 2007. The mitochondrial bottleneck occurs without reduction of mtDNA content in female mouse germ cells. Nat. Genet. 39(3):386-390. doi: 10.1038/ng1970.</w:t>
      </w:r>
    </w:p>
    <w:p w14:paraId="5B26D540"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Carter, F., N. Forde, P. Duffy, M. Wade, T. Fair, M. A. Crowe, A. C. Evans, D. A. Kenny, J. F. Roche, P. Lonergan. 2008. Effect of increasing progesterone concentration from Day 3 of pregnancy on subsequent embryo survival and development in beef heifers. Reprod. Fertil. Dev. 20(3):368-375. doi: 10.1071/rd07204.</w:t>
      </w:r>
    </w:p>
    <w:p w14:paraId="7BCFE32B"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Casas, E., and L. V. Cundiff. 2003. Maternal grandsire, granddam, and sire breed effects on growth and carcass traits of crossbred cattle. J. Anim. Sci. 81(4):904-911. doi: 10.2527/2003.814904x.</w:t>
      </w:r>
    </w:p>
    <w:p w14:paraId="714AF08A"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Cassano, E., L. Tosto, M. Balestrieri, L. Zicarelli, and P. Abrescia. 1999. Antioxidant defense in the follicular fluid of water buffalo. Cell. Physiol. Biochem. 9(2):106-116. doi: 10.1159/000016307.</w:t>
      </w:r>
    </w:p>
    <w:p w14:paraId="62FACB27"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Cetica, P., L. Pintos, G. Dalvit, and M. Beconi. 2002. Activity of key enzymes involved in glucose and triglyceride catabolism during bovine oocyte maturation in vitro. Reproduction. 124(5):675-681. doi: 10.1530/rep.0.1240675.</w:t>
      </w:r>
    </w:p>
    <w:p w14:paraId="4A507C19"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lastRenderedPageBreak/>
        <w:t>Chambers, M. C., B. Maclean, R. Burke, D. Amodei, D. L. Ruderman, S. Neumann, L. Gatto, B. Fischer, B. Pratt, J. Egertson, K. Hoff, D. Kessner, N. Tasman, N. Shulman, B. Frewen, T. A. Baker, M. Y. Brusniak, C. Paulse, D. Creasy, L. Flashner, K. Kani, C. Moulding, S. L. Seymour, L. M. Nuwaysir, B. Lefebvre, F. Kuhlmann, J. Roark, P. Rainer, S. Detlev, T. Hemenway, A. Huhmer, J. Langridge, B. Connolly, T. Chadick, K. Holly, J. Eckels, E. W. Deutsch, R. L. Moritz, J. E. Katz, D. B. Agus, M. MacCoss, D. L. Tabb, and P. Mallick. 2012. A cross-platform toolkit for mass spectrometry and proteomics. Nat. Biotechnol. 30(10):918-920. doi: 10.1038/nbt.2377.</w:t>
      </w:r>
    </w:p>
    <w:p w14:paraId="0CB59843"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Chang, S. C., J. D. Jones, R. D. Ellefson, and R. J. Ryan. 1976. The porcine ovarian follicle: I. Selected chemical analysis of follicular fluid at different developmental stages. Biol. Reprod. 15(3):321-328. doi: 10.1095/biolreprod15.3.321.</w:t>
      </w:r>
    </w:p>
    <w:p w14:paraId="7D790930" w14:textId="77777777"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Chappel, S. 2013. The role of mitochondria from mature oocyte to viable blastocyst. Obstet. Gynecol. Int. 2013:183024. doi: 10.1155/2013/183024.</w:t>
      </w:r>
    </w:p>
    <w:p w14:paraId="7133B002" w14:textId="062FC87C"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Chiaratti, M. R., F. F. Bressan, C. R. Ferreira, A. R. Caetano, L. C. Smith, A. E. Vercesi, and F. V. Meirelles. 2010. Embryo mitochondrial DNA depletion is reversed during early embryogenesis in cattle. Biol. Reprod. 82:76-85. doi: 10.1095/biolreprod.109.077776.</w:t>
      </w:r>
    </w:p>
    <w:p w14:paraId="722AEB5A" w14:textId="2F619C59" w:rsidR="003840F0" w:rsidRPr="00C34188" w:rsidRDefault="003840F0"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Christian, C. A., and S. M. Moenter. 2010. The neurobiology of preovulatory and estradiol-induced gonadotropin-releasing hormone surges. Endocr. Rev.</w:t>
      </w:r>
      <w:r w:rsidR="0055059B" w:rsidRPr="00C34188">
        <w:rPr>
          <w:rFonts w:ascii="Times New Roman" w:hAnsi="Times New Roman" w:cs="Times New Roman"/>
        </w:rPr>
        <w:t xml:space="preserve"> 31(4): 544-577. doi: 10.1210/er.2009-0023.</w:t>
      </w:r>
    </w:p>
    <w:p w14:paraId="66F4209B" w14:textId="0D12DADF" w:rsidR="00980769" w:rsidRPr="00C34188" w:rsidRDefault="0098076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Ciernia, L. A., G. A. Perry, M. F. Smith, J. J. Rich, E. J. Northrop, S. D. Perkins, J. A. Green, A. L. Zezeski, and T. W. Geary. 2021. Effect of estradiol preceding and progesterone subsequent to ovulation on proportion of postpartum beef cows pregnant. Anim</w:t>
      </w:r>
      <w:r w:rsidR="003840F0" w:rsidRPr="00C34188">
        <w:rPr>
          <w:rFonts w:ascii="Times New Roman" w:hAnsi="Times New Roman" w:cs="Times New Roman"/>
        </w:rPr>
        <w:t>.</w:t>
      </w:r>
      <w:r w:rsidRPr="00C34188">
        <w:rPr>
          <w:rFonts w:ascii="Times New Roman" w:hAnsi="Times New Roman" w:cs="Times New Roman"/>
        </w:rPr>
        <w:t xml:space="preserve"> Reprod</w:t>
      </w:r>
      <w:r w:rsidR="003840F0" w:rsidRPr="00C34188">
        <w:rPr>
          <w:rFonts w:ascii="Times New Roman" w:hAnsi="Times New Roman" w:cs="Times New Roman"/>
        </w:rPr>
        <w:t>.</w:t>
      </w:r>
      <w:r w:rsidRPr="00C34188">
        <w:rPr>
          <w:rFonts w:ascii="Times New Roman" w:hAnsi="Times New Roman" w:cs="Times New Roman"/>
        </w:rPr>
        <w:t xml:space="preserve"> Sci</w:t>
      </w:r>
      <w:r w:rsidR="003840F0" w:rsidRPr="00C34188">
        <w:rPr>
          <w:rFonts w:ascii="Times New Roman" w:hAnsi="Times New Roman" w:cs="Times New Roman"/>
        </w:rPr>
        <w:t>.</w:t>
      </w:r>
      <w:r w:rsidRPr="00C34188">
        <w:rPr>
          <w:rFonts w:ascii="Times New Roman" w:hAnsi="Times New Roman" w:cs="Times New Roman"/>
        </w:rPr>
        <w:t xml:space="preserve"> 227:106-723. doi:10.1016/j.anireprosci.2021.106723.</w:t>
      </w:r>
    </w:p>
    <w:p w14:paraId="1320B734" w14:textId="2B63F1AC"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Cinco, R., M. A. Digman, E. Gratton, and U. Luderer. 2016. Spatial Characterization of Bioenergetics and Metabolism of Primordial to Preovulatory Follicles in Whole Ex Vivo Murine Ovary. Biol</w:t>
      </w:r>
      <w:r w:rsidR="00980769" w:rsidRPr="00C34188">
        <w:rPr>
          <w:rFonts w:ascii="Times New Roman" w:hAnsi="Times New Roman" w:cs="Times New Roman"/>
        </w:rPr>
        <w:t>.</w:t>
      </w:r>
      <w:r w:rsidRPr="00C34188">
        <w:rPr>
          <w:rFonts w:ascii="Times New Roman" w:hAnsi="Times New Roman" w:cs="Times New Roman"/>
        </w:rPr>
        <w:t xml:space="preserve"> Reprod</w:t>
      </w:r>
      <w:r w:rsidR="00980769" w:rsidRPr="00C34188">
        <w:rPr>
          <w:rFonts w:ascii="Times New Roman" w:hAnsi="Times New Roman" w:cs="Times New Roman"/>
        </w:rPr>
        <w:t>.</w:t>
      </w:r>
      <w:r w:rsidRPr="00C34188">
        <w:rPr>
          <w:rFonts w:ascii="Times New Roman" w:hAnsi="Times New Roman" w:cs="Times New Roman"/>
        </w:rPr>
        <w:t xml:space="preserve"> 95(6)</w:t>
      </w:r>
      <w:r w:rsidR="00980769" w:rsidRPr="00C34188">
        <w:rPr>
          <w:rFonts w:ascii="Times New Roman" w:hAnsi="Times New Roman" w:cs="Times New Roman"/>
        </w:rPr>
        <w:t xml:space="preserve">:129. </w:t>
      </w:r>
      <w:r w:rsidRPr="00C34188">
        <w:rPr>
          <w:rFonts w:ascii="Times New Roman" w:hAnsi="Times New Roman" w:cs="Times New Roman"/>
        </w:rPr>
        <w:t>doi: 10.1095/biolreprod.116.142141</w:t>
      </w:r>
    </w:p>
    <w:p w14:paraId="15D83973"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Clarke, H. G., S. A. Hope, S. Byers, and R. J. Rodgers. 2006. Formation of ovarian follicular fluid may be due to the osmotic potential of large glycosaminoglycans and proteoglycans J. Reprod.  132:119-131. doi: 10.1530/rep.1.00960.</w:t>
      </w:r>
    </w:p>
    <w:p w14:paraId="2320AF0B" w14:textId="16D29C61"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Clasquin, M. F., E. Melamud, and J. D. Rabinowitz. 2012. LC-MS data processing with MAVEN: a metabolomic analysis and visualization engine. Curr. Protoc. Bioinformatics 14(14):11. doi: 10.1002/0471250953.bi1411s37.</w:t>
      </w:r>
    </w:p>
    <w:p w14:paraId="28C5EAAA" w14:textId="403B39F3" w:rsidR="00C415A7" w:rsidRPr="00C34188" w:rsidRDefault="00C415A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Colazo, M. G., and R. J. Mapletoft. 2014. A review of current timed-AI (TAI) programs for beef and dairy cattle. Can. Vet. J. 55(8): 772-780.  </w:t>
      </w:r>
    </w:p>
    <w:p w14:paraId="37E810AA"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Colazo, M. G., P. Whittaker, K. Macmillan, D. Bignell, G. Boender, R. de Carvalho Guimaraes, and R. J. Mapletoft. 2018. Evaluation of a modified GnRH-based timed-AI protocol associated with estrus detection in beef heifers inseminated with sex-selected or conventional semen. Theriogenology. 118:90-95. doi: 10.1016/j.theriogenology.2018.05.037.</w:t>
      </w:r>
    </w:p>
    <w:p w14:paraId="5CD4112A"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Colonna, R., and F. Mangia. 1983. Mechanisms of amino acid uptake in cumulus-enclosed mouse oocytes. Biol. Reprod. 28:797-803. doi: 10.1095/biolreprod28.4.797.</w:t>
      </w:r>
    </w:p>
    <w:p w14:paraId="1A900020"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lastRenderedPageBreak/>
        <w:t>Conti, M., and F. Franciosi. 2018. Acquisition of oocyte competence to develop as an embryo: integrated nuclear and cytoplasmic events. Hum Reprod Update 24:245-266. doi: 10.1093/humupd/dmx040.</w:t>
      </w:r>
    </w:p>
    <w:p w14:paraId="52B72AF0" w14:textId="52C09FC8"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Conti, M., M. Hsieh, A. M. Zamah, and J. S. Oh. 2012. Novel signaling mechanisms in the ovary during oocyte maturation and ovulation. </w:t>
      </w:r>
      <w:r w:rsidR="00E07BC7" w:rsidRPr="00C34188">
        <w:rPr>
          <w:rFonts w:ascii="Times New Roman" w:hAnsi="Times New Roman" w:cs="Times New Roman"/>
        </w:rPr>
        <w:t>Mol. Cell.</w:t>
      </w:r>
      <w:r w:rsidRPr="00C34188">
        <w:rPr>
          <w:rFonts w:ascii="Times New Roman" w:hAnsi="Times New Roman" w:cs="Times New Roman"/>
        </w:rPr>
        <w:t xml:space="preserve"> 356(1-2):65-73. doi: 10.1016/j.mce.2011.11.002</w:t>
      </w:r>
    </w:p>
    <w:p w14:paraId="7802EAB9" w14:textId="77777777"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Contreras-Solís, I., M. Catalá, S. Soto-Heras, M. Roura, M. T. Paramio, and D. Izquierdo. 2021. Effect of follicle size on hormonal status of follicular fluid, oocyte ATP content, and in vitro embryo production in prepubertal sheep. Domest Anim Endocrinol 75:106582. doi: 10.1016/j.domaniend.2020.106582</w:t>
      </w:r>
    </w:p>
    <w:p w14:paraId="7FB30DED" w14:textId="77777777"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Cooke, R. F., K. G. Pohler, J. L. M. Vasconcelos, and R. L. A. Cerri. 2019. Estrous expression during a fixed-time artificial insemination protocol enhances development and interferon-tau messenger RNA expression in conceptuses from Bos indicus beef cows. Animal : an international journal of animal bioscience 13(11):2569-2575. doi: 10.1017/s1751731119000636</w:t>
      </w:r>
    </w:p>
    <w:p w14:paraId="270C2DFA"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Coticchio, G., M. Dal Canto, M. Mignini Renzini, M. C. Guglielmo, F. Brambillasca, D. Turchi, P. V. Novara, and R. Fadini. 2015. Oocyte maturation: gamete-somatic cells interactions, meiotic resumption, cytoskeletal dynamics and cytoplasmic reorganization. Hum. Reprod. Update 21:427-454. doi:10.1093/humupd/dmv011.</w:t>
      </w:r>
    </w:p>
    <w:p w14:paraId="194C90EB"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Crews, D. 2002. The relationship between beef sire carcass EPD and progeny phenotype. Can. J. Anim. Sci. 82:503-506. doi: 10.4141/A02-037.</w:t>
      </w:r>
    </w:p>
    <w:p w14:paraId="29603CCC"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Crites, B. R., R. Vishwanath, A. M. Arnett, P. J. Bridges, W. R. Burris, K. R. McLeod, and L. H. Anderson. 2018. Conception risk of beef cattle after fixed-time artificial insemination using either SexedUltra™ 4M sex-sorted semen or conventional semen. Theriogenology 118:126-129. doi:10.1016/j.theriogenology.2018.05.003.</w:t>
      </w:r>
    </w:p>
    <w:p w14:paraId="6C092524"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Cunningham, B. E., W. T. Magee, and H. D. Ritchie. 1987. Effects of using sires selected for yearling weight and crossbreeding with beef and dairy breeds: birth and weaning traits. J. Anim. Sci. 6:1591-1600. doi: 10.2527/jas1987.6461591x.</w:t>
      </w:r>
    </w:p>
    <w:p w14:paraId="35E2B769"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Cushman, R. A., M. F. Allan, R. M. Thallman, and L. V. Cundiff. 2007. Characterization of biological types of cattle (Cycle VII): Influence of postpartum interval and estrous cycle length on fertility12. J. Anim. Sci. 85:2156-2162. doi: 10.2527/jas.2007-0136.</w:t>
      </w:r>
    </w:p>
    <w:p w14:paraId="55A30F2F"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Cushman, R. A., L. K. Kill, R. N. Funston, E. M. Mousel, and G. A. Perry. 2013. Heifer calving date positively influences calf weaning weights through six parturitions1. J. Anim. Sci. 91:4486-4491. doi: 10.2527/jas.2013-6465.</w:t>
      </w:r>
    </w:p>
    <w:p w14:paraId="6B8A6852"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D'Aniello, G., N. Grieco, M. A. Di Filippo, F. Cappiello, E. Topo, E. D'Aniello, and S. Ronsini. 2007. Reproductive implication of D-aspartic acid in human pre-ovulatory follicular fluid. Hum. Reprod. 22:3178-3183. doi: 10.1093/humrep/dem328.</w:t>
      </w:r>
    </w:p>
    <w:p w14:paraId="37D1015C"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Da Broi, M. G., V. S. I. Giorgi, F. Wang, D. L. Keefe, D. Albertini, and P. A. Navarro. 2018. Influence of follicular fluid and cumulus cells on oocyte quality: clinical implications. J. Assist. Reprod. Genet. 35:735-751. doi: 10.1007/s10815-018-1143-3.</w:t>
      </w:r>
    </w:p>
    <w:p w14:paraId="494CE8C7"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lastRenderedPageBreak/>
        <w:t>Dadarwal, D., F. C. F. Dias, G. P. Adams, and J. Singh. 2017. Effect of follicular aging on ATP content and mitochondria distribution in bovine oocytes. Theriogenology 89:348-358. doi: 10.1016/j.theriogenology.2016.09.039.</w:t>
      </w:r>
    </w:p>
    <w:p w14:paraId="2D3A6766" w14:textId="5A047E56"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Dai, Q., C. E. Likes, A. L. Luz, L. Mao, J. S. Yeh, Z. Wei, M. Kuchibhatla, O. R. Ilkayeva, T. R. Koves, and T. M. Price. 2019. A Mitochondrial Progesterone Receptor Increases Cardiac Beta-Oxidation and Remodeling. </w:t>
      </w:r>
      <w:r w:rsidR="00E07BC7" w:rsidRPr="00C34188">
        <w:rPr>
          <w:rFonts w:ascii="Times New Roman" w:hAnsi="Times New Roman" w:cs="Times New Roman"/>
        </w:rPr>
        <w:t>JES.</w:t>
      </w:r>
      <w:r w:rsidRPr="00C34188">
        <w:rPr>
          <w:rFonts w:ascii="Times New Roman" w:hAnsi="Times New Roman" w:cs="Times New Roman"/>
        </w:rPr>
        <w:t xml:space="preserve"> 3(2):446-467. doi: 10.1210/js.2018-00219</w:t>
      </w:r>
    </w:p>
    <w:p w14:paraId="425F56F9" w14:textId="45F90ED1"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Dai, Q., M. P. Provost, D. J. Raburn, and T. M. Price. 2020. Progesterone Increases Mitochondria Membrane Potential in Non-human Primate Oocytes and Embryos. Reprod</w:t>
      </w:r>
      <w:r w:rsidR="00E07BC7" w:rsidRPr="00C34188">
        <w:rPr>
          <w:rFonts w:ascii="Times New Roman" w:hAnsi="Times New Roman" w:cs="Times New Roman"/>
        </w:rPr>
        <w:t>.</w:t>
      </w:r>
      <w:r w:rsidRPr="00C34188">
        <w:rPr>
          <w:rFonts w:ascii="Times New Roman" w:hAnsi="Times New Roman" w:cs="Times New Roman"/>
        </w:rPr>
        <w:t xml:space="preserve"> Sci</w:t>
      </w:r>
      <w:r w:rsidR="00E07BC7" w:rsidRPr="00C34188">
        <w:rPr>
          <w:rFonts w:ascii="Times New Roman" w:hAnsi="Times New Roman" w:cs="Times New Roman"/>
        </w:rPr>
        <w:t>.</w:t>
      </w:r>
      <w:r w:rsidRPr="00C34188">
        <w:rPr>
          <w:rFonts w:ascii="Times New Roman" w:hAnsi="Times New Roman" w:cs="Times New Roman"/>
        </w:rPr>
        <w:t xml:space="preserve"> 27(5):1206-1214. doi: 10.1007/s43032-019-00132-2</w:t>
      </w:r>
    </w:p>
    <w:p w14:paraId="352A7A1B"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Dalbies-Tran, R., V. Cadoret, A. Desmarchais, S. Elis, V. Maillard, P. Monget, D. Monniaux, K. Reynaud, M. Saint-Dizier, and S. Uzbekova. 2020. A comparative analysis of oocyte development in mammals. Cells. 9(4). doi: 10.3390/cells9041002.</w:t>
      </w:r>
    </w:p>
    <w:p w14:paraId="399B23DE"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Dalton, C. M., G. Szabadkai, and J. Carroll. 2014. Measurement of ATP in single oocytes: Impact of maturation and cumulus cells on levels and consumption.  J. Cell. Physiol. 229:353-361. doi: 10.1002/jcp.24457.</w:t>
      </w:r>
    </w:p>
    <w:p w14:paraId="0FBBCF1F"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Damiran, D., K. A. Larson, L. T. Pearce, N. E. Erickson, and B. H. A. Lardner. 2018. Effect of calving period on beef cow longevity and lifetime productivity in western Canada. Transl. Anim. Sci. 2(1):61-65. doi: 10.1093/tas/txy020.</w:t>
      </w:r>
    </w:p>
    <w:p w14:paraId="33059913"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de Lima, M. A., F. Morotti, B. M. Bayeux, R. G. de Rezende, R. C. Botigelli, T. H. C. De Bem, P. K. Fontes, M. F. G. Nogueira, F. V. Meirelles, P. S. Baruselli, J. C. da Silveira, F. Perecin, and M. M. Seneda. 2020. Ovarian follicular dynamics, progesterone concentrations, pregnancy rates and transcriptional patterns in Bos indicus females with a high or low antral follicle count. Sci. Rep. 10:19557. doi: 10.1038/s41598-020-76601-5. </w:t>
      </w:r>
    </w:p>
    <w:p w14:paraId="78CE4C4F"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de Loos, F. A. M., M. M. Bevers, S. J. Dieleman, and T. A. M. Kruip. 1991. Morphology of preovulatory bovine follicles as related to oocyte maturation. Theriogenology 35:527-535. doi: https://doi.org/10.1016/0093-691X(91)90449-N.</w:t>
      </w:r>
    </w:p>
    <w:p w14:paraId="6E1546AB"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De los Reyes, M., M. L. Villagrán, R. Cepeda, M. Duchens, V. Parraguez, and B. Urquieta. 2006. Histological characteristics and steroid concentration of ovarian follicles at different stages of development in pregnant and non-pregnant dairy cows. Vet. Res. Commun. 30:161-173. doi: 10.1007/s11259-006-3100-3.</w:t>
      </w:r>
    </w:p>
    <w:p w14:paraId="4144F752"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Dickinson, S., T. Geary, J. Monnig, K. Pohler, J. Green, and M. Smith. 2016. Effect of preovulatory follicle maturity on pregnancy establishment in cattle: the role of oocyte competence and the maternal environment. Anim. Reprod. Sci. 13:209-216. doi: 10.21451/1984-3143-AR879.</w:t>
      </w:r>
    </w:p>
    <w:p w14:paraId="0DD0DF88"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Dieleman, S. J., M. M. Bevers, J. Poortman, and H. T. van Tol. 1983. Steroid and pituitary hormone concentrations in the fluid of preovulatory bovine follicles relative to the peak of LH in the peripheral blood. J. Reprod. Fertil. 69:641-649. doi: 10.1530/jrf.0.0690641.</w:t>
      </w:r>
    </w:p>
    <w:p w14:paraId="211C169C"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Dieleman, S. J., P. J. Hendriksen, D. Viuff, P. D. Thomsen, P. Hyttel, H. M. Knijn, C. Wrenzycki, T. A. Kruip, H. Niemann, B. M. Gadella, M. M. Bevers, and P. L. Vos. 2002. Effects of in vivo prematuration and in vivo final maturation on </w:t>
      </w:r>
      <w:r w:rsidRPr="00C34188">
        <w:rPr>
          <w:rFonts w:ascii="Times New Roman" w:hAnsi="Times New Roman" w:cs="Times New Roman"/>
        </w:rPr>
        <w:lastRenderedPageBreak/>
        <w:t>developmental capacity and quality of pre-implantation embryos. Theriogenology 57:5-20. doi: 10.1016/s0093-691x(01)00655-0.</w:t>
      </w:r>
    </w:p>
    <w:p w14:paraId="4D9C2CF9" w14:textId="77777777"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Diskin, M. G., and J. M. Sreenan. 1980. Fertilization and embryonic mortality rates in beef heifers after artificial insemination. J. Reprod Fertil. 59:463-468. doi: 10.1530/jrf.0.0590463.</w:t>
      </w:r>
    </w:p>
    <w:p w14:paraId="7B761F2D" w14:textId="3C8356FB" w:rsidR="00E07BC7" w:rsidRPr="00C34188" w:rsidRDefault="00E07BC7"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Downs, S. M., and E. D. Hudson. 2000. Energy substrates and the completion of spontaneous meiotic maturation. Zygote. 8:339-351. doi: 10.1017/s0967199400001131.</w:t>
      </w:r>
    </w:p>
    <w:p w14:paraId="1E2E0D5D"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Dumesic, D. A., D. R. Meldrum, M. G. Katz-Jaffe, R. L. Krisher, and W. B. Schoolcraft. 2015. Oocyte environment: follicular fluid and cumulus cells are critical for oocyte health. Fertil. Steril. 103:303-316. doi:10.1016/j.fertnstert.2014.11.015.</w:t>
      </w:r>
    </w:p>
    <w:p w14:paraId="67C36912"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Dumollard, R., J. Carroll, M. R. Duchen, K. Campbell, and K. Swann. 2009. Mitochondrial function and redox state in mammalian embryos. Semin. Cell Devel. Biol. 20:346-353. doi: 10.1016/j.semcdb.2008.12.013.</w:t>
      </w:r>
    </w:p>
    <w:p w14:paraId="4EA2D1E5" w14:textId="26B72734"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Dumollard, R., M. Duchen, and J. Carroll. 2007. The role of mitochondrial function in the oocyte and embryo. Curr. Top. Dev. Biol. 21-49. doi: 10.1016/S0070-2153(06)77002-8</w:t>
      </w:r>
    </w:p>
    <w:p w14:paraId="575B2FC8"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Dunning, K. R., D. L. Russell, and R. L. Robker. 2014. Lipids and oocyte developmental competence: the role of fatty acids and β-oxidation. J. Reprod. 148:R15-R27. doi: 10.1530/rep-13-0251.</w:t>
      </w:r>
    </w:p>
    <w:p w14:paraId="6044F395" w14:textId="59788134"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Ealy, A. D. 2020. Pregnancy losses in livestock: An overview of the physiology and endocrinology symposium for the 2020 ASAS-CSAS-WSASAS Virtual Meeting. J. Anim. Sci. 98. doi: 10.1093/jas/skaa277.</w:t>
      </w:r>
    </w:p>
    <w:p w14:paraId="5041727F"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Edson, M. A., A. K. Nagaraja, and M. M. Matzuk. 2009. The mammalian ovary from genesis to revelation. Endocr. Rev. 30:624-712. doi: 10.1210/er.2009-0012.</w:t>
      </w:r>
    </w:p>
    <w:p w14:paraId="79D24408"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Edwards, R. G. 1974. Follicular fluid. J. Reprod. Fertil. 37:189-219. doi: 10.1530/jrf.0.0370189.</w:t>
      </w:r>
    </w:p>
    <w:p w14:paraId="1288D534"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Emori, C., and K. Sugiura. 2014. Role of oocyte-derived paracrine factors in follicular development. J. Anim. Sci.  85:627-633. doi: 10.1111/asj.12200.</w:t>
      </w:r>
    </w:p>
    <w:p w14:paraId="2667EDC1"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Eriksson, S., P. Ask-Gullstrand, W. F. Fikse, E. Jonsson, J.-Å. Eriksson, H. Stålhammar, A. Wallenbeck, and A. Hessle. 2020. Different beef breed sires used for crossbreeding with Swedish dairy cows - effects on calving performance and carcass traits. Lives. Sc. 232:103-902. doi: 10.1016/j.livsci.2019.103902.</w:t>
      </w:r>
    </w:p>
    <w:p w14:paraId="7C18D1FD" w14:textId="2964E329"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Fahiminiya, S., and N. Gérard. 2010. Le liquide folliculaire chez les mammifères. Gynecol. Obstet. Fertil. 38:402-404. doi: 10.1016/j.gyobfe.2010.04.010.</w:t>
      </w:r>
    </w:p>
    <w:p w14:paraId="606828D1"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Fair, T. 2003. Follicular oocyte growth and acquisition of developmental competence. Anim. Reprod. Sci. 78:203-216. doi: 10.1016/s0378-4320(03)00091-5.</w:t>
      </w:r>
    </w:p>
    <w:p w14:paraId="16F2B6C4"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Fair, T., S. C. J. Hulshof, P. Hyttel, T. Greve, and M. Boland. 1997. Oocyte ultrastructure in bovine primordial to early tertiary follicles. J. Anat. Embryol. 195:327-336. doi: 10.1007/s004290050052.</w:t>
      </w:r>
    </w:p>
    <w:p w14:paraId="785A32B3"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Fair, T., P. Hyttel, and T. Greve. 1995. Bovine oocyte diameter in relation to maturational competence and transcriptional activity.  42:437-442. doi: 10.1002/mrd.1080420410.</w:t>
      </w:r>
    </w:p>
    <w:p w14:paraId="3757F164" w14:textId="54B37F6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lastRenderedPageBreak/>
        <w:t>Fair, T., and P. Lonergan. 2012. The role of progesterone in oocyte acquisition of developmental competence. Reprod. Dom. Anim. 4:142-147. doi: 10.1111/j.1439-0531.2012.02068.x.</w:t>
      </w:r>
    </w:p>
    <w:p w14:paraId="33ABB041" w14:textId="7BEBE0E2"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Fernie, A. R., F. Carrari, and L. J. Sweetlove. 2004. Respiratory metabolism: glycolysis, the TCA cycle and mitochondrial electron transport. Cur</w:t>
      </w:r>
      <w:r w:rsidR="006C2E15" w:rsidRPr="00C34188">
        <w:rPr>
          <w:rFonts w:ascii="Times New Roman" w:hAnsi="Times New Roman" w:cs="Times New Roman"/>
        </w:rPr>
        <w:t>r.</w:t>
      </w:r>
      <w:r w:rsidRPr="00C34188">
        <w:rPr>
          <w:rFonts w:ascii="Times New Roman" w:hAnsi="Times New Roman" w:cs="Times New Roman"/>
        </w:rPr>
        <w:t xml:space="preserve"> </w:t>
      </w:r>
      <w:r w:rsidR="006C2E15" w:rsidRPr="00C34188">
        <w:rPr>
          <w:rFonts w:ascii="Times New Roman" w:hAnsi="Times New Roman" w:cs="Times New Roman"/>
        </w:rPr>
        <w:t>Opin.</w:t>
      </w:r>
      <w:r w:rsidRPr="00C34188">
        <w:rPr>
          <w:rFonts w:ascii="Times New Roman" w:hAnsi="Times New Roman" w:cs="Times New Roman"/>
        </w:rPr>
        <w:t xml:space="preserve"> </w:t>
      </w:r>
      <w:r w:rsidR="006C2E15" w:rsidRPr="00C34188">
        <w:rPr>
          <w:rFonts w:ascii="Times New Roman" w:hAnsi="Times New Roman" w:cs="Times New Roman"/>
        </w:rPr>
        <w:t>P</w:t>
      </w:r>
      <w:r w:rsidRPr="00C34188">
        <w:rPr>
          <w:rFonts w:ascii="Times New Roman" w:hAnsi="Times New Roman" w:cs="Times New Roman"/>
        </w:rPr>
        <w:t xml:space="preserve">lant </w:t>
      </w:r>
      <w:r w:rsidR="006C2E15" w:rsidRPr="00C34188">
        <w:rPr>
          <w:rFonts w:ascii="Times New Roman" w:hAnsi="Times New Roman" w:cs="Times New Roman"/>
        </w:rPr>
        <w:t>Biol.</w:t>
      </w:r>
      <w:r w:rsidRPr="00C34188">
        <w:rPr>
          <w:rFonts w:ascii="Times New Roman" w:hAnsi="Times New Roman" w:cs="Times New Roman"/>
        </w:rPr>
        <w:t xml:space="preserve"> 7(3):254-261. doi: 10.1016/j.pbi.2004.03.007</w:t>
      </w:r>
    </w:p>
    <w:p w14:paraId="6DBD9592"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Ferrazza, R. d. A., H. D. M. Garcia, E. M. d. S. Schmidt, M. Mihm Carmichael, F. F. d. Souza, R. Burchmore, R. Sartori, P. D. Eckersall, and J. C. P. Ferreira. 2017. Quantitative proteomic profiling of bovine follicular fluid during follicle development†. J. Biol. Reprod. 97:835-849. doi: 10.1093/biolre/iox148.</w:t>
      </w:r>
    </w:p>
    <w:p w14:paraId="1D2001A5"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Ferré, L. B., M. E. Kjelland, L. B. Strøbech, P. Hyttel, P. Mermillod, and P. J. Ross. 2020. Review: Recent advances in bovine in vitro embryo production: reproductive biotechnology history and methods. Intern. J. Anim. Bios.14:991-1004. doi: 10.1017/S1751731119002775.</w:t>
      </w:r>
    </w:p>
    <w:p w14:paraId="6FEBD74D"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Fields, S. D., K. L. Gebhart, B. L. Perry, M. G. Gonda, C. L. Wright, R. C. Bott, and G. A. Perry. 2012. Influence of standing estrus before an injection of GnRH during a beef cattle fixed-time AI protocol on LH release, subsequent concentrations of progesterone, and steriodogenic enzyme expression. Dom. Anim. Endocrinol. 42:11-19. doi: 10.1016/j.domaniend.2011.08.002.</w:t>
      </w:r>
    </w:p>
    <w:p w14:paraId="45AFA64D"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Firestone, G. L., and B. J. Kapadia. 2012. Minireview: regulation of gap junction dynamics by nuclear hormone receptors and their ligands. J. Mol. Endocrinol. 26:1798-1807. doi: 10.1210/me.2012-1065.</w:t>
      </w:r>
    </w:p>
    <w:p w14:paraId="0F8149F5"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Forde, N., A. O'Gorman, H. Whelan, P. Duffy, L. O'Hara, A. K. Kelly, V. Havlicek, U. Besenfelder, L. Brennan, and P. Lonergan. 2016. Lactation-induced changes in metabolic status and follicular-fluid metabolomic profile in postpartum dairy cows. Reprod. Fertil. Dev. 28(12):1882-1892. doi: https://doi.org/10.1071/RD14348.</w:t>
      </w:r>
    </w:p>
    <w:p w14:paraId="7556F741"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Fortune, J. E. 1993. Follicular dynamics during the bovine estrous cycle: a limiting factor in improvement of fertility? Anim. Reprod. Sci. 33(1):111-125. doi: https://doi.org/10.1016/0378-4320(93)90110-D.</w:t>
      </w:r>
    </w:p>
    <w:p w14:paraId="24587140"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Fortune, J. E., and W. Hansel. 1985. Concentrations of steroids and gonadotropins in follicular fluid from normal heifers and heifers primed for superovulation. Biol. Reprod. 32(5):1069-1079. doi: 10.1095/biolreprod32.5.1069.</w:t>
      </w:r>
    </w:p>
    <w:p w14:paraId="6FFD68CF"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Fortune, J. E., G. M. Rivera, and M. Y. Yang. 2004. Follicular development: the role of the follicular microenvironment in selection of the dominant follicle. Anim. Reprod. Sci. 82-83:109-126. doi: 10.1016/j.anireprosci.2004.04.031.</w:t>
      </w:r>
    </w:p>
    <w:p w14:paraId="67AAAEC1"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Funston, R. N., J. A. Musgrave, T. L. Meyer, and D. M. Larson. 2012. Effect of calving distribution on beef cattle progeny performance. J. Anim. Sci. 90(13):5118-5121. doi: 10.2527/jas.2012-5263.</w:t>
      </w:r>
    </w:p>
    <w:p w14:paraId="3A54E799"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Garrett, J. E., R. D. Geisert, M. T. Zavy, and G. L. Morgan. 1988. Evidence for maternal regulation of early conceptus growth and development in beef cattle. J. Reprod. Infertil. 84(2):437-446. doi: 10.1530/jrf.0.0840437.</w:t>
      </w:r>
    </w:p>
    <w:p w14:paraId="086BA902" w14:textId="48F2A36F"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Ge, H. S., X. H. Li, F. Zhang, H. Chen, H. T. Xi, J. Y. Huang, C. F. Zhu, and J. Q. Lv. 2013. Suppression of mitochondrial oxidative phosphorylation on in vitro </w:t>
      </w:r>
      <w:r w:rsidRPr="00C34188">
        <w:rPr>
          <w:rFonts w:ascii="Times New Roman" w:hAnsi="Times New Roman" w:cs="Times New Roman"/>
        </w:rPr>
        <w:lastRenderedPageBreak/>
        <w:t xml:space="preserve">maturation, fertilization and developmental competence of oocytes.  Journal of Peking University. Health sciences 45(6):864-868. </w:t>
      </w:r>
    </w:p>
    <w:p w14:paraId="3DE4521F"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Geary, T. W., J. C. Whittier, D. M. Hallford, and M. D. MacNeil. 2001. Calf removal improves conception rates to the Ovsynch and CO-Synch protocols. J. Anim. Sci. 79(1):1-4. doi: 10.2527/2001.7911.</w:t>
      </w:r>
    </w:p>
    <w:p w14:paraId="7B2F4CD8"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Gérard, N., S. Loiseau, G. Duchamp, and F. Seguin. 2002. Analysis of the variations of follicular fluid composition during follicular growth and maturation in the mare using proton nuclear magnetic resonance (1H NMR). Reproduction. 124(2):241-248. doi: 10.1530/rep.0.1240241.</w:t>
      </w:r>
    </w:p>
    <w:p w14:paraId="60A3F5A6"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Ginther, O. J., M. A. Beg, D. R. Bergfelt, F. X. Donadeu, and K. Kot. 2001. Follicle selection in monovular species. Biol. Reprod. 65(3):638-647. doi: 10.1095/biolreprod65.3.638.</w:t>
      </w:r>
    </w:p>
    <w:p w14:paraId="0D13D2D3"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Ginther, O. J., D. R. Bergfelt, L. J. Kulick, and K. Kot. 2000. Selection of the dominant follicle in cattle: role of estradiol. Biol. Reprod. 63(2):383-389. doi: 10.1095/biolreprod63.2.383.</w:t>
      </w:r>
    </w:p>
    <w:p w14:paraId="4C8BA33F" w14:textId="77777777" w:rsidR="006C2E15" w:rsidRPr="00C34188" w:rsidRDefault="006C2E15"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Ginther, O. J., K. Kot, L. J. Kulick, and M. C. Wiltbank. 1997. Emergence and deviation of follicles during the development of follicular waves in cattle. Theriogenology. 48(1):75-87. doi: 10.1016/s0093-691x(97)00192-1.</w:t>
      </w:r>
    </w:p>
    <w:p w14:paraId="4725450E" w14:textId="0344E038"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Giordano, J. O., P. M. Fricke, J. N. Guenther, G. Lopes, M. M. Herlihy, A. B. Nascimento, and M. C. Wiltbank. 2012. Effect of progesterone on magnitude of the luteinizing hormone surge induced by two different doses of gonadotropin-releasing hormone in lactating dairy cows. J</w:t>
      </w:r>
      <w:r w:rsidR="006C2E15" w:rsidRPr="00C34188">
        <w:rPr>
          <w:rFonts w:ascii="Times New Roman" w:hAnsi="Times New Roman" w:cs="Times New Roman"/>
        </w:rPr>
        <w:t>.</w:t>
      </w:r>
      <w:r w:rsidRPr="00C34188">
        <w:rPr>
          <w:rFonts w:ascii="Times New Roman" w:hAnsi="Times New Roman" w:cs="Times New Roman"/>
        </w:rPr>
        <w:t xml:space="preserve"> of </w:t>
      </w:r>
      <w:r w:rsidR="006C2E15" w:rsidRPr="00C34188">
        <w:rPr>
          <w:rFonts w:ascii="Times New Roman" w:hAnsi="Times New Roman" w:cs="Times New Roman"/>
        </w:rPr>
        <w:t>D</w:t>
      </w:r>
      <w:r w:rsidRPr="00C34188">
        <w:rPr>
          <w:rFonts w:ascii="Times New Roman" w:hAnsi="Times New Roman" w:cs="Times New Roman"/>
        </w:rPr>
        <w:t>air</w:t>
      </w:r>
      <w:r w:rsidR="006C2E15" w:rsidRPr="00C34188">
        <w:rPr>
          <w:rFonts w:ascii="Times New Roman" w:hAnsi="Times New Roman" w:cs="Times New Roman"/>
        </w:rPr>
        <w:t>y S</w:t>
      </w:r>
      <w:r w:rsidRPr="00C34188">
        <w:rPr>
          <w:rFonts w:ascii="Times New Roman" w:hAnsi="Times New Roman" w:cs="Times New Roman"/>
        </w:rPr>
        <w:t>ci</w:t>
      </w:r>
      <w:r w:rsidR="006C2E15" w:rsidRPr="00C34188">
        <w:rPr>
          <w:rFonts w:ascii="Times New Roman" w:hAnsi="Times New Roman" w:cs="Times New Roman"/>
        </w:rPr>
        <w:t>.</w:t>
      </w:r>
      <w:r w:rsidRPr="00C34188">
        <w:rPr>
          <w:rFonts w:ascii="Times New Roman" w:hAnsi="Times New Roman" w:cs="Times New Roman"/>
        </w:rPr>
        <w:t xml:space="preserve"> 95(7):3781-3793. doi: https://doi.org/10.3168/jds.2011-5155</w:t>
      </w:r>
    </w:p>
    <w:p w14:paraId="01937A39" w14:textId="24F59A35"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Gjorret J</w:t>
      </w:r>
      <w:r w:rsidR="006C2E15" w:rsidRPr="00C34188">
        <w:rPr>
          <w:rFonts w:ascii="Times New Roman" w:hAnsi="Times New Roman" w:cs="Times New Roman"/>
        </w:rPr>
        <w:t>.</w:t>
      </w:r>
      <w:r w:rsidRPr="00C34188">
        <w:rPr>
          <w:rFonts w:ascii="Times New Roman" w:hAnsi="Times New Roman" w:cs="Times New Roman"/>
        </w:rPr>
        <w:t>O</w:t>
      </w:r>
      <w:r w:rsidR="006C2E15" w:rsidRPr="00C34188">
        <w:rPr>
          <w:rFonts w:ascii="Times New Roman" w:hAnsi="Times New Roman" w:cs="Times New Roman"/>
        </w:rPr>
        <w:t>.</w:t>
      </w:r>
      <w:r w:rsidRPr="00C34188">
        <w:rPr>
          <w:rFonts w:ascii="Times New Roman" w:hAnsi="Times New Roman" w:cs="Times New Roman"/>
        </w:rPr>
        <w:t>, H.</w:t>
      </w:r>
      <w:r w:rsidR="008145FD" w:rsidRPr="00C34188">
        <w:rPr>
          <w:rFonts w:ascii="Times New Roman" w:hAnsi="Times New Roman" w:cs="Times New Roman"/>
        </w:rPr>
        <w:t>M. Knijn, S.J.</w:t>
      </w:r>
      <w:r w:rsidRPr="00C34188">
        <w:rPr>
          <w:rFonts w:ascii="Times New Roman" w:hAnsi="Times New Roman" w:cs="Times New Roman"/>
        </w:rPr>
        <w:t xml:space="preserve"> Dieleman,</w:t>
      </w:r>
      <w:r w:rsidR="008145FD" w:rsidRPr="00C34188">
        <w:rPr>
          <w:rFonts w:ascii="Times New Roman" w:hAnsi="Times New Roman" w:cs="Times New Roman"/>
        </w:rPr>
        <w:t xml:space="preserve"> B.</w:t>
      </w:r>
      <w:r w:rsidRPr="00C34188">
        <w:rPr>
          <w:rFonts w:ascii="Times New Roman" w:hAnsi="Times New Roman" w:cs="Times New Roman"/>
        </w:rPr>
        <w:t xml:space="preserve"> Avery,</w:t>
      </w:r>
      <w:r w:rsidR="008145FD" w:rsidRPr="00C34188">
        <w:rPr>
          <w:rFonts w:ascii="Times New Roman" w:hAnsi="Times New Roman" w:cs="Times New Roman"/>
        </w:rPr>
        <w:t xml:space="preserve"> L.I.</w:t>
      </w:r>
      <w:r w:rsidRPr="00C34188">
        <w:rPr>
          <w:rFonts w:ascii="Times New Roman" w:hAnsi="Times New Roman" w:cs="Times New Roman"/>
        </w:rPr>
        <w:t xml:space="preserve"> Larsson,</w:t>
      </w:r>
      <w:r w:rsidR="008145FD" w:rsidRPr="00C34188">
        <w:rPr>
          <w:rFonts w:ascii="Times New Roman" w:hAnsi="Times New Roman" w:cs="Times New Roman"/>
        </w:rPr>
        <w:t>P.</w:t>
      </w:r>
      <w:r w:rsidRPr="00C34188">
        <w:rPr>
          <w:rFonts w:ascii="Times New Roman" w:hAnsi="Times New Roman" w:cs="Times New Roman"/>
        </w:rPr>
        <w:t xml:space="preserve"> Hyttel. 2003. Chronology of Apoptosis in Bovine Embryos Produced in vivo and in vitro. Biol</w:t>
      </w:r>
      <w:r w:rsidR="008145FD" w:rsidRPr="00C34188">
        <w:rPr>
          <w:rFonts w:ascii="Times New Roman" w:hAnsi="Times New Roman" w:cs="Times New Roman"/>
        </w:rPr>
        <w:t>.</w:t>
      </w:r>
      <w:r w:rsidRPr="00C34188">
        <w:rPr>
          <w:rFonts w:ascii="Times New Roman" w:hAnsi="Times New Roman" w:cs="Times New Roman"/>
        </w:rPr>
        <w:t xml:space="preserve"> Reprod</w:t>
      </w:r>
      <w:r w:rsidR="008145FD" w:rsidRPr="00C34188">
        <w:rPr>
          <w:rFonts w:ascii="Times New Roman" w:hAnsi="Times New Roman" w:cs="Times New Roman"/>
        </w:rPr>
        <w:t>.</w:t>
      </w:r>
      <w:r w:rsidRPr="00C34188">
        <w:rPr>
          <w:rFonts w:ascii="Times New Roman" w:hAnsi="Times New Roman" w:cs="Times New Roman"/>
        </w:rPr>
        <w:t xml:space="preserve"> 69:1193-1200. </w:t>
      </w:r>
    </w:p>
    <w:p w14:paraId="6D85A3AB"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Gosden, R. G. 2002. Oogenesis as a foundation for embryogenesis. Mol. Cell. Endoncrinol. 186(2):149-153. doi: 10.1016/s0303-7207(01)00683-9.</w:t>
      </w:r>
    </w:p>
    <w:p w14:paraId="3AE4B71B"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Gosden, R. G., R. H. Hunter, E. Telfer, C. Torrance, and N. Brown. 1988. Physiological factors underlying the formation of ovarian follicular fluid. J. Reprod. Infertil. 82(2):813-825. doi: 10.1530/jrf.0.0820813.</w:t>
      </w:r>
    </w:p>
    <w:p w14:paraId="3547DA2A" w14:textId="73515482"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Gougeon, A. 2010. Human ovarian follicular development: from activation of resting follicles to preovulatory maturation. Annales d'endocrinologie</w:t>
      </w:r>
      <w:r w:rsidR="008145FD" w:rsidRPr="00C34188">
        <w:rPr>
          <w:rFonts w:ascii="Times New Roman" w:hAnsi="Times New Roman" w:cs="Times New Roman"/>
        </w:rPr>
        <w:t>.</w:t>
      </w:r>
      <w:r w:rsidRPr="00C34188">
        <w:rPr>
          <w:rFonts w:ascii="Times New Roman" w:hAnsi="Times New Roman" w:cs="Times New Roman"/>
        </w:rPr>
        <w:t xml:space="preserve"> 71(3):132-143. doi: 10.1016/j.ando.2010.02.021</w:t>
      </w:r>
    </w:p>
    <w:p w14:paraId="2868BF70"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Graf, A., S. Krebs, M. Heininen-Brown, V. Zakhartchenko, H. Blum, and E. Wolf. 2014. Genome activation in bovine embryos: review of the literature and new insights from RNA sequencing experiments. Anim. Reprod. Sci. 149(1-2):46-58. doi: 10.1016/j.anireprosci.2014.05.016.</w:t>
      </w:r>
    </w:p>
    <w:p w14:paraId="4CE9A9F4"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Granot, I., and N. Dekel. 2002. The ovarian gap junction protein connexin43: regulation by gonadotropins. Trends Endocrinol. Metab. 13(7):310-313. doi: 10.1016/s1043-2760(02)00623-9.</w:t>
      </w:r>
    </w:p>
    <w:p w14:paraId="3B29E01D"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Greene, E., R. Cauble, A. E. Dhamad, M. T. Kidd, B. Kong, S. M. Howard, H. F. Castro, S. R. Campagna, M. Bedford, and S. Dridi. 2020. Muscle metabolome profiles in </w:t>
      </w:r>
      <w:r w:rsidRPr="00C34188">
        <w:rPr>
          <w:rFonts w:ascii="Times New Roman" w:hAnsi="Times New Roman" w:cs="Times New Roman"/>
        </w:rPr>
        <w:lastRenderedPageBreak/>
        <w:t>woody breast-(un)affected broilers: effects of quantum blue phytase-enriched diet. Front. Vet. Sci. 7:458-458. doi: 10.3389/fvets.2020.00458.</w:t>
      </w:r>
    </w:p>
    <w:p w14:paraId="508796A5"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Grimek, H. J., M. E. Bellin, and R. L. Ax. 1984. Characteristics of proteoglycans isolated from small and large bovine ovarian follicles. Biol. Reprod. 30(2):397-409. doi: 10.1095/biolreprod30.2.397.</w:t>
      </w:r>
    </w:p>
    <w:p w14:paraId="7CAB172C"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Guerreiro, T. M., R. F. Gonçalves, C. Melo, D. N. de Oliveira, E. O. Lima, J. A. Visintin, M. A. de Achilles, and R. R. Catharino. 2018. A metabolomic overview of follicular fluid in cows. Front. Vet. Sci. 5:10. doi: 10.3389/fvets.2018.00010.</w:t>
      </w:r>
    </w:p>
    <w:p w14:paraId="4AA4EE04"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Guo, X., X. Wang, R. Di, Q. Liu, W. Hu, X. He, J. Yu, X. Zhang, J. Zhang, K. Broniowska, W. Chen, C. Wu, and M. Chu. 2018. Metabolic effects of FecB gene on follicular fluid and ovarian vein serum in sheep (Ovis aries). Int. J. Mol. Sci. 19(2):539. doi: 10.3390/ijms19020539.</w:t>
      </w:r>
    </w:p>
    <w:p w14:paraId="16B03A13" w14:textId="77AA8316"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Hagemann, L. J. 1999. Influence of the dominant follicle on oocytes from subordinate follicles. Theriogenology</w:t>
      </w:r>
      <w:r w:rsidR="008145FD" w:rsidRPr="00C34188">
        <w:rPr>
          <w:rFonts w:ascii="Times New Roman" w:hAnsi="Times New Roman" w:cs="Times New Roman"/>
        </w:rPr>
        <w:t>.</w:t>
      </w:r>
      <w:r w:rsidRPr="00C34188">
        <w:rPr>
          <w:rFonts w:ascii="Times New Roman" w:hAnsi="Times New Roman" w:cs="Times New Roman"/>
        </w:rPr>
        <w:t xml:space="preserve"> 51(2):449-459. doi: 10.1016/s0093-691x(98)00239-8</w:t>
      </w:r>
    </w:p>
    <w:p w14:paraId="3298B531"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Hagemann, L. J., S. E. Beaumont, M. Berg, M. J. Donnison, A. Ledgard, A. J. Peterson, A. Schurmann, and H. R. Tervit. 1999. Development during single IVP of bovine oocytes from dissected follicles: interactive effects of estrous cycle stage, follicle size and atresia. Mol. Reprod. Dev. 53(4):451-458. doi: 10.1002/(sici)1098-2795(199908)53:4&lt;451::Aid-mrd11&gt;3.0.Co;2-3.</w:t>
      </w:r>
    </w:p>
    <w:p w14:paraId="276BEB73"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Harris, S. E., I. Adriaens, H. J. Leese, R. G. Gosden, and H. M. Picton. 2007. Carbohydrate metabolism by murine ovarian follicles and oocytes grown in vitro. Reproduction. 134(3):415-424. doi: 10.1530/rep-07-0061.</w:t>
      </w:r>
    </w:p>
    <w:p w14:paraId="72345BAA"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Hashimoto, S., M. Yamanaka, T. Yamochi, H. Iwata, R. Kawahara-Miki, M. Inoue, and Y. Morimoto. 2019. Mitochondrial function in immature bovine oocytes is improved by an increase of cellular cyclic AMP. Sci. Rep. 9(1):5167. doi: 10.1038/s41598-019-41610-6.</w:t>
      </w:r>
    </w:p>
    <w:p w14:paraId="5DAD6E22"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Hazra, A., and N. Gogtay. 2016. Biostatistics series module 6: correlation and linear regression. Indian J. Dermatol. 61(6):593-601. doi: 10.4103/0019-5154.193662.</w:t>
      </w:r>
    </w:p>
    <w:p w14:paraId="61670569"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He, M., T. Zhang, Y. Yang, and C. Wang. 2021. Mechanisms of Oocyte Maturation and Related Epigenetic Regulation. Front. Cell. Dev. Biol. 9(Review) doi: 10.3389/fcell.2021.654028.</w:t>
      </w:r>
    </w:p>
    <w:p w14:paraId="48477F09"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Hendriksen, P. J., P. L. Vos, W. N. Steenweg, M. M. Bevers, and S. J. Dieleman. 2000. Bovine follicular development and its effect on the in vitro competence of oocytes. Theriogenology. 53(1):11-20. doi: 10.1016/s0093-691x(99)00236-8.</w:t>
      </w:r>
    </w:p>
    <w:p w14:paraId="03922FDE"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Hendriksen, P. J., B. M. Gadella, P. L. Vos, E. Mullaart, T. A. Kruip, and S. J. Dieleman. 2003. Follicular dynamics around the recruitment of the first follicular wave in the cow. Biol. Reprod. 69(6):2036-2044. doi: 10.1095/biolreprod.103.019828.</w:t>
      </w:r>
    </w:p>
    <w:p w14:paraId="3F02FC09"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Hennet, M. L., and C. M. Combelles. 2012. The antral follicle: a microenvironment for oocyte differentiation. Int. J. Dev. Biol. 56(10-12):819-831. doi: 10.1387/ijdb.120133cc.</w:t>
      </w:r>
    </w:p>
    <w:p w14:paraId="708BAC26"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Hill, S. L., G. A. Perry, V. R. Mercadante, G. C. Lamb, J. R. Jaeger, K. C. Olson, and J. S. Stevenson. 2014. Altered progesterone concentrations by hormonal manipulations before a fixed-time artificial insemination CO-Synch + CIDR program in suckled </w:t>
      </w:r>
      <w:r w:rsidRPr="00C34188">
        <w:rPr>
          <w:rFonts w:ascii="Times New Roman" w:hAnsi="Times New Roman" w:cs="Times New Roman"/>
        </w:rPr>
        <w:lastRenderedPageBreak/>
        <w:t>beef cows. Theriogenology. 82(1):104-113. doi: 10.1016/j.theriogenology.2014.03.008.</w:t>
      </w:r>
    </w:p>
    <w:p w14:paraId="39582790"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Hou, E., Y. Zhao, J. Hang, and J. Qiao. 2021. Metabolomics and correlation network analysis of follicular fluid reveals associations between l-tryptophan, l-tyrosine and polycystic ovary syndrome. Biomed. Chromatogr. 35(3):4993. doi: https://doi.org/10.1002/bmc.4993.</w:t>
      </w:r>
    </w:p>
    <w:p w14:paraId="05F29F99"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Humblot, P., P. Holm, P. Lonergan, C. Wrenzycki, A. S. Lequarré, C. G. Joly, D. Herrmann, A. Lopes, D. Rizos, H. Niemann, and H. Callesen. 2005. Effect of stage of follicular growth during superovulation on developmental competence of bovine oocytes. Theriogenology. 63(4):1149-1166. doi: 10.1016/j.theriogenology.2004.06.002.</w:t>
      </w:r>
    </w:p>
    <w:p w14:paraId="47E173B8"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Hyttel, P., H. Callesen, and T. Greve. 1986. Ultrastructural features of preovulatory oocyte maturation in superovulated cattle. J. Reprod. Fertil. 76(2):645-656. doi: 10.1530/jrf.0.0760645.</w:t>
      </w:r>
    </w:p>
    <w:p w14:paraId="2F212A18"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Hyttel, P., T. Fair, H. Callesen, and T. Greve. 1997. Oocyte growth, capacitation and final maturation in cattle. Theriogenology. 47(1):23-32. doi: https://doi.org/10.1016/S0093-691X(96)00336-6.</w:t>
      </w:r>
    </w:p>
    <w:p w14:paraId="2658A2CD"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Hyttel, P., T. Greve, and H. Callesen. 1989. Ultrastructural aspects of oocyte maturation and fertilization in cattle. J. Reprod. Fertil. Suppl. 38:35-47.</w:t>
      </w:r>
    </w:p>
    <w:p w14:paraId="316A6246"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Iwata, H., H. Goto, H. Tanaka, Y. Sakaguchi, K. Kimura, T. Kuwayama, and Y. Monji. 2011. Effect of maternal age on mitochondrial DNA copy number, ATP content and IVF outcome of bovine oocytes. Reprod. Fertil. Dev. 23(3):424-432. doi: 10.1071/rd10133.</w:t>
      </w:r>
    </w:p>
    <w:p w14:paraId="5948DC10"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Iwata, H., S. Hashimoto, M. Ohota, K. Kimura, K. Shibano, and M. Miyake. 2004. Effects of follicle size and electrolytes and glucose in maturation medium on nuclear maturation and developmental competence of bovine oocytes. Reproduction. 127(2):159-164. doi: 10.1530/rep.1.00084.</w:t>
      </w:r>
    </w:p>
    <w:p w14:paraId="23AE810D"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Jaiswal, R. S., J. Singh, and G. P. Adams. 2004. Developmental pattern of small antral follicles in the bovine ovary. Biol. Reprod. 71(4):1244-1251. doi: 10.1095/biolreprod.104.030726.</w:t>
      </w:r>
    </w:p>
    <w:p w14:paraId="78999388"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Jeng, J. Y., T. S. Yeh, J. W. Lee, S. H. Lin, T. H. Fong, and R. H. Hsieh. 2008. Maintenance of mitochondrial DNA copy number and expression are essential for preservation of mitochondrial function and cell growth. J. Cell. Biochem. 103(2):347-357. doi: 10.1002/jcb.21625.</w:t>
      </w:r>
    </w:p>
    <w:p w14:paraId="36BDB102"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Jeong, W. J., S. J. Cho, H. S. Lee, G. K. Deb, Y. S. Lee, T. H. Kwon, and I. K. Kong. 2009. Effect of cytoplasmic lipid content on in vitro developmental efficiency of bovine IVP embryos. Theriogenology. 72(4):584-589. doi: 10.1016/j.theriogenology.2009.04.015.</w:t>
      </w:r>
    </w:p>
    <w:p w14:paraId="263C6315"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Jiao, F., J. B. Yan, X. Y. Yang, H. Li, Q. Wang, S. Z. Huang, F. Zeng, and Y. T. Zeng. 2007. Effect of oocyte mitochondrial DNA haplotype on bovine somatic cell nuclear transfer efficiency. Mol. Reprod. Dev. 74(10):1278-1286. doi: 10.1002/mrd.20698.</w:t>
      </w:r>
    </w:p>
    <w:p w14:paraId="75B1EFCC"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Jinks, E. M., M. F. Smith, J. A. Atkins, K. G. Pohler, G. A. Perry, M. D. MacNeil, A. J. Roberts, R. C. Waterman, L. J. Alexander, and T. W. Geary. 2013. Preovulatory </w:t>
      </w:r>
      <w:r w:rsidRPr="00C34188">
        <w:rPr>
          <w:rFonts w:ascii="Times New Roman" w:hAnsi="Times New Roman" w:cs="Times New Roman"/>
        </w:rPr>
        <w:lastRenderedPageBreak/>
        <w:t>estradiol and the establishment and maintenance of pregnancy in suckled beef cows. J. Anim. Sci. 91(3):1176-1185. doi: 10.2527/jas.2012-5611.</w:t>
      </w:r>
    </w:p>
    <w:p w14:paraId="6F85A814"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Johnson, M. T., E. A. Freeman, D. K. Gardner, and P. A. Hunt. 2007. Oxidative metabolism of pyruvate is required for meiotic maturation of murine oocytes in vivo. Biol. Reprod. 77(1):2-8. doi: 10.1095/biolreprod.106.059899.</w:t>
      </w:r>
    </w:p>
    <w:p w14:paraId="758DE8E5"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Jóźwik, M., M. Jóźwik, A. J. Milewska, F. C. Battaglia, and M. Jóźwik. 2017. Competitive inhibition of amino acid transport in human preovulatory ovarian follicles. Syst. Biol. Reprod. Med. 63(5):311-317. doi: 10.1080/19396368.2017.1341962.</w:t>
      </w:r>
    </w:p>
    <w:p w14:paraId="602C8D1B"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Kafi, M., M. Azari, O. Chashnigir, S. Gharibzadeh, Z. Aghabozorgi, A. Asaadi, and M. R. Divar. 2017. Inherent inferior quality of follicular fluid in repeat breeder heifers as evidenced by low rates of in vitro production of bovine embryos. Theriogenology. 102:29-34. doi: 10.1016/j.theriogenology.2017.07.011.</w:t>
      </w:r>
    </w:p>
    <w:p w14:paraId="282E1EA6"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Kand'ár, R., P. Záková, and V. Muzáková. 2006. Monitoring of antioxidant properties of uric acid in humans for a consideration measuring of levels of allantoin in plasma by liquid chromatography. Clin. Chim. Acta. 365(1-2):249-256. doi: 10.1016/j.cca.2005.09.002.</w:t>
      </w:r>
    </w:p>
    <w:p w14:paraId="0C5A97FB"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Kasimanickam, R., M. L. Day, J. S. Rudolph, J. B. Hall, and W. D. Whittier. 2009. Two doses of prostaglandin improve pregnancy rates to timed-AI in a 5-day progesterone-based synchronization protocol in beef cows. Theriogenology. 71(5):762-767. doi: 10.1016/j.theriogenology.2008.09.049.</w:t>
      </w:r>
    </w:p>
    <w:p w14:paraId="0A852B37"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Kidder, G. M., and B. C. Vanderhyden. 2010. Bidirectional communication between oocytes and follicle cells: ensuring oocyte developmental competence. Can. J. Physio. Pharmacol. 88(4):399-413. doi: 10.1139/y10-009.</w:t>
      </w:r>
    </w:p>
    <w:p w14:paraId="31D784D8"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Kimble, K. M., S. E. Dickinson, and F. H. Biase. 2018. Extraction of total RNA from single-oocytes and single-cell mRNA sequencing of swine oocytes. BMC Res. Notes. 11(1):155. doi: 10.1186/s13104-018-3264-2.</w:t>
      </w:r>
    </w:p>
    <w:p w14:paraId="34101E39"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Knijn, H. M., C. Wrenzycki, P. J. Hendriksen, P. L. Vos, D. Herrmann, G. C. van der Weijden, H. Niemann, and S. J. Dieleman. 2002. Effects of oocyte maturation regimen on the relative abundance of gene transcripts in bovine blastocysts derived in vitro or in vivo. Reproduction. 124(3):365-375. </w:t>
      </w:r>
    </w:p>
    <w:p w14:paraId="69643CAF"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Komar, C. M., A. K. Berndtson, A. C. Evans, and J. E. Fortune. 2001. Decline in circulating estradiol during the periovulatory period is correlated with decreases in estradiol and androgen, and in messenger RNA for p450 aromatase and p450 17alpha-hydroxylase, in bovine preovulatory follicles. Biol. Reprod. 64(6):1797-1805. doi: 10.1095/biolreprod64.6.1797.</w:t>
      </w:r>
    </w:p>
    <w:p w14:paraId="4578E675"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Krisher, R. L. 2013. In vivo and in vitro environmental effects on mammalian oocyte quality. Annu. Rev. Anim. Biosci. 1:393-417. doi: 10.1146/annurev-animal-031412-103647.</w:t>
      </w:r>
    </w:p>
    <w:p w14:paraId="4A2DEB06"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Kruip, T. A., and S. J. Dieleman. 1982. Macroscopic classification of bovine follicles and its validation by micromorphological and steroid biochemical procedures. Reprod. Nutr. Dev. 22(3):465-473. doi: 10.1051/rnd:19820403.</w:t>
      </w:r>
    </w:p>
    <w:p w14:paraId="109868FB" w14:textId="65DA680F"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Labrecque, R., E. Fournier, and M. A. Sirard. 2016. Transcriptome analysis of bovine oocytes from distinct follicle sizes: Insights from correlation network analysis. Mol</w:t>
      </w:r>
      <w:r w:rsidR="008145FD" w:rsidRPr="00C34188">
        <w:rPr>
          <w:rFonts w:ascii="Times New Roman" w:hAnsi="Times New Roman" w:cs="Times New Roman"/>
        </w:rPr>
        <w:t>.</w:t>
      </w:r>
      <w:r w:rsidRPr="00C34188">
        <w:rPr>
          <w:rFonts w:ascii="Times New Roman" w:hAnsi="Times New Roman" w:cs="Times New Roman"/>
        </w:rPr>
        <w:t xml:space="preserve"> Reprod</w:t>
      </w:r>
      <w:r w:rsidR="008145FD" w:rsidRPr="00C34188">
        <w:rPr>
          <w:rFonts w:ascii="Times New Roman" w:hAnsi="Times New Roman" w:cs="Times New Roman"/>
        </w:rPr>
        <w:t>.</w:t>
      </w:r>
      <w:r w:rsidRPr="00C34188">
        <w:rPr>
          <w:rFonts w:ascii="Times New Roman" w:hAnsi="Times New Roman" w:cs="Times New Roman"/>
        </w:rPr>
        <w:t xml:space="preserve"> Dev</w:t>
      </w:r>
      <w:r w:rsidR="008145FD" w:rsidRPr="00C34188">
        <w:rPr>
          <w:rFonts w:ascii="Times New Roman" w:hAnsi="Times New Roman" w:cs="Times New Roman"/>
        </w:rPr>
        <w:t>.</w:t>
      </w:r>
      <w:r w:rsidRPr="00C34188">
        <w:rPr>
          <w:rFonts w:ascii="Times New Roman" w:hAnsi="Times New Roman" w:cs="Times New Roman"/>
        </w:rPr>
        <w:t xml:space="preserve"> 83(6):558-569. doi: 10.1002/mrd.22651</w:t>
      </w:r>
    </w:p>
    <w:p w14:paraId="2A62C1AE"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lastRenderedPageBreak/>
        <w:t>Lamb, G. C., and V. R. Mercadante. 2016. Synchronization and artificial insemination strategies in beef cattle. Vet. Clin. North. Am. Food Anim. Pract. 32(2):335-347. doi:  10.1016/j.cvfa.2016.01.006.</w:t>
      </w:r>
    </w:p>
    <w:p w14:paraId="29ACEA95"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Lamb, G. C., M. F. Smith, G. A. Perry, J. A. Atkins, M. E. Risley, D. C. Busch, and D. J. Patterson. 2010. Reproductive endocrinology and hormonal control of the estrous cycle. Bov. Pract. 44(1):18-26. doi: 10.21423/bovine-vol44no1p18-26.</w:t>
      </w:r>
    </w:p>
    <w:p w14:paraId="69B01CB6" w14:textId="77777777" w:rsidR="008145FD" w:rsidRPr="00C34188" w:rsidRDefault="008145FD"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Lamb, G. C., J. S. Stevenson, D. J. Kesler, H. A. Garverick, D. R. Brown, and B. E. Salfen. 2001. Inclusion of an intravaginal progesterone insert plus GnRH and prostaglandin F2α for ovulation control in postpartum suckled beef cows. J. Anim. Sci. 79(9):2253-2259. doi: 10.2527/2001.7992253x.</w:t>
      </w:r>
    </w:p>
    <w:p w14:paraId="26834BB6" w14:textId="63E2F97D" w:rsidR="006978CF" w:rsidRPr="00C34188" w:rsidRDefault="006978CF"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Landim-Alvarenga, F. C. and Maziero R.D. 2014. Control of oocyte maturation. J. Anim. Reprod. 11:150-158. </w:t>
      </w:r>
    </w:p>
    <w:p w14:paraId="081F843A" w14:textId="1602017B"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Lee, S. R., J. H. Heo, S. L. Jo, G. Kim, S. J. Kim, H. J. Yoo, K.P. Lee, H.J. Kwun, H.J. Shin, I.J. Baek, and E.J. Hong. 2021. Progesterone receptor membrane component 1 reduces cardiac steatosis and lipotoxicity via activation of fatty acid oxidation and mitochondrial respiration. Sci</w:t>
      </w:r>
      <w:r w:rsidR="000B6019" w:rsidRPr="00C34188">
        <w:rPr>
          <w:rFonts w:ascii="Times New Roman" w:hAnsi="Times New Roman" w:cs="Times New Roman"/>
        </w:rPr>
        <w:t>.</w:t>
      </w:r>
      <w:r w:rsidRPr="00C34188">
        <w:rPr>
          <w:rFonts w:ascii="Times New Roman" w:hAnsi="Times New Roman" w:cs="Times New Roman"/>
        </w:rPr>
        <w:t xml:space="preserve"> Rep</w:t>
      </w:r>
      <w:r w:rsidR="000B6019" w:rsidRPr="00C34188">
        <w:rPr>
          <w:rFonts w:ascii="Times New Roman" w:hAnsi="Times New Roman" w:cs="Times New Roman"/>
        </w:rPr>
        <w:t>.</w:t>
      </w:r>
      <w:r w:rsidRPr="00C34188">
        <w:rPr>
          <w:rFonts w:ascii="Times New Roman" w:hAnsi="Times New Roman" w:cs="Times New Roman"/>
        </w:rPr>
        <w:t xml:space="preserve"> 11(1):8781. doi: 10.1038/s41598-021-88251-2</w:t>
      </w:r>
    </w:p>
    <w:p w14:paraId="53BBE733"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Leese, H. J. 2012. Metabolism of the preimplantation embryo: 40 years on. Reproduction. 143(4):417-427. doi: 10.1530/rep-11-0484.</w:t>
      </w:r>
    </w:p>
    <w:p w14:paraId="6AA17DAB"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Lequarre, A.-S., C. Vigneron, F. Ribaucour, P. Holm, I. Donnay, R. Dalbiès-Tran, H. Callesen, and P. Mermillod. 2005. Influence of antral follicle size on oocyte characteristics and embryo development in the bovine. Theriogenology. 63(3):841-859. doi: https://doi.org/10.1016/j.theriogenology.2004.05.015.</w:t>
      </w:r>
    </w:p>
    <w:p w14:paraId="505F09C6"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Leroy, J. L., D. Rizos, R. Sturmey, P. Bossaert, A. Gutierrez-Adan, V. Van Hoeck, S. Valckx, and P. E. Bols. 2011. Intrafollicular conditions as a major link between maternal metabolism and oocyte quality: a focus on dairy cow fertility. Reprod. Fertil. Dev. 24(1):1-12. doi: 10.1071/rd11901.</w:t>
      </w:r>
    </w:p>
    <w:p w14:paraId="6906C60C" w14:textId="6266AFC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Leroy, J. L., T. Vanholder, J. R. Delanghe, G. Opsomer, A. Van Soom, P. E. Bols, J. Dewulf, and A. de Kruif. 2004. Metabolic changes in follicular fluid of the dominant follicle in high-yielding dairy cows early post partum. Theriogenology. 62(6):1131-1143. doi: 10.1016/j.theriogenology.2003.12.017.</w:t>
      </w:r>
    </w:p>
    <w:p w14:paraId="43E8A163"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Leroy, J. L., T. Vanholder, B. Mateusen, A. Christophe, G. Opsomer, A. de Kruif, G. Genicot, and A. Van Soom. 2005. Non-esterified fatty acids in follicular fluid of dairy cows and their effect on developmental capacity of bovine oocytes in vitro. Reproduction. 130(4):485-495. doi: 10.1530/rep.1.00735.</w:t>
      </w:r>
    </w:p>
    <w:p w14:paraId="4E842370"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Leroy, J. L., T. Vanholder, G. Opsomer, A. Van Soom, and A. de Kruif. 2006. The in vitro development of bovine oocytes after maturation in glucose and beta-hydroxybutyrate concentrations associated with negative energy balance in dairy cows. Reprod. Domest. Anim. 41(2):119-123. doi: 10.1111/j.1439-0531.2006.00650.x.</w:t>
      </w:r>
    </w:p>
    <w:p w14:paraId="0BCBDA8E"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Lesmeister, J. L., P. J. Burfening, and R. L. Blackwell. 1973. Date of first calving in beef cows and subsequent calf production. J. Anim. Sci. 36:1-6. doi: 10.2527/jas1973.3611. </w:t>
      </w:r>
    </w:p>
    <w:p w14:paraId="07A58868" w14:textId="45062F4C"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lastRenderedPageBreak/>
        <w:t>Lima, F., A. De Vries, C. Risco, J. Santos, and W. J. J. Thatcher. 2010. Economic comparison of natural service and timed artificial insemination breeding programs in dairy cattle. J. Dairy. Sci.  93:4404-4413. doi:</w:t>
      </w:r>
      <w:r w:rsidRPr="00C34188">
        <w:rPr>
          <w:rStyle w:val="identifier"/>
          <w:rFonts w:ascii="Times New Roman" w:hAnsi="Times New Roman" w:cs="Times New Roman"/>
          <w:color w:val="212121"/>
        </w:rPr>
        <w:t xml:space="preserve"> 10.3168/jds.2009-2789</w:t>
      </w:r>
    </w:p>
    <w:p w14:paraId="746EBAB2"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Liu, N., Y. Ma, R. Li, H. Jin, M. Li, X. Huang, H. L. Feng, and J. Qiao. 2012. Comparison of follicular fluid amphiregulin and EGF concentrations in patients undergoing IVF with different stimulation protocols. Endocrine 42:708-716. doi: 10.1007/s12020-012-9706-z.</w:t>
      </w:r>
    </w:p>
    <w:p w14:paraId="56FD325A"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Liu, S., L. He, and K. Yao. 2018. The antioxidative function of alpha-ketoglutarate and its applications. Biomed. Res. Int. 2018:3408467. doi: 10.1155/2018/3408467.</w:t>
      </w:r>
    </w:p>
    <w:p w14:paraId="4A8191EB"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Liu, W., Q. Xin, X. Wang, S. Wang, H. Wang, W. Zhang, Y. Yang, Y. Zhang, Z. Zhang, C. Wang, Y. Xu, E. Duan, and G. Xia. 2017. Estrogen receptors in granulosa cells govern meiotic resumption of pre-ovulatory oocytes in mammals. Cell death Dis. 8:e2662-e2662. doi: 10.1038/cddis.2017.82.</w:t>
      </w:r>
    </w:p>
    <w:p w14:paraId="67C7BB70"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Lonergan, P., P. Monaghan, D. Rizos, M. P. Boland, and I. Gordon. 1994. Effect of follicle size on bovine oocyte quality and developmental competence following maturation, fertilization, and culture in vitro. Mol. Reprod. Dev. 37:48-53. doi: 10.1002/mrd.1080370107.</w:t>
      </w:r>
    </w:p>
    <w:p w14:paraId="14352C5F"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Lonergan, P., D. Rizos, A. Gutierrez-Adan, T. Fair, and M. P. Boland. 2003. Oocyte and embryo quality: effect of origin, culture conditions and gene expression patterns. Reprod. Dom. Anim. 38:259-267. doi: 10.1046/j.1439-0531.2003.00437.x.</w:t>
      </w:r>
    </w:p>
    <w:p w14:paraId="1EE2B0E8" w14:textId="1A56EFAB" w:rsidR="000B6019"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Lonergan, P., D. Rizos, F. Ward, and M. P. J. R. N. D. Boland. 2001. Factors influencing oocyte and embryo quality in cattle. </w:t>
      </w:r>
      <w:r w:rsidR="000B6019" w:rsidRPr="00C34188">
        <w:rPr>
          <w:rFonts w:ascii="Times New Roman" w:hAnsi="Times New Roman" w:cs="Times New Roman"/>
        </w:rPr>
        <w:t>Reprod. Nutri. Dev.</w:t>
      </w:r>
      <w:r w:rsidRPr="00C34188">
        <w:rPr>
          <w:rFonts w:ascii="Times New Roman" w:hAnsi="Times New Roman" w:cs="Times New Roman"/>
        </w:rPr>
        <w:t xml:space="preserve"> 41(5):427-437. </w:t>
      </w:r>
      <w:r w:rsidR="000B6019" w:rsidRPr="00C34188">
        <w:rPr>
          <w:rFonts w:ascii="Times New Roman" w:hAnsi="Times New Roman" w:cs="Times New Roman"/>
        </w:rPr>
        <w:t xml:space="preserve">doi: </w:t>
      </w:r>
      <w:r w:rsidR="000B6019" w:rsidRPr="00C34188">
        <w:rPr>
          <w:rStyle w:val="identifier"/>
          <w:rFonts w:ascii="Times New Roman" w:hAnsi="Times New Roman" w:cs="Times New Roman"/>
          <w:color w:val="212121"/>
        </w:rPr>
        <w:t>10.1051/rnd:2001142</w:t>
      </w:r>
    </w:p>
    <w:p w14:paraId="4C9FA4A8"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Lu, W., M. F. Clasquin, E. Melamud, D. Amador-Noguez, A. A. Caudy, and J. D. Rabinowitz. 2010. Metabolomic analysis via reversed-phase ion-pairing liquid chromatography coupled to a stand alone orbitrap mass spectrometer. Anal. Chem. 82:3212-3221. doi: 10.1021/ac902837x.</w:t>
      </w:r>
    </w:p>
    <w:p w14:paraId="237C9FBE"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Luciano, A. M., V. Lodde, F. Franciosi, F. Ceciliani, and J. J. Peluso. 2010. Progesterone receptor membrane component 1 expression and putative function in bovine oocyte maturation, fertilization, and early embryonic development. Reprod. 140:663-672. doi: 10.1530/rep-10-0218.</w:t>
      </w:r>
    </w:p>
    <w:p w14:paraId="7F090646"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Lucy, M. C., J. D. Savio, L. Badinga, R. L. De La Sota, and W. W. Thatcher. 1992. Factors that affect ovarian follicular dynamics in cattle. J. Anim. Sci. 70:3615-3626. doi: 10.2527/1992.70113615x.</w:t>
      </w:r>
    </w:p>
    <w:p w14:paraId="1842ABDC"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Luti, S., T. Fiaschi, F. Magherini, P. A. Modesti, P. Piomboni, L. Governini, A. Luddi, A. Amoresano, A. Illiano, G. Pinto, A. Modesti, and T. Gamberi. 2020. Relationship between the metabolic and lipid profile in follicular fluid of women undergoing in vitro fertilization. Mol. Reprod. Devel. 87:986-997. doi:10.1002/mrd.23415.</w:t>
      </w:r>
    </w:p>
    <w:p w14:paraId="50C7D749" w14:textId="1D9AE67C"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MacNeil, M. D., T. W. Geary, G. A. Perry, A. J. Roberts, and L. J. Alexander. 2006. Genetic partitioning of variation in ovulatory follicle size and probability of pregnancy in beef cattle. J. Anim. Sci. 84:1646-1650. doi: 10.2527/jas.2005-698.</w:t>
      </w:r>
    </w:p>
    <w:p w14:paraId="247CFF2A" w14:textId="5A88EA27"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Madureira, A. M. L., T. A. Burnett, S. Borchardt, W. Heuwieser, C. F. Baes, J. L. M. Vasconcelos, and R. L. A. Cerri. 2021. Plasma concentrations of progesterone in the preceding estrous cycle are associated with the intensity of estrus and fertility </w:t>
      </w:r>
      <w:r w:rsidRPr="00C34188">
        <w:rPr>
          <w:rFonts w:ascii="Times New Roman" w:hAnsi="Times New Roman" w:cs="Times New Roman"/>
        </w:rPr>
        <w:lastRenderedPageBreak/>
        <w:t>of Holstein cows. PLOS ONE</w:t>
      </w:r>
      <w:r w:rsidR="000B6019" w:rsidRPr="00C34188">
        <w:rPr>
          <w:rFonts w:ascii="Times New Roman" w:hAnsi="Times New Roman" w:cs="Times New Roman"/>
        </w:rPr>
        <w:t>.</w:t>
      </w:r>
      <w:r w:rsidRPr="00C34188">
        <w:rPr>
          <w:rFonts w:ascii="Times New Roman" w:hAnsi="Times New Roman" w:cs="Times New Roman"/>
        </w:rPr>
        <w:t xml:space="preserve"> 16(8):e0248453. doi: 10.1371/journal.pone.0248453</w:t>
      </w:r>
    </w:p>
    <w:p w14:paraId="3C4B38A5"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Mao, J., K. M. Whitworth, L. D. Spate, E. M. Walters, J. Zhao, and R. S. Prather. 2012. Regulation of oocyte mitochondrial DNA copy number by follicular fluid, EGF, and neuregulin 1 during in vitro maturation affects embryo development in pigs. Theriogenology 78:887-897. doi: 10.1016/j.theriogenology.2012.04.002.</w:t>
      </w:r>
    </w:p>
    <w:p w14:paraId="2CC8DAD9"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Martens, L., M. Chambers, M. Sturm, D. Kessner, F. Levander, J. Shofstahl, W. H. Tang, A. Römpp, S. Neumann, A. D. Pizarro, L. Montecchi-Palazzi, N. Tasman, M. Coleman, F. Reisinger, P. Souda, H. Hermjakob, P. A. Binz, and E. W. Deutsch. 2011. mzML--a community standard for mass spectrometry data. Mol. Cell Proteomics. 10:R110.000133. doi: 10.1074/mcp.R110.000133.</w:t>
      </w:r>
    </w:p>
    <w:p w14:paraId="3080868F"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Martín, N., N. Schreurs, S. Morris, N. López-Villalobos, J. McDade, and R. Hickson. 2020. Sire effects on post-weaning growth of beef-cross-dairy cattle: A case study in New Zealand. Animals (Basel) 10:2313. doi: 10.3390/ani10122313.</w:t>
      </w:r>
    </w:p>
    <w:p w14:paraId="4DB6D99D"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Martín, N., N. Schreurs, S. Morris, N. López-Villalobos, J. McDade, and R. Hickson. 2021. Sire effects on carcass of beef-cross-dairy cattle: A case study in New Zealand. Animals (Basel) 11:636. doi: 10.3390/ani11030636.</w:t>
      </w:r>
    </w:p>
    <w:p w14:paraId="7AC748AE"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Martin, N. T., J. M. Thomas, J. M. Nash, D. A. Mallory, M. R. Ellersieck, S. E. Poock, M. F. Smith, and D. J. Patterson. 2014. Comparison of a 16- versus a 19-day interval between controlled internal drug release removal and prostaglandin F2α following a 14-day controlled internal drug releasetreatment and fixed-time artificial insemination in postpartum beef cows. J. Anim. Sci. 92:1759-1767. doi: 10.2527/jas.2013-7045.</w:t>
      </w:r>
    </w:p>
    <w:p w14:paraId="7C9F3BFC" w14:textId="757F2F7E"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Martínez-Reyes, I.</w:t>
      </w:r>
      <w:r w:rsidR="000B6019" w:rsidRPr="00C34188">
        <w:rPr>
          <w:rFonts w:ascii="Times New Roman" w:hAnsi="Times New Roman" w:cs="Times New Roman"/>
        </w:rPr>
        <w:t xml:space="preserve"> </w:t>
      </w:r>
      <w:r w:rsidRPr="00C34188">
        <w:rPr>
          <w:rFonts w:ascii="Times New Roman" w:hAnsi="Times New Roman" w:cs="Times New Roman"/>
        </w:rPr>
        <w:t>and N. S. Chandel. 2020. Mitochondrial TCA cycle metabolites control physiology and disease. Nat</w:t>
      </w:r>
      <w:r w:rsidR="000B6019" w:rsidRPr="00C34188">
        <w:rPr>
          <w:rFonts w:ascii="Times New Roman" w:hAnsi="Times New Roman" w:cs="Times New Roman"/>
        </w:rPr>
        <w:t>. Common.</w:t>
      </w:r>
      <w:r w:rsidRPr="00C34188">
        <w:rPr>
          <w:rFonts w:ascii="Times New Roman" w:hAnsi="Times New Roman" w:cs="Times New Roman"/>
        </w:rPr>
        <w:t xml:space="preserve"> 11(1):102. doi: 10.1038/s41467-019-13668-3</w:t>
      </w:r>
    </w:p>
    <w:p w14:paraId="730D4402" w14:textId="53DF1A8B"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Mathews</w:t>
      </w:r>
      <w:r w:rsidR="006521DC" w:rsidRPr="00C34188">
        <w:rPr>
          <w:rFonts w:ascii="Times New Roman" w:hAnsi="Times New Roman" w:cs="Times New Roman"/>
        </w:rPr>
        <w:t>,</w:t>
      </w:r>
      <w:r w:rsidRPr="00C34188">
        <w:rPr>
          <w:rFonts w:ascii="Times New Roman" w:hAnsi="Times New Roman" w:cs="Times New Roman"/>
        </w:rPr>
        <w:t xml:space="preserve"> K</w:t>
      </w:r>
      <w:r w:rsidR="006521DC" w:rsidRPr="00C34188">
        <w:rPr>
          <w:rFonts w:ascii="Times New Roman" w:hAnsi="Times New Roman" w:cs="Times New Roman"/>
        </w:rPr>
        <w:t>.</w:t>
      </w:r>
      <w:r w:rsidRPr="00C34188">
        <w:rPr>
          <w:rFonts w:ascii="Times New Roman" w:hAnsi="Times New Roman" w:cs="Times New Roman"/>
        </w:rPr>
        <w:t>H</w:t>
      </w:r>
      <w:r w:rsidR="006521DC" w:rsidRPr="00C34188">
        <w:rPr>
          <w:rFonts w:ascii="Times New Roman" w:hAnsi="Times New Roman" w:cs="Times New Roman"/>
        </w:rPr>
        <w:t>. 2001.</w:t>
      </w:r>
      <w:r w:rsidRPr="00C34188">
        <w:rPr>
          <w:rFonts w:ascii="Times New Roman" w:hAnsi="Times New Roman" w:cs="Times New Roman"/>
        </w:rPr>
        <w:t xml:space="preserve"> The beef cow replacement decision. J. Agribus. 19:191-211. </w:t>
      </w:r>
    </w:p>
    <w:p w14:paraId="5EF70546"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Matoba, S., K. Bender, A. G. Fahey, S. Mamo, L. Brennan, P. Lonergan, and T. Fair. 2014. Predictive value of bovine follicular components as markers of oocyte developmental potential. Reprod. Fertil. Dev. 26:337-345. doi: 10.1071/rd13007.</w:t>
      </w:r>
    </w:p>
    <w:p w14:paraId="459234B5"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May-Panloup, P., M. Boguenet, H. E. Hachem, P.-E. Bouet, and P. Reynier. 2021. Embryo and its mitochondria. Antioxidants (Basel) 10:139. doi: 10.3390/antiox10020139.</w:t>
      </w:r>
    </w:p>
    <w:p w14:paraId="14FCDB46"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May-Panloup, P., M. F. Chretien, Y. Malthiery, and P. Reynier. 2007. Mitochondrial DNA in the oocyte and the developing embryo. Curr. Top. Dev. Biol. 77:51-83. doi: 10.1016/s0070-2153(06)77003-x.</w:t>
      </w:r>
    </w:p>
    <w:p w14:paraId="4374C5E6" w14:textId="77777777" w:rsidR="000B6019" w:rsidRPr="00C34188" w:rsidRDefault="000B601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Melamud, E., L. Vastag, and J. D. Rabinowitz. 2010. Metabolomic analysis and visualization engine for LC-MS data. Anal. Chem. 82:9818-9826. doi: 10.1021/ac1021166.</w:t>
      </w:r>
    </w:p>
    <w:p w14:paraId="3B0CEAA5" w14:textId="7FC291D2"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Mermillod, P., B. Oussaid, and Y. Cognié. 1999. Aspects of follicular and oocyte maturation that affect the developmental potential of embryos. J</w:t>
      </w:r>
      <w:r w:rsidR="000B6019" w:rsidRPr="00C34188">
        <w:rPr>
          <w:rFonts w:ascii="Times New Roman" w:hAnsi="Times New Roman" w:cs="Times New Roman"/>
        </w:rPr>
        <w:t>.</w:t>
      </w:r>
      <w:r w:rsidRPr="00C34188">
        <w:rPr>
          <w:rFonts w:ascii="Times New Roman" w:hAnsi="Times New Roman" w:cs="Times New Roman"/>
        </w:rPr>
        <w:t xml:space="preserve"> Reprod</w:t>
      </w:r>
      <w:r w:rsidR="000B6019" w:rsidRPr="00C34188">
        <w:rPr>
          <w:rFonts w:ascii="Times New Roman" w:hAnsi="Times New Roman" w:cs="Times New Roman"/>
        </w:rPr>
        <w:t>.</w:t>
      </w:r>
      <w:r w:rsidRPr="00C34188">
        <w:rPr>
          <w:rFonts w:ascii="Times New Roman" w:hAnsi="Times New Roman" w:cs="Times New Roman"/>
        </w:rPr>
        <w:t xml:space="preserve"> Fertil</w:t>
      </w:r>
      <w:r w:rsidR="000B6019" w:rsidRPr="00C34188">
        <w:rPr>
          <w:rFonts w:ascii="Times New Roman" w:hAnsi="Times New Roman" w:cs="Times New Roman"/>
        </w:rPr>
        <w:t>.</w:t>
      </w:r>
      <w:r w:rsidRPr="00C34188">
        <w:rPr>
          <w:rFonts w:ascii="Times New Roman" w:hAnsi="Times New Roman" w:cs="Times New Roman"/>
        </w:rPr>
        <w:t xml:space="preserve"> Suppl</w:t>
      </w:r>
      <w:r w:rsidR="000B6019" w:rsidRPr="00C34188">
        <w:rPr>
          <w:rFonts w:ascii="Times New Roman" w:hAnsi="Times New Roman" w:cs="Times New Roman"/>
        </w:rPr>
        <w:t>.</w:t>
      </w:r>
      <w:r w:rsidRPr="00C34188">
        <w:rPr>
          <w:rFonts w:ascii="Times New Roman" w:hAnsi="Times New Roman" w:cs="Times New Roman"/>
        </w:rPr>
        <w:t xml:space="preserve"> 54:449-460. </w:t>
      </w:r>
    </w:p>
    <w:p w14:paraId="2893B0A1" w14:textId="24DE4B49"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Merton, J. S., A. P. de Roos, E. Mullaart, L. de Ruigh, L. Kaal, P. L. Vos, and S. J. Dieleman. 2003. Factors affecting oocyte quality and quantity in commercial </w:t>
      </w:r>
      <w:r w:rsidRPr="00C34188">
        <w:rPr>
          <w:rFonts w:ascii="Times New Roman" w:hAnsi="Times New Roman" w:cs="Times New Roman"/>
        </w:rPr>
        <w:lastRenderedPageBreak/>
        <w:t>application of embryo technologies in the cattle breeding industry. Theriogenology</w:t>
      </w:r>
      <w:r w:rsidR="009428F9" w:rsidRPr="00C34188">
        <w:rPr>
          <w:rFonts w:ascii="Times New Roman" w:hAnsi="Times New Roman" w:cs="Times New Roman"/>
        </w:rPr>
        <w:t>.</w:t>
      </w:r>
      <w:r w:rsidRPr="00C34188">
        <w:rPr>
          <w:rFonts w:ascii="Times New Roman" w:hAnsi="Times New Roman" w:cs="Times New Roman"/>
        </w:rPr>
        <w:t xml:space="preserve"> 59(2):651-674. doi: 10.1016/s0093-691x(02)01246-3</w:t>
      </w:r>
    </w:p>
    <w:p w14:paraId="4F6A8F3B"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Michaels, G. S., W. W. Hauswirth, and P. J. Laipis. 1982. Mitochondrial DNA copy number in bovine oocytes and somatic cells. Dev. Biol. 94:246-251. doi: https://doi.org/10.1016/0012-1606(82)90088-4.</w:t>
      </w:r>
    </w:p>
    <w:p w14:paraId="4605A34C"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Mihm, M., A. Baguisi, M. P. Boland, and J. F. Roche. 1994. Association between the duration of dominance of the ovulatory follicle and pregnancy rate in beef heifers. J. Reprod. Fertil. 102:123-130. doi: 10.1530/jrf.0.1020123.</w:t>
      </w:r>
    </w:p>
    <w:p w14:paraId="4F30D541"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Miura, R. 2019. Physiological characteristics and effects on fertility of the first follicular wave dominant follicle in cattle. J. Reprod. Dev. 65:289-295. doi: 10.1262/jrd.2019-027.</w:t>
      </w:r>
    </w:p>
    <w:p w14:paraId="1F720E55"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Mo, J., L. Sun, J. Cheng, Y. Lu, Y. Wei, G. Qin, J. Liang, and G. Lan. 2021. Non-targeted metabolomics reveals metabolic characteristics of porcine atretic follicles. Front. Vet. Sci. 8:679947-679947. doi: 10.3389/fvets.2021.679947.</w:t>
      </w:r>
    </w:p>
    <w:p w14:paraId="53E7CCBB"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Monnot, S., D. C. Samuels, L. Hesters, N. Frydman, N. Gigarel, P. Burlet, V. Kerbrat, F. Lamazou, R. Frydman, A. Benachi, J. Feingold, A. Rotig, A. Munnich, J. P. Bonnefont, and J. Steffann. 2013. Mutation dependance of the mitochondrial DNA copy number in the first stages of human embryogenesis. Hum. Mol. Genet. 22:1867-1872. doi: 10.1093/hmg/ddt040.</w:t>
      </w:r>
    </w:p>
    <w:p w14:paraId="7EA6030A" w14:textId="75D3562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Moorey, S. E., J. M. Monnig, M. F. Smith, M. S. Ortega, J. A. Green, K. G. Pohler, G. A. Bridges, S. K. Behura, and T. W. Geary. 2021. Differential transcript profiles in cumulus-oocyte complexes originating from pre-ovulatory follicles of varied physiological maturity in beef cows. </w:t>
      </w:r>
      <w:r w:rsidR="006D7579" w:rsidRPr="00C34188">
        <w:rPr>
          <w:rFonts w:ascii="Times New Roman" w:hAnsi="Times New Roman" w:cs="Times New Roman"/>
        </w:rPr>
        <w:t xml:space="preserve">Genes. </w:t>
      </w:r>
      <w:r w:rsidRPr="00C34188">
        <w:rPr>
          <w:rFonts w:ascii="Times New Roman" w:hAnsi="Times New Roman" w:cs="Times New Roman"/>
        </w:rPr>
        <w:t xml:space="preserve">12:893. </w:t>
      </w:r>
    </w:p>
    <w:p w14:paraId="507088CE"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Moreno, J. M., M. J. Núñez, A. Quiñonero, S. Martínez, M. de la Orden, C. Simón, A. Pellicer, C. Díaz-García, and F. Domínguez. 2015. Follicular fluid and mural granulosa cells microRNA profiles vary in in vitro fertilization patients depending on their age and oocyte maturation stage. Fertil. Steril. 104:1037-1046.e1031. doi: 10.1016/j.fertnstert.2015.07.001.</w:t>
      </w:r>
    </w:p>
    <w:p w14:paraId="083D1A03" w14:textId="58D77D7B"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Motta, P. M., S. A. Nottola, S. Makabe, and R. Heyn. 2000. Mitochondrial morphology in human fetal and adult female germ cells. Hum. Reprod. 15</w:t>
      </w:r>
      <w:r w:rsidR="006D7579" w:rsidRPr="00C34188">
        <w:rPr>
          <w:rFonts w:ascii="Times New Roman" w:hAnsi="Times New Roman" w:cs="Times New Roman"/>
        </w:rPr>
        <w:t>(</w:t>
      </w:r>
      <w:r w:rsidRPr="00C34188">
        <w:rPr>
          <w:rFonts w:ascii="Times New Roman" w:hAnsi="Times New Roman" w:cs="Times New Roman"/>
        </w:rPr>
        <w:t>2</w:t>
      </w:r>
      <w:r w:rsidR="006D7579" w:rsidRPr="00C34188">
        <w:rPr>
          <w:rFonts w:ascii="Times New Roman" w:hAnsi="Times New Roman" w:cs="Times New Roman"/>
        </w:rPr>
        <w:t>)</w:t>
      </w:r>
      <w:r w:rsidRPr="00C34188">
        <w:rPr>
          <w:rFonts w:ascii="Times New Roman" w:hAnsi="Times New Roman" w:cs="Times New Roman"/>
        </w:rPr>
        <w:t>:129-147. doi: 10.1093/humrep/15.suppl_2.129.</w:t>
      </w:r>
    </w:p>
    <w:p w14:paraId="2B1B8A08"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Mu, Y.-M., T. Yanase, Y. Nishi, A. Tanaka, M. Saito, C.-H. Jin, C. Mukasa, T. Okabe, M. Nomura, K. Goto, and H. Nawata. 2001. Saturated FFAs, palmitic acid and stearic acid, induce apoptosis in human granulosa cells. J. Endocrinology 142:3590-3597. doi: 10.1210/endo.142.8.8293.</w:t>
      </w:r>
    </w:p>
    <w:p w14:paraId="5A8B1D6F"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Nagano, M. 2019. Acquisition of developmental competence and in vitro growth culture of bovine oocytes. J. Reprod. Dev. 65:195-201. doi: 10.1262/jrd.2019-022.</w:t>
      </w:r>
    </w:p>
    <w:p w14:paraId="25F524EF"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Nagy, R. A., A. P. A. van Montfoort, A. Dikkers, J. van Echten-Arends, I. Homminga, J. A. Land, A. Hoek, and U. J. F. Tietge. 2015. Presence of bile acids in human follicular fluid and their relation with embryo development in modified natural cycle IVF. Hum. Reprod. 30:1102-1109. doi: 10.1093/humrep/dev034.</w:t>
      </w:r>
    </w:p>
    <w:p w14:paraId="4896B718"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Nandi, S., V. G. Kumar, B. M. Manjunatha, and P. S. P. Gupta. 2007. Biochemical composition of ovine follicular fluid in relation to follicle size. Dev. Growth Differ. 49:61-66. doi: 10.1111/j.1440-169X.2007.00901.x.</w:t>
      </w:r>
    </w:p>
    <w:p w14:paraId="58FAFE7E"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lastRenderedPageBreak/>
        <w:t>Nash, J. M., D. A. Mallory, M. R. Ellersieck, S. E. Poock, M. F. Smith, and D. J. Patterson. 2012. Comparison of long- versus short-term CIDR-based protocols to synchronize estrus prior to fixed-time AI in postpartum beef cows. Anim. Reprod. Sci. 132:11-16. doi: 10.1016/j.anireprosci.2012.03.013.</w:t>
      </w:r>
    </w:p>
    <w:p w14:paraId="3001FB65"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O'Doherty, A. M., A. O'Gorman, A. al Naib, L. Brennan, E. Daly, P. Duffy, and T. Fair. 2014. Negative energy balance affects imprint stability in oocytes recovered from postpartum dairy cows. Genom. 104:177-185. doi: 10.1016/j.ygeno.2014.07.006.</w:t>
      </w:r>
    </w:p>
    <w:p w14:paraId="57162071"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Ockerman, H. W., D. Jaworek, B. VanStavern, N. Parrett, and C. J. Pierson. 1984. Castration and sire effects on carcass traits, meat palatability and muscle fiber characteristics in Angus cattle. J. Anim. Sci. 59:981-990. doi: 10.2527/jas1984.594981x.</w:t>
      </w:r>
    </w:p>
    <w:p w14:paraId="06E76539" w14:textId="0ECC8D4C"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Opsomer, G., and A. de Kruif. 1999. Postpartum anestrus in dairy cattle a review. Tierarztliche Praxis. Ausgabe G, Grosstiere/Nutztiere 27:30-35. </w:t>
      </w:r>
    </w:p>
    <w:p w14:paraId="7622EAD5" w14:textId="08C8AD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Orsi, N. M., N. Gopichandran, H. J. Leese, H. M. Picton, and S. E. Harris. 2005a. Fluctuations in bovine ovarian follicular fluid composition throughout the oestrous cycle. Reprod. 129:219-288. doi: 10.1530/rep.1.00460.</w:t>
      </w:r>
    </w:p>
    <w:p w14:paraId="3209D181"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Otoi, T., K. Yamamoto, N. Koyama, S. Tachikawa, and T. Suzuki. 1997. Bovine oocyte diameter in relation to developmental competence. Theriogenology. 48(5):769-774. doi: 10.1016/s0093-691x(97)00300-2.</w:t>
      </w:r>
    </w:p>
    <w:p w14:paraId="3DB7225F"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Paczkowski, M., E. Silva, W. B. Schoolcraft, and R. L. Krisher. 2013. Comparative importance of fatty acid beta-oxidation to nuclear maturation, gene expression, and glucose metabolism in mouse, bovine, and porcine cumulus oocyte complexes. Biol. Reprod. 88(5):1-11. doi: 10.1095/biolreprod.113.108548.</w:t>
      </w:r>
    </w:p>
    <w:p w14:paraId="35AE6E8E"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Palini, S., S. Benedetti, M. C. Tagliamonte, S. De Stefani, M. Primiterra, V. Polli, P. Rocchi, S. Catalani, S. Battistelli, F. Canestrari, and C. Bulletti. 2014. Influence of ovarian stimulation for IVF/ICSI on the antioxidant defence system and relationship to outcome. Reprod. Biomed. Online. 29(1):65-71. doi: 10.1016/j.rbmo.2014.03.010.</w:t>
      </w:r>
    </w:p>
    <w:p w14:paraId="7FD40178"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Pang, Z., J. Chong, G. Zhou, D. A. de Lima Morais, L. Chang, M. Barrette, C. Gauthier, P. Jacques, S. Li, and J. Xia. 2021. MetaboAnalyst 5.0: narrowing the gap between raw spectra and functional insights. Nucleic Acids Res. 49(1):388-396. doi: 10.1093/nar/gkab382.</w:t>
      </w:r>
    </w:p>
    <w:p w14:paraId="64774EC3"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Pavlok, A., A. Lucas-Hahn, and H. Niemann. 1992. Fertilization and developmental competence of bovine oocytes derived from different categories of antral follicles. Mol. Reprod. Dev. 31(1):63-67. doi: https://doi.org/10.1002/mrd.1080310111</w:t>
      </w:r>
    </w:p>
    <w:p w14:paraId="50156C0D"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Payton, R. R., L. A. Rispoli, K. A. Nagle, C. Gondro, A. M. Saxton, B. H. Voy, and J. L. Edwards. 2018. Mitochondrial-related consequences of heat stress exposure during bovine oocyte maturation persist in early embryo development. J. Reprod. Dev. 64(3):243-251. doi: 10.1262/jrd.2017-160.</w:t>
      </w:r>
    </w:p>
    <w:p w14:paraId="60DF0710"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Perez, G. I., A. M. Trbovich, R. G. Gosden, and J. L. Tilly. 2000. Mitochondria and the death of oocytes. Nature. 403(6769):500-501. doi: 10.1038/35000651.</w:t>
      </w:r>
    </w:p>
    <w:p w14:paraId="671ED092"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Perry, G. A., M. F. Smith, M. C. Lucy, J. A. Green, T. E. Parks, M. D. MacNeil, A. J. Roberts, and T. W. Geary. 2005. Relationship between follicle size at insemination </w:t>
      </w:r>
      <w:r w:rsidRPr="00C34188">
        <w:rPr>
          <w:rFonts w:ascii="Times New Roman" w:hAnsi="Times New Roman" w:cs="Times New Roman"/>
        </w:rPr>
        <w:lastRenderedPageBreak/>
        <w:t>and pregnancy success. Proc. Natl. Acad. Sci. U.S.A. 102(14):5268-5273. doi: 10.1073/pnas.0501700102.</w:t>
      </w:r>
    </w:p>
    <w:p w14:paraId="24345020"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Perry, G. A., M. F. Smith, A. J. Roberts, M. D. MacNeil, and T. W. Geary. 2007. Relationship between size of the ovulatory follicle and pregnancy success in beef heifers. J. Anim. Sci. 85(3):684-689. doi: 10.2527/jas.2006-519.</w:t>
      </w:r>
    </w:p>
    <w:p w14:paraId="05F2A25C"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Perry, G. A., O. L. Swanson, E. L. Larimore, B. L. Perry, G. D. Djira, and R. A. Cushman. 2014. Relationship of follicle size and concentrations of estradiol among cows exhibiting or not exhibiting estrus during a fixed-time AI protocol. Domest. Anim. Endocrinol. 48:15-20. doi: 10.1016/j.domaniend.2014.02.001.</w:t>
      </w:r>
    </w:p>
    <w:p w14:paraId="484B68E1"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Peterson, A. J., and R. S. Lee. 2003. Improving successful pregnancies after embryo transfer. Theriogenology. 59(2):687-697. doi: 10.1016/s0093-691x(02)01248-7.</w:t>
      </w:r>
    </w:p>
    <w:p w14:paraId="10036831" w14:textId="77777777" w:rsidR="009428F9"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Pikó, L., and K. D. Taylor. 1987. Amounts of mitochondrial DNA and abundance of some mitochondrial gene transcripts in early mouse embryos. Dev. Biol. 123(2):364-374. doi: 10.1016/0012-1606(87)90395-2.</w:t>
      </w:r>
    </w:p>
    <w:p w14:paraId="23660D98" w14:textId="6DC0DB37" w:rsidR="00C55223" w:rsidRPr="00C34188" w:rsidRDefault="009428F9"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Piñero-Sagredo, E., S. Nunes, M. J. de los Santos, B. Celda, and V. Esteve. 2010. NMR metabolic profile of human follicular fluid. NMR Biomed. 23(5):485-495. doi: 10.1002/nbm.1488.</w:t>
      </w:r>
      <w:r w:rsidR="00C55223" w:rsidRPr="00C34188">
        <w:rPr>
          <w:rFonts w:ascii="Times New Roman" w:hAnsi="Times New Roman" w:cs="Times New Roman"/>
        </w:rPr>
        <w:t>Pohler, K. G., M. H. C. Pereira, F. R. Lopes, J. C. Lawrence, D. H. Keisler, M. F. Smith, J. L. M. Vasconcelos, and J. A. Green. 2016. Circulating concentrations of bovine pregnancy-associated glycoproteins and late embryonic mortality in lactating dairy herds. Journal of dairy science 99(2):1584-1594. doi: 10.3168/jds.2015-10192</w:t>
      </w:r>
    </w:p>
    <w:p w14:paraId="2C73698E" w14:textId="2AB252C3"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Pulley, S. L., D. H. Keisler, and J. S. Stevenson. 2015. Concentrations of luteinizing hormone and ovulatory responses in dairy cows before timed artificial insemination. J</w:t>
      </w:r>
      <w:r w:rsidR="009428F9" w:rsidRPr="00C34188">
        <w:rPr>
          <w:rFonts w:ascii="Times New Roman" w:hAnsi="Times New Roman" w:cs="Times New Roman"/>
        </w:rPr>
        <w:t>.</w:t>
      </w:r>
      <w:r w:rsidRPr="00C34188">
        <w:rPr>
          <w:rFonts w:ascii="Times New Roman" w:hAnsi="Times New Roman" w:cs="Times New Roman"/>
        </w:rPr>
        <w:t xml:space="preserve"> </w:t>
      </w:r>
      <w:r w:rsidR="009428F9" w:rsidRPr="00C34188">
        <w:rPr>
          <w:rFonts w:ascii="Times New Roman" w:hAnsi="Times New Roman" w:cs="Times New Roman"/>
        </w:rPr>
        <w:t>Dairy</w:t>
      </w:r>
      <w:r w:rsidRPr="00C34188">
        <w:rPr>
          <w:rFonts w:ascii="Times New Roman" w:hAnsi="Times New Roman" w:cs="Times New Roman"/>
        </w:rPr>
        <w:t xml:space="preserve"> </w:t>
      </w:r>
      <w:r w:rsidR="009428F9" w:rsidRPr="00C34188">
        <w:rPr>
          <w:rFonts w:ascii="Times New Roman" w:hAnsi="Times New Roman" w:cs="Times New Roman"/>
        </w:rPr>
        <w:t>S</w:t>
      </w:r>
      <w:r w:rsidRPr="00C34188">
        <w:rPr>
          <w:rFonts w:ascii="Times New Roman" w:hAnsi="Times New Roman" w:cs="Times New Roman"/>
        </w:rPr>
        <w:t>ci</w:t>
      </w:r>
      <w:r w:rsidR="009428F9" w:rsidRPr="00C34188">
        <w:rPr>
          <w:rFonts w:ascii="Times New Roman" w:hAnsi="Times New Roman" w:cs="Times New Roman"/>
        </w:rPr>
        <w:t>.</w:t>
      </w:r>
      <w:r w:rsidRPr="00C34188">
        <w:rPr>
          <w:rFonts w:ascii="Times New Roman" w:hAnsi="Times New Roman" w:cs="Times New Roman"/>
        </w:rPr>
        <w:t xml:space="preserve"> 98(9):6188-6201. doi: 10.3168/jds.2015-9473</w:t>
      </w:r>
    </w:p>
    <w:p w14:paraId="3E4D4F61" w14:textId="77777777" w:rsidR="00EF4E76" w:rsidRPr="00C34188" w:rsidRDefault="00EF4E7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Pursley, J. R., M. C. Wiltbank, J. S. Stevenson, J. S. Ottobre, H. A. Garverick, and L. L. Anderson. 1997. Pregnancy rates per artificial insemination for cows and heifers inseminated at a synchronized ovulation or synchronized estrus. J. Dairy Sci. 80(2):295-300. doi: 10.3168/jds.S0022-0302(97)75937-X.</w:t>
      </w:r>
    </w:p>
    <w:p w14:paraId="36EB21EB" w14:textId="561C520D" w:rsidR="00EF4E76" w:rsidRPr="00C34188" w:rsidRDefault="00EF4E7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Quinn, P., and R. G. Wales. 1973. The relationships between the ATP content of preimplantation mouse embryos and their development in vitro during culture. J. Reprod. Infertil. 35(2):301-309. doi: 10.1530/jrf.0.0350301.</w:t>
      </w:r>
    </w:p>
    <w:p w14:paraId="17849DAF" w14:textId="57A3CAB9" w:rsidR="00500F76" w:rsidRPr="00C34188" w:rsidRDefault="00500F7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R Core Team (2020). R: A language and environment for statistical computing. Foundation for Statistical Computing, Vienna, Austria. URL https://www.R-project.org/.  </w:t>
      </w:r>
    </w:p>
    <w:p w14:paraId="7580FA80" w14:textId="77777777" w:rsidR="00EF4E76" w:rsidRPr="00C34188" w:rsidRDefault="00EF4E7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Rathod, P. K., and J. H. Fellman. 1985. Regulation of mammalian aspartate-4-decarboxylase: its possible role in oxaloacetate and energy metabolism. Arch. Biochem. Biophys. 238(2):447-451. doi: 10.1016/0003-9861(85)90185-7.</w:t>
      </w:r>
    </w:p>
    <w:p w14:paraId="7017014D" w14:textId="77777777" w:rsidR="00EF4E76" w:rsidRPr="00C34188" w:rsidRDefault="00EF4E7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Read, C. C., G. Willhelm, and P. W. Dyce. 2018. Connexin 43 coupling in bovine cumulus cells, during the follicular growth phase, and its relationship to in vitro embryo outcomes. Mol. Reprod. Dev. 85(7):579-589. doi: 10.1002/mrd.22993.</w:t>
      </w:r>
    </w:p>
    <w:p w14:paraId="3D99CA1A" w14:textId="77777777" w:rsidR="00EF4E76" w:rsidRPr="00C34188" w:rsidRDefault="00EF4E7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Reader, K. L., J.-A. L. Stanton, and J. L. Juengel. 2017. The role of oocyte organelles in determining developmental competence. Biology. 6(3):35. doi: 10.3390/biology6030035.</w:t>
      </w:r>
    </w:p>
    <w:p w14:paraId="4FEB2D46" w14:textId="77777777" w:rsidR="00EF4E76" w:rsidRPr="00C34188" w:rsidRDefault="00EF4E7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lastRenderedPageBreak/>
        <w:t>Reese, S. T., G. A. Franco, R. K. Poole, R. Hood, L. F. Montero, R. V. Filho, R. F. Cooke, and K. G. Pohler. 2020. Pregnancy loss in beef cattle: a meta-analysis. Anim. Reprod. Sci. 212:106251. doi: 10.1016/j.anireprosci.2019.106251.</w:t>
      </w:r>
    </w:p>
    <w:p w14:paraId="0C34AA81" w14:textId="77777777" w:rsidR="00EF4E76" w:rsidRPr="00C34188" w:rsidRDefault="00EF4E7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Renaville, B., N. Bacciu, A. Comin, M. Motta, I. Poli, G. Vanini, and A. Prandi. 2010. Plasma and follicular fluid fatty acid profiles in dairy cows. Reprod. Domest. Anim. 45(1):118-121. doi: 10.1111/j.1439-0531.2008.01264.x.</w:t>
      </w:r>
    </w:p>
    <w:p w14:paraId="5B7DC2B2" w14:textId="77777777" w:rsidR="00EF4E76" w:rsidRPr="00C34188" w:rsidRDefault="00EF4E7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Revelli, A., L. Delle Piane, S. Casano, E. Molinari, M. Massobrio, and P. Rinaudo. 2009. Follicular fluid content and oocyte quality: from single biochemical markers to metabolomics. Reprod. Biol. Endocrinol. 7:40. doi: 10.1186/1477-7827-7-40.</w:t>
      </w:r>
    </w:p>
    <w:p w14:paraId="02A30A79" w14:textId="77777777" w:rsidR="00EF4E76" w:rsidRPr="00C34188" w:rsidRDefault="00EF4E7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Reynier, P., P. May-Panloup, M. F. Chrétien, C. J. Morgan, M. Jean, F. Savagner, P. Barrière, and Y. Malthièry. 2001. Mitochondrial DNA content affects the fertilizability of human oocytes. Mol. Hum. Reprod. 7(5):425-429. doi: 10.1093/molehr/7.5.425.</w:t>
      </w:r>
    </w:p>
    <w:p w14:paraId="43D57556" w14:textId="77777777" w:rsidR="00EF4E76" w:rsidRPr="00C34188" w:rsidRDefault="00EF4E7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Richani, D., K. R. Dunning, J. G. Thompson, and R. B. Gilchrist. 2021. Metabolic co-dependence of the oocyte and cumulus cells: essential role in determining oocyte developmental competence. Hum. Reprod. Update. 27(1):27-47. doi: 10.1093/humupd/dmaa043.</w:t>
      </w:r>
    </w:p>
    <w:p w14:paraId="6F03329E" w14:textId="77777777" w:rsidR="00EF4E76" w:rsidRPr="00C34188" w:rsidRDefault="00EF4E7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Richards, J. S., D. L. Russell, R. L. Robker, M. Dajee, and T. N. Alliston. 1998. Molecular mechanisms of ovulation and luteinization. Mol. Cell. Endoncrinol. 145(1):47-54. doi: https://doi.org/10.1016/S0303-7207(98)00168-3.</w:t>
      </w:r>
    </w:p>
    <w:p w14:paraId="68B9C817" w14:textId="77777777" w:rsidR="00EF4E76" w:rsidRPr="00C34188" w:rsidRDefault="00EF4E7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Richardson, B. N., S. L. Hill, J. S. Stevenson, G. D. Djira, and G. A. Perry. 2016. Expression of estrus before fixed-time AI affects conception rates and factors that impact expression of estrus and the repeatability of expression of estrus in sequential breeding seasons. Anim. Reprod. Sci. 166:133-140. doi: 10.1016/j.anireprosci.2016.01.013.</w:t>
      </w:r>
    </w:p>
    <w:p w14:paraId="3A3DFB63" w14:textId="77777777" w:rsidR="00EF4E76" w:rsidRPr="00C34188" w:rsidRDefault="00EF4E7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Rieger, D., and N. M. Loskutoff. 1994. Changes in the metabolism of glucose, pyruvate, glutamine and glycine during maturation of cattle oocytes in vitro. J. Reprod. Fertil. 100(1):257-262. doi: 10.1530/jrf.0.1000257.</w:t>
      </w:r>
    </w:p>
    <w:p w14:paraId="6DAD3154" w14:textId="39FE241E"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Rispoli, L. A., J. L. Edwards, K. G. Pohler, S. Russell, R. I. Somiari, R. R. Payton, and F. N. Schrick. 2020. Heat-induced hyperthermia impacts the follicular fluid proteome of the periovulatory follicle in lactating dairy cows. PLOS ONE</w:t>
      </w:r>
      <w:r w:rsidR="00EF4E76" w:rsidRPr="00C34188">
        <w:rPr>
          <w:rFonts w:ascii="Times New Roman" w:hAnsi="Times New Roman" w:cs="Times New Roman"/>
        </w:rPr>
        <w:t>.</w:t>
      </w:r>
      <w:r w:rsidRPr="00C34188">
        <w:rPr>
          <w:rFonts w:ascii="Times New Roman" w:hAnsi="Times New Roman" w:cs="Times New Roman"/>
        </w:rPr>
        <w:t xml:space="preserve"> 14(12):e0227095. doi: 10.1371/journal.pone.0227095</w:t>
      </w:r>
    </w:p>
    <w:p w14:paraId="1A83AEE3" w14:textId="77777777" w:rsidR="00EF4E76" w:rsidRPr="00C34188" w:rsidRDefault="00EF4E76"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Roberts, R., S. Franks, and K. Hardy. 2002. Culture environment modulates maturation and metabolism of human oocytes. Hum. Reprod. 17(11):2950-2956. doi: 10.1093/humrep/17.11.2950.</w:t>
      </w:r>
    </w:p>
    <w:p w14:paraId="23AD15C3" w14:textId="43A48EB2"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Robker, R. L., L. K. Akison, and D. L. Russell. 2009. Control of oocyte release by progesterone receptor-regulated gene expression. Nucl</w:t>
      </w:r>
      <w:r w:rsidR="00EF4E76" w:rsidRPr="00C34188">
        <w:rPr>
          <w:rFonts w:ascii="Times New Roman" w:hAnsi="Times New Roman" w:cs="Times New Roman"/>
        </w:rPr>
        <w:t>.</w:t>
      </w:r>
      <w:r w:rsidRPr="00C34188">
        <w:rPr>
          <w:rFonts w:ascii="Times New Roman" w:hAnsi="Times New Roman" w:cs="Times New Roman"/>
        </w:rPr>
        <w:t xml:space="preserve"> </w:t>
      </w:r>
      <w:r w:rsidR="00EF4E76" w:rsidRPr="00C34188">
        <w:rPr>
          <w:rFonts w:ascii="Times New Roman" w:hAnsi="Times New Roman" w:cs="Times New Roman"/>
        </w:rPr>
        <w:t>R</w:t>
      </w:r>
      <w:r w:rsidRPr="00C34188">
        <w:rPr>
          <w:rFonts w:ascii="Times New Roman" w:hAnsi="Times New Roman" w:cs="Times New Roman"/>
        </w:rPr>
        <w:t>ecept</w:t>
      </w:r>
      <w:r w:rsidR="00EF4E76" w:rsidRPr="00C34188">
        <w:rPr>
          <w:rFonts w:ascii="Times New Roman" w:hAnsi="Times New Roman" w:cs="Times New Roman"/>
        </w:rPr>
        <w:t>.</w:t>
      </w:r>
      <w:r w:rsidRPr="00C34188">
        <w:rPr>
          <w:rFonts w:ascii="Times New Roman" w:hAnsi="Times New Roman" w:cs="Times New Roman"/>
        </w:rPr>
        <w:t xml:space="preserve"> </w:t>
      </w:r>
      <w:r w:rsidR="00EF4E76" w:rsidRPr="00C34188">
        <w:rPr>
          <w:rFonts w:ascii="Times New Roman" w:hAnsi="Times New Roman" w:cs="Times New Roman"/>
        </w:rPr>
        <w:t>S</w:t>
      </w:r>
      <w:r w:rsidRPr="00C34188">
        <w:rPr>
          <w:rFonts w:ascii="Times New Roman" w:hAnsi="Times New Roman" w:cs="Times New Roman"/>
        </w:rPr>
        <w:t>ignaling</w:t>
      </w:r>
      <w:r w:rsidR="00EF4E76" w:rsidRPr="00C34188">
        <w:rPr>
          <w:rFonts w:ascii="Times New Roman" w:hAnsi="Times New Roman" w:cs="Times New Roman"/>
        </w:rPr>
        <w:t>.</w:t>
      </w:r>
      <w:r w:rsidRPr="00C34188">
        <w:rPr>
          <w:rFonts w:ascii="Times New Roman" w:hAnsi="Times New Roman" w:cs="Times New Roman"/>
        </w:rPr>
        <w:t xml:space="preserve"> 7:e012. doi: 10.1621/nrs.07012</w:t>
      </w:r>
    </w:p>
    <w:p w14:paraId="1F5A94A9"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Roche, J. F., M. P. Bolandl, and T. A. McGeady. 1981. Reproductive wastage following artificial insemination of heifers. Vet. Rec. 109(18):401-404. doi: 10.1136/vr.109.18.401.</w:t>
      </w:r>
    </w:p>
    <w:p w14:paraId="7105E3D2"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Roche, J. F., E. J. Austin, M. Ryan, M. O'Rourke, M. Mihm, and M. G. Diskin. 1999. Regulation of follicle waves to maximize fertility in cattle. J. Reprod. Fertil. Suppl. 54:61-71. </w:t>
      </w:r>
    </w:p>
    <w:p w14:paraId="0A01D39F"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lastRenderedPageBreak/>
        <w:t>Rodgers, J. C., S. L. Bird, J. E. Larson, N. Dilorenzo, C. R. Dahlen, A. Dicostanzo, and G. C. Lamb. 2012. An economic evaluation of estrous synchronization and timed artificial insemination in suckled beef cows. J. Anim. Sci. 90(11):4055-4062. doi: 10.2527/jas.2011-4836.</w:t>
      </w:r>
    </w:p>
    <w:p w14:paraId="032036A2"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Rodgers, R. J., and H. F. Irving-Rodgers. 2010. Formation of the ovarian follicular antrum and follicular fluid. Biol. Reprod. 82(6):1021-1029. doi: 10.1095/biolreprod.109.082941.</w:t>
      </w:r>
    </w:p>
    <w:p w14:paraId="05DC9D5A"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Rodrigues, A. D., R. F. Cooke, R. S. Cipriano, L. G. Silva, R. L. Cerri, L. H. Cruppe, M. Meneghetti, K. G. Pohler, and J. L. Vasconcelos. 2018. Impacts of estrus expression and intensity during a timed-AI protocol on variables associated with fertility and pregnancy success in Bos indicus-influenced beef cows. J. Anim. Sci. 96(1):236-249. doi: 10.1093/jas/skx043.</w:t>
      </w:r>
    </w:p>
    <w:p w14:paraId="7B8D3786"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Rose-Hellekant, T. A., E. A. Libersky-Williamson, and B. D. Bavister. 1998. Energy substrates and amino acids provided during in vitro maturation of bovine oocytes alter acquisition of developmental competence. Zygote. 6(4):285-294. doi: 10.1017/s0967199498000239.</w:t>
      </w:r>
    </w:p>
    <w:p w14:paraId="60D9BF29" w14:textId="267FDBF8" w:rsidR="009428F9"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Roth, Z. 2018. Symposium review: reduction in oocyte developmental competence by stress is associated with alterations in mitochondrial function. J. Dairy Sci. 101(4):3642-3654. doi: 10.3168/jds.2017-13389.</w:t>
      </w:r>
    </w:p>
    <w:p w14:paraId="51A68371"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Sá Filho, M. F., A. M. Crespilho, J. E. Santos, G. A. Perry, and P. S. Baruselli. 2010. Ovarian follicle diameter at timed insemination and estrous response influence likelihood of ovulation and pregnancy after estrous synchronization with progesterone or progestin-based protocols in suckled Bos indicus cows. Anim. Reprod. Sci. 120(1):23-30. doi: 10.1016/j.anireprosci.2010.03.007.</w:t>
      </w:r>
    </w:p>
    <w:p w14:paraId="69B510F7" w14:textId="39289E79"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Sá Filho, M.F., L. Penteado, E. L. Reis, T. A. Reis, K. N. Galvão, and P. S. Baruselli. 2013. Timed artificial insemination early in the breeding season improves the reproductive performance of suckled beef cows. Theriogenology 79:625-632. doi: 10.1016/j.theriogenology.2012.11.016.</w:t>
      </w:r>
    </w:p>
    <w:p w14:paraId="6E5A0BEF"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Sarwar, Z., M. Saad, M. Saleem, A. Husnain, A. Riaz, and N. Ahmad. 2020. Effect of follicle size on oocytes recovery rate, quality, and in-vitro developmental competence in Bos indicus cows. Anim. Reprod. 17(3):e20200011. doi: 10.1590/1984-3143-AR2020-0011.</w:t>
      </w:r>
    </w:p>
    <w:p w14:paraId="0F88CA56"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Scantland, S., I. Tessaro, C. H. Macabelli, A. D. Macaulay, G. Cagnone, É. Fournier, A. M. Luciano, and C. Robert. 2014. The adenosine salvage pathway as an alternative to mitochondrial production of ATP in maturing mammalian oocytes. Biol. Reprod. 91(3):75:1-11. doi: 10.1095/biolreprod.114.120931.</w:t>
      </w:r>
    </w:p>
    <w:p w14:paraId="0DC6F81F"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Seibel, M. M., D. Smith, A. M. Dlugi, and L. Levesque. 1989. Periovulatory follicular fluid hormone levels in spontaneous human cycles. J. Clin. Endocrinol. Metab. 68(6):1073-1077. doi: 10.1210/jcem-68-6-1073.</w:t>
      </w:r>
    </w:p>
    <w:p w14:paraId="25297D8D"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Seli, E., E. Babayev, S. C. Collins, G. Nemeth, and T. L. Horvath. 2014. Minireview: metabolism of female reproduction: regulatory mechanisms and clinical implications. Mol. Endocrinol. 28(6):790-804. doi: 10.1210/me.2013-1413.</w:t>
      </w:r>
    </w:p>
    <w:p w14:paraId="43C25E38"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Sendžikaitė, G., and G. Kelsey. 2019. The role and mechanisms of DNA methylation in the oocyte. Essays Biochem. 63(6):691-705. doi: 10.1042/ebc20190043.</w:t>
      </w:r>
    </w:p>
    <w:p w14:paraId="12A55593" w14:textId="37A99F3C"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lastRenderedPageBreak/>
        <w:t>Short, R. E., R. A. Bellows, R. B. Staigmiller, J. G. Berardinelli, and E. E. Custer. 1990. Physiological mechanisms controlling anestrus and infertility in postpartum beef cattle. J. Anim. Sci. 68(3):799-816. doi: 10.2527/1990.683799x.</w:t>
      </w:r>
    </w:p>
    <w:p w14:paraId="014E9F10" w14:textId="025B087B" w:rsidR="0055059B" w:rsidRPr="00C34188" w:rsidRDefault="0055059B"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Sinchak, K., and E. J. Wagner. 2012. Estradiol signaling in the regulation of reproduction and energy balance. Front. Neuroendocrinol. 33(4): 342-363. doi: 10.1016/j.yfrne.2012.08.004. </w:t>
      </w:r>
    </w:p>
    <w:p w14:paraId="6BD0A9F6"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Sinclair, K. D., L. A. Lunn, W. Y. Kwong, K. Wonnacott, R. S. Linforth, and J. Craigon. 2008. Amino acid and fatty acid composition of follicular fluid as predictors of in-vitro embryo development. Reprod. Biomed. Online. 16(6):859-868. doi: 10.1016/s1472-6483(10)60153-8.</w:t>
      </w:r>
    </w:p>
    <w:p w14:paraId="3F154019"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Sirard, M. A. 2011. Follicle environment and quality of in vitro matured oocytes. J. Assist. Reprod. Genet. 28(6):483-488. doi: 10.1007/s10815-011-9554-4.</w:t>
      </w:r>
    </w:p>
    <w:p w14:paraId="09365DE0" w14:textId="5D8BB4DB"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Sirard, M. A., H. M. Florman, M. L. Leibfried-Rutledge, F. L. Barnes, M. L. Sims, and N. L. First. 1989. Timing of nuclear progression and protein synthesis necessary for meiotic maturation of bovine oocytes. Biol</w:t>
      </w:r>
      <w:r w:rsidR="00E92BCC" w:rsidRPr="00C34188">
        <w:rPr>
          <w:rFonts w:ascii="Times New Roman" w:hAnsi="Times New Roman" w:cs="Times New Roman"/>
        </w:rPr>
        <w:t>.</w:t>
      </w:r>
      <w:r w:rsidRPr="00C34188">
        <w:rPr>
          <w:rFonts w:ascii="Times New Roman" w:hAnsi="Times New Roman" w:cs="Times New Roman"/>
        </w:rPr>
        <w:t xml:space="preserve"> Reprod</w:t>
      </w:r>
      <w:r w:rsidR="00E92BCC" w:rsidRPr="00C34188">
        <w:rPr>
          <w:rFonts w:ascii="Times New Roman" w:hAnsi="Times New Roman" w:cs="Times New Roman"/>
        </w:rPr>
        <w:t>.</w:t>
      </w:r>
      <w:r w:rsidRPr="00C34188">
        <w:rPr>
          <w:rFonts w:ascii="Times New Roman" w:hAnsi="Times New Roman" w:cs="Times New Roman"/>
        </w:rPr>
        <w:t xml:space="preserve"> 40(6):1257-1263. doi: 10.1095/biolreprod40.6.1257</w:t>
      </w:r>
    </w:p>
    <w:p w14:paraId="4E5C1B60"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Sirard, M. A., F. Richard, P. Blondin, and C. Robert. 2006. Contribution of the oocyte to embryo quality. Theriogenology. 65(1):126-136. doi: 10.1016/j.theriogenology.2005.09.020.</w:t>
      </w:r>
    </w:p>
    <w:p w14:paraId="3E930AE4"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Skarzynski, D. J., K. K. Piotrowska-Tomala, K. Lukasik, A. Galvão, S. Farberov, Y. Zalman, and R. Meidan. 2013. Growth and regression in bovine corpora lutea: regulation by local survival and death pathways. Reprod. Domest. Anim. 48(1):25-37. doi: 10.1111/rda.12203.</w:t>
      </w:r>
    </w:p>
    <w:p w14:paraId="2A15AA0A"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Skinner, D. C., N. P. Evans, B. Delaleu, R. L. Goodman, P. Bouchard, and A. Caraty. 1998. The negative feedback actions of progesterone on gonadotropin-releasing hormone secretion are transduced by the classical progesterone receptor. Proc. Natl. Acad. Sci. U.S.A. 95(18):10978-10983. doi: 10.1073/pnas.95.18.10978.</w:t>
      </w:r>
    </w:p>
    <w:p w14:paraId="1C2919FA"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Smith, G. M. 1976. Sire breed effects on economic efficiency of a terminal-cross beef production system. J. Anim. Sci. 43(6):1163-1170. doi: https://doi.org/10.2527/jas1976.4361163x. </w:t>
      </w:r>
    </w:p>
    <w:p w14:paraId="6FD64536"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Smith, L. C., and A. A. Alcivar. 1993. Cytoplasmic inheritance and its effects on development and performance. J. Reprod. Fertil. Suppl. 48:31-43. </w:t>
      </w:r>
    </w:p>
    <w:p w14:paraId="0A2A2E11"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Smith, M. F., K. J. Nix, D. C. Kraemer, M. S. Amoss, M. A. Herron, and J. N. Wiltbank. 1982. Fertilization rate and early embryonic loss in Brahman crossbred heifers. J. Anim. Sci. 54(5):1005-1011. doi: 10.2527/jas1982.5451005x.</w:t>
      </w:r>
    </w:p>
    <w:p w14:paraId="02D92C50"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Sohel, M. M., M. Hoelker, S. S. Noferesti, D. Salilew-Wondim, E. Tholen, C. Looft, F. Rings, M. J. Uddin, T. E. Spencer, K. Schellander, and D. Tesfaye. 2013. Exosomal and non-exosomal transport of extra-cellular microRNAs in follicular fluid: implications for bovine oocyte developmental competence. PLoS One. 8(11):e78505. doi: 10.1371/journal.pone.0078505.</w:t>
      </w:r>
    </w:p>
    <w:p w14:paraId="6085A56B"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Song, J.-Y., S. Xiang, Y. Yang, and Z. Sun. 2019. Assessment of follicular fluid metabolomics of polycystic ovary syndrome in kidney yang deficiency syndrome. Eur. J. Integr. Med. 30:100944. doi: 10.1016/j.eujim.2019.100944.</w:t>
      </w:r>
    </w:p>
    <w:p w14:paraId="0227E819"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lastRenderedPageBreak/>
        <w:t>Song, Y. X., P. Hu, Y. L. Bai, C. Zhao, C. Xia, and C. Xu. 2019b. Plasma metabolic characterisation of dairy cows with inactive ovaries and oestrus during the peak of lactation. J. Vet. Res. 63(3):359-367. doi: 10.2478/jvetres-2019-0047.</w:t>
      </w:r>
    </w:p>
    <w:p w14:paraId="4FFFB29D"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Spicer, L. J., and S. E. Echternkamp. 1986. Ovarian follicular growth, function and turnover in cattle: a review. J. Anim. Sci. 62(2):428-451. doi: 10.2527/jas1986.622428x.</w:t>
      </w:r>
    </w:p>
    <w:p w14:paraId="1F741F56"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Spikings, E. C., J. Alderson, and J. C. St. John. 2006. Transmission of mitochondrial DNA following assisted reproduction and nuclear transfer. Hum. Reprod. Update. 12(4):401-415. doi: 10.1093/humupd/dml011.</w:t>
      </w:r>
    </w:p>
    <w:p w14:paraId="44E2D8BE"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Spitzer, J. C., G. D. Niswender, G. E. Seidel Jr., and J. N. Wiltbank. 1978. Fertilization and blood levels of progesterone and LH in beef heifers on a restricted energy diet. J. Anim. Sci. 46(4):1071-1077. doi: 10.2527/jas1978.4641071x.</w:t>
      </w:r>
    </w:p>
    <w:p w14:paraId="4DA1DB32"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Srirattana, K., and J. C. St. John. 2018. Additional mitochondrial DNA influences the interactions between the nuclear and mitochondrial genomes in a bovine embryo model of nuclear transfer. Sci. Rep. 8(1):7246. doi: 10.1038/s41598-018-25516-3.</w:t>
      </w:r>
    </w:p>
    <w:p w14:paraId="5562F5C3"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St. John, J. 2014. The control of mtDNA replication during differentiation and development. Biochim. Biophys. Acta. 1840(4):1345-1354. doi: 10.1016/j.bbagen.2013.10.036.</w:t>
      </w:r>
    </w:p>
    <w:p w14:paraId="507B298F"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Stock, A. E., and J. E. Fortune. 1993. Ovarian follicular dominance in cattle: relationship between prolonged growth of the ovulatory follicle and endocrine parameters. Endocrinology. 132(3):1108-1114. doi: 10.1210/endo.132.3.8440173.</w:t>
      </w:r>
    </w:p>
    <w:p w14:paraId="1FF6261F" w14:textId="4EB7C75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Stojkovic, M., S. A. Machado, P. Stojkovic, V. Zakhartchenko, P. Hutzler, P. B. Gonçalves, and E. Wolf. 2001. Mitochondrial distribution and adenosine triphosphate content of bovine oocytes before and after in vitro maturation: correlation with morphological criteria and developmental capacity after in vitro fertilization and culture. Biol. Reprod. 64(3):904-909. doi: 10.1095/biolreprod64.3.904.</w:t>
      </w:r>
    </w:p>
    <w:p w14:paraId="7B67399B" w14:textId="08BC377E" w:rsidR="0055059B" w:rsidRPr="00C34188" w:rsidRDefault="0055059B"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Stumpf, T. T., M. L. Day, M. W. Wolfe, A.C. Clutter, J. A. Stotts, P.L. Wolfe, R. J. Kittok, and J.E. Kinder. 1989. Effect of estradiol on secretion of luteinizing hormone during the follicular phase of the bovine estrous cycle. Biol. Reprod. 41(1):91-97. doi: 10.1095/biolreprod41.1.91.</w:t>
      </w:r>
    </w:p>
    <w:p w14:paraId="41213E91"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Sturmey, R. G., A. Reis, H. J. Leese, and T. G. McEvoy. 2009. Role of fatty acids in energy provision during oocyte maturation and early embryo development. Reprod. Domest. Anim. 44(3):50-58. doi: 10.1111/j.1439-0531.2009.01402.x.</w:t>
      </w:r>
    </w:p>
    <w:p w14:paraId="336A0935"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Sutton-McDowall, M. L., R. B. Gilchrist, and J. G. Thompson. 2004. Cumulus expansion and glucose utilisation by bovine cumulus–oocyte complexes during in vitro maturation: the influence of glucosamine and follicle-stimulating hormone. Reproduction. 128(3):313-319. doi: 10.1530/rep.1.00225.</w:t>
      </w:r>
    </w:p>
    <w:p w14:paraId="05F00981"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Sutton-McDowall, M. L., R. B. Gilchrist, and J. G. Thompson. 2010. The pivotal role of glucose metabolism in determining oocyte developmental competence. Reproduction. 139(4):685-695. doi: 10.1530/REP-09-0345.</w:t>
      </w:r>
    </w:p>
    <w:p w14:paraId="64A945C5"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Sutton, M. L., R. B. Gilchrist, and J. G. Thompson. 2003. Effects of in-vivo and in-vitro environments on the metabolism of the cumulus-oocyte complex and its influence </w:t>
      </w:r>
      <w:r w:rsidRPr="00C34188">
        <w:rPr>
          <w:rFonts w:ascii="Times New Roman" w:hAnsi="Times New Roman" w:cs="Times New Roman"/>
        </w:rPr>
        <w:lastRenderedPageBreak/>
        <w:t>on oocyte developmental capacity. Hum. Reprod. Update. 9(1):35-48. doi: 10.1093/humupd/dmg009.</w:t>
      </w:r>
    </w:p>
    <w:p w14:paraId="4CE68157"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Svec, D., A. Tichopad, V. Novosadova, M. W. Pfaffl, and M. Kubista. 2015. How good is a PCR efficiency estimate: recommendations for precise and robust qPCR efficiency assessments. Biomol. Detect. Quantif. 3:9-16. doi: 10.1016/j.bdq.2015.01.005.</w:t>
      </w:r>
    </w:p>
    <w:p w14:paraId="41FCBA3A"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Swain, J. E., and T. B. Pool. 2008. ART failure: oocyte contributions to unsuccessful fertilization. Hum. Reprod. Update. 14(5):431-446. doi: 10.1093/humupd/dmn025.</w:t>
      </w:r>
    </w:p>
    <w:p w14:paraId="178111D3"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Tabatabaei, S., M. Mamoei, and A. Aghaei. 2011. Dynamics of ovarian follicular fluid in cattle. Comp. Clin. Path. 20(6):591-595. doi: 10.1007/s00580-010-1038-x.</w:t>
      </w:r>
    </w:p>
    <w:p w14:paraId="4D957B75"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Takeo, S., K. Kimura, K. Shirasuna, T. Kuwayama, and H. Iwata. 2017. Age-associated deterioration in follicular fluid induces a decline in bovine oocyte quality. Reprod. Fertil. Dev. 29(4):759-767. doi: 10.1071/rd15228.</w:t>
      </w:r>
    </w:p>
    <w:p w14:paraId="7AAE0CFE"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Tamassia, M., F. Nuttinck, P. May-Panloup, P. Reynier, Y. Heyman, G. Charpigny, M. Stojkovic, S. Hiendleder, J. P. Renard, and S. Chastant-Maillard. 2004. In vitro embryo production efficiency in cattle and its association with oocyte adenosine triphosphate content, quantity of mitochondrial DNA, and mitochondrial DNA haplogroup. Biol. Reprod. 71(2):697-704. doi: 10.1095/biolreprod.103.026104.</w:t>
      </w:r>
    </w:p>
    <w:p w14:paraId="75BBFABA" w14:textId="54FF34FE"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Tang, Z. R., R. Zhang, Z. X. Lian, S. L. Deng, and K. Yu. 2019. Estrogen-Receptor Expression and Function in Female Reproductive Disease. Cells 8(10)</w:t>
      </w:r>
      <w:r w:rsidR="00E92BCC" w:rsidRPr="00C34188">
        <w:rPr>
          <w:rFonts w:ascii="Times New Roman" w:hAnsi="Times New Roman" w:cs="Times New Roman"/>
        </w:rPr>
        <w:t xml:space="preserve">:1123. </w:t>
      </w:r>
      <w:r w:rsidRPr="00C34188">
        <w:rPr>
          <w:rFonts w:ascii="Times New Roman" w:hAnsi="Times New Roman" w:cs="Times New Roman"/>
        </w:rPr>
        <w:t>doi: 10.3390/cells8101123</w:t>
      </w:r>
    </w:p>
    <w:p w14:paraId="59499CEE"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Taponen, J. 2009. Fixed-time artificial insemination in beef cattle. Acta. Vet. Scand. 51(1):48. doi: 10.1186/1751-0147-51-48.</w:t>
      </w:r>
    </w:p>
    <w:p w14:paraId="781629A1"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Taylor, C., and R. Rajamahendran. 1991. Follicular dynamics, corpus luteum growth and regression in lactating dairy cattle. Can. J. Anim. Sci. 71(1):61-68. doi: 10.4141/cjas91-007.</w:t>
      </w:r>
    </w:p>
    <w:p w14:paraId="1123616A" w14:textId="70AB087D"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Tenhagen, B. A., E. Birkelbach, and W. Heuwieser. 2000. Serum progesterone levels in post-partum dairy cows after repeated application of the prostaglandin F2 alpha analogue D </w:t>
      </w:r>
      <w:r w:rsidR="00E92BCC" w:rsidRPr="00C34188">
        <w:rPr>
          <w:rFonts w:ascii="Times New Roman" w:hAnsi="Times New Roman" w:cs="Times New Roman"/>
        </w:rPr>
        <w:t>-</w:t>
      </w:r>
      <w:r w:rsidRPr="00C34188">
        <w:rPr>
          <w:rFonts w:ascii="Times New Roman" w:hAnsi="Times New Roman" w:cs="Times New Roman"/>
        </w:rPr>
        <w:t xml:space="preserve"> cloprostenol sodium. J</w:t>
      </w:r>
      <w:r w:rsidR="00E92BCC" w:rsidRPr="00C34188">
        <w:rPr>
          <w:rFonts w:ascii="Times New Roman" w:hAnsi="Times New Roman" w:cs="Times New Roman"/>
        </w:rPr>
        <w:t>.</w:t>
      </w:r>
      <w:r w:rsidRPr="00C34188">
        <w:rPr>
          <w:rFonts w:ascii="Times New Roman" w:hAnsi="Times New Roman" w:cs="Times New Roman"/>
        </w:rPr>
        <w:t xml:space="preserve"> </w:t>
      </w:r>
      <w:r w:rsidR="00E92BCC" w:rsidRPr="00C34188">
        <w:rPr>
          <w:rFonts w:ascii="Times New Roman" w:hAnsi="Times New Roman" w:cs="Times New Roman"/>
        </w:rPr>
        <w:t>V</w:t>
      </w:r>
      <w:r w:rsidRPr="00C34188">
        <w:rPr>
          <w:rFonts w:ascii="Times New Roman" w:hAnsi="Times New Roman" w:cs="Times New Roman"/>
        </w:rPr>
        <w:t>et</w:t>
      </w:r>
      <w:r w:rsidR="00E92BCC" w:rsidRPr="00C34188">
        <w:rPr>
          <w:rFonts w:ascii="Times New Roman" w:hAnsi="Times New Roman" w:cs="Times New Roman"/>
        </w:rPr>
        <w:t>. M</w:t>
      </w:r>
      <w:r w:rsidRPr="00C34188">
        <w:rPr>
          <w:rFonts w:ascii="Times New Roman" w:hAnsi="Times New Roman" w:cs="Times New Roman"/>
        </w:rPr>
        <w:t>ed. 47(4):213-220. doi: 10.1046/j.1439-0442.2000.00281.x</w:t>
      </w:r>
    </w:p>
    <w:p w14:paraId="639648FF"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Thompson, J. G., M. Lane, and R. B. Gilchrist. 2007. Metabolism of the bovine cumulus-oocyte complex and influence on subsequent developmental competence. Soc. Reprod. Fertil. Suppl. 64:179-190. doi: 10.5661/rdr-vi-179.</w:t>
      </w:r>
    </w:p>
    <w:p w14:paraId="6B2FB25C"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Thompson, J. G., R. B. Gilchrist, M. L. Sutton-McDowall. 2014. The metabolism of the ruminant cumulus-oocyte complex revisted. Reprod. Domest. Ruminants 8:311-326. </w:t>
      </w:r>
    </w:p>
    <w:p w14:paraId="1FDA647E"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Trebichalská, Z., D. Kyjovská, S. Kloudová, P. Otevřel, A. Hampl, and Z. Holubcová. 2020. Cytoplasmic maturation in human oocytes: an ultrastructural study. Biol. Reprod. 104(1):106-116. doi: 10.1093/biolre/ioaa174. </w:t>
      </w:r>
    </w:p>
    <w:p w14:paraId="184DED00"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Uhde, K., H. T. van Tol, T. A. Stout, and B. A. Roelen. 2018. Metabolomic profiles of bovine cumulus cells and cumulus-oocyte-complex-conditioned medium during maturation in vitro. Sci. Rep. 8(1):9477 doi: 10.1038/s41598-018-27829-9.</w:t>
      </w:r>
    </w:p>
    <w:p w14:paraId="1F6483CC"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lastRenderedPageBreak/>
        <w:t>Van Blerkom, J. 2004. Mitochondria in human oogenesis and preimplantation embryogenesis: engines of metabolism, ionic regulation and developmental competence. Reproduction. 128(3):269-280. doi: 10.1530/rep.1.00240.</w:t>
      </w:r>
    </w:p>
    <w:p w14:paraId="6E20E5A6"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Van Blerkom, J. 2011. Mitochondrial function in the human oocyte and embryo and their role in developmental competence. Mitochondrion. 11(5):797-813. doi: 10.1016/j.mito.2010.09.012.</w:t>
      </w:r>
    </w:p>
    <w:p w14:paraId="7F170883"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Van Blerkom, J., P. Davis, and S. Alexander. 2000. Differential mitochondrial distribution in human pronuclear embryos leads to disproportionate inheritance between blastomeres: relationship to microtubular organization, ATP content and competence. Hum. Reprod. 15(12):2621-2633. doi: 10.1093/humrep/15.12.2621.</w:t>
      </w:r>
    </w:p>
    <w:p w14:paraId="31AE897E"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Van Blerkom, J., J. Sinclair, and P. Davis. 1998. Mitochondrial transfer between oocytes: potential applications of mitochondrial donation and the issue of heteroplasmy. Hum. Reprod. 13(1):2857-2868. doi: 10.1093/humrep/13.10.2857.</w:t>
      </w:r>
    </w:p>
    <w:p w14:paraId="0FDD8303"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van de Leemput, E. E., P. L. Vos, E. C. Zeinstra, M. M. Severs, G. C. van der Weijden, and S. J. Dieleman. 1999. Improved in vitro embryo development using in vivo matured oocytes from heifers superovulated with a controlled preovulatory LH surge. Theriogenology. 52(2):335-349. doi: 10.1016/s0093-691x(99)00133-8.</w:t>
      </w:r>
    </w:p>
    <w:p w14:paraId="3FF7D492"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Vasconcelos, J. L., R. Sartori, H. N. Oliveira, J. G. Guenther, and M. C. Wiltbank. 2001. Reduction in size of the ovulatory follicle reduces subsequent luteal size and pregnancy rate. Theriogenology. 56(2):307-314. doi: 10.1016/s0093-691x(01)00565-9.</w:t>
      </w:r>
    </w:p>
    <w:p w14:paraId="21A2ADA6" w14:textId="77777777" w:rsidR="00E92BCC" w:rsidRPr="00C34188" w:rsidRDefault="00E92BCC"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Von Wald, T., Y. Monisova, M. R. Hacker, S. W. Yoo, A. S. Penzias, R. R. Reindollar, and A. Usheva. 2010. Age-related variations in follicular apolipoproteins may influence human oocyte maturation and fertility potential. Fertil. Steril. 93(7):2354-2361. doi: 10.1016/j.fertnstert.2008.12.129.</w:t>
      </w:r>
    </w:p>
    <w:p w14:paraId="74DD967B" w14:textId="2676ACC6"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Wai, T., A. Ao, X. Zhang, D. Cyr, D. Dufort, and E. A. Shoubridge. 2010. The role of mitochondrial DNA copy number in mammalian fertility. Biol</w:t>
      </w:r>
      <w:r w:rsidR="00E30C1E" w:rsidRPr="00C34188">
        <w:rPr>
          <w:rFonts w:ascii="Times New Roman" w:hAnsi="Times New Roman" w:cs="Times New Roman"/>
        </w:rPr>
        <w:t>.</w:t>
      </w:r>
      <w:r w:rsidRPr="00C34188">
        <w:rPr>
          <w:rFonts w:ascii="Times New Roman" w:hAnsi="Times New Roman" w:cs="Times New Roman"/>
        </w:rPr>
        <w:t xml:space="preserve"> Reprod</w:t>
      </w:r>
      <w:r w:rsidR="00E30C1E" w:rsidRPr="00C34188">
        <w:rPr>
          <w:rFonts w:ascii="Times New Roman" w:hAnsi="Times New Roman" w:cs="Times New Roman"/>
        </w:rPr>
        <w:t>.</w:t>
      </w:r>
      <w:r w:rsidRPr="00C34188">
        <w:rPr>
          <w:rFonts w:ascii="Times New Roman" w:hAnsi="Times New Roman" w:cs="Times New Roman"/>
        </w:rPr>
        <w:t xml:space="preserve"> 83(1):52-62. doi: 10.1095/biolreprod.109.080887</w:t>
      </w:r>
    </w:p>
    <w:p w14:paraId="18F409AC" w14:textId="77777777" w:rsidR="00E30C1E" w:rsidRPr="00C34188" w:rsidRDefault="00E30C1E"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Wai, T., D. Teoli, and E. A. Shoubridge. 2008. The mitochondrial DNA genetic bottleneck results from replication of a subpopulation of genomes. Nat. Genet. 40(12):1484-1488. doi: 10.1038/ng.258.</w:t>
      </w:r>
    </w:p>
    <w:p w14:paraId="6523D729" w14:textId="77777777" w:rsidR="00E30C1E" w:rsidRPr="00C34188" w:rsidRDefault="00E30C1E"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Wang, T. Y., L. Wang, J. H. Zhang, and W. H. Dong. 2011. A simplified universal genomic DNA extraction protocol suitable for PCR. Genet. Mol. Res. 10(1):519-525. doi: 10.4238/vol10-1gmr1055.</w:t>
      </w:r>
    </w:p>
    <w:p w14:paraId="2B022B45" w14:textId="77777777" w:rsidR="00E30C1E" w:rsidRPr="00C34188" w:rsidRDefault="00E30C1E"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Warzych, E., and P. Lipinska. 2020. Energy metabolism of follicular environment during oocyte growth and maturation. J. Reprod. Dev. 66(1):1-7. doi: 10.1262/jrd.2019-102.</w:t>
      </w:r>
    </w:p>
    <w:p w14:paraId="0D42B4B6" w14:textId="77777777" w:rsidR="00E30C1E" w:rsidRPr="00C34188" w:rsidRDefault="00E30C1E"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Watson, A. J. 2007. Oocyte cytoplasmic maturation: a key mediator of oocyte and embryo developmental competence. J. Anim. Sci. 85(13):E1-3. doi: 10.2527/jas.2006-432.</w:t>
      </w:r>
    </w:p>
    <w:p w14:paraId="531B57E6" w14:textId="77777777" w:rsidR="00E30C1E" w:rsidRPr="00C34188" w:rsidRDefault="00E30C1E"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Wettemann, R. P., H. D. Hafs, L. A. Edgerton, and L. V. Swanson. 1972. Estradiol and progesterone in blood serum during the bovine estrous cycle. J. Anim. Sci. 34(6):1020-1024. doi: 10.2527/jas1972.3461020x.</w:t>
      </w:r>
    </w:p>
    <w:p w14:paraId="5B07EBB8" w14:textId="77777777" w:rsidR="00E30C1E" w:rsidRPr="00C34188" w:rsidRDefault="00E30C1E"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Whitman, R. W. 1975. Weight change, body condition and beef-cow reproduction, Colorado State University, Fort Collins, Co.</w:t>
      </w:r>
    </w:p>
    <w:p w14:paraId="59EAD187" w14:textId="77777777" w:rsidR="00E30C1E" w:rsidRPr="00C34188" w:rsidRDefault="00E30C1E"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lastRenderedPageBreak/>
        <w:t>Whittier, W. D., J. F. Currin, H. Schramm, S. Holland, and R. K. Kasimanickam. 2013. Fertility in Angus cross beef cows following 5-day CO-Synch+ CIDR or 7-day CO-Synch+ CIDR estrus synchronization and timed artificial insemination. Theriogenology. 80(9):963-969. doi: 10.1016/j.theriogenology.2013.07.019.</w:t>
      </w:r>
    </w:p>
    <w:p w14:paraId="20750029" w14:textId="77777777" w:rsidR="00E30C1E" w:rsidRPr="00C34188" w:rsidRDefault="00E30C1E"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Wiltbank, M. C., A. H. Souza, P. D. Carvalho, R. W. Bender, and A. B. Nascimento. 2011. Improving fertility to timed artificial insemination by manipulation of circulating progesterone concentrations in lactating dairy cattle. Reprod. Fertil. Dev. 24(1):238-243. doi: 10.1071/rd11913.</w:t>
      </w:r>
    </w:p>
    <w:p w14:paraId="4393EFBF" w14:textId="77777777" w:rsidR="00E30C1E" w:rsidRPr="00C34188" w:rsidRDefault="00E30C1E"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Winterhager, E., and G. M. Kidder. 2015. Gap junction connexins in female reproductive organs: implications for women's reproductive health. Hum. Reprod. Update. 21(3):340-352. doi: 10.1093/humupd/dmv007.</w:t>
      </w:r>
    </w:p>
    <w:p w14:paraId="1D615DD6" w14:textId="77777777" w:rsidR="00E30C1E" w:rsidRPr="00C34188" w:rsidRDefault="00E30C1E"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Wonnacott, K. E., W. Y. Kwong, J. Hughes, A. M. Salter, R. G. Lea, P. C. Garnsworthy, and K. D. Sinclair. 2010. Dietary omega-3 and -6 polyunsaturated fatty acids affect the composition and development of sheep granulosa cells, oocytes and embryos. Reproduction. 139(1):57-69. doi: 10.1530/rep-09-0219.</w:t>
      </w:r>
    </w:p>
    <w:p w14:paraId="3B59A05A" w14:textId="77777777" w:rsidR="00E30C1E" w:rsidRPr="00C34188" w:rsidRDefault="00E30C1E"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Xia, L., X. Zhao, Y. Sun, Y. Hong, Y. Gao, and S. Hu. 2014. Metabolomic profiling of human follicular fluid from patients with repeated failure of in vitro fertilization using gas chromatography/mass spectrometry. Int. J. Clin. Exp. Pathol. 7(10):7220-7229. </w:t>
      </w:r>
    </w:p>
    <w:p w14:paraId="78696CB7" w14:textId="77777777" w:rsidR="00E30C1E" w:rsidRPr="00C34188" w:rsidRDefault="00E30C1E"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Zachut, M., I. Dekel, H. Lehrer, A. Arieli, A. Arav, L. Livshitz, S. Yakoby, and U. Moallem. 2010. Effects of dietary fats differing in n-6:n-3 ratio fed to high-yielding dairy cows on fatty acid composition of ovarian compartments, follicular status, and oocyte quality. J. Dairy Sci. 93(2):529-545. doi: 10.3168/jds.2009-2167.</w:t>
      </w:r>
    </w:p>
    <w:p w14:paraId="7F42D79A" w14:textId="77777777" w:rsidR="00C55223" w:rsidRPr="00C34188" w:rsidRDefault="00C55223"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Zachut, M., P. Sood, Y. Levin, and U. Moallem. 2016. Proteomic analysis of preovulatory follicular fluid reveals differentially abundant proteins in less fertile dairy cows. Journal of proteomics 139:122-129. doi: 10.1016/j.jprot.2016.03.027</w:t>
      </w:r>
    </w:p>
    <w:p w14:paraId="2973270C" w14:textId="77777777" w:rsidR="00E30C1E" w:rsidRPr="00C34188" w:rsidRDefault="00E30C1E"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Zeilmaker, G. H., and C. M. Verhamme. 1974. Observations on rat oocyte maturation in vitro: morphology and energy requirements. Biol. Reprod. 11(2):145-152. doi: 10.1095/biolreprod11.2.145.</w:t>
      </w:r>
    </w:p>
    <w:p w14:paraId="41ADAEF5" w14:textId="77777777" w:rsidR="00E30C1E" w:rsidRPr="00C34188" w:rsidRDefault="00E30C1E"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 xml:space="preserve">Zhang, D., D. Keilty, Z. F. Zhang, and R. C. Chian. 2017. Mitochondria in oocyte aging: current understanding. Facts Views Vis. Obgyn. 9(1):29-38. </w:t>
      </w:r>
    </w:p>
    <w:p w14:paraId="3F1DBE4D" w14:textId="77777777" w:rsidR="00E30C1E" w:rsidRPr="00C34188" w:rsidRDefault="00E30C1E"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Zhang, K., and G. W. Smith. 2015. Maternal control of early embryogenesis in mammals. Reprod. Fertil. Dev. 27(6):880-896. doi: 10.1071/RD14441.</w:t>
      </w:r>
    </w:p>
    <w:p w14:paraId="731A6CE2" w14:textId="77777777" w:rsidR="00E30C1E" w:rsidRPr="00C34188" w:rsidRDefault="00E30C1E"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Zhang, M., Y.-Q. Su, K. Sugiura, G. Xia, and J. J. Eppig. 2010. Granulosa cell ligand NPPC and its receptor NPR2 maintain meiotic arrest in mouse oocytes. Science. 330(6002):366-369. doi: 10.1126/science.1193573.</w:t>
      </w:r>
    </w:p>
    <w:p w14:paraId="57CFFCEE" w14:textId="77777777" w:rsidR="00E30C1E" w:rsidRPr="00C34188" w:rsidRDefault="00E30C1E"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Zhang, N. 2018. Role of methionine on epigenetic modification of DNA methylation and gene expression in animals. Anim. Nutr. 4(1):11-16. doi: 10.1016/j.aninu.2017.08.009.</w:t>
      </w:r>
    </w:p>
    <w:p w14:paraId="612726C7" w14:textId="77777777" w:rsidR="00E30C1E" w:rsidRPr="00C34188" w:rsidRDefault="00E30C1E"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t>Zhang, Z., C. He, Y. Gao, L. Zhang, Y. Song, T. Zhu, K. Zhu, D. Lv, J. Wang, X. Tian, T. Ma, P. Ji, W. Cui, and G. Liu. 2021. α-ketoglutarate delays age-related fertility decline in mammals. Aging Cell. 20(2):e13291. doi: https://doi.org/10.1111/acel.13291</w:t>
      </w:r>
    </w:p>
    <w:p w14:paraId="360784D9" w14:textId="77777777" w:rsidR="00E30C1E" w:rsidRPr="00C34188" w:rsidRDefault="00E30C1E" w:rsidP="00C34188">
      <w:pPr>
        <w:pStyle w:val="EndNoteBibliography"/>
        <w:ind w:left="720" w:hanging="720"/>
        <w:jc w:val="both"/>
        <w:rPr>
          <w:rFonts w:ascii="Times New Roman" w:hAnsi="Times New Roman" w:cs="Times New Roman"/>
        </w:rPr>
      </w:pPr>
      <w:r w:rsidRPr="00C34188">
        <w:rPr>
          <w:rFonts w:ascii="Times New Roman" w:hAnsi="Times New Roman" w:cs="Times New Roman"/>
        </w:rPr>
        <w:lastRenderedPageBreak/>
        <w:t>Zhao, H., Y. Zhao, T. Li, M. Li, J. Li, R. Li, P. Liu, Y. Yu, and J. Qiao. 2015. Metabolism alteration in follicular niche: the nexus among intermediary metabolism, mitochondrial function, and classic polycystic ovary syndrome. Free Radic. Biol. Med. 86:295-307. doi: 10.1016/j.freeradbiomed.2015.05.013.</w:t>
      </w:r>
    </w:p>
    <w:p w14:paraId="765C55A4" w14:textId="257CA71B" w:rsidR="003D63DF" w:rsidRDefault="003D63DF" w:rsidP="00DA712E">
      <w:pPr>
        <w:jc w:val="both"/>
        <w:rPr>
          <w:rFonts w:ascii="Times New Roman" w:hAnsi="Times New Roman" w:cs="Times New Roman"/>
        </w:rPr>
      </w:pPr>
    </w:p>
    <w:p w14:paraId="3A2373A7" w14:textId="0F4B6D41" w:rsidR="00DA712E" w:rsidRDefault="00DA712E" w:rsidP="00DA712E">
      <w:pPr>
        <w:jc w:val="both"/>
        <w:rPr>
          <w:rFonts w:ascii="Times New Roman" w:hAnsi="Times New Roman" w:cs="Times New Roman"/>
        </w:rPr>
      </w:pPr>
    </w:p>
    <w:p w14:paraId="5BAB1F84" w14:textId="4EE5010A" w:rsidR="0048278A" w:rsidRDefault="0048278A" w:rsidP="00DA712E">
      <w:pPr>
        <w:jc w:val="both"/>
        <w:rPr>
          <w:rFonts w:ascii="Times New Roman" w:hAnsi="Times New Roman" w:cs="Times New Roman"/>
        </w:rPr>
      </w:pPr>
    </w:p>
    <w:p w14:paraId="4265C0AA" w14:textId="549D000A" w:rsidR="0048278A" w:rsidRDefault="0048278A" w:rsidP="00DA712E">
      <w:pPr>
        <w:jc w:val="both"/>
        <w:rPr>
          <w:rFonts w:ascii="Times New Roman" w:hAnsi="Times New Roman" w:cs="Times New Roman"/>
        </w:rPr>
      </w:pPr>
    </w:p>
    <w:p w14:paraId="26176803" w14:textId="6AFDEF8A" w:rsidR="0048278A" w:rsidRDefault="0048278A" w:rsidP="00DA712E">
      <w:pPr>
        <w:jc w:val="both"/>
        <w:rPr>
          <w:rFonts w:ascii="Times New Roman" w:hAnsi="Times New Roman" w:cs="Times New Roman"/>
        </w:rPr>
      </w:pPr>
    </w:p>
    <w:p w14:paraId="2ADB60AB" w14:textId="3D184A60" w:rsidR="0048278A" w:rsidRDefault="0048278A" w:rsidP="00DA712E">
      <w:pPr>
        <w:jc w:val="both"/>
        <w:rPr>
          <w:rFonts w:ascii="Times New Roman" w:hAnsi="Times New Roman" w:cs="Times New Roman"/>
        </w:rPr>
      </w:pPr>
    </w:p>
    <w:p w14:paraId="67EA1EF0" w14:textId="1BB1C3C4" w:rsidR="0048278A" w:rsidRDefault="0048278A" w:rsidP="00DA712E">
      <w:pPr>
        <w:jc w:val="both"/>
        <w:rPr>
          <w:rFonts w:ascii="Times New Roman" w:hAnsi="Times New Roman" w:cs="Times New Roman"/>
        </w:rPr>
      </w:pPr>
    </w:p>
    <w:p w14:paraId="0DB0033C" w14:textId="3478BDC9" w:rsidR="0048278A" w:rsidRDefault="0048278A" w:rsidP="00DA712E">
      <w:pPr>
        <w:jc w:val="both"/>
        <w:rPr>
          <w:rFonts w:ascii="Times New Roman" w:hAnsi="Times New Roman" w:cs="Times New Roman"/>
        </w:rPr>
      </w:pPr>
    </w:p>
    <w:p w14:paraId="17158936" w14:textId="303D9125" w:rsidR="0048278A" w:rsidRDefault="0048278A" w:rsidP="00DA712E">
      <w:pPr>
        <w:jc w:val="both"/>
        <w:rPr>
          <w:rFonts w:ascii="Times New Roman" w:hAnsi="Times New Roman" w:cs="Times New Roman"/>
        </w:rPr>
      </w:pPr>
    </w:p>
    <w:p w14:paraId="44F5F894" w14:textId="2B4E3230" w:rsidR="0048278A" w:rsidRDefault="0048278A" w:rsidP="00DA712E">
      <w:pPr>
        <w:jc w:val="both"/>
        <w:rPr>
          <w:rFonts w:ascii="Times New Roman" w:hAnsi="Times New Roman" w:cs="Times New Roman"/>
        </w:rPr>
      </w:pPr>
    </w:p>
    <w:p w14:paraId="71E82EE8" w14:textId="735C6174" w:rsidR="0048278A" w:rsidRDefault="0048278A" w:rsidP="00DA712E">
      <w:pPr>
        <w:jc w:val="both"/>
        <w:rPr>
          <w:rFonts w:ascii="Times New Roman" w:hAnsi="Times New Roman" w:cs="Times New Roman"/>
        </w:rPr>
      </w:pPr>
    </w:p>
    <w:p w14:paraId="3A13A3FD" w14:textId="1E86FCB3" w:rsidR="0048278A" w:rsidRDefault="0048278A" w:rsidP="00DA712E">
      <w:pPr>
        <w:jc w:val="both"/>
        <w:rPr>
          <w:rFonts w:ascii="Times New Roman" w:hAnsi="Times New Roman" w:cs="Times New Roman"/>
        </w:rPr>
      </w:pPr>
    </w:p>
    <w:p w14:paraId="3B99260F" w14:textId="7D55EEC7" w:rsidR="0048278A" w:rsidRDefault="0048278A" w:rsidP="00DA712E">
      <w:pPr>
        <w:jc w:val="both"/>
        <w:rPr>
          <w:rFonts w:ascii="Times New Roman" w:hAnsi="Times New Roman" w:cs="Times New Roman"/>
        </w:rPr>
      </w:pPr>
    </w:p>
    <w:p w14:paraId="64B6469F" w14:textId="3FC02531" w:rsidR="0048278A" w:rsidRDefault="0048278A" w:rsidP="00DA712E">
      <w:pPr>
        <w:jc w:val="both"/>
        <w:rPr>
          <w:rFonts w:ascii="Times New Roman" w:hAnsi="Times New Roman" w:cs="Times New Roman"/>
        </w:rPr>
      </w:pPr>
    </w:p>
    <w:p w14:paraId="495FA410" w14:textId="7525DCCA" w:rsidR="0048278A" w:rsidRDefault="0048278A" w:rsidP="00DA712E">
      <w:pPr>
        <w:jc w:val="both"/>
        <w:rPr>
          <w:rFonts w:ascii="Times New Roman" w:hAnsi="Times New Roman" w:cs="Times New Roman"/>
        </w:rPr>
      </w:pPr>
    </w:p>
    <w:p w14:paraId="48942F90" w14:textId="77F17CA7" w:rsidR="0048278A" w:rsidRDefault="0048278A" w:rsidP="00DA712E">
      <w:pPr>
        <w:jc w:val="both"/>
        <w:rPr>
          <w:rFonts w:ascii="Times New Roman" w:hAnsi="Times New Roman" w:cs="Times New Roman"/>
        </w:rPr>
      </w:pPr>
    </w:p>
    <w:p w14:paraId="06480E9A" w14:textId="1564EE35" w:rsidR="0048278A" w:rsidRDefault="0048278A" w:rsidP="00DA712E">
      <w:pPr>
        <w:jc w:val="both"/>
        <w:rPr>
          <w:rFonts w:ascii="Times New Roman" w:hAnsi="Times New Roman" w:cs="Times New Roman"/>
        </w:rPr>
      </w:pPr>
    </w:p>
    <w:p w14:paraId="5C132CF0" w14:textId="66AFCA2D" w:rsidR="0048278A" w:rsidRDefault="0048278A" w:rsidP="00DA712E">
      <w:pPr>
        <w:jc w:val="both"/>
        <w:rPr>
          <w:rFonts w:ascii="Times New Roman" w:hAnsi="Times New Roman" w:cs="Times New Roman"/>
        </w:rPr>
      </w:pPr>
    </w:p>
    <w:p w14:paraId="00EC1C22" w14:textId="7CFFFA85" w:rsidR="0048278A" w:rsidRDefault="0048278A" w:rsidP="00DA712E">
      <w:pPr>
        <w:jc w:val="both"/>
        <w:rPr>
          <w:rFonts w:ascii="Times New Roman" w:hAnsi="Times New Roman" w:cs="Times New Roman"/>
        </w:rPr>
      </w:pPr>
    </w:p>
    <w:p w14:paraId="033ACD09" w14:textId="01D895EF" w:rsidR="0048278A" w:rsidRDefault="0048278A" w:rsidP="00DA712E">
      <w:pPr>
        <w:jc w:val="both"/>
        <w:rPr>
          <w:rFonts w:ascii="Times New Roman" w:hAnsi="Times New Roman" w:cs="Times New Roman"/>
        </w:rPr>
      </w:pPr>
    </w:p>
    <w:p w14:paraId="6CFCA620" w14:textId="337E0239" w:rsidR="0048278A" w:rsidRDefault="0048278A" w:rsidP="00DA712E">
      <w:pPr>
        <w:jc w:val="both"/>
        <w:rPr>
          <w:rFonts w:ascii="Times New Roman" w:hAnsi="Times New Roman" w:cs="Times New Roman"/>
        </w:rPr>
      </w:pPr>
    </w:p>
    <w:p w14:paraId="04280693" w14:textId="0E90DBEB" w:rsidR="0048278A" w:rsidRDefault="0048278A" w:rsidP="00DA712E">
      <w:pPr>
        <w:jc w:val="both"/>
        <w:rPr>
          <w:rFonts w:ascii="Times New Roman" w:hAnsi="Times New Roman" w:cs="Times New Roman"/>
        </w:rPr>
      </w:pPr>
    </w:p>
    <w:p w14:paraId="665187C8" w14:textId="60D2F373" w:rsidR="0048278A" w:rsidRDefault="0048278A" w:rsidP="00DA712E">
      <w:pPr>
        <w:jc w:val="both"/>
        <w:rPr>
          <w:rFonts w:ascii="Times New Roman" w:hAnsi="Times New Roman" w:cs="Times New Roman"/>
        </w:rPr>
      </w:pPr>
    </w:p>
    <w:p w14:paraId="17D25CEB" w14:textId="7C436A8D" w:rsidR="0048278A" w:rsidRDefault="0048278A" w:rsidP="00DA712E">
      <w:pPr>
        <w:jc w:val="both"/>
        <w:rPr>
          <w:rFonts w:ascii="Times New Roman" w:hAnsi="Times New Roman" w:cs="Times New Roman"/>
        </w:rPr>
      </w:pPr>
    </w:p>
    <w:p w14:paraId="415B927E" w14:textId="710FBB92" w:rsidR="0048278A" w:rsidRDefault="0048278A" w:rsidP="00DA712E">
      <w:pPr>
        <w:jc w:val="both"/>
        <w:rPr>
          <w:rFonts w:ascii="Times New Roman" w:hAnsi="Times New Roman" w:cs="Times New Roman"/>
        </w:rPr>
      </w:pPr>
    </w:p>
    <w:p w14:paraId="039BBB0A" w14:textId="086330CC" w:rsidR="0048278A" w:rsidRDefault="0048278A" w:rsidP="00DA712E">
      <w:pPr>
        <w:jc w:val="both"/>
        <w:rPr>
          <w:rFonts w:ascii="Times New Roman" w:hAnsi="Times New Roman" w:cs="Times New Roman"/>
        </w:rPr>
      </w:pPr>
    </w:p>
    <w:p w14:paraId="6053C47F" w14:textId="08A6136F" w:rsidR="0048278A" w:rsidRDefault="0048278A" w:rsidP="00DA712E">
      <w:pPr>
        <w:jc w:val="both"/>
        <w:rPr>
          <w:rFonts w:ascii="Times New Roman" w:hAnsi="Times New Roman" w:cs="Times New Roman"/>
        </w:rPr>
      </w:pPr>
    </w:p>
    <w:p w14:paraId="66442DE3" w14:textId="60A14FE1" w:rsidR="0048278A" w:rsidRDefault="0048278A" w:rsidP="00DA712E">
      <w:pPr>
        <w:jc w:val="both"/>
        <w:rPr>
          <w:rFonts w:ascii="Times New Roman" w:hAnsi="Times New Roman" w:cs="Times New Roman"/>
        </w:rPr>
      </w:pPr>
    </w:p>
    <w:p w14:paraId="27825297" w14:textId="4DA73B41" w:rsidR="0048278A" w:rsidRDefault="0048278A" w:rsidP="00DA712E">
      <w:pPr>
        <w:jc w:val="both"/>
        <w:rPr>
          <w:rFonts w:ascii="Times New Roman" w:hAnsi="Times New Roman" w:cs="Times New Roman"/>
        </w:rPr>
      </w:pPr>
    </w:p>
    <w:p w14:paraId="239902A2" w14:textId="4006C869" w:rsidR="0048278A" w:rsidRDefault="0048278A" w:rsidP="00DA712E">
      <w:pPr>
        <w:jc w:val="both"/>
        <w:rPr>
          <w:rFonts w:ascii="Times New Roman" w:hAnsi="Times New Roman" w:cs="Times New Roman"/>
        </w:rPr>
      </w:pPr>
    </w:p>
    <w:p w14:paraId="5F432987" w14:textId="2E9D0187" w:rsidR="0048278A" w:rsidRDefault="0048278A" w:rsidP="00DA712E">
      <w:pPr>
        <w:jc w:val="both"/>
        <w:rPr>
          <w:rFonts w:ascii="Times New Roman" w:hAnsi="Times New Roman" w:cs="Times New Roman"/>
        </w:rPr>
      </w:pPr>
    </w:p>
    <w:p w14:paraId="58505795" w14:textId="1D3CCA2B" w:rsidR="0048278A" w:rsidRDefault="0048278A" w:rsidP="00DA712E">
      <w:pPr>
        <w:jc w:val="both"/>
        <w:rPr>
          <w:rFonts w:ascii="Times New Roman" w:hAnsi="Times New Roman" w:cs="Times New Roman"/>
        </w:rPr>
      </w:pPr>
    </w:p>
    <w:p w14:paraId="4024A1B2" w14:textId="585C0DD8" w:rsidR="0048278A" w:rsidRDefault="0048278A" w:rsidP="00DA712E">
      <w:pPr>
        <w:jc w:val="both"/>
        <w:rPr>
          <w:rFonts w:ascii="Times New Roman" w:hAnsi="Times New Roman" w:cs="Times New Roman"/>
        </w:rPr>
      </w:pPr>
    </w:p>
    <w:p w14:paraId="5E8BEBB0" w14:textId="38DD9F12" w:rsidR="0048278A" w:rsidRDefault="0048278A" w:rsidP="00DA712E">
      <w:pPr>
        <w:jc w:val="both"/>
        <w:rPr>
          <w:rFonts w:ascii="Times New Roman" w:hAnsi="Times New Roman" w:cs="Times New Roman"/>
        </w:rPr>
      </w:pPr>
    </w:p>
    <w:p w14:paraId="292C511A" w14:textId="24302AF0" w:rsidR="0048278A" w:rsidRDefault="0048278A" w:rsidP="00DA712E">
      <w:pPr>
        <w:jc w:val="both"/>
        <w:rPr>
          <w:rFonts w:ascii="Times New Roman" w:hAnsi="Times New Roman" w:cs="Times New Roman"/>
        </w:rPr>
      </w:pPr>
    </w:p>
    <w:p w14:paraId="66EC0084" w14:textId="06DCC52A" w:rsidR="0048278A" w:rsidRDefault="0048278A" w:rsidP="00DA712E">
      <w:pPr>
        <w:jc w:val="both"/>
        <w:rPr>
          <w:rFonts w:ascii="Times New Roman" w:hAnsi="Times New Roman" w:cs="Times New Roman"/>
        </w:rPr>
      </w:pPr>
    </w:p>
    <w:p w14:paraId="5E847D60" w14:textId="1BCAB0A8" w:rsidR="0048278A" w:rsidRDefault="0048278A" w:rsidP="00DA712E">
      <w:pPr>
        <w:jc w:val="both"/>
        <w:rPr>
          <w:rFonts w:ascii="Times New Roman" w:hAnsi="Times New Roman" w:cs="Times New Roman"/>
        </w:rPr>
      </w:pPr>
    </w:p>
    <w:p w14:paraId="49E7DC45" w14:textId="77777777" w:rsidR="0048278A" w:rsidRDefault="0048278A" w:rsidP="00DA712E">
      <w:pPr>
        <w:jc w:val="both"/>
        <w:rPr>
          <w:rFonts w:ascii="Times New Roman" w:hAnsi="Times New Roman" w:cs="Times New Roman"/>
        </w:rPr>
      </w:pPr>
    </w:p>
    <w:p w14:paraId="32F39986" w14:textId="46558086" w:rsidR="00DA712E" w:rsidRDefault="00DA712E" w:rsidP="00DA712E">
      <w:pPr>
        <w:jc w:val="both"/>
        <w:rPr>
          <w:rFonts w:ascii="Times New Roman" w:hAnsi="Times New Roman" w:cs="Times New Roman"/>
        </w:rPr>
      </w:pPr>
    </w:p>
    <w:p w14:paraId="59305C29" w14:textId="2F4C75AD" w:rsidR="00DA712E" w:rsidRDefault="00DA712E" w:rsidP="00DA712E">
      <w:pPr>
        <w:jc w:val="both"/>
        <w:rPr>
          <w:rFonts w:ascii="Times New Roman" w:hAnsi="Times New Roman" w:cs="Times New Roman"/>
        </w:rPr>
      </w:pPr>
    </w:p>
    <w:p w14:paraId="160D8A86" w14:textId="77777777" w:rsidR="00DA712E" w:rsidRPr="005C3043" w:rsidRDefault="00DA712E" w:rsidP="00DA712E">
      <w:pPr>
        <w:pStyle w:val="Heading1"/>
        <w:spacing w:line="480" w:lineRule="auto"/>
        <w:rPr>
          <w:rFonts w:ascii="Times New Roman" w:hAnsi="Times New Roman" w:cs="Times New Roman"/>
        </w:rPr>
      </w:pPr>
      <w:bookmarkStart w:id="83" w:name="_Toc100072204"/>
      <w:r w:rsidRPr="005C3043">
        <w:rPr>
          <w:rFonts w:ascii="Times New Roman" w:hAnsi="Times New Roman" w:cs="Times New Roman"/>
        </w:rPr>
        <w:lastRenderedPageBreak/>
        <w:t>VITA</w:t>
      </w:r>
      <w:bookmarkEnd w:id="83"/>
    </w:p>
    <w:p w14:paraId="2087EEE1" w14:textId="77777777" w:rsidR="00DA712E" w:rsidRPr="00C34188" w:rsidRDefault="00DA712E" w:rsidP="00DA712E">
      <w:pPr>
        <w:spacing w:line="480" w:lineRule="auto"/>
        <w:jc w:val="both"/>
        <w:rPr>
          <w:rFonts w:ascii="Times New Roman" w:hAnsi="Times New Roman" w:cs="Times New Roman"/>
        </w:rPr>
      </w:pPr>
      <w:r w:rsidRPr="00C34188">
        <w:rPr>
          <w:rFonts w:ascii="Times New Roman" w:hAnsi="Times New Roman" w:cs="Times New Roman"/>
        </w:rPr>
        <w:t xml:space="preserve">Casey Christine Read was born in 1994 in Denver, NC. She received her B.S. in Animal Sciences and M.Sc. in Reproductive Physiology from Auburn University in 2016 and 2018. She then attended the University of Tennessee – Knoxville where she married her wonderful husband and received her PhD in Reproductive Physiology. </w:t>
      </w:r>
    </w:p>
    <w:p w14:paraId="234B2D17" w14:textId="3C07C856" w:rsidR="00476E00" w:rsidRDefault="00476E00">
      <w:pPr>
        <w:jc w:val="both"/>
        <w:rPr>
          <w:rFonts w:ascii="Times New Roman" w:hAnsi="Times New Roman" w:cs="Times New Roman"/>
        </w:rPr>
      </w:pPr>
    </w:p>
    <w:p w14:paraId="72E6179B" w14:textId="77777777" w:rsidR="00476E00" w:rsidRPr="00476E00" w:rsidRDefault="00476E00" w:rsidP="00476E00">
      <w:pPr>
        <w:rPr>
          <w:rFonts w:ascii="Times New Roman" w:hAnsi="Times New Roman" w:cs="Times New Roman"/>
        </w:rPr>
      </w:pPr>
    </w:p>
    <w:p w14:paraId="14410E85" w14:textId="77777777" w:rsidR="00476E00" w:rsidRPr="00476E00" w:rsidRDefault="00476E00" w:rsidP="00476E00">
      <w:pPr>
        <w:rPr>
          <w:rFonts w:ascii="Times New Roman" w:hAnsi="Times New Roman" w:cs="Times New Roman"/>
        </w:rPr>
      </w:pPr>
    </w:p>
    <w:p w14:paraId="2D27F45E" w14:textId="77777777" w:rsidR="00476E00" w:rsidRPr="00476E00" w:rsidRDefault="00476E00" w:rsidP="00476E00">
      <w:pPr>
        <w:rPr>
          <w:rFonts w:ascii="Times New Roman" w:hAnsi="Times New Roman" w:cs="Times New Roman"/>
        </w:rPr>
      </w:pPr>
    </w:p>
    <w:p w14:paraId="6F380DC6" w14:textId="77777777" w:rsidR="00476E00" w:rsidRPr="00476E00" w:rsidRDefault="00476E00" w:rsidP="00476E00">
      <w:pPr>
        <w:rPr>
          <w:rFonts w:ascii="Times New Roman" w:hAnsi="Times New Roman" w:cs="Times New Roman"/>
        </w:rPr>
      </w:pPr>
    </w:p>
    <w:p w14:paraId="35F223E5" w14:textId="77777777" w:rsidR="00476E00" w:rsidRPr="00476E00" w:rsidRDefault="00476E00" w:rsidP="00476E00">
      <w:pPr>
        <w:rPr>
          <w:rFonts w:ascii="Times New Roman" w:hAnsi="Times New Roman" w:cs="Times New Roman"/>
        </w:rPr>
      </w:pPr>
    </w:p>
    <w:p w14:paraId="3481E15E" w14:textId="77777777" w:rsidR="00476E00" w:rsidRPr="00476E00" w:rsidRDefault="00476E00" w:rsidP="00476E00">
      <w:pPr>
        <w:rPr>
          <w:rFonts w:ascii="Times New Roman" w:hAnsi="Times New Roman" w:cs="Times New Roman"/>
        </w:rPr>
      </w:pPr>
    </w:p>
    <w:p w14:paraId="6EE29F36" w14:textId="77777777" w:rsidR="00476E00" w:rsidRPr="00476E00" w:rsidRDefault="00476E00" w:rsidP="00476E00">
      <w:pPr>
        <w:rPr>
          <w:rFonts w:ascii="Times New Roman" w:hAnsi="Times New Roman" w:cs="Times New Roman"/>
        </w:rPr>
      </w:pPr>
    </w:p>
    <w:p w14:paraId="119D5CB1" w14:textId="0702C10C" w:rsidR="00476E00" w:rsidRDefault="00476E00" w:rsidP="00476E00">
      <w:pPr>
        <w:rPr>
          <w:rFonts w:ascii="Times New Roman" w:hAnsi="Times New Roman" w:cs="Times New Roman"/>
        </w:rPr>
      </w:pPr>
    </w:p>
    <w:p w14:paraId="0FB4A887" w14:textId="77777777" w:rsidR="00DA712E" w:rsidRPr="00476E00" w:rsidRDefault="00DA712E" w:rsidP="00476E00">
      <w:pPr>
        <w:jc w:val="center"/>
        <w:rPr>
          <w:rFonts w:ascii="Times New Roman" w:hAnsi="Times New Roman" w:cs="Times New Roman"/>
        </w:rPr>
      </w:pPr>
    </w:p>
    <w:sectPr w:rsidR="00DA712E" w:rsidRPr="00476E00"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F5340" w14:textId="77777777" w:rsidR="00F34EB0" w:rsidRDefault="00F34EB0" w:rsidP="005E54E2">
      <w:r>
        <w:separator/>
      </w:r>
    </w:p>
    <w:p w14:paraId="3459B6BC" w14:textId="77777777" w:rsidR="00F34EB0" w:rsidRDefault="00F34EB0" w:rsidP="005E54E2"/>
    <w:p w14:paraId="70C42721" w14:textId="77777777" w:rsidR="00F34EB0" w:rsidRDefault="00F34EB0" w:rsidP="005E54E2"/>
    <w:p w14:paraId="301E1F37" w14:textId="77777777" w:rsidR="00F34EB0" w:rsidRDefault="00F34EB0" w:rsidP="005E54E2"/>
  </w:endnote>
  <w:endnote w:type="continuationSeparator" w:id="0">
    <w:p w14:paraId="37089023" w14:textId="77777777" w:rsidR="00F34EB0" w:rsidRDefault="00F34EB0" w:rsidP="005E54E2">
      <w:r>
        <w:continuationSeparator/>
      </w:r>
    </w:p>
    <w:p w14:paraId="5E8E5ED0" w14:textId="77777777" w:rsidR="00F34EB0" w:rsidRDefault="00F34EB0" w:rsidP="005E54E2"/>
    <w:p w14:paraId="16D83213" w14:textId="77777777" w:rsidR="00F34EB0" w:rsidRDefault="00F34EB0" w:rsidP="005E54E2"/>
    <w:p w14:paraId="7F05B494" w14:textId="77777777" w:rsidR="00F34EB0" w:rsidRDefault="00F34EB0" w:rsidP="005E54E2"/>
  </w:endnote>
  <w:endnote w:type="continuationNotice" w:id="1">
    <w:p w14:paraId="69BB6ECE" w14:textId="77777777" w:rsidR="00F34EB0" w:rsidRDefault="00F34E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ACF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44384" w14:textId="77777777" w:rsidR="00385683" w:rsidRPr="00DA712E" w:rsidRDefault="00385683">
    <w:pPr>
      <w:pStyle w:val="Footer"/>
      <w:jc w:val="right"/>
      <w:rPr>
        <w:rFonts w:ascii="Times New Roman" w:hAnsi="Times New Roman" w:cs="Times New Roman"/>
      </w:rPr>
    </w:pPr>
    <w:r w:rsidRPr="00DA712E">
      <w:rPr>
        <w:rFonts w:ascii="Times New Roman" w:hAnsi="Times New Roman" w:cs="Times New Roman"/>
      </w:rPr>
      <w:fldChar w:fldCharType="begin"/>
    </w:r>
    <w:r w:rsidRPr="00DA712E">
      <w:rPr>
        <w:rFonts w:ascii="Times New Roman" w:hAnsi="Times New Roman" w:cs="Times New Roman"/>
      </w:rPr>
      <w:instrText xml:space="preserve"> PAGE   \* MERGEFORMAT </w:instrText>
    </w:r>
    <w:r w:rsidRPr="00DA712E">
      <w:rPr>
        <w:rFonts w:ascii="Times New Roman" w:hAnsi="Times New Roman" w:cs="Times New Roman"/>
      </w:rPr>
      <w:fldChar w:fldCharType="separate"/>
    </w:r>
    <w:r w:rsidRPr="00DA712E">
      <w:rPr>
        <w:rFonts w:ascii="Times New Roman" w:hAnsi="Times New Roman" w:cs="Times New Roman"/>
        <w:noProof/>
      </w:rPr>
      <w:t>13</w:t>
    </w:r>
    <w:r w:rsidRPr="00DA712E">
      <w:rPr>
        <w:rFonts w:ascii="Times New Roman" w:hAnsi="Times New Roman" w:cs="Times New Roman"/>
        <w:noProof/>
      </w:rPr>
      <w:fldChar w:fldCharType="end"/>
    </w:r>
  </w:p>
  <w:p w14:paraId="183F13C5" w14:textId="77777777" w:rsidR="00385683" w:rsidRDefault="0038568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F8C8C" w14:textId="77777777" w:rsidR="00F34EB0" w:rsidRDefault="00F34EB0" w:rsidP="005E54E2">
      <w:r>
        <w:separator/>
      </w:r>
    </w:p>
    <w:p w14:paraId="3DDF8B3C" w14:textId="77777777" w:rsidR="00F34EB0" w:rsidRDefault="00F34EB0" w:rsidP="005E54E2"/>
    <w:p w14:paraId="43ED555D" w14:textId="77777777" w:rsidR="00F34EB0" w:rsidRDefault="00F34EB0" w:rsidP="005E54E2"/>
    <w:p w14:paraId="02F0B618" w14:textId="77777777" w:rsidR="00F34EB0" w:rsidRDefault="00F34EB0" w:rsidP="005E54E2"/>
  </w:footnote>
  <w:footnote w:type="continuationSeparator" w:id="0">
    <w:p w14:paraId="2837EDC6" w14:textId="77777777" w:rsidR="00F34EB0" w:rsidRDefault="00F34EB0" w:rsidP="005E54E2">
      <w:r>
        <w:continuationSeparator/>
      </w:r>
    </w:p>
    <w:p w14:paraId="04A996C1" w14:textId="77777777" w:rsidR="00F34EB0" w:rsidRDefault="00F34EB0" w:rsidP="005E54E2"/>
    <w:p w14:paraId="79092B13" w14:textId="77777777" w:rsidR="00F34EB0" w:rsidRDefault="00F34EB0" w:rsidP="005E54E2"/>
    <w:p w14:paraId="6FC6643F" w14:textId="77777777" w:rsidR="00F34EB0" w:rsidRDefault="00F34EB0" w:rsidP="005E54E2"/>
  </w:footnote>
  <w:footnote w:type="continuationNotice" w:id="1">
    <w:p w14:paraId="1B9BEBDE" w14:textId="77777777" w:rsidR="00F34EB0" w:rsidRDefault="00F34EB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D32A3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7C6B3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422228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3C6F6A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E7A14D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D7648E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BA28F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91451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4425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33AFE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796645"/>
    <w:multiLevelType w:val="multilevel"/>
    <w:tmpl w:val="53ECE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C77C3F"/>
    <w:multiLevelType w:val="multilevel"/>
    <w:tmpl w:val="C4581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CC5F50"/>
    <w:multiLevelType w:val="multilevel"/>
    <w:tmpl w:val="9FAE8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2824AC"/>
    <w:multiLevelType w:val="hybridMultilevel"/>
    <w:tmpl w:val="421C92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E51847"/>
    <w:multiLevelType w:val="hybridMultilevel"/>
    <w:tmpl w:val="10F26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3125389">
    <w:abstractNumId w:val="13"/>
  </w:num>
  <w:num w:numId="2" w16cid:durableId="850948659">
    <w:abstractNumId w:val="11"/>
  </w:num>
  <w:num w:numId="3" w16cid:durableId="43599302">
    <w:abstractNumId w:val="14"/>
  </w:num>
  <w:num w:numId="4" w16cid:durableId="688337391">
    <w:abstractNumId w:val="10"/>
  </w:num>
  <w:num w:numId="5" w16cid:durableId="2003659687">
    <w:abstractNumId w:val="12"/>
  </w:num>
  <w:num w:numId="6" w16cid:durableId="117918280">
    <w:abstractNumId w:val="0"/>
  </w:num>
  <w:num w:numId="7" w16cid:durableId="945768778">
    <w:abstractNumId w:val="1"/>
  </w:num>
  <w:num w:numId="8" w16cid:durableId="1172648037">
    <w:abstractNumId w:val="2"/>
  </w:num>
  <w:num w:numId="9" w16cid:durableId="354962010">
    <w:abstractNumId w:val="3"/>
  </w:num>
  <w:num w:numId="10" w16cid:durableId="494761588">
    <w:abstractNumId w:val="8"/>
  </w:num>
  <w:num w:numId="11" w16cid:durableId="1449668003">
    <w:abstractNumId w:val="4"/>
  </w:num>
  <w:num w:numId="12" w16cid:durableId="633371733">
    <w:abstractNumId w:val="5"/>
  </w:num>
  <w:num w:numId="13" w16cid:durableId="1509372211">
    <w:abstractNumId w:val="6"/>
  </w:num>
  <w:num w:numId="14" w16cid:durableId="1418017564">
    <w:abstractNumId w:val="7"/>
  </w:num>
  <w:num w:numId="15" w16cid:durableId="15114119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 Animal Scienc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wtvw2dt525vpue9rxmpexxowp92etrp20v5&quot;&gt;Thesis&lt;record-ids&gt;&lt;item&gt;18&lt;/item&gt;&lt;item&gt;19&lt;/item&gt;&lt;item&gt;20&lt;/item&gt;&lt;item&gt;21&lt;/item&gt;&lt;item&gt;30&lt;/item&gt;&lt;item&gt;32&lt;/item&gt;&lt;item&gt;33&lt;/item&gt;&lt;item&gt;39&lt;/item&gt;&lt;item&gt;44&lt;/item&gt;&lt;item&gt;46&lt;/item&gt;&lt;item&gt;54&lt;/item&gt;&lt;item&gt;59&lt;/item&gt;&lt;item&gt;60&lt;/item&gt;&lt;item&gt;68&lt;/item&gt;&lt;item&gt;75&lt;/item&gt;&lt;item&gt;81&lt;/item&gt;&lt;item&gt;82&lt;/item&gt;&lt;item&gt;83&lt;/item&gt;&lt;item&gt;91&lt;/item&gt;&lt;item&gt;93&lt;/item&gt;&lt;item&gt;94&lt;/item&gt;&lt;item&gt;99&lt;/item&gt;&lt;item&gt;100&lt;/item&gt;&lt;item&gt;106&lt;/item&gt;&lt;item&gt;113&lt;/item&gt;&lt;item&gt;117&lt;/item&gt;&lt;item&gt;118&lt;/item&gt;&lt;item&gt;138&lt;/item&gt;&lt;item&gt;140&lt;/item&gt;&lt;item&gt;141&lt;/item&gt;&lt;item&gt;144&lt;/item&gt;&lt;item&gt;146&lt;/item&gt;&lt;item&gt;147&lt;/item&gt;&lt;item&gt;148&lt;/item&gt;&lt;item&gt;149&lt;/item&gt;&lt;item&gt;150&lt;/item&gt;&lt;item&gt;151&lt;/item&gt;&lt;item&gt;152&lt;/item&gt;&lt;item&gt;154&lt;/item&gt;&lt;item&gt;157&lt;/item&gt;&lt;item&gt;158&lt;/item&gt;&lt;item&gt;159&lt;/item&gt;&lt;item&gt;164&lt;/item&gt;&lt;item&gt;165&lt;/item&gt;&lt;item&gt;166&lt;/item&gt;&lt;item&gt;176&lt;/item&gt;&lt;item&gt;181&lt;/item&gt;&lt;item&gt;182&lt;/item&gt;&lt;item&gt;183&lt;/item&gt;&lt;item&gt;185&lt;/item&gt;&lt;item&gt;188&lt;/item&gt;&lt;item&gt;189&lt;/item&gt;&lt;item&gt;190&lt;/item&gt;&lt;item&gt;191&lt;/item&gt;&lt;item&gt;194&lt;/item&gt;&lt;item&gt;200&lt;/item&gt;&lt;item&gt;202&lt;/item&gt;&lt;item&gt;203&lt;/item&gt;&lt;item&gt;211&lt;/item&gt;&lt;item&gt;212&lt;/item&gt;&lt;item&gt;213&lt;/item&gt;&lt;item&gt;214&lt;/item&gt;&lt;item&gt;216&lt;/item&gt;&lt;item&gt;217&lt;/item&gt;&lt;item&gt;218&lt;/item&gt;&lt;item&gt;221&lt;/item&gt;&lt;item&gt;222&lt;/item&gt;&lt;item&gt;224&lt;/item&gt;&lt;item&gt;225&lt;/item&gt;&lt;item&gt;226&lt;/item&gt;&lt;item&gt;228&lt;/item&gt;&lt;item&gt;229&lt;/item&gt;&lt;item&gt;230&lt;/item&gt;&lt;item&gt;232&lt;/item&gt;&lt;item&gt;233&lt;/item&gt;&lt;item&gt;234&lt;/item&gt;&lt;item&gt;236&lt;/item&gt;&lt;item&gt;237&lt;/item&gt;&lt;item&gt;238&lt;/item&gt;&lt;item&gt;239&lt;/item&gt;&lt;item&gt;240&lt;/item&gt;&lt;item&gt;241&lt;/item&gt;&lt;item&gt;242&lt;/item&gt;&lt;item&gt;243&lt;/item&gt;&lt;item&gt;244&lt;/item&gt;&lt;item&gt;245&lt;/item&gt;&lt;item&gt;246&lt;/item&gt;&lt;item&gt;247&lt;/item&gt;&lt;item&gt;249&lt;/item&gt;&lt;item&gt;250&lt;/item&gt;&lt;item&gt;251&lt;/item&gt;&lt;item&gt;252&lt;/item&gt;&lt;item&gt;253&lt;/item&gt;&lt;item&gt;254&lt;/item&gt;&lt;item&gt;255&lt;/item&gt;&lt;item&gt;256&lt;/item&gt;&lt;item&gt;257&lt;/item&gt;&lt;item&gt;258&lt;/item&gt;&lt;item&gt;259&lt;/item&gt;&lt;item&gt;260&lt;/item&gt;&lt;item&gt;261&lt;/item&gt;&lt;item&gt;262&lt;/item&gt;&lt;item&gt;263&lt;/item&gt;&lt;item&gt;264&lt;/item&gt;&lt;item&gt;265&lt;/item&gt;&lt;item&gt;266&lt;/item&gt;&lt;item&gt;269&lt;/item&gt;&lt;item&gt;357&lt;/item&gt;&lt;item&gt;406&lt;/item&gt;&lt;item&gt;446&lt;/item&gt;&lt;item&gt;447&lt;/item&gt;&lt;item&gt;513&lt;/item&gt;&lt;item&gt;553&lt;/item&gt;&lt;item&gt;557&lt;/item&gt;&lt;item&gt;558&lt;/item&gt;&lt;item&gt;559&lt;/item&gt;&lt;item&gt;560&lt;/item&gt;&lt;item&gt;562&lt;/item&gt;&lt;item&gt;564&lt;/item&gt;&lt;item&gt;566&lt;/item&gt;&lt;item&gt;567&lt;/item&gt;&lt;item&gt;568&lt;/item&gt;&lt;item&gt;569&lt;/item&gt;&lt;item&gt;570&lt;/item&gt;&lt;item&gt;571&lt;/item&gt;&lt;item&gt;572&lt;/item&gt;&lt;item&gt;573&lt;/item&gt;&lt;item&gt;574&lt;/item&gt;&lt;item&gt;576&lt;/item&gt;&lt;item&gt;577&lt;/item&gt;&lt;item&gt;578&lt;/item&gt;&lt;item&gt;579&lt;/item&gt;&lt;item&gt;580&lt;/item&gt;&lt;item&gt;581&lt;/item&gt;&lt;item&gt;582&lt;/item&gt;&lt;item&gt;583&lt;/item&gt;&lt;item&gt;584&lt;/item&gt;&lt;item&gt;585&lt;/item&gt;&lt;item&gt;586&lt;/item&gt;&lt;item&gt;587&lt;/item&gt;&lt;item&gt;589&lt;/item&gt;&lt;item&gt;590&lt;/item&gt;&lt;item&gt;591&lt;/item&gt;&lt;item&gt;592&lt;/item&gt;&lt;item&gt;598&lt;/item&gt;&lt;item&gt;605&lt;/item&gt;&lt;item&gt;607&lt;/item&gt;&lt;item&gt;612&lt;/item&gt;&lt;item&gt;613&lt;/item&gt;&lt;item&gt;620&lt;/item&gt;&lt;item&gt;621&lt;/item&gt;&lt;item&gt;625&lt;/item&gt;&lt;item&gt;626&lt;/item&gt;&lt;item&gt;629&lt;/item&gt;&lt;item&gt;630&lt;/item&gt;&lt;item&gt;634&lt;/item&gt;&lt;item&gt;635&lt;/item&gt;&lt;item&gt;637&lt;/item&gt;&lt;item&gt;638&lt;/item&gt;&lt;item&gt;640&lt;/item&gt;&lt;item&gt;641&lt;/item&gt;&lt;item&gt;642&lt;/item&gt;&lt;item&gt;643&lt;/item&gt;&lt;item&gt;644&lt;/item&gt;&lt;item&gt;645&lt;/item&gt;&lt;item&gt;646&lt;/item&gt;&lt;item&gt;647&lt;/item&gt;&lt;item&gt;648&lt;/item&gt;&lt;item&gt;649&lt;/item&gt;&lt;item&gt;650&lt;/item&gt;&lt;item&gt;651&lt;/item&gt;&lt;item&gt;652&lt;/item&gt;&lt;item&gt;653&lt;/item&gt;&lt;item&gt;654&lt;/item&gt;&lt;item&gt;655&lt;/item&gt;&lt;item&gt;656&lt;/item&gt;&lt;item&gt;657&lt;/item&gt;&lt;item&gt;658&lt;/item&gt;&lt;item&gt;661&lt;/item&gt;&lt;item&gt;662&lt;/item&gt;&lt;item&gt;666&lt;/item&gt;&lt;item&gt;667&lt;/item&gt;&lt;item&gt;668&lt;/item&gt;&lt;item&gt;669&lt;/item&gt;&lt;item&gt;670&lt;/item&gt;&lt;item&gt;671&lt;/item&gt;&lt;item&gt;673&lt;/item&gt;&lt;item&gt;675&lt;/item&gt;&lt;item&gt;676&lt;/item&gt;&lt;item&gt;677&lt;/item&gt;&lt;item&gt;679&lt;/item&gt;&lt;item&gt;680&lt;/item&gt;&lt;item&gt;682&lt;/item&gt;&lt;item&gt;683&lt;/item&gt;&lt;item&gt;685&lt;/item&gt;&lt;item&gt;686&lt;/item&gt;&lt;item&gt;687&lt;/item&gt;&lt;item&gt;690&lt;/item&gt;&lt;item&gt;692&lt;/item&gt;&lt;item&gt;693&lt;/item&gt;&lt;item&gt;694&lt;/item&gt;&lt;item&gt;695&lt;/item&gt;&lt;item&gt;696&lt;/item&gt;&lt;item&gt;697&lt;/item&gt;&lt;item&gt;698&lt;/item&gt;&lt;item&gt;699&lt;/item&gt;&lt;item&gt;700&lt;/item&gt;&lt;item&gt;701&lt;/item&gt;&lt;item&gt;702&lt;/item&gt;&lt;item&gt;703&lt;/item&gt;&lt;item&gt;704&lt;/item&gt;&lt;item&gt;705&lt;/item&gt;&lt;item&gt;707&lt;/item&gt;&lt;item&gt;708&lt;/item&gt;&lt;item&gt;709&lt;/item&gt;&lt;item&gt;710&lt;/item&gt;&lt;item&gt;711&lt;/item&gt;&lt;item&gt;712&lt;/item&gt;&lt;item&gt;713&lt;/item&gt;&lt;item&gt;715&lt;/item&gt;&lt;item&gt;718&lt;/item&gt;&lt;item&gt;719&lt;/item&gt;&lt;item&gt;720&lt;/item&gt;&lt;item&gt;723&lt;/item&gt;&lt;item&gt;724&lt;/item&gt;&lt;item&gt;726&lt;/item&gt;&lt;item&gt;728&lt;/item&gt;&lt;item&gt;729&lt;/item&gt;&lt;item&gt;730&lt;/item&gt;&lt;item&gt;732&lt;/item&gt;&lt;item&gt;733&lt;/item&gt;&lt;item&gt;734&lt;/item&gt;&lt;item&gt;735&lt;/item&gt;&lt;item&gt;736&lt;/item&gt;&lt;item&gt;737&lt;/item&gt;&lt;item&gt;738&lt;/item&gt;&lt;item&gt;739&lt;/item&gt;&lt;item&gt;740&lt;/item&gt;&lt;item&gt;741&lt;/item&gt;&lt;item&gt;742&lt;/item&gt;&lt;item&gt;743&lt;/item&gt;&lt;item&gt;744&lt;/item&gt;&lt;item&gt;745&lt;/item&gt;&lt;item&gt;746&lt;/item&gt;&lt;item&gt;747&lt;/item&gt;&lt;item&gt;749&lt;/item&gt;&lt;item&gt;750&lt;/item&gt;&lt;item&gt;754&lt;/item&gt;&lt;item&gt;755&lt;/item&gt;&lt;item&gt;756&lt;/item&gt;&lt;item&gt;757&lt;/item&gt;&lt;item&gt;759&lt;/item&gt;&lt;item&gt;765&lt;/item&gt;&lt;item&gt;767&lt;/item&gt;&lt;item&gt;768&lt;/item&gt;&lt;item&gt;770&lt;/item&gt;&lt;item&gt;771&lt;/item&gt;&lt;item&gt;775&lt;/item&gt;&lt;item&gt;777&lt;/item&gt;&lt;item&gt;779&lt;/item&gt;&lt;item&gt;780&lt;/item&gt;&lt;item&gt;781&lt;/item&gt;&lt;item&gt;782&lt;/item&gt;&lt;item&gt;784&lt;/item&gt;&lt;item&gt;791&lt;/item&gt;&lt;item&gt;792&lt;/item&gt;&lt;item&gt;793&lt;/item&gt;&lt;item&gt;794&lt;/item&gt;&lt;item&gt;795&lt;/item&gt;&lt;item&gt;796&lt;/item&gt;&lt;item&gt;797&lt;/item&gt;&lt;item&gt;799&lt;/item&gt;&lt;item&gt;800&lt;/item&gt;&lt;item&gt;801&lt;/item&gt;&lt;item&gt;802&lt;/item&gt;&lt;item&gt;803&lt;/item&gt;&lt;item&gt;804&lt;/item&gt;&lt;item&gt;805&lt;/item&gt;&lt;item&gt;806&lt;/item&gt;&lt;item&gt;807&lt;/item&gt;&lt;item&gt;808&lt;/item&gt;&lt;item&gt;809&lt;/item&gt;&lt;item&gt;810&lt;/item&gt;&lt;item&gt;811&lt;/item&gt;&lt;item&gt;812&lt;/item&gt;&lt;item&gt;813&lt;/item&gt;&lt;item&gt;814&lt;/item&gt;&lt;item&gt;815&lt;/item&gt;&lt;item&gt;816&lt;/item&gt;&lt;item&gt;817&lt;/item&gt;&lt;item&gt;818&lt;/item&gt;&lt;item&gt;819&lt;/item&gt;&lt;item&gt;821&lt;/item&gt;&lt;item&gt;822&lt;/item&gt;&lt;item&gt;823&lt;/item&gt;&lt;item&gt;825&lt;/item&gt;&lt;item&gt;826&lt;/item&gt;&lt;item&gt;828&lt;/item&gt;&lt;item&gt;829&lt;/item&gt;&lt;item&gt;831&lt;/item&gt;&lt;item&gt;833&lt;/item&gt;&lt;item&gt;835&lt;/item&gt;&lt;item&gt;836&lt;/item&gt;&lt;item&gt;840&lt;/item&gt;&lt;item&gt;842&lt;/item&gt;&lt;item&gt;844&lt;/item&gt;&lt;item&gt;850&lt;/item&gt;&lt;item&gt;851&lt;/item&gt;&lt;item&gt;853&lt;/item&gt;&lt;item&gt;856&lt;/item&gt;&lt;item&gt;862&lt;/item&gt;&lt;item&gt;863&lt;/item&gt;&lt;item&gt;864&lt;/item&gt;&lt;item&gt;865&lt;/item&gt;&lt;item&gt;867&lt;/item&gt;&lt;item&gt;869&lt;/item&gt;&lt;item&gt;871&lt;/item&gt;&lt;item&gt;872&lt;/item&gt;&lt;item&gt;873&lt;/item&gt;&lt;item&gt;874&lt;/item&gt;&lt;item&gt;875&lt;/item&gt;&lt;item&gt;876&lt;/item&gt;&lt;item&gt;877&lt;/item&gt;&lt;item&gt;878&lt;/item&gt;&lt;item&gt;883&lt;/item&gt;&lt;item&gt;884&lt;/item&gt;&lt;item&gt;885&lt;/item&gt;&lt;item&gt;886&lt;/item&gt;&lt;item&gt;888&lt;/item&gt;&lt;item&gt;891&lt;/item&gt;&lt;item&gt;892&lt;/item&gt;&lt;item&gt;893&lt;/item&gt;&lt;/record-ids&gt;&lt;/item&gt;&lt;/Libraries&gt;"/>
  </w:docVars>
  <w:rsids>
    <w:rsidRoot w:val="00DF7C87"/>
    <w:rsid w:val="00001957"/>
    <w:rsid w:val="000033A9"/>
    <w:rsid w:val="00003F6A"/>
    <w:rsid w:val="000072AC"/>
    <w:rsid w:val="00014A3E"/>
    <w:rsid w:val="00014FCD"/>
    <w:rsid w:val="000156E9"/>
    <w:rsid w:val="000166A9"/>
    <w:rsid w:val="00021AAA"/>
    <w:rsid w:val="0003672C"/>
    <w:rsid w:val="00037A21"/>
    <w:rsid w:val="00044360"/>
    <w:rsid w:val="00044F9B"/>
    <w:rsid w:val="00045D24"/>
    <w:rsid w:val="0005500E"/>
    <w:rsid w:val="00057004"/>
    <w:rsid w:val="00060A6A"/>
    <w:rsid w:val="00064157"/>
    <w:rsid w:val="00066DA5"/>
    <w:rsid w:val="00070631"/>
    <w:rsid w:val="00071FB8"/>
    <w:rsid w:val="00074130"/>
    <w:rsid w:val="00075D95"/>
    <w:rsid w:val="00076A95"/>
    <w:rsid w:val="00077482"/>
    <w:rsid w:val="00081349"/>
    <w:rsid w:val="00090F0D"/>
    <w:rsid w:val="00092909"/>
    <w:rsid w:val="0009357B"/>
    <w:rsid w:val="000A508B"/>
    <w:rsid w:val="000B5C42"/>
    <w:rsid w:val="000B5F79"/>
    <w:rsid w:val="000B6019"/>
    <w:rsid w:val="000C0FB8"/>
    <w:rsid w:val="000C3103"/>
    <w:rsid w:val="000C7C40"/>
    <w:rsid w:val="000D0B9C"/>
    <w:rsid w:val="000D2CCE"/>
    <w:rsid w:val="000D3143"/>
    <w:rsid w:val="000E228A"/>
    <w:rsid w:val="0010217F"/>
    <w:rsid w:val="00105A89"/>
    <w:rsid w:val="00107611"/>
    <w:rsid w:val="0012286B"/>
    <w:rsid w:val="001239CC"/>
    <w:rsid w:val="00125291"/>
    <w:rsid w:val="00131726"/>
    <w:rsid w:val="00146667"/>
    <w:rsid w:val="00154DC0"/>
    <w:rsid w:val="0015581E"/>
    <w:rsid w:val="00160114"/>
    <w:rsid w:val="001721A0"/>
    <w:rsid w:val="0017520B"/>
    <w:rsid w:val="001854FB"/>
    <w:rsid w:val="00193642"/>
    <w:rsid w:val="001B1034"/>
    <w:rsid w:val="001C39F6"/>
    <w:rsid w:val="001C5B2C"/>
    <w:rsid w:val="001C66FE"/>
    <w:rsid w:val="001D4908"/>
    <w:rsid w:val="001D55C8"/>
    <w:rsid w:val="001D5AD5"/>
    <w:rsid w:val="001D6904"/>
    <w:rsid w:val="001F43C1"/>
    <w:rsid w:val="001F522F"/>
    <w:rsid w:val="001F64F9"/>
    <w:rsid w:val="002019FA"/>
    <w:rsid w:val="002061D1"/>
    <w:rsid w:val="00215C1D"/>
    <w:rsid w:val="0022210F"/>
    <w:rsid w:val="00235673"/>
    <w:rsid w:val="00236E6D"/>
    <w:rsid w:val="00240E10"/>
    <w:rsid w:val="002429E5"/>
    <w:rsid w:val="00246AF3"/>
    <w:rsid w:val="00250177"/>
    <w:rsid w:val="00261B12"/>
    <w:rsid w:val="00264C6A"/>
    <w:rsid w:val="0027253C"/>
    <w:rsid w:val="002765D0"/>
    <w:rsid w:val="00276CE1"/>
    <w:rsid w:val="00280CEF"/>
    <w:rsid w:val="0028757A"/>
    <w:rsid w:val="00287AAA"/>
    <w:rsid w:val="00293C42"/>
    <w:rsid w:val="00293ED5"/>
    <w:rsid w:val="00296BFE"/>
    <w:rsid w:val="00297C9A"/>
    <w:rsid w:val="002A0645"/>
    <w:rsid w:val="002A12F0"/>
    <w:rsid w:val="002A2CEC"/>
    <w:rsid w:val="002A3264"/>
    <w:rsid w:val="002A3DB6"/>
    <w:rsid w:val="002B2491"/>
    <w:rsid w:val="002D15F1"/>
    <w:rsid w:val="002E0C33"/>
    <w:rsid w:val="002E2492"/>
    <w:rsid w:val="002E44F6"/>
    <w:rsid w:val="002E5F14"/>
    <w:rsid w:val="002F0A5C"/>
    <w:rsid w:val="002F6C76"/>
    <w:rsid w:val="0030120A"/>
    <w:rsid w:val="00304BD0"/>
    <w:rsid w:val="003050D2"/>
    <w:rsid w:val="003079D4"/>
    <w:rsid w:val="00307D77"/>
    <w:rsid w:val="00313E9E"/>
    <w:rsid w:val="003150D5"/>
    <w:rsid w:val="003206F1"/>
    <w:rsid w:val="00320F78"/>
    <w:rsid w:val="00324CB7"/>
    <w:rsid w:val="00332A39"/>
    <w:rsid w:val="00333841"/>
    <w:rsid w:val="00334400"/>
    <w:rsid w:val="003348A6"/>
    <w:rsid w:val="00337085"/>
    <w:rsid w:val="00340DE1"/>
    <w:rsid w:val="00347A39"/>
    <w:rsid w:val="00356917"/>
    <w:rsid w:val="00357344"/>
    <w:rsid w:val="0035768F"/>
    <w:rsid w:val="00360B3C"/>
    <w:rsid w:val="0036251E"/>
    <w:rsid w:val="00370EDB"/>
    <w:rsid w:val="00373919"/>
    <w:rsid w:val="003811E4"/>
    <w:rsid w:val="0038177C"/>
    <w:rsid w:val="003834C0"/>
    <w:rsid w:val="003836EB"/>
    <w:rsid w:val="003840F0"/>
    <w:rsid w:val="00385683"/>
    <w:rsid w:val="00387024"/>
    <w:rsid w:val="00387656"/>
    <w:rsid w:val="00394464"/>
    <w:rsid w:val="003A22D1"/>
    <w:rsid w:val="003A48D1"/>
    <w:rsid w:val="003B42FF"/>
    <w:rsid w:val="003B693B"/>
    <w:rsid w:val="003B6B38"/>
    <w:rsid w:val="003C070F"/>
    <w:rsid w:val="003C1575"/>
    <w:rsid w:val="003C7FC5"/>
    <w:rsid w:val="003D07F7"/>
    <w:rsid w:val="003D3DF4"/>
    <w:rsid w:val="003D5275"/>
    <w:rsid w:val="003D63DF"/>
    <w:rsid w:val="003D737F"/>
    <w:rsid w:val="003E0538"/>
    <w:rsid w:val="003F2760"/>
    <w:rsid w:val="003F7474"/>
    <w:rsid w:val="003F7FD1"/>
    <w:rsid w:val="00404616"/>
    <w:rsid w:val="00406F6E"/>
    <w:rsid w:val="00407B6A"/>
    <w:rsid w:val="0041016B"/>
    <w:rsid w:val="00412E33"/>
    <w:rsid w:val="0041412D"/>
    <w:rsid w:val="004141BA"/>
    <w:rsid w:val="00414400"/>
    <w:rsid w:val="00421CD4"/>
    <w:rsid w:val="00422932"/>
    <w:rsid w:val="00423EA7"/>
    <w:rsid w:val="00427833"/>
    <w:rsid w:val="00432DFA"/>
    <w:rsid w:val="004335E8"/>
    <w:rsid w:val="00435127"/>
    <w:rsid w:val="00435B53"/>
    <w:rsid w:val="00437C8A"/>
    <w:rsid w:val="0044196E"/>
    <w:rsid w:val="0044340A"/>
    <w:rsid w:val="0045584E"/>
    <w:rsid w:val="00461C9C"/>
    <w:rsid w:val="004705C3"/>
    <w:rsid w:val="00472C48"/>
    <w:rsid w:val="00474210"/>
    <w:rsid w:val="0047458D"/>
    <w:rsid w:val="00476E00"/>
    <w:rsid w:val="00480B96"/>
    <w:rsid w:val="0048278A"/>
    <w:rsid w:val="0048303E"/>
    <w:rsid w:val="0049004B"/>
    <w:rsid w:val="0049177F"/>
    <w:rsid w:val="004920F6"/>
    <w:rsid w:val="00497636"/>
    <w:rsid w:val="004A5AAB"/>
    <w:rsid w:val="004A67E8"/>
    <w:rsid w:val="004A6D7C"/>
    <w:rsid w:val="004B4D2A"/>
    <w:rsid w:val="004C09B7"/>
    <w:rsid w:val="004C2071"/>
    <w:rsid w:val="004C238A"/>
    <w:rsid w:val="004C3D65"/>
    <w:rsid w:val="004C6A0B"/>
    <w:rsid w:val="004D0927"/>
    <w:rsid w:val="004D1B7C"/>
    <w:rsid w:val="004D58A2"/>
    <w:rsid w:val="004D6472"/>
    <w:rsid w:val="004E5152"/>
    <w:rsid w:val="004E7BF7"/>
    <w:rsid w:val="00500F76"/>
    <w:rsid w:val="00501773"/>
    <w:rsid w:val="005049EE"/>
    <w:rsid w:val="00504A09"/>
    <w:rsid w:val="00506FB6"/>
    <w:rsid w:val="00513835"/>
    <w:rsid w:val="00513F4B"/>
    <w:rsid w:val="00523E75"/>
    <w:rsid w:val="00526151"/>
    <w:rsid w:val="00526CAD"/>
    <w:rsid w:val="00526D45"/>
    <w:rsid w:val="00530C8A"/>
    <w:rsid w:val="005348F8"/>
    <w:rsid w:val="00534D96"/>
    <w:rsid w:val="005369A5"/>
    <w:rsid w:val="00537F83"/>
    <w:rsid w:val="0055059B"/>
    <w:rsid w:val="00551133"/>
    <w:rsid w:val="00556433"/>
    <w:rsid w:val="0056131E"/>
    <w:rsid w:val="0056426C"/>
    <w:rsid w:val="00565029"/>
    <w:rsid w:val="00566176"/>
    <w:rsid w:val="0056750D"/>
    <w:rsid w:val="005800F9"/>
    <w:rsid w:val="00583A04"/>
    <w:rsid w:val="005853D1"/>
    <w:rsid w:val="005946B9"/>
    <w:rsid w:val="00597AD2"/>
    <w:rsid w:val="00597C7E"/>
    <w:rsid w:val="00597CA9"/>
    <w:rsid w:val="00597D3F"/>
    <w:rsid w:val="005A65C5"/>
    <w:rsid w:val="005B03EC"/>
    <w:rsid w:val="005B1F86"/>
    <w:rsid w:val="005B484A"/>
    <w:rsid w:val="005B79E9"/>
    <w:rsid w:val="005C3043"/>
    <w:rsid w:val="005C5AED"/>
    <w:rsid w:val="005C5C0F"/>
    <w:rsid w:val="005C665A"/>
    <w:rsid w:val="005D0313"/>
    <w:rsid w:val="005E1EB2"/>
    <w:rsid w:val="005E461B"/>
    <w:rsid w:val="005E4912"/>
    <w:rsid w:val="005E54E2"/>
    <w:rsid w:val="005E5D6E"/>
    <w:rsid w:val="005E6F1F"/>
    <w:rsid w:val="005E6F7C"/>
    <w:rsid w:val="005F44D1"/>
    <w:rsid w:val="00600C14"/>
    <w:rsid w:val="00603D3D"/>
    <w:rsid w:val="00611B90"/>
    <w:rsid w:val="00613235"/>
    <w:rsid w:val="00621129"/>
    <w:rsid w:val="00624151"/>
    <w:rsid w:val="006277FB"/>
    <w:rsid w:val="00633916"/>
    <w:rsid w:val="00641D2B"/>
    <w:rsid w:val="00642413"/>
    <w:rsid w:val="0064589E"/>
    <w:rsid w:val="00645F7E"/>
    <w:rsid w:val="00646F0F"/>
    <w:rsid w:val="00647FA2"/>
    <w:rsid w:val="00651713"/>
    <w:rsid w:val="006521DC"/>
    <w:rsid w:val="00652687"/>
    <w:rsid w:val="00662D3E"/>
    <w:rsid w:val="00665487"/>
    <w:rsid w:val="00665C7E"/>
    <w:rsid w:val="00665D4E"/>
    <w:rsid w:val="00666219"/>
    <w:rsid w:val="00672DDD"/>
    <w:rsid w:val="00676C91"/>
    <w:rsid w:val="006803C0"/>
    <w:rsid w:val="00684154"/>
    <w:rsid w:val="00685509"/>
    <w:rsid w:val="00690B77"/>
    <w:rsid w:val="00695699"/>
    <w:rsid w:val="00695799"/>
    <w:rsid w:val="006978CF"/>
    <w:rsid w:val="006A03D1"/>
    <w:rsid w:val="006A1C51"/>
    <w:rsid w:val="006C18D4"/>
    <w:rsid w:val="006C2E15"/>
    <w:rsid w:val="006C4000"/>
    <w:rsid w:val="006C621F"/>
    <w:rsid w:val="006C651A"/>
    <w:rsid w:val="006D1122"/>
    <w:rsid w:val="006D35D0"/>
    <w:rsid w:val="006D5EE8"/>
    <w:rsid w:val="006D7579"/>
    <w:rsid w:val="006E56E8"/>
    <w:rsid w:val="006E5B01"/>
    <w:rsid w:val="006F3030"/>
    <w:rsid w:val="006F5AA4"/>
    <w:rsid w:val="006F5B40"/>
    <w:rsid w:val="006F7165"/>
    <w:rsid w:val="006F7A7A"/>
    <w:rsid w:val="007054D1"/>
    <w:rsid w:val="00711200"/>
    <w:rsid w:val="0071320F"/>
    <w:rsid w:val="007175D8"/>
    <w:rsid w:val="0072397F"/>
    <w:rsid w:val="00723B26"/>
    <w:rsid w:val="00726E1E"/>
    <w:rsid w:val="00727250"/>
    <w:rsid w:val="00731922"/>
    <w:rsid w:val="00731ACB"/>
    <w:rsid w:val="007368AD"/>
    <w:rsid w:val="00736F28"/>
    <w:rsid w:val="0074133D"/>
    <w:rsid w:val="00743ADF"/>
    <w:rsid w:val="00745DF6"/>
    <w:rsid w:val="0075196D"/>
    <w:rsid w:val="00751FF5"/>
    <w:rsid w:val="0075558C"/>
    <w:rsid w:val="00755B52"/>
    <w:rsid w:val="00761EFA"/>
    <w:rsid w:val="007636A3"/>
    <w:rsid w:val="00764873"/>
    <w:rsid w:val="00771235"/>
    <w:rsid w:val="00775850"/>
    <w:rsid w:val="00776705"/>
    <w:rsid w:val="007778DD"/>
    <w:rsid w:val="00781055"/>
    <w:rsid w:val="00784DB7"/>
    <w:rsid w:val="00786A76"/>
    <w:rsid w:val="00787617"/>
    <w:rsid w:val="00790F50"/>
    <w:rsid w:val="007957A4"/>
    <w:rsid w:val="00796693"/>
    <w:rsid w:val="007A0F41"/>
    <w:rsid w:val="007A18E5"/>
    <w:rsid w:val="007A6E63"/>
    <w:rsid w:val="007C7591"/>
    <w:rsid w:val="007D1C7E"/>
    <w:rsid w:val="007D5CD5"/>
    <w:rsid w:val="007F6AE9"/>
    <w:rsid w:val="00804004"/>
    <w:rsid w:val="00805091"/>
    <w:rsid w:val="00805692"/>
    <w:rsid w:val="008145FD"/>
    <w:rsid w:val="00815100"/>
    <w:rsid w:val="0081670A"/>
    <w:rsid w:val="008210EE"/>
    <w:rsid w:val="00824173"/>
    <w:rsid w:val="00825933"/>
    <w:rsid w:val="00826D54"/>
    <w:rsid w:val="0083422B"/>
    <w:rsid w:val="00834CBF"/>
    <w:rsid w:val="008366E6"/>
    <w:rsid w:val="00836F89"/>
    <w:rsid w:val="00846459"/>
    <w:rsid w:val="00851953"/>
    <w:rsid w:val="00855A3D"/>
    <w:rsid w:val="0085757D"/>
    <w:rsid w:val="00857650"/>
    <w:rsid w:val="00860AE9"/>
    <w:rsid w:val="00861119"/>
    <w:rsid w:val="00863435"/>
    <w:rsid w:val="00864954"/>
    <w:rsid w:val="00865870"/>
    <w:rsid w:val="008712CC"/>
    <w:rsid w:val="00872827"/>
    <w:rsid w:val="0087349A"/>
    <w:rsid w:val="00873509"/>
    <w:rsid w:val="0087532D"/>
    <w:rsid w:val="008827BB"/>
    <w:rsid w:val="008865B6"/>
    <w:rsid w:val="00890C1D"/>
    <w:rsid w:val="00892E1B"/>
    <w:rsid w:val="008949E3"/>
    <w:rsid w:val="00895DF4"/>
    <w:rsid w:val="008A0302"/>
    <w:rsid w:val="008A0E49"/>
    <w:rsid w:val="008A0FF0"/>
    <w:rsid w:val="008A3DD3"/>
    <w:rsid w:val="008A7971"/>
    <w:rsid w:val="008B0A19"/>
    <w:rsid w:val="008B1A4D"/>
    <w:rsid w:val="008B6AE5"/>
    <w:rsid w:val="008C4D22"/>
    <w:rsid w:val="008D0A54"/>
    <w:rsid w:val="008D25C0"/>
    <w:rsid w:val="008D589C"/>
    <w:rsid w:val="008D698F"/>
    <w:rsid w:val="008E3A14"/>
    <w:rsid w:val="008E7085"/>
    <w:rsid w:val="008F2B0A"/>
    <w:rsid w:val="008F3977"/>
    <w:rsid w:val="008F465E"/>
    <w:rsid w:val="008F60C3"/>
    <w:rsid w:val="00900C55"/>
    <w:rsid w:val="009032AE"/>
    <w:rsid w:val="00903C83"/>
    <w:rsid w:val="00904969"/>
    <w:rsid w:val="00907996"/>
    <w:rsid w:val="00911360"/>
    <w:rsid w:val="00912A00"/>
    <w:rsid w:val="009254D6"/>
    <w:rsid w:val="0092669B"/>
    <w:rsid w:val="009268EB"/>
    <w:rsid w:val="0093163E"/>
    <w:rsid w:val="00933413"/>
    <w:rsid w:val="00936436"/>
    <w:rsid w:val="00936989"/>
    <w:rsid w:val="00937F46"/>
    <w:rsid w:val="009428F9"/>
    <w:rsid w:val="0095220B"/>
    <w:rsid w:val="00956CEB"/>
    <w:rsid w:val="00966BAC"/>
    <w:rsid w:val="00973001"/>
    <w:rsid w:val="00975E37"/>
    <w:rsid w:val="00980769"/>
    <w:rsid w:val="009813A2"/>
    <w:rsid w:val="00987056"/>
    <w:rsid w:val="00990711"/>
    <w:rsid w:val="009A2ABE"/>
    <w:rsid w:val="009A50E1"/>
    <w:rsid w:val="009A6A2F"/>
    <w:rsid w:val="009A72EC"/>
    <w:rsid w:val="009B2E9C"/>
    <w:rsid w:val="009B39CB"/>
    <w:rsid w:val="009B47BA"/>
    <w:rsid w:val="009C0852"/>
    <w:rsid w:val="009C755C"/>
    <w:rsid w:val="009C780F"/>
    <w:rsid w:val="009C7CF6"/>
    <w:rsid w:val="009D794C"/>
    <w:rsid w:val="00A132E4"/>
    <w:rsid w:val="00A1566E"/>
    <w:rsid w:val="00A16821"/>
    <w:rsid w:val="00A244E1"/>
    <w:rsid w:val="00A25353"/>
    <w:rsid w:val="00A25E99"/>
    <w:rsid w:val="00A34F5F"/>
    <w:rsid w:val="00A42976"/>
    <w:rsid w:val="00A440D1"/>
    <w:rsid w:val="00A46A68"/>
    <w:rsid w:val="00A50EE9"/>
    <w:rsid w:val="00A50F5A"/>
    <w:rsid w:val="00A55BBD"/>
    <w:rsid w:val="00A56CFB"/>
    <w:rsid w:val="00A746DE"/>
    <w:rsid w:val="00A7476B"/>
    <w:rsid w:val="00A76104"/>
    <w:rsid w:val="00A8201E"/>
    <w:rsid w:val="00A847CB"/>
    <w:rsid w:val="00A86F48"/>
    <w:rsid w:val="00A92E9D"/>
    <w:rsid w:val="00A9730A"/>
    <w:rsid w:val="00AA2239"/>
    <w:rsid w:val="00AA3E0C"/>
    <w:rsid w:val="00AA4635"/>
    <w:rsid w:val="00AB2C50"/>
    <w:rsid w:val="00AB6429"/>
    <w:rsid w:val="00AC0937"/>
    <w:rsid w:val="00AC18DF"/>
    <w:rsid w:val="00AC6DC1"/>
    <w:rsid w:val="00AD0A33"/>
    <w:rsid w:val="00AD31BE"/>
    <w:rsid w:val="00AD61D7"/>
    <w:rsid w:val="00AD68F3"/>
    <w:rsid w:val="00AE0982"/>
    <w:rsid w:val="00AE444E"/>
    <w:rsid w:val="00AF19D4"/>
    <w:rsid w:val="00AF2153"/>
    <w:rsid w:val="00AF45EA"/>
    <w:rsid w:val="00AF47B0"/>
    <w:rsid w:val="00AF5AA1"/>
    <w:rsid w:val="00B0059D"/>
    <w:rsid w:val="00B07524"/>
    <w:rsid w:val="00B113E7"/>
    <w:rsid w:val="00B17674"/>
    <w:rsid w:val="00B30F2F"/>
    <w:rsid w:val="00B3565C"/>
    <w:rsid w:val="00B35B7C"/>
    <w:rsid w:val="00B36790"/>
    <w:rsid w:val="00B435D8"/>
    <w:rsid w:val="00B45879"/>
    <w:rsid w:val="00B51D95"/>
    <w:rsid w:val="00B53C15"/>
    <w:rsid w:val="00B6405B"/>
    <w:rsid w:val="00B67D0F"/>
    <w:rsid w:val="00B73298"/>
    <w:rsid w:val="00B74DAF"/>
    <w:rsid w:val="00B7746D"/>
    <w:rsid w:val="00B84553"/>
    <w:rsid w:val="00B90095"/>
    <w:rsid w:val="00B93207"/>
    <w:rsid w:val="00BA0D12"/>
    <w:rsid w:val="00BA5044"/>
    <w:rsid w:val="00BA7FF0"/>
    <w:rsid w:val="00BB0A55"/>
    <w:rsid w:val="00BB51B1"/>
    <w:rsid w:val="00BB5F83"/>
    <w:rsid w:val="00BC01EB"/>
    <w:rsid w:val="00BC55C2"/>
    <w:rsid w:val="00BD2603"/>
    <w:rsid w:val="00BD3522"/>
    <w:rsid w:val="00BD3964"/>
    <w:rsid w:val="00BD43E6"/>
    <w:rsid w:val="00BD5E78"/>
    <w:rsid w:val="00BE2271"/>
    <w:rsid w:val="00BE378E"/>
    <w:rsid w:val="00BF279A"/>
    <w:rsid w:val="00C00ECC"/>
    <w:rsid w:val="00C05846"/>
    <w:rsid w:val="00C0799A"/>
    <w:rsid w:val="00C07B58"/>
    <w:rsid w:val="00C11D0D"/>
    <w:rsid w:val="00C1269D"/>
    <w:rsid w:val="00C14BDD"/>
    <w:rsid w:val="00C14CFD"/>
    <w:rsid w:val="00C2091F"/>
    <w:rsid w:val="00C26544"/>
    <w:rsid w:val="00C30D60"/>
    <w:rsid w:val="00C34188"/>
    <w:rsid w:val="00C364F8"/>
    <w:rsid w:val="00C36E6D"/>
    <w:rsid w:val="00C415A7"/>
    <w:rsid w:val="00C47D94"/>
    <w:rsid w:val="00C509C3"/>
    <w:rsid w:val="00C50A17"/>
    <w:rsid w:val="00C50F14"/>
    <w:rsid w:val="00C55223"/>
    <w:rsid w:val="00C61C4F"/>
    <w:rsid w:val="00C704FD"/>
    <w:rsid w:val="00C70EAE"/>
    <w:rsid w:val="00C72B76"/>
    <w:rsid w:val="00C745F0"/>
    <w:rsid w:val="00C74A00"/>
    <w:rsid w:val="00C751C9"/>
    <w:rsid w:val="00C83435"/>
    <w:rsid w:val="00C83B65"/>
    <w:rsid w:val="00C87A3E"/>
    <w:rsid w:val="00C9218D"/>
    <w:rsid w:val="00C96869"/>
    <w:rsid w:val="00CC25D2"/>
    <w:rsid w:val="00CD18BC"/>
    <w:rsid w:val="00CD2C35"/>
    <w:rsid w:val="00CD50B5"/>
    <w:rsid w:val="00CD73A9"/>
    <w:rsid w:val="00CE250C"/>
    <w:rsid w:val="00CE3A3E"/>
    <w:rsid w:val="00CE4D4B"/>
    <w:rsid w:val="00CF33ED"/>
    <w:rsid w:val="00CF7EC6"/>
    <w:rsid w:val="00D06F12"/>
    <w:rsid w:val="00D07C57"/>
    <w:rsid w:val="00D20619"/>
    <w:rsid w:val="00D21EF3"/>
    <w:rsid w:val="00D22B00"/>
    <w:rsid w:val="00D27A7B"/>
    <w:rsid w:val="00D41205"/>
    <w:rsid w:val="00D42EE4"/>
    <w:rsid w:val="00D46315"/>
    <w:rsid w:val="00D46790"/>
    <w:rsid w:val="00D50909"/>
    <w:rsid w:val="00D52D0C"/>
    <w:rsid w:val="00D6504C"/>
    <w:rsid w:val="00D677AA"/>
    <w:rsid w:val="00D73F4D"/>
    <w:rsid w:val="00D76E27"/>
    <w:rsid w:val="00D82E57"/>
    <w:rsid w:val="00D831C1"/>
    <w:rsid w:val="00D91C27"/>
    <w:rsid w:val="00D97B76"/>
    <w:rsid w:val="00DA114A"/>
    <w:rsid w:val="00DA23F0"/>
    <w:rsid w:val="00DA522B"/>
    <w:rsid w:val="00DA712E"/>
    <w:rsid w:val="00DB7B0F"/>
    <w:rsid w:val="00DC10CA"/>
    <w:rsid w:val="00DC2D0D"/>
    <w:rsid w:val="00DC3078"/>
    <w:rsid w:val="00DC50EC"/>
    <w:rsid w:val="00DC5925"/>
    <w:rsid w:val="00DC60FA"/>
    <w:rsid w:val="00DC6BD3"/>
    <w:rsid w:val="00DD00DE"/>
    <w:rsid w:val="00DD192A"/>
    <w:rsid w:val="00DE23AF"/>
    <w:rsid w:val="00DF3B9A"/>
    <w:rsid w:val="00DF5C47"/>
    <w:rsid w:val="00DF7C87"/>
    <w:rsid w:val="00E07BC7"/>
    <w:rsid w:val="00E07CC9"/>
    <w:rsid w:val="00E14B87"/>
    <w:rsid w:val="00E16E27"/>
    <w:rsid w:val="00E17598"/>
    <w:rsid w:val="00E30C1E"/>
    <w:rsid w:val="00E3118D"/>
    <w:rsid w:val="00E3303A"/>
    <w:rsid w:val="00E34316"/>
    <w:rsid w:val="00E402FF"/>
    <w:rsid w:val="00E40B36"/>
    <w:rsid w:val="00E41BDE"/>
    <w:rsid w:val="00E458D1"/>
    <w:rsid w:val="00E459DC"/>
    <w:rsid w:val="00E56393"/>
    <w:rsid w:val="00E579B9"/>
    <w:rsid w:val="00E62337"/>
    <w:rsid w:val="00E633BE"/>
    <w:rsid w:val="00E634B8"/>
    <w:rsid w:val="00E65B3B"/>
    <w:rsid w:val="00E66090"/>
    <w:rsid w:val="00E77405"/>
    <w:rsid w:val="00E77A44"/>
    <w:rsid w:val="00E84E8F"/>
    <w:rsid w:val="00E918A2"/>
    <w:rsid w:val="00E92BCC"/>
    <w:rsid w:val="00E94E19"/>
    <w:rsid w:val="00EA279B"/>
    <w:rsid w:val="00EA30D7"/>
    <w:rsid w:val="00EA464C"/>
    <w:rsid w:val="00EA5199"/>
    <w:rsid w:val="00EA70A5"/>
    <w:rsid w:val="00EB4D7A"/>
    <w:rsid w:val="00EC1BB5"/>
    <w:rsid w:val="00EC7D3E"/>
    <w:rsid w:val="00ED3974"/>
    <w:rsid w:val="00ED577C"/>
    <w:rsid w:val="00ED7057"/>
    <w:rsid w:val="00ED7A05"/>
    <w:rsid w:val="00EE2DD5"/>
    <w:rsid w:val="00EE334C"/>
    <w:rsid w:val="00EE5452"/>
    <w:rsid w:val="00EF0C37"/>
    <w:rsid w:val="00EF20C0"/>
    <w:rsid w:val="00EF2A2C"/>
    <w:rsid w:val="00EF3727"/>
    <w:rsid w:val="00EF4E76"/>
    <w:rsid w:val="00EF55E5"/>
    <w:rsid w:val="00F02153"/>
    <w:rsid w:val="00F036D2"/>
    <w:rsid w:val="00F058DF"/>
    <w:rsid w:val="00F063AE"/>
    <w:rsid w:val="00F0774A"/>
    <w:rsid w:val="00F15675"/>
    <w:rsid w:val="00F1732F"/>
    <w:rsid w:val="00F21250"/>
    <w:rsid w:val="00F2398D"/>
    <w:rsid w:val="00F26C23"/>
    <w:rsid w:val="00F34E7E"/>
    <w:rsid w:val="00F34EB0"/>
    <w:rsid w:val="00F353C1"/>
    <w:rsid w:val="00F3560F"/>
    <w:rsid w:val="00F37BB6"/>
    <w:rsid w:val="00F40A7C"/>
    <w:rsid w:val="00F42E2A"/>
    <w:rsid w:val="00F5213F"/>
    <w:rsid w:val="00F54AC7"/>
    <w:rsid w:val="00F55AA7"/>
    <w:rsid w:val="00F55B9A"/>
    <w:rsid w:val="00F634A3"/>
    <w:rsid w:val="00F672B3"/>
    <w:rsid w:val="00F6794F"/>
    <w:rsid w:val="00F70716"/>
    <w:rsid w:val="00F70D5F"/>
    <w:rsid w:val="00F710F9"/>
    <w:rsid w:val="00F71ADC"/>
    <w:rsid w:val="00F7620F"/>
    <w:rsid w:val="00F87F40"/>
    <w:rsid w:val="00F9008A"/>
    <w:rsid w:val="00F91474"/>
    <w:rsid w:val="00F936B1"/>
    <w:rsid w:val="00F93A92"/>
    <w:rsid w:val="00F93BA4"/>
    <w:rsid w:val="00FA0AE4"/>
    <w:rsid w:val="00FA4591"/>
    <w:rsid w:val="00FA75A5"/>
    <w:rsid w:val="00FB4DBA"/>
    <w:rsid w:val="00FB667E"/>
    <w:rsid w:val="00FC2825"/>
    <w:rsid w:val="00FC5A1B"/>
    <w:rsid w:val="00FE552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CE6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paragraph" w:styleId="Heading4">
    <w:name w:val="heading 4"/>
    <w:basedOn w:val="Normal"/>
    <w:next w:val="Normal"/>
    <w:link w:val="Heading4Char"/>
    <w:semiHidden/>
    <w:unhideWhenUsed/>
    <w:qFormat/>
    <w:rsid w:val="00276CE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paragraph" w:styleId="Footer">
    <w:name w:val="footer"/>
    <w:basedOn w:val="Normal"/>
    <w:link w:val="FooterChar"/>
    <w:uiPriority w:val="99"/>
    <w:rsid w:val="00665C7E"/>
    <w:pPr>
      <w:tabs>
        <w:tab w:val="center" w:pos="4320"/>
        <w:tab w:val="right" w:pos="8640"/>
      </w:tabs>
    </w:pPr>
  </w:style>
  <w:style w:type="character" w:customStyle="1" w:styleId="FooterChar">
    <w:name w:val="Footer Char"/>
    <w:link w:val="Footer"/>
    <w:uiPriority w:val="99"/>
    <w:rsid w:val="00387656"/>
    <w:rPr>
      <w:rFonts w:ascii="Arial" w:hAnsi="Arial" w:cs="Arial"/>
      <w:sz w:val="24"/>
      <w:szCs w:val="24"/>
    </w:r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B30F2F"/>
    <w:pPr>
      <w:tabs>
        <w:tab w:val="right" w:leader="dot" w:pos="8630"/>
      </w:tabs>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65B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5B3B"/>
    <w:rPr>
      <w:rFonts w:ascii="Segoe UI" w:hAnsi="Segoe UI" w:cs="Segoe UI"/>
      <w:sz w:val="18"/>
      <w:szCs w:val="18"/>
    </w:rPr>
  </w:style>
  <w:style w:type="paragraph" w:customStyle="1" w:styleId="EndNoteBibliographyTitle">
    <w:name w:val="EndNote Bibliography Title"/>
    <w:basedOn w:val="Normal"/>
    <w:link w:val="EndNoteBibliographyTitleChar"/>
    <w:rsid w:val="00E65B3B"/>
    <w:pPr>
      <w:jc w:val="center"/>
    </w:pPr>
    <w:rPr>
      <w:noProof/>
    </w:rPr>
  </w:style>
  <w:style w:type="character" w:customStyle="1" w:styleId="EndNoteBibliographyTitleChar">
    <w:name w:val="EndNote Bibliography Title Char"/>
    <w:basedOn w:val="DefaultParagraphFont"/>
    <w:link w:val="EndNoteBibliographyTitle"/>
    <w:rsid w:val="00E65B3B"/>
    <w:rPr>
      <w:rFonts w:ascii="Arial" w:hAnsi="Arial" w:cs="Arial"/>
      <w:noProof/>
      <w:sz w:val="24"/>
      <w:szCs w:val="24"/>
    </w:rPr>
  </w:style>
  <w:style w:type="paragraph" w:customStyle="1" w:styleId="EndNoteBibliography">
    <w:name w:val="EndNote Bibliography"/>
    <w:basedOn w:val="Normal"/>
    <w:link w:val="EndNoteBibliographyChar"/>
    <w:rsid w:val="00E65B3B"/>
    <w:rPr>
      <w:noProof/>
    </w:rPr>
  </w:style>
  <w:style w:type="character" w:customStyle="1" w:styleId="EndNoteBibliographyChar">
    <w:name w:val="EndNote Bibliography Char"/>
    <w:basedOn w:val="DefaultParagraphFont"/>
    <w:link w:val="EndNoteBibliography"/>
    <w:rsid w:val="00E65B3B"/>
    <w:rPr>
      <w:rFonts w:ascii="Arial" w:hAnsi="Arial" w:cs="Arial"/>
      <w:noProof/>
      <w:sz w:val="24"/>
      <w:szCs w:val="24"/>
    </w:rPr>
  </w:style>
  <w:style w:type="character" w:styleId="CommentReference">
    <w:name w:val="annotation reference"/>
    <w:basedOn w:val="DefaultParagraphFont"/>
    <w:uiPriority w:val="99"/>
    <w:semiHidden/>
    <w:unhideWhenUsed/>
    <w:rsid w:val="00E65B3B"/>
    <w:rPr>
      <w:sz w:val="16"/>
      <w:szCs w:val="16"/>
    </w:rPr>
  </w:style>
  <w:style w:type="paragraph" w:styleId="CommentText">
    <w:name w:val="annotation text"/>
    <w:basedOn w:val="Normal"/>
    <w:link w:val="CommentTextChar"/>
    <w:uiPriority w:val="99"/>
    <w:unhideWhenUsed/>
    <w:rsid w:val="00E65B3B"/>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E65B3B"/>
    <w:rPr>
      <w:rFonts w:asciiTheme="minorHAnsi" w:eastAsiaTheme="minorHAnsi" w:hAnsiTheme="minorHAnsi" w:cstheme="minorBidi"/>
    </w:rPr>
  </w:style>
  <w:style w:type="paragraph" w:customStyle="1" w:styleId="MDPI31text">
    <w:name w:val="MDPI_3.1_text"/>
    <w:qFormat/>
    <w:rsid w:val="00074130"/>
    <w:pPr>
      <w:adjustRightInd w:val="0"/>
      <w:snapToGrid w:val="0"/>
      <w:spacing w:line="228" w:lineRule="auto"/>
      <w:ind w:left="2608" w:firstLine="425"/>
      <w:jc w:val="both"/>
    </w:pPr>
    <w:rPr>
      <w:rFonts w:ascii="Palatino Linotype" w:hAnsi="Palatino Linotype"/>
      <w:snapToGrid w:val="0"/>
      <w:color w:val="000000"/>
      <w:szCs w:val="22"/>
      <w:lang w:eastAsia="de-DE" w:bidi="en-US"/>
    </w:rPr>
  </w:style>
  <w:style w:type="character" w:styleId="UnresolvedMention">
    <w:name w:val="Unresolved Mention"/>
    <w:basedOn w:val="DefaultParagraphFont"/>
    <w:uiPriority w:val="99"/>
    <w:semiHidden/>
    <w:unhideWhenUsed/>
    <w:rsid w:val="00F936B1"/>
    <w:rPr>
      <w:color w:val="605E5C"/>
      <w:shd w:val="clear" w:color="auto" w:fill="E1DFDD"/>
    </w:rPr>
  </w:style>
  <w:style w:type="paragraph" w:customStyle="1" w:styleId="MDPI21heading1">
    <w:name w:val="MDPI_2.1_heading1"/>
    <w:qFormat/>
    <w:rsid w:val="00EA30D7"/>
    <w:pPr>
      <w:adjustRightInd w:val="0"/>
      <w:snapToGrid w:val="0"/>
      <w:spacing w:before="240" w:after="60" w:line="228" w:lineRule="auto"/>
      <w:ind w:left="2608"/>
      <w:outlineLvl w:val="0"/>
    </w:pPr>
    <w:rPr>
      <w:rFonts w:ascii="Palatino Linotype" w:hAnsi="Palatino Linotype"/>
      <w:b/>
      <w:snapToGrid w:val="0"/>
      <w:color w:val="000000"/>
      <w:szCs w:val="22"/>
      <w:lang w:eastAsia="de-DE" w:bidi="en-US"/>
    </w:rPr>
  </w:style>
  <w:style w:type="paragraph" w:styleId="CommentSubject">
    <w:name w:val="annotation subject"/>
    <w:basedOn w:val="CommentText"/>
    <w:next w:val="CommentText"/>
    <w:link w:val="CommentSubjectChar"/>
    <w:uiPriority w:val="99"/>
    <w:semiHidden/>
    <w:unhideWhenUsed/>
    <w:rsid w:val="00695799"/>
    <w:pPr>
      <w:spacing w:after="0"/>
    </w:pPr>
    <w:rPr>
      <w:rFonts w:ascii="Arial" w:eastAsia="Times New Roman" w:hAnsi="Arial" w:cs="Arial"/>
      <w:b/>
      <w:bCs/>
    </w:rPr>
  </w:style>
  <w:style w:type="character" w:customStyle="1" w:styleId="CommentSubjectChar">
    <w:name w:val="Comment Subject Char"/>
    <w:basedOn w:val="CommentTextChar"/>
    <w:link w:val="CommentSubject"/>
    <w:uiPriority w:val="99"/>
    <w:semiHidden/>
    <w:rsid w:val="00695799"/>
    <w:rPr>
      <w:rFonts w:ascii="Arial" w:eastAsiaTheme="minorHAnsi" w:hAnsi="Arial" w:cs="Arial"/>
      <w:b/>
      <w:bCs/>
    </w:rPr>
  </w:style>
  <w:style w:type="paragraph" w:styleId="BodyText">
    <w:name w:val="Body Text"/>
    <w:basedOn w:val="Normal"/>
    <w:link w:val="BodyTextChar"/>
    <w:uiPriority w:val="99"/>
    <w:unhideWhenUsed/>
    <w:rsid w:val="00EE2DD5"/>
    <w:pPr>
      <w:spacing w:line="480" w:lineRule="auto"/>
    </w:pPr>
    <w:rPr>
      <w:rFonts w:ascii="Times New Roman" w:eastAsia="Calibri" w:hAnsi="Times New Roman" w:cs="Times New Roman"/>
      <w:szCs w:val="22"/>
    </w:rPr>
  </w:style>
  <w:style w:type="character" w:customStyle="1" w:styleId="BodyTextChar">
    <w:name w:val="Body Text Char"/>
    <w:basedOn w:val="DefaultParagraphFont"/>
    <w:link w:val="BodyText"/>
    <w:uiPriority w:val="99"/>
    <w:rsid w:val="00EE2DD5"/>
    <w:rPr>
      <w:rFonts w:eastAsia="Calibri"/>
      <w:sz w:val="24"/>
      <w:szCs w:val="22"/>
    </w:rPr>
  </w:style>
  <w:style w:type="character" w:styleId="FollowedHyperlink">
    <w:name w:val="FollowedHyperlink"/>
    <w:basedOn w:val="DefaultParagraphFont"/>
    <w:uiPriority w:val="99"/>
    <w:semiHidden/>
    <w:unhideWhenUsed/>
    <w:rsid w:val="00F34E7E"/>
    <w:rPr>
      <w:color w:val="800080" w:themeColor="followedHyperlink"/>
      <w:u w:val="single"/>
    </w:rPr>
  </w:style>
  <w:style w:type="paragraph" w:styleId="ListParagraph">
    <w:name w:val="List Paragraph"/>
    <w:basedOn w:val="Normal"/>
    <w:uiPriority w:val="34"/>
    <w:qFormat/>
    <w:rsid w:val="0056426C"/>
    <w:pPr>
      <w:ind w:left="720"/>
      <w:contextualSpacing/>
    </w:pPr>
  </w:style>
  <w:style w:type="paragraph" w:styleId="Revision">
    <w:name w:val="Revision"/>
    <w:hidden/>
    <w:uiPriority w:val="99"/>
    <w:semiHidden/>
    <w:rsid w:val="00E918A2"/>
    <w:rPr>
      <w:rFonts w:ascii="Arial" w:hAnsi="Arial" w:cs="Arial"/>
      <w:sz w:val="24"/>
      <w:szCs w:val="24"/>
    </w:rPr>
  </w:style>
  <w:style w:type="paragraph" w:customStyle="1" w:styleId="MDPI17abstract">
    <w:name w:val="MDPI_1.7_abstract"/>
    <w:next w:val="Normal"/>
    <w:qFormat/>
    <w:rsid w:val="00C61C4F"/>
    <w:pPr>
      <w:adjustRightInd w:val="0"/>
      <w:snapToGrid w:val="0"/>
      <w:spacing w:before="240" w:line="260" w:lineRule="atLeast"/>
      <w:ind w:left="2608"/>
      <w:jc w:val="both"/>
    </w:pPr>
    <w:rPr>
      <w:rFonts w:ascii="Palatino Linotype" w:hAnsi="Palatino Linotype"/>
      <w:color w:val="000000"/>
      <w:sz w:val="18"/>
      <w:szCs w:val="22"/>
      <w:lang w:eastAsia="de-DE" w:bidi="en-US"/>
    </w:rPr>
  </w:style>
  <w:style w:type="character" w:customStyle="1" w:styleId="identifier">
    <w:name w:val="identifier"/>
    <w:basedOn w:val="DefaultParagraphFont"/>
    <w:rsid w:val="000B6019"/>
  </w:style>
  <w:style w:type="paragraph" w:customStyle="1" w:styleId="MDPI62BackMatter">
    <w:name w:val="MDPI_6.2_BackMatter"/>
    <w:qFormat/>
    <w:rsid w:val="00565029"/>
    <w:pPr>
      <w:adjustRightInd w:val="0"/>
      <w:snapToGrid w:val="0"/>
      <w:spacing w:after="120" w:line="228" w:lineRule="auto"/>
      <w:ind w:left="2608"/>
      <w:jc w:val="both"/>
    </w:pPr>
    <w:rPr>
      <w:rFonts w:ascii="Palatino Linotype" w:hAnsi="Palatino Linotype"/>
      <w:snapToGrid w:val="0"/>
      <w:color w:val="000000"/>
      <w:sz w:val="18"/>
      <w:lang w:bidi="en-US"/>
    </w:rPr>
  </w:style>
  <w:style w:type="paragraph" w:customStyle="1" w:styleId="Diss2">
    <w:name w:val="Diss 2"/>
    <w:basedOn w:val="Heading2"/>
    <w:qFormat/>
    <w:rsid w:val="000D2CCE"/>
    <w:pPr>
      <w:spacing w:line="480" w:lineRule="auto"/>
      <w:jc w:val="left"/>
    </w:pPr>
    <w:rPr>
      <w:rFonts w:ascii="Times New Roman" w:eastAsiaTheme="minorHAnsi" w:hAnsi="Times New Roman" w:cs="Times New Roman"/>
      <w:sz w:val="24"/>
      <w:szCs w:val="24"/>
    </w:rPr>
  </w:style>
  <w:style w:type="paragraph" w:customStyle="1" w:styleId="Diss3">
    <w:name w:val="Diss 3"/>
    <w:basedOn w:val="Heading3"/>
    <w:qFormat/>
    <w:rsid w:val="000D2CCE"/>
    <w:pPr>
      <w:spacing w:line="480" w:lineRule="auto"/>
      <w:contextualSpacing/>
    </w:pPr>
    <w:rPr>
      <w:rFonts w:ascii="Times New Roman" w:hAnsi="Times New Roman" w:cs="Times New Roman"/>
    </w:rPr>
  </w:style>
  <w:style w:type="paragraph" w:customStyle="1" w:styleId="Diss4">
    <w:name w:val="Diss 4"/>
    <w:basedOn w:val="Heading4"/>
    <w:qFormat/>
    <w:rsid w:val="00276CE1"/>
    <w:pPr>
      <w:spacing w:line="480" w:lineRule="auto"/>
    </w:pPr>
    <w:rPr>
      <w:rFonts w:ascii="Times New Roman" w:hAnsi="Times New Roman" w:cs="Times New Roman"/>
      <w:color w:val="000000" w:themeColor="text1"/>
      <w:lang w:bidi="en-US"/>
    </w:rPr>
  </w:style>
  <w:style w:type="character" w:customStyle="1" w:styleId="Heading4Char">
    <w:name w:val="Heading 4 Char"/>
    <w:basedOn w:val="DefaultParagraphFont"/>
    <w:link w:val="Heading4"/>
    <w:semiHidden/>
    <w:rsid w:val="00276CE1"/>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253690">
      <w:bodyDiv w:val="1"/>
      <w:marLeft w:val="0"/>
      <w:marRight w:val="0"/>
      <w:marTop w:val="0"/>
      <w:marBottom w:val="0"/>
      <w:divBdr>
        <w:top w:val="none" w:sz="0" w:space="0" w:color="auto"/>
        <w:left w:val="none" w:sz="0" w:space="0" w:color="auto"/>
        <w:bottom w:val="none" w:sz="0" w:space="0" w:color="auto"/>
        <w:right w:val="none" w:sz="0" w:space="0" w:color="auto"/>
      </w:divBdr>
    </w:div>
    <w:div w:id="367726710">
      <w:bodyDiv w:val="1"/>
      <w:marLeft w:val="0"/>
      <w:marRight w:val="0"/>
      <w:marTop w:val="0"/>
      <w:marBottom w:val="0"/>
      <w:divBdr>
        <w:top w:val="none" w:sz="0" w:space="0" w:color="auto"/>
        <w:left w:val="none" w:sz="0" w:space="0" w:color="auto"/>
        <w:bottom w:val="none" w:sz="0" w:space="0" w:color="auto"/>
        <w:right w:val="none" w:sz="0" w:space="0" w:color="auto"/>
      </w:divBdr>
    </w:div>
    <w:div w:id="408769650">
      <w:bodyDiv w:val="1"/>
      <w:marLeft w:val="0"/>
      <w:marRight w:val="0"/>
      <w:marTop w:val="0"/>
      <w:marBottom w:val="0"/>
      <w:divBdr>
        <w:top w:val="none" w:sz="0" w:space="0" w:color="auto"/>
        <w:left w:val="none" w:sz="0" w:space="0" w:color="auto"/>
        <w:bottom w:val="none" w:sz="0" w:space="0" w:color="auto"/>
        <w:right w:val="none" w:sz="0" w:space="0" w:color="auto"/>
      </w:divBdr>
    </w:div>
    <w:div w:id="483739600">
      <w:bodyDiv w:val="1"/>
      <w:marLeft w:val="0"/>
      <w:marRight w:val="0"/>
      <w:marTop w:val="0"/>
      <w:marBottom w:val="0"/>
      <w:divBdr>
        <w:top w:val="none" w:sz="0" w:space="0" w:color="auto"/>
        <w:left w:val="none" w:sz="0" w:space="0" w:color="auto"/>
        <w:bottom w:val="none" w:sz="0" w:space="0" w:color="auto"/>
        <w:right w:val="none" w:sz="0" w:space="0" w:color="auto"/>
      </w:divBdr>
    </w:div>
    <w:div w:id="507528506">
      <w:bodyDiv w:val="1"/>
      <w:marLeft w:val="0"/>
      <w:marRight w:val="0"/>
      <w:marTop w:val="0"/>
      <w:marBottom w:val="0"/>
      <w:divBdr>
        <w:top w:val="none" w:sz="0" w:space="0" w:color="auto"/>
        <w:left w:val="none" w:sz="0" w:space="0" w:color="auto"/>
        <w:bottom w:val="none" w:sz="0" w:space="0" w:color="auto"/>
        <w:right w:val="none" w:sz="0" w:space="0" w:color="auto"/>
      </w:divBdr>
    </w:div>
    <w:div w:id="535309637">
      <w:bodyDiv w:val="1"/>
      <w:marLeft w:val="0"/>
      <w:marRight w:val="0"/>
      <w:marTop w:val="0"/>
      <w:marBottom w:val="0"/>
      <w:divBdr>
        <w:top w:val="none" w:sz="0" w:space="0" w:color="auto"/>
        <w:left w:val="none" w:sz="0" w:space="0" w:color="auto"/>
        <w:bottom w:val="none" w:sz="0" w:space="0" w:color="auto"/>
        <w:right w:val="none" w:sz="0" w:space="0" w:color="auto"/>
      </w:divBdr>
    </w:div>
    <w:div w:id="585722835">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044911200">
      <w:bodyDiv w:val="1"/>
      <w:marLeft w:val="0"/>
      <w:marRight w:val="0"/>
      <w:marTop w:val="0"/>
      <w:marBottom w:val="0"/>
      <w:divBdr>
        <w:top w:val="none" w:sz="0" w:space="0" w:color="auto"/>
        <w:left w:val="none" w:sz="0" w:space="0" w:color="auto"/>
        <w:bottom w:val="none" w:sz="0" w:space="0" w:color="auto"/>
        <w:right w:val="none" w:sz="0" w:space="0" w:color="auto"/>
      </w:divBdr>
    </w:div>
    <w:div w:id="1061371752">
      <w:bodyDiv w:val="1"/>
      <w:marLeft w:val="0"/>
      <w:marRight w:val="0"/>
      <w:marTop w:val="0"/>
      <w:marBottom w:val="0"/>
      <w:divBdr>
        <w:top w:val="none" w:sz="0" w:space="0" w:color="auto"/>
        <w:left w:val="none" w:sz="0" w:space="0" w:color="auto"/>
        <w:bottom w:val="none" w:sz="0" w:space="0" w:color="auto"/>
        <w:right w:val="none" w:sz="0" w:space="0" w:color="auto"/>
      </w:divBdr>
    </w:div>
    <w:div w:id="1118373240">
      <w:bodyDiv w:val="1"/>
      <w:marLeft w:val="0"/>
      <w:marRight w:val="0"/>
      <w:marTop w:val="0"/>
      <w:marBottom w:val="0"/>
      <w:divBdr>
        <w:top w:val="none" w:sz="0" w:space="0" w:color="auto"/>
        <w:left w:val="none" w:sz="0" w:space="0" w:color="auto"/>
        <w:bottom w:val="none" w:sz="0" w:space="0" w:color="auto"/>
        <w:right w:val="none" w:sz="0" w:space="0" w:color="auto"/>
      </w:divBdr>
    </w:div>
    <w:div w:id="1225988722">
      <w:bodyDiv w:val="1"/>
      <w:marLeft w:val="0"/>
      <w:marRight w:val="0"/>
      <w:marTop w:val="0"/>
      <w:marBottom w:val="0"/>
      <w:divBdr>
        <w:top w:val="none" w:sz="0" w:space="0" w:color="auto"/>
        <w:left w:val="none" w:sz="0" w:space="0" w:color="auto"/>
        <w:bottom w:val="none" w:sz="0" w:space="0" w:color="auto"/>
        <w:right w:val="none" w:sz="0" w:space="0" w:color="auto"/>
      </w:divBdr>
    </w:div>
    <w:div w:id="1416979673">
      <w:bodyDiv w:val="1"/>
      <w:marLeft w:val="0"/>
      <w:marRight w:val="0"/>
      <w:marTop w:val="0"/>
      <w:marBottom w:val="0"/>
      <w:divBdr>
        <w:top w:val="none" w:sz="0" w:space="0" w:color="auto"/>
        <w:left w:val="none" w:sz="0" w:space="0" w:color="auto"/>
        <w:bottom w:val="none" w:sz="0" w:space="0" w:color="auto"/>
        <w:right w:val="none" w:sz="0" w:space="0" w:color="auto"/>
      </w:divBdr>
    </w:div>
    <w:div w:id="1446386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svg"/><Relationship Id="rId20" Type="http://schemas.openxmlformats.org/officeDocument/2006/relationships/image" Target="media/image9.tif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9FA3C380E5D3498D9D24F07D628E1C" ma:contentTypeVersion="13" ma:contentTypeDescription="Create a new document." ma:contentTypeScope="" ma:versionID="548d99b0ec6815fdbcc89a2f17ff3c01">
  <xsd:schema xmlns:xsd="http://www.w3.org/2001/XMLSchema" xmlns:xs="http://www.w3.org/2001/XMLSchema" xmlns:p="http://schemas.microsoft.com/office/2006/metadata/properties" xmlns:ns3="d82671a9-ef5f-466d-826e-2e0a9852c7b4" xmlns:ns4="df3b1ea8-3582-4b29-ac2a-12b283fb5782" targetNamespace="http://schemas.microsoft.com/office/2006/metadata/properties" ma:root="true" ma:fieldsID="dddff3dbaa06e0384a4792fc01ef2882" ns3:_="" ns4:_="">
    <xsd:import namespace="d82671a9-ef5f-466d-826e-2e0a9852c7b4"/>
    <xsd:import namespace="df3b1ea8-3582-4b29-ac2a-12b283fb578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2671a9-ef5f-466d-826e-2e0a9852c7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3b1ea8-3582-4b29-ac2a-12b283fb578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46A143-7E5F-4108-BDA2-A7FF3A0BE4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2671a9-ef5f-466d-826e-2e0a9852c7b4"/>
    <ds:schemaRef ds:uri="df3b1ea8-3582-4b29-ac2a-12b283fb5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DD7474-F4B9-48E9-91BE-01E9B4FE288D}">
  <ds:schemaRefs>
    <ds:schemaRef ds:uri="http://schemas.microsoft.com/sharepoint/v3/contenttype/forms"/>
  </ds:schemaRefs>
</ds:datastoreItem>
</file>

<file path=customXml/itemProps3.xml><?xml version="1.0" encoding="utf-8"?>
<ds:datastoreItem xmlns:ds="http://schemas.openxmlformats.org/officeDocument/2006/customXml" ds:itemID="{2EC6C60C-5482-4529-A747-FCC2D8F38668}">
  <ds:schemaRefs>
    <ds:schemaRef ds:uri="http://schemas.openxmlformats.org/officeDocument/2006/bibliography"/>
  </ds:schemaRefs>
</ds:datastoreItem>
</file>

<file path=customXml/itemProps4.xml><?xml version="1.0" encoding="utf-8"?>
<ds:datastoreItem xmlns:ds="http://schemas.openxmlformats.org/officeDocument/2006/customXml" ds:itemID="{59D36B6D-5CB1-4D64-8EEE-B87B343233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C:\Users\asherm10\Documents\multipart-te.dotx</Template>
  <TotalTime>0</TotalTime>
  <Pages>170</Pages>
  <Words>44470</Words>
  <Characters>253485</Characters>
  <Application>Microsoft Office Word</Application>
  <DocSecurity>0</DocSecurity>
  <Lines>2112</Lines>
  <Paragraphs>594</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297361</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dc:description/>
  <cp:lastModifiedBy/>
  <cp:revision>1</cp:revision>
  <dcterms:created xsi:type="dcterms:W3CDTF">2022-04-05T21:30:00Z</dcterms:created>
  <dcterms:modified xsi:type="dcterms:W3CDTF">2022-04-05T22:01:00Z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0x0101001B9FA3C380E5D3498D9D24F07D628E1C</vt:lpwstr>
  </property>
</Properties>
</file>