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477" w:rsidRDefault="00613477" w:rsidP="00613477">
      <w:pPr>
        <w:spacing w:after="0" w:line="480" w:lineRule="auto"/>
        <w:jc w:val="center"/>
      </w:pPr>
    </w:p>
    <w:p w:rsidR="00613477" w:rsidRDefault="00613477" w:rsidP="00613477">
      <w:pPr>
        <w:spacing w:after="0" w:line="480" w:lineRule="auto"/>
        <w:jc w:val="center"/>
      </w:pPr>
    </w:p>
    <w:p w:rsidR="00613477" w:rsidRDefault="00613477" w:rsidP="00613477">
      <w:pPr>
        <w:spacing w:after="0" w:line="480" w:lineRule="auto"/>
        <w:jc w:val="center"/>
      </w:pPr>
    </w:p>
    <w:p w:rsidR="00613477" w:rsidRDefault="00613477" w:rsidP="00613477">
      <w:pPr>
        <w:spacing w:after="0" w:line="480" w:lineRule="auto"/>
        <w:jc w:val="center"/>
      </w:pPr>
    </w:p>
    <w:p w:rsidR="00613477" w:rsidRDefault="00613477" w:rsidP="00613477">
      <w:pPr>
        <w:spacing w:after="0" w:line="480" w:lineRule="auto"/>
        <w:jc w:val="center"/>
        <w:rPr>
          <w:sz w:val="56"/>
          <w:szCs w:val="56"/>
        </w:rPr>
      </w:pPr>
      <w:r>
        <w:rPr>
          <w:sz w:val="56"/>
          <w:szCs w:val="56"/>
        </w:rPr>
        <w:t>Better Maternal Interaction</w:t>
      </w:r>
    </w:p>
    <w:p w:rsidR="00613477" w:rsidRDefault="00613477" w:rsidP="00613477">
      <w:pPr>
        <w:spacing w:after="0" w:line="480" w:lineRule="auto"/>
        <w:jc w:val="center"/>
        <w:rPr>
          <w:sz w:val="56"/>
          <w:szCs w:val="56"/>
        </w:rPr>
      </w:pPr>
    </w:p>
    <w:p w:rsidR="00613477" w:rsidRPr="00613477" w:rsidRDefault="00613477" w:rsidP="00613477">
      <w:pPr>
        <w:spacing w:after="0" w:line="480" w:lineRule="auto"/>
        <w:jc w:val="center"/>
        <w:rPr>
          <w:sz w:val="56"/>
          <w:szCs w:val="56"/>
        </w:rPr>
      </w:pPr>
      <w:r>
        <w:rPr>
          <w:sz w:val="56"/>
          <w:szCs w:val="56"/>
        </w:rPr>
        <w:t>Zaynee Roy</w:t>
      </w:r>
    </w:p>
    <w:p w:rsidR="00613477" w:rsidRDefault="00613477" w:rsidP="00613477">
      <w:pPr>
        <w:spacing w:after="0" w:line="480" w:lineRule="auto"/>
      </w:pPr>
    </w:p>
    <w:p w:rsidR="00613477" w:rsidRDefault="00613477" w:rsidP="00613477">
      <w:pPr>
        <w:spacing w:after="0" w:line="480" w:lineRule="auto"/>
      </w:pPr>
    </w:p>
    <w:p w:rsidR="00613477" w:rsidRDefault="00613477" w:rsidP="00613477">
      <w:pPr>
        <w:spacing w:after="0" w:line="480" w:lineRule="auto"/>
      </w:pPr>
    </w:p>
    <w:p w:rsidR="00613477" w:rsidRDefault="00613477" w:rsidP="00613477">
      <w:pPr>
        <w:spacing w:after="0" w:line="480" w:lineRule="auto"/>
      </w:pPr>
    </w:p>
    <w:p w:rsidR="00613477" w:rsidRDefault="00613477" w:rsidP="00613477">
      <w:pPr>
        <w:spacing w:after="0" w:line="480" w:lineRule="auto"/>
      </w:pPr>
    </w:p>
    <w:p w:rsidR="00613477" w:rsidRDefault="00613477" w:rsidP="00613477">
      <w:pPr>
        <w:spacing w:after="0" w:line="480" w:lineRule="auto"/>
      </w:pPr>
    </w:p>
    <w:p w:rsidR="00613477" w:rsidRDefault="00613477" w:rsidP="00613477">
      <w:pPr>
        <w:spacing w:after="0" w:line="480" w:lineRule="auto"/>
      </w:pPr>
    </w:p>
    <w:p w:rsidR="00613477" w:rsidRDefault="00613477" w:rsidP="00613477">
      <w:pPr>
        <w:spacing w:after="0" w:line="480" w:lineRule="auto"/>
      </w:pPr>
    </w:p>
    <w:p w:rsidR="00613477" w:rsidRDefault="00613477" w:rsidP="00613477">
      <w:pPr>
        <w:spacing w:after="0" w:line="480" w:lineRule="auto"/>
      </w:pPr>
    </w:p>
    <w:p w:rsidR="00613477" w:rsidRDefault="00613477" w:rsidP="00613477">
      <w:pPr>
        <w:spacing w:after="0" w:line="480" w:lineRule="auto"/>
      </w:pPr>
    </w:p>
    <w:p w:rsidR="00613477" w:rsidRDefault="00613477" w:rsidP="00613477">
      <w:pPr>
        <w:spacing w:after="0" w:line="480" w:lineRule="auto"/>
      </w:pPr>
    </w:p>
    <w:p w:rsidR="00613477" w:rsidRDefault="00613477" w:rsidP="00613477">
      <w:pPr>
        <w:spacing w:after="0" w:line="480" w:lineRule="auto"/>
      </w:pPr>
    </w:p>
    <w:p w:rsidR="00613477" w:rsidRDefault="00613477" w:rsidP="00613477">
      <w:pPr>
        <w:spacing w:after="0" w:line="480" w:lineRule="auto"/>
        <w:ind w:firstLine="720"/>
        <w:jc w:val="center"/>
      </w:pPr>
      <w:r>
        <w:lastRenderedPageBreak/>
        <w:t xml:space="preserve">Abstract </w:t>
      </w:r>
    </w:p>
    <w:p w:rsidR="00DF6D46" w:rsidRDefault="00990052" w:rsidP="00613477">
      <w:pPr>
        <w:spacing w:after="0" w:line="480" w:lineRule="auto"/>
        <w:ind w:firstLine="720"/>
      </w:pPr>
      <w:r>
        <w:t>For my senior thesis, I have complied together all the different things that I have done to help with Dr. Patten’s study. Her study focuses on inte</w:t>
      </w:r>
      <w:r w:rsidR="00B96617">
        <w:t>rvention with teenage mothers and their babies</w:t>
      </w:r>
      <w:r w:rsidR="00EC0AF6">
        <w:t xml:space="preserve">. </w:t>
      </w:r>
      <w:r w:rsidR="00DF6D46">
        <w:t xml:space="preserve">Dr. Patten and her team </w:t>
      </w:r>
      <w:r w:rsidR="00B96617">
        <w:t>used video self-</w:t>
      </w:r>
      <w:r w:rsidR="00DF6D46">
        <w:t>modeling as</w:t>
      </w:r>
      <w:r w:rsidR="00B96617">
        <w:t xml:space="preserve"> their form of intervention. They videoed the teenage mothers interacting with their babies. When they played back the video for the mothers, they only told </w:t>
      </w:r>
      <w:r w:rsidR="00EC0AF6">
        <w:t>the mothers</w:t>
      </w:r>
      <w:r w:rsidR="00B96617">
        <w:t xml:space="preserve"> the positive aspects of their interaction</w:t>
      </w:r>
      <w:r w:rsidR="00DF6D46">
        <w:t xml:space="preserve"> with their babies</w:t>
      </w:r>
      <w:r w:rsidR="00B96617">
        <w:t>. The</w:t>
      </w:r>
      <w:r w:rsidR="00DF6D46">
        <w:t xml:space="preserve">n, they </w:t>
      </w:r>
      <w:r w:rsidR="00B96617">
        <w:t>used text</w:t>
      </w:r>
      <w:r w:rsidR="00DF6D46">
        <w:t xml:space="preserve"> </w:t>
      </w:r>
      <w:r w:rsidR="00B96617">
        <w:t>messaging to remind the mothers to keep up the positive aspe</w:t>
      </w:r>
      <w:r w:rsidR="00DF6D46">
        <w:t>cts of their</w:t>
      </w:r>
      <w:r w:rsidR="00612A8E">
        <w:t xml:space="preserve"> interaction with their baby. </w:t>
      </w:r>
      <w:r w:rsidR="00DF6D46">
        <w:t>Dr. Patten and her team wanted to see if the teenage mothers increased their amount of positive interaction with their babies as a resu</w:t>
      </w:r>
      <w:r w:rsidR="00612A8E">
        <w:t>lt of the intervention. I helped</w:t>
      </w:r>
      <w:r w:rsidR="00DF6D46">
        <w:t xml:space="preserve"> write the background for the study. I explained why intervention with teenage mothers is important, and I described how video self-modeling and using text messaging are proven to be effective intervention techniques. Furthermore,</w:t>
      </w:r>
      <w:r w:rsidR="00612A8E">
        <w:t xml:space="preserve"> for the piolet participant video, </w:t>
      </w:r>
      <w:r w:rsidR="00EC0AF6">
        <w:t>I helped code for three of the 11 behaviors that Dr. Patten and her team looked at. The behaviors were maternal initiation, infant vocalization, and speech register. I developed a coding reliability manual for those three behaviors that future coders can use</w:t>
      </w:r>
      <w:r w:rsidR="00612A8E">
        <w:t xml:space="preserve"> a resource as they code future participants</w:t>
      </w:r>
      <w:r w:rsidR="00EC0AF6">
        <w:t>. Lastly, I al</w:t>
      </w:r>
      <w:r w:rsidR="00612A8E">
        <w:t xml:space="preserve">so developed a website that can be used as </w:t>
      </w:r>
      <w:r w:rsidR="00EC0AF6">
        <w:t>a</w:t>
      </w:r>
      <w:r w:rsidR="00612A8E">
        <w:t>n</w:t>
      </w:r>
      <w:r w:rsidR="00EC0AF6">
        <w:t xml:space="preserve"> educational resource for the participants and other teenage mothers. </w:t>
      </w:r>
    </w:p>
    <w:p w:rsidR="00B2306E" w:rsidRDefault="00B2306E" w:rsidP="00613477">
      <w:pPr>
        <w:spacing w:after="0" w:line="480" w:lineRule="auto"/>
      </w:pPr>
    </w:p>
    <w:p w:rsidR="00B2306E" w:rsidRDefault="00B2306E" w:rsidP="00613477">
      <w:pPr>
        <w:spacing w:after="0" w:line="480" w:lineRule="auto"/>
      </w:pPr>
    </w:p>
    <w:p w:rsidR="00B2306E" w:rsidRDefault="00B2306E"/>
    <w:p w:rsidR="00613477" w:rsidRDefault="00613477"/>
    <w:p w:rsidR="00613477" w:rsidRDefault="00613477">
      <w:bookmarkStart w:id="0" w:name="_GoBack"/>
      <w:bookmarkEnd w:id="0"/>
    </w:p>
    <w:p w:rsidR="00B2306E" w:rsidRDefault="00B2306E"/>
    <w:p w:rsidR="00B2306E" w:rsidRDefault="00B2306E"/>
    <w:p w:rsidR="00B2306E" w:rsidRDefault="00B2306E"/>
    <w:p w:rsidR="00B2306E" w:rsidRDefault="00B2306E"/>
    <w:p w:rsidR="00B2306E" w:rsidRPr="00B2306E" w:rsidRDefault="00B2306E" w:rsidP="00B2306E">
      <w:pPr>
        <w:spacing w:after="0" w:line="480" w:lineRule="auto"/>
        <w:jc w:val="center"/>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lastRenderedPageBreak/>
        <w:t>Happy Moms Study’s Background</w:t>
      </w:r>
    </w:p>
    <w:p w:rsidR="00B2306E" w:rsidRPr="00B2306E" w:rsidRDefault="00B2306E" w:rsidP="00B2306E">
      <w:pPr>
        <w:spacing w:after="0" w:line="480" w:lineRule="auto"/>
        <w:ind w:firstLine="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According to the Center for Disease Control (2015), nearly 300,000 babies were born to teenage mothers aged 15-19 in 2013. These young mothers are at an increased risk of having more troubling pregnancy outcomes than mothers between the ages of 20-24 because of their young age (Fraser, 1995). There is a strong correlation between lower maternal age and high prevalence of low birth weight (Friede, 1987). In addition, a study by Friede (1987) found that maternal age and neonatal mortality were inversely related. As maternal age increased, neonatal mortality decreased (Friede, 1987). A study by Tiffany Fields (1980) looked at the development of preterm infants compared to the fullterm infants born to teenage mothers, and compared them to preterm and fullterm infants born to adult mothers. The study found that even when parental care was equal, preterm infants of teenage mothers were at greater risk because of their small-to-date size and the mothers’ unrealistic attitudes about developmental milestones and child-rearing (Fields, 1980). </w:t>
      </w:r>
    </w:p>
    <w:p w:rsidR="00B2306E" w:rsidRPr="00B2306E" w:rsidRDefault="00B2306E" w:rsidP="00B2306E">
      <w:pPr>
        <w:spacing w:after="0" w:line="480" w:lineRule="auto"/>
        <w:ind w:firstLine="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Children of teenage mothers have more difficulties in development compared to children of older mothers. A study examined teenage parenting and the children’s school readiness outcomes at age 4 for a large sample of low-income Latinos (Briceno, De Feyter, &amp; Winsler, 2013). It was found that having a mother younger than 20 was associated with lower cognitive and language skills at age 3 and 4 even when other demographic factors were controlled (Briceno et al. , 2013). In addition, it was found that children of teenage mothers perform significantly worse than children of older mothers on measures of expressive language and language comprehension, such as the Child Development Inventory and the HOME Inventory (Keown, Woodward, &amp; Field, 2001). </w:t>
      </w:r>
    </w:p>
    <w:p w:rsidR="00B2306E" w:rsidRPr="00B2306E" w:rsidRDefault="00B2306E" w:rsidP="00B2306E">
      <w:pPr>
        <w:spacing w:after="0" w:line="480" w:lineRule="auto"/>
        <w:ind w:firstLine="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lastRenderedPageBreak/>
        <w:t xml:space="preserve">To continue, babies born to teenage mothers also generally have worse outcomes as young adults than babies born to adult mothers (Francescon, 2007). For example, children of teen mothers have a lower chance of high educational attainment, have a greater risk of inactivity, have higher teenage childbearing rates, and have a higher probability of being in the bottom decile of the earnings distribution when compared to children of non-teen mothers (Francescon, 2007). Furthermore, a study that looked at the correlation between maternal age at the first antenatal visit and psychological, behavioral, and health characteristics when the children were 14 years of age (Shaw, 2006). Researchers found that the children of the mothers under 18 were more likely to have disturbed psychological behavior, more likely to have poorer school performance, and more likely to have poorer reading ability than children of mothers who were older than 18. In addition, they were also more likely to be in contact with the criminal justice system and more likely to consume alcohol more regularly than children of mothers who were older than 18 (Shaw, 2006).  </w:t>
      </w:r>
    </w:p>
    <w:p w:rsidR="00B2306E" w:rsidRPr="00B2306E" w:rsidRDefault="00B2306E" w:rsidP="00B2306E">
      <w:pPr>
        <w:spacing w:after="0" w:line="480" w:lineRule="auto"/>
        <w:ind w:firstLine="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Teenage mothers have a number of characteristics that may have a negative effect in their children’s development. For example, babies of teenage mothers are at a greater risk for developmental problems because the teenage mothers haven’t matured fully themselves (Erikson, 1968). According to Erickson’s developmental stages, teenagers are at the stage of identity formation (Erikson, 1963). However, forming an identity can be very difficult for teenagers who are also trying to balance parenthood, which can in turn affect the quality of care that their child receives (Sadler &amp; Cowlin, 2003). Teenage parents may also not be cognitively capable of handling all the problems that occur during parenthood (Sadler &amp; Cowlin, 2003). Researchers also found that teen mothers significantly made more errors than adult mothers on the measures of attention/cognitive flexibility (Chico, Gonzalz, Ali, Steiner, &amp; Fleming, 2014).  </w:t>
      </w:r>
      <w:r w:rsidRPr="00B2306E">
        <w:rPr>
          <w:rFonts w:ascii="Times New Roman" w:eastAsia="Times New Roman" w:hAnsi="Times New Roman" w:cs="Times New Roman"/>
          <w:sz w:val="24"/>
          <w:szCs w:val="24"/>
        </w:rPr>
        <w:lastRenderedPageBreak/>
        <w:t xml:space="preserve">Researchers also found that attention measures were correlated with maternal behaviors for teen mothers (Chico et al. , 2014) . For instance, the poorer the mother did on attention measures, the less sensitive she was and fewer she vocalized to her infant (Chico et al. , 2014). The study found that the mothers’ cognitive flexibility did not affect parenting for adult mothers (Chico et al. , 2014). However, for teenage mothers, cognitive flexibility did affect their parenting, with poor cognitive flexibility being related to less maternal sensitivity and less vocalizations to infants (Chico, et al. , 2014). </w:t>
      </w:r>
    </w:p>
    <w:p w:rsidR="00B2306E" w:rsidRPr="00B2306E" w:rsidRDefault="00B2306E" w:rsidP="00B2306E">
      <w:pPr>
        <w:spacing w:after="0" w:line="480" w:lineRule="auto"/>
        <w:ind w:firstLine="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Teenage parents may also not be as sensitive to their child’s needs, which can negatively affect attachment (Bowlby, 1988; Meadows-Oliver et al. , 2007; Sadler &amp; Cowlin, 2003). To continue, a study found that although teen mothers reported more sympathy and alertness in response to recorded infant cries compared to teens who were not mothers, teen mothers did not display differences between non-mothers in their heart rate and cortisol responses to infant cries (Giardino, Gonzalez, Steiner, &amp; Fleming, 2008). On the other hand, adult mothers reported the same level of sympathy and alertness in response to the recorded infant cries as the teen mothers; however the adult mothers displayed an “alerted” pattern of heart rate and cortisol response to the infant cries not seen in the teen mothers group (Giardino et al. , 2008).  Poor parent-child attachment is also connected to the child receiving lower language stimulation which can negatively affect the child’s language development, the child’s age-appropriate use of objects during infancy, the child’s cognitive development, the child’s motor development, and the child’s socioemotional development (De Wolff &amp; van IJzendoorn, 1997; Flom &amp; Pick, 2003; Keown, Woodward, &amp; Field, 2001). To continue, increased stress and multiple other factors such as unemployment can hinder the quality of care teenage parents give their child (Meadows-Oliver, Salder, Swartz, &amp;, Ryan-Krause, 2007).</w:t>
      </w:r>
    </w:p>
    <w:p w:rsidR="00B2306E" w:rsidRPr="00B2306E" w:rsidRDefault="00B2306E" w:rsidP="00B2306E">
      <w:pPr>
        <w:spacing w:after="0" w:line="480" w:lineRule="auto"/>
        <w:ind w:firstLine="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lastRenderedPageBreak/>
        <w:t xml:space="preserve"> Studies have also found that teenage mothers are not as aware of parent-child interaction techniques that help their babies’ general development, including language. Keown et al. (2001) found that teenage mothers used less verbal stimulation, were less sensitive, were more intrusive, and had less positive affect. In addition, it was found that teenage mothers were less likely to be emotionally and verbally responsive than adult mothers (Keown et al. , 2001). Teenage mothers were more likely than adult mothers to spend less time vocalizing to their infant and spend more time orienting away from their children (Chico et al. , 2014). Furthermore, Whitmarsh (2011) found that many teen mothers were not aware of the importance of child-directed speech. In addition, few teen mothers offered a rational for book sharing, and the teen mothers that were interviewed did not share books with their babies (Whitmarsh, 2011). Even though most teen mothers agree that repeating sounds supported language development, they were less sure about whether babies could copy speech at 2 months (Whitmarsh, 2011). </w:t>
      </w:r>
    </w:p>
    <w:p w:rsidR="00B2306E" w:rsidRPr="00B2306E" w:rsidRDefault="00B2306E" w:rsidP="00B2306E">
      <w:pPr>
        <w:spacing w:after="0" w:line="480" w:lineRule="auto"/>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ab/>
        <w:t xml:space="preserve">There are many behaviors that are associated with better communicative development, and these could be the areas that could be addressed in intervention with teenage mothers. One behavior that is very beneficial to the child’s communicative development is responsive utterances. Mol and Neuman (2014) looked at parent-child interaction patterns when they were sharing an informational book. They found that lexical richness and contingent responsiveness by parents or caregivers positively predicted the child’s receptive and expressive vocabulary (Mol &amp; Neuman, 2014). Furthermore, researchers found that contingent responsiveness seemed to mediate the influence of the socioeconomic status on children’s receptive and expressive vocabulary (Mol &amp; Neuman, 2014). This suggests that positive environmental contexts and supportive parent-child interactions can have a powerful influence on children’s development (Mol &amp; Neuman, 2014). </w:t>
      </w:r>
    </w:p>
    <w:p w:rsidR="00B2306E" w:rsidRPr="00B2306E" w:rsidRDefault="00B2306E" w:rsidP="00B2306E">
      <w:pPr>
        <w:spacing w:after="0" w:line="480" w:lineRule="auto"/>
        <w:ind w:firstLine="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lastRenderedPageBreak/>
        <w:t xml:space="preserve">Taylor, Anthony, and Aghara (2008) looked at the effect of maternal responsiveness on the children’s cognitive skills, reading decoding skills, and reading comprehension skills. They analyzed parenting behaviors through observation during a home visit that included a 60-minute period of daily activity and a 10-minute toy play session, and they conducted observations of maternal responsiveness when the children were 6, 12, and 24 months of age and again when the children were 3 and 4 years of age (Taylor et al. , 2008). In addition, the children’s cognitive skills were assessed when the children were four, and their reading decoding and comprehension skills were assessed when the children were eight (Taylor et al. , 2008). Researchers found that the interaction between children’s 4-year cognitive ability and maternal responsiveness cluster predicted children’s reading comprehension skills at 8 years of age, regardless of the children’s biological risks (Taylor et al. , 2008). </w:t>
      </w:r>
    </w:p>
    <w:p w:rsidR="00B2306E" w:rsidRPr="00B2306E" w:rsidRDefault="00B2306E" w:rsidP="00B2306E">
      <w:pPr>
        <w:spacing w:after="0" w:line="480" w:lineRule="auto"/>
        <w:ind w:firstLine="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Furthermore, in a study by Merz et al. (2015), trained examiners gave children assessments over two academic years. The first assessment was given during the middle of the first year, and then they gave another assessment one year later (Merz et al. , 2015). Researchers found that parental responsiveness strongly predicted all concurrent cognitive skills, literacy knowledge, math knowledge, and emotional knowledge one year later (Merz et al. , 2015). In addition, researchers found that for children who had stronger initial language skills, higher levels of parental inferential language input helped greater vocabulary development (Merz et al. , 2015).</w:t>
      </w:r>
    </w:p>
    <w:p w:rsidR="00B2306E" w:rsidRPr="00B2306E" w:rsidRDefault="00B2306E" w:rsidP="00B2306E">
      <w:pPr>
        <w:spacing w:after="0" w:line="480" w:lineRule="auto"/>
        <w:ind w:firstLine="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 A study by Tamis-LeMonda, Bornstien, and Baumwell (2001) that looked at maternal responsiveness with 9 and 13 month olds found that it also predicted the timing of the development of five milestones in language in the children’s expressive language: first imitations, first words, 50 words in expressive language, combinatory speech, and the use of </w:t>
      </w:r>
      <w:r w:rsidRPr="00B2306E">
        <w:rPr>
          <w:rFonts w:ascii="Times New Roman" w:eastAsia="Times New Roman" w:hAnsi="Times New Roman" w:cs="Times New Roman"/>
          <w:sz w:val="24"/>
          <w:szCs w:val="24"/>
        </w:rPr>
        <w:lastRenderedPageBreak/>
        <w:t xml:space="preserve">language to talk about the past. Maternal responsiveness at both ages predicted the timing of the children achieving language milestones over and above children’s observed behaviors (Tamis-LeMonda et al. , 2001). Yoder, McCathren, Warren, and Watson (2001) found in a study with children with disabilities or developmental delays that the number of nonlinguistic responses given by the mother was positively related to the rate of intentional communication in children 6 months after entry into the study. The number of nonlinguistic responses were also positively related to the expressive and receptive language scores 12 months after the entry into the study (Yoder et al. , 2001). In addition, the number of maternal linguistic mapping responses to intentional communication was also positively related to expressive and receptive language scores 12 months after entry (Yoder et al. , 2001). </w:t>
      </w:r>
    </w:p>
    <w:p w:rsidR="00B2306E" w:rsidRPr="00B2306E" w:rsidRDefault="00B2306E" w:rsidP="00B2306E">
      <w:pPr>
        <w:spacing w:after="0" w:line="480" w:lineRule="auto"/>
        <w:ind w:firstLine="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The directiveness of mothers also affected their children’s development (Landry, Smith, Swank, &amp; Miller-Loncar, 2000). For example, mothers who maintained their child’s interest while their child was  2-3 ½ year olds indirectly influenced their now 4 ½ year olds cognitive and social independence (Landry et al. , 2000). Directiveness positively support children’s early cognitive and responsive skills; however, high levels of directiveness by the time the child was 3 ½ had a direct negative influence on the children’s cognitive and social independence at 4 ½ (Landry et al. , 2000). </w:t>
      </w:r>
    </w:p>
    <w:p w:rsidR="00B2306E" w:rsidRPr="00B2306E" w:rsidRDefault="00B2306E" w:rsidP="00B2306E">
      <w:pPr>
        <w:spacing w:after="0" w:line="480" w:lineRule="auto"/>
        <w:ind w:firstLine="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To continue, the use of infant-directed speech is also very important. In a study done by Estes and Hurley, infants who were 17 months old were given two label-object pairs in a habituation-based word learning task (Estes &amp; Hurley, 2012). In Experiment 1, the labels were produced in adult-directed (AD) speech (Estes &amp; Hurley, 2012). In Experiment 2, the labels were produced in infant-directed speech (Estes &amp; Hurley, 2012). The infants did not learn the labels in adult-directed speech, but they did learn the labels in infant-directed speech (Estes &amp; Hurley, </w:t>
      </w:r>
      <w:r w:rsidRPr="00B2306E">
        <w:rPr>
          <w:rFonts w:ascii="Times New Roman" w:eastAsia="Times New Roman" w:hAnsi="Times New Roman" w:cs="Times New Roman"/>
          <w:sz w:val="24"/>
          <w:szCs w:val="24"/>
        </w:rPr>
        <w:lastRenderedPageBreak/>
        <w:t xml:space="preserve">2012). In Experiment 3, researchers investigated the role of variability in learning from infant-directed speech (Estes &amp; Hurley, 2012). They found that when infant-directed prosody was used with no variation across tokens, the infants did not learn them (Estes &amp; Hurley, 2012). This indicates that infant-directed prosody can affect how readily infants may match sounds to meanings, and the variability in prosody that is characteristic of infant-directed speech may by very important in its effects on learning new words (Estes &amp; Hurley, 2012). To continue, a study by Thiessen, Hill, and Saffran (2005) found that infant-directed speech helps with word segmentation. In their study, the infants were divided into two groups (Thiessan, Hill, &amp; Saffran, 2005). The researchers present one group of infants a set of nonsense sentences that were spoken with adult-directed speech (Thiessen, Hill, &amp; Saffran, 2005). The researchers presented the second group of infants with the same non-sense sentences, but the sentences were spoken with infant-directed speech (Thiessen, Hill, &amp; Saffran, 2005). The only hint to word boundaries that both groups had was the way that the sentences were said (Thiessen, Hill, &amp; Saffran, 2005). Researchers found that only the infants who heard the sentences in infant-direct speech were able to differentiate between words from syllable sequences spanning word boundaries (Thiessen, Hill, &amp; Saffran, 2005).  </w:t>
      </w:r>
    </w:p>
    <w:p w:rsidR="00B2306E" w:rsidRPr="00B2306E" w:rsidRDefault="00B2306E" w:rsidP="00B2306E">
      <w:pPr>
        <w:spacing w:after="0" w:line="480" w:lineRule="auto"/>
        <w:ind w:firstLine="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Studies have shown that book sharing and book discussions are also very important. A particular study done by Kleeck, Gillam, Hamilton, and McGrath (1997) looked at book discussions and developmental gains made by the children. They videotaped 35 parents in their homes as they read a familiar and unfamiliar book to their preschoolers (Kleeck et al. , 1997). Then, they coded the parental discussions about the text based on four levels of abstraction, and they compared it with the gains the children made one year later on formal tests that tested those same four levels of language abstraction (Kleeck et al. , 1997). The Level I abstraction was </w:t>
      </w:r>
      <w:r w:rsidRPr="00B2306E">
        <w:rPr>
          <w:rFonts w:ascii="Times New Roman" w:eastAsia="Times New Roman" w:hAnsi="Times New Roman" w:cs="Times New Roman"/>
          <w:sz w:val="24"/>
          <w:szCs w:val="24"/>
        </w:rPr>
        <w:lastRenderedPageBreak/>
        <w:t>considered to be the least abstract because it included adult language about the book which was very concrete (Kleeck et al. , 1997). Level II abstraction was more abstract than Level I, and it included questions or commands about recalling information presented earlier in the book, describing characteristics and scenes, and urging the child to finish a sentence of the book’s text using appropriate intonation patterns (Kleeck et al. , 1997). In Level III abstraction, they go a step further. Comments and questions are made about things that are or have been perceptually present (Kleeck et al. , 1997). Level IV is the most abstract, and the children are exposed to a variety of ways of reasoning and dealing with the information presented in the book (Kleeck et al. , 1997). For example, children are exposed to making hypothetical predictions, problem solving, and explaining concepts, and providing general information (Kleeck et al. , 1997). They found that the parental input at levels three and four of abstraction were positively and significantly correlated with their children’s gains at the highest level of abstraction (Kleeck et al. , 1997). At the beginning, these levels were the ones where the children scored the lowest initially; however, these levels are where the children showed the greatest gains after parental book discussion (Kleeck et al. , 1997). The results suggest that parental discussions during book reading with preschooler are a positive influence (Kleeck et al. , 1997). Furthermore, in a longitudinal study by Sénéchal and LeFevre (2003), they found that children’s exposure to books was correlated with the development of their vocabulary and listening comprehension skills, which were directly related to the children’s reading skills in 3</w:t>
      </w:r>
      <w:r w:rsidRPr="00B2306E">
        <w:rPr>
          <w:rFonts w:ascii="Times New Roman" w:eastAsia="Times New Roman" w:hAnsi="Times New Roman" w:cs="Times New Roman"/>
          <w:sz w:val="24"/>
          <w:szCs w:val="24"/>
          <w:vertAlign w:val="superscript"/>
        </w:rPr>
        <w:t>rd</w:t>
      </w:r>
      <w:r w:rsidRPr="00B2306E">
        <w:rPr>
          <w:rFonts w:ascii="Times New Roman" w:eastAsia="Times New Roman" w:hAnsi="Times New Roman" w:cs="Times New Roman"/>
          <w:sz w:val="24"/>
          <w:szCs w:val="24"/>
        </w:rPr>
        <w:t xml:space="preserve"> grade. Furthermore, they found that early literacy skills, a direct predictor of word reading at the end of 1</w:t>
      </w:r>
      <w:r w:rsidRPr="00B2306E">
        <w:rPr>
          <w:rFonts w:ascii="Times New Roman" w:eastAsia="Times New Roman" w:hAnsi="Times New Roman" w:cs="Times New Roman"/>
          <w:sz w:val="24"/>
          <w:szCs w:val="24"/>
          <w:vertAlign w:val="superscript"/>
        </w:rPr>
        <w:t>st</w:t>
      </w:r>
      <w:r w:rsidRPr="00B2306E">
        <w:rPr>
          <w:rFonts w:ascii="Times New Roman" w:eastAsia="Times New Roman" w:hAnsi="Times New Roman" w:cs="Times New Roman"/>
          <w:sz w:val="24"/>
          <w:szCs w:val="24"/>
        </w:rPr>
        <w:t xml:space="preserve"> grade, were promoted by parental involvement in teaching their children about reading and writing (Sénéchal &amp; LeFevre, 2003). To continue, reading comprehension in 3</w:t>
      </w:r>
      <w:r w:rsidRPr="00B2306E">
        <w:rPr>
          <w:rFonts w:ascii="Times New Roman" w:eastAsia="Times New Roman" w:hAnsi="Times New Roman" w:cs="Times New Roman"/>
          <w:sz w:val="24"/>
          <w:szCs w:val="24"/>
          <w:vertAlign w:val="superscript"/>
        </w:rPr>
        <w:t>rd</w:t>
      </w:r>
      <w:r w:rsidRPr="00B2306E">
        <w:rPr>
          <w:rFonts w:ascii="Times New Roman" w:eastAsia="Times New Roman" w:hAnsi="Times New Roman" w:cs="Times New Roman"/>
          <w:sz w:val="24"/>
          <w:szCs w:val="24"/>
        </w:rPr>
        <w:t xml:space="preserve"> grade was predicted by word reading at the end of 1</w:t>
      </w:r>
      <w:r w:rsidRPr="00B2306E">
        <w:rPr>
          <w:rFonts w:ascii="Times New Roman" w:eastAsia="Times New Roman" w:hAnsi="Times New Roman" w:cs="Times New Roman"/>
          <w:sz w:val="24"/>
          <w:szCs w:val="24"/>
          <w:vertAlign w:val="superscript"/>
        </w:rPr>
        <w:t>st</w:t>
      </w:r>
      <w:r w:rsidRPr="00B2306E">
        <w:rPr>
          <w:rFonts w:ascii="Times New Roman" w:eastAsia="Times New Roman" w:hAnsi="Times New Roman" w:cs="Times New Roman"/>
          <w:sz w:val="24"/>
          <w:szCs w:val="24"/>
        </w:rPr>
        <w:t xml:space="preserve"> grade (Sénéchal &amp; LeFevre). </w:t>
      </w:r>
    </w:p>
    <w:p w:rsidR="00B2306E" w:rsidRPr="00B2306E" w:rsidRDefault="00B2306E" w:rsidP="00B2306E">
      <w:pPr>
        <w:spacing w:after="0" w:line="480" w:lineRule="auto"/>
        <w:ind w:firstLine="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lastRenderedPageBreak/>
        <w:t xml:space="preserve">This particular study uses cellphones as a means of enhancing intervention for teenage mothers. At first, the teenage mothers are videotaped as they interact with their baby. Later, the teenage mothers watch the video of themselves interacting with their baby. This is known as video self-modeling. They are given praise for the positive things they are doing while interacting with their baby. In this study, no attention is being brought to the negative things that the teenage mothers are doing while interacting with their baby. After, they receive daily text messages reminding them to keep doing the positive things while interacting with their baby. A study by Carta, Lefever, Bigelow, Borkowski, and Warren (2013) found mothers who received a cellular-phone enhanced version of a particular intervention used more of the strategies presented in the intervention than mothers who received the noncellular-phone enhanced version and the control group. In addition, the mothers who received the cellular-phone enhanced version also reported having greater reductions in stress and depression (Carta et al. , 2013). Another study found that using text messaging for reminder-recalls improved immunization coverage in a low-income urban population (Stockwell et al. , 2012). </w:t>
      </w:r>
    </w:p>
    <w:p w:rsidR="00B2306E" w:rsidRPr="00B2306E" w:rsidRDefault="00B2306E" w:rsidP="00B2306E">
      <w:pPr>
        <w:spacing w:after="0" w:line="480" w:lineRule="auto"/>
        <w:ind w:firstLine="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To continue, there have also been studies looking at the efficiency of video modeling and video self-modeling interventions. A meta-analysis study by done Bellini and Akullian (2007) found analyzed the effectiveness of video modeling and video self-modeling interventions for children with autism spectrum disorder. They found that video modeling and video self-modeling are effective intervention strategies for addressing social communication skills, functional skills, and behavioral functional skills in children and adolescents with autism spectrum disorder (Bellini &amp; Akullian, 2007). They also found that the skills acquired by using video modeling and video self-modeling are maintained over time and generalized across persons and settings (Bellini &amp; Akullian, 2007). This suggests that video modeling and video </w:t>
      </w:r>
      <w:r w:rsidRPr="00B2306E">
        <w:rPr>
          <w:rFonts w:ascii="Times New Roman" w:eastAsia="Times New Roman" w:hAnsi="Times New Roman" w:cs="Times New Roman"/>
          <w:sz w:val="24"/>
          <w:szCs w:val="24"/>
        </w:rPr>
        <w:lastRenderedPageBreak/>
        <w:t xml:space="preserve">self-modeling are evidence-based practices (Bellini &amp; Akullian, 2007). Furthermore, a study by Wert and Neisworth (2003) tested the effectiveness of video self-modeling intervention on increasing spontaneous requesting in four participants with autism spectrum disorder. They found that all four participants increased their spontaneous requesting behavior as a result of the video self-modeling intervention (Wert &amp; Neisworth, 2003). </w:t>
      </w:r>
    </w:p>
    <w:p w:rsidR="00B2306E" w:rsidRPr="00B2306E" w:rsidRDefault="00B2306E" w:rsidP="00B2306E">
      <w:pPr>
        <w:spacing w:after="0" w:line="480" w:lineRule="auto"/>
        <w:ind w:firstLine="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Studies have also shown that behavior-specific praise, which is used in this study, is an effective method of intervention. Sutherland, Wehby, and Copeland (2000) looked at effects of behavior-specific praise by teachers and the on-task behavior of students with emotional and behavioral disorders. They found that there was a positive correlation between students’ on-task behavior and teacher’s behavior-specific praise (Sutherland, Webhy, &amp; Copeland, 2000). For example, when teachers increased their behavior-specific praise, the students’ on-task behavior also increased (Sutherland, Webhy, &amp; Copeland, 2000). </w:t>
      </w:r>
    </w:p>
    <w:p w:rsidR="00B2306E" w:rsidRDefault="00B2306E" w:rsidP="0059496B">
      <w:pPr>
        <w:spacing w:after="0" w:line="480" w:lineRule="auto"/>
        <w:ind w:firstLine="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There have also been studies that examined the efficacy of interventions with teenagers. A particular study done by Neuman and Gallagher (1994) examined what effects coaching the teenage mothers to use selected cues in playful literacy exploration would have on their children’s literacy play intellectual development. The mothers were taught how to draw attention to and label the objects of interest to the children, taught how to use scaffolding techniques, and taught how to challenge their children’s interpretations through responses that are contingent to the child’s pervious utterance (Neuman &amp; Gallagher, 1994). They found that the teenage mothers increased their use of interactional cues after the intervention (Neuman &amp; Gallagher, 1994). In addition, the children’s active participation in literacy also increased, and their score on the Peabody Picture Vocabulary Test increased after the intervention (Neuman &amp; Gallagher, 1994). </w:t>
      </w:r>
    </w:p>
    <w:p w:rsidR="0059496B" w:rsidRDefault="0059496B" w:rsidP="00B2306E">
      <w:pPr>
        <w:spacing w:after="0" w:line="480" w:lineRule="auto"/>
        <w:jc w:val="center"/>
        <w:rPr>
          <w:rFonts w:ascii="Times New Roman" w:eastAsia="Times New Roman" w:hAnsi="Times New Roman" w:cs="Times New Roman"/>
          <w:sz w:val="24"/>
          <w:szCs w:val="24"/>
        </w:rPr>
      </w:pPr>
    </w:p>
    <w:p w:rsidR="00B2306E" w:rsidRPr="00B2306E" w:rsidRDefault="00B2306E" w:rsidP="00B2306E">
      <w:pPr>
        <w:spacing w:after="0" w:line="480" w:lineRule="auto"/>
        <w:jc w:val="center"/>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lastRenderedPageBreak/>
        <w:t>References</w:t>
      </w:r>
    </w:p>
    <w:p w:rsidR="00B2306E" w:rsidRPr="00B2306E" w:rsidRDefault="00B2306E" w:rsidP="00B2306E">
      <w:pPr>
        <w:spacing w:after="0" w:line="480" w:lineRule="auto"/>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Bellini, S. , &amp; Akullian, J. (2007). A meta-analysis of video modeling and video self</w:t>
      </w:r>
    </w:p>
    <w:p w:rsidR="00B2306E" w:rsidRPr="00B2306E" w:rsidRDefault="00B2306E" w:rsidP="00B2306E">
      <w:pPr>
        <w:spacing w:after="0" w:line="480" w:lineRule="auto"/>
        <w:ind w:left="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modeling intervention for children and adolescents with autism spectrum disorders. </w:t>
      </w:r>
      <w:r w:rsidRPr="00B2306E">
        <w:rPr>
          <w:rFonts w:ascii="Times New Roman" w:eastAsia="Times New Roman" w:hAnsi="Times New Roman" w:cs="Times New Roman"/>
          <w:i/>
          <w:sz w:val="24"/>
          <w:szCs w:val="24"/>
        </w:rPr>
        <w:t>Exceptional Children, 73</w:t>
      </w:r>
      <w:r w:rsidRPr="00B2306E">
        <w:rPr>
          <w:rFonts w:ascii="Times New Roman" w:eastAsia="Times New Roman" w:hAnsi="Times New Roman" w:cs="Times New Roman"/>
          <w:sz w:val="24"/>
          <w:szCs w:val="24"/>
        </w:rPr>
        <w:t xml:space="preserve">(3), 264-287. </w:t>
      </w:r>
    </w:p>
    <w:p w:rsidR="00B2306E" w:rsidRPr="00B2306E" w:rsidRDefault="00B2306E" w:rsidP="00B2306E">
      <w:pPr>
        <w:spacing w:after="0" w:line="480" w:lineRule="auto"/>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Briceno, A. L. , De Feyter, J. J. , &amp; Winsler, A. (2013). The school readiness of children </w:t>
      </w:r>
    </w:p>
    <w:p w:rsidR="00B2306E" w:rsidRPr="00B2306E" w:rsidRDefault="00B2306E" w:rsidP="00B2306E">
      <w:pPr>
        <w:spacing w:after="0" w:line="480" w:lineRule="auto"/>
        <w:ind w:left="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born to low-income, adolescent Latinas in Miami. </w:t>
      </w:r>
      <w:r w:rsidRPr="00B2306E">
        <w:rPr>
          <w:rFonts w:ascii="Times New Roman" w:eastAsia="Times New Roman" w:hAnsi="Times New Roman" w:cs="Times New Roman"/>
          <w:i/>
          <w:sz w:val="24"/>
          <w:szCs w:val="24"/>
        </w:rPr>
        <w:t>The American Journal of Orthopsychiatry, 83</w:t>
      </w:r>
      <w:r w:rsidRPr="00B2306E">
        <w:rPr>
          <w:rFonts w:ascii="Times New Roman" w:eastAsia="Times New Roman" w:hAnsi="Times New Roman" w:cs="Times New Roman"/>
          <w:sz w:val="24"/>
          <w:szCs w:val="24"/>
        </w:rPr>
        <w:t>(2-3), 430-442.</w:t>
      </w:r>
    </w:p>
    <w:p w:rsidR="00B2306E" w:rsidRPr="00B2306E" w:rsidRDefault="00B2306E" w:rsidP="00B2306E">
      <w:pPr>
        <w:spacing w:after="0" w:line="480" w:lineRule="auto"/>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Carta, J. , Lefever, J, Bigelow, K. , Borkowski, J. , &amp; Warren, S. (2013). Randomized </w:t>
      </w:r>
    </w:p>
    <w:p w:rsidR="00B2306E" w:rsidRPr="00B2306E" w:rsidRDefault="00B2306E" w:rsidP="00B2306E">
      <w:pPr>
        <w:spacing w:after="0" w:line="480" w:lineRule="auto"/>
        <w:ind w:left="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trial of a cellular phone-enhanced home visitation parenting intervention. </w:t>
      </w:r>
      <w:r w:rsidRPr="00B2306E">
        <w:rPr>
          <w:rFonts w:ascii="Times New Roman" w:eastAsia="Times New Roman" w:hAnsi="Times New Roman" w:cs="Times New Roman"/>
          <w:i/>
          <w:sz w:val="24"/>
          <w:szCs w:val="24"/>
        </w:rPr>
        <w:t>Pediatrics, 132</w:t>
      </w:r>
      <w:r w:rsidRPr="00B2306E">
        <w:rPr>
          <w:rFonts w:ascii="Times New Roman" w:eastAsia="Times New Roman" w:hAnsi="Times New Roman" w:cs="Times New Roman"/>
          <w:sz w:val="24"/>
          <w:szCs w:val="24"/>
        </w:rPr>
        <w:t xml:space="preserve">(2), s167-s173. </w:t>
      </w:r>
    </w:p>
    <w:p w:rsidR="00B2306E" w:rsidRPr="00B2306E" w:rsidRDefault="00B2306E" w:rsidP="00B2306E">
      <w:pPr>
        <w:spacing w:after="0" w:line="480" w:lineRule="auto"/>
        <w:rPr>
          <w:rFonts w:ascii="Times New Roman" w:eastAsia="Times New Roman" w:hAnsi="Times New Roman" w:cs="Times New Roman"/>
          <w:i/>
          <w:sz w:val="24"/>
          <w:szCs w:val="24"/>
        </w:rPr>
      </w:pPr>
      <w:r w:rsidRPr="00B2306E">
        <w:rPr>
          <w:rFonts w:ascii="Times New Roman" w:eastAsia="Times New Roman" w:hAnsi="Times New Roman" w:cs="Times New Roman"/>
          <w:sz w:val="24"/>
          <w:szCs w:val="24"/>
        </w:rPr>
        <w:t xml:space="preserve">Center for Disease Control and Prevention. (2015). </w:t>
      </w:r>
      <w:r w:rsidRPr="00B2306E">
        <w:rPr>
          <w:rFonts w:ascii="Times New Roman" w:eastAsia="Times New Roman" w:hAnsi="Times New Roman" w:cs="Times New Roman"/>
          <w:i/>
          <w:sz w:val="24"/>
          <w:szCs w:val="24"/>
        </w:rPr>
        <w:t xml:space="preserve">Reproductive Health: Teen </w:t>
      </w:r>
    </w:p>
    <w:p w:rsidR="00B2306E" w:rsidRPr="00B2306E" w:rsidRDefault="00B2306E" w:rsidP="00B2306E">
      <w:pPr>
        <w:spacing w:after="0" w:line="480" w:lineRule="auto"/>
        <w:ind w:firstLine="720"/>
        <w:rPr>
          <w:rFonts w:ascii="Times New Roman" w:eastAsia="Times New Roman" w:hAnsi="Times New Roman" w:cs="Times New Roman"/>
          <w:sz w:val="24"/>
          <w:szCs w:val="24"/>
        </w:rPr>
      </w:pPr>
      <w:r w:rsidRPr="00B2306E">
        <w:rPr>
          <w:rFonts w:ascii="Times New Roman" w:eastAsia="Times New Roman" w:hAnsi="Times New Roman" w:cs="Times New Roman"/>
          <w:i/>
          <w:sz w:val="24"/>
          <w:szCs w:val="24"/>
        </w:rPr>
        <w:t>Pregnancy.</w:t>
      </w:r>
      <w:r w:rsidRPr="00B2306E">
        <w:rPr>
          <w:rFonts w:ascii="Times New Roman" w:eastAsia="Times New Roman" w:hAnsi="Times New Roman" w:cs="Times New Roman"/>
          <w:sz w:val="24"/>
          <w:szCs w:val="24"/>
        </w:rPr>
        <w:t xml:space="preserve"> Retrieved from http://www.cdc.gov/teenpregnancy/</w:t>
      </w:r>
    </w:p>
    <w:p w:rsidR="00B2306E" w:rsidRPr="00B2306E" w:rsidRDefault="00B2306E" w:rsidP="00B2306E">
      <w:pPr>
        <w:spacing w:after="0" w:line="480" w:lineRule="auto"/>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Chico, E. , Gonzalz, A. , Ali, N. , Steiner, M. , Fleming, A. (2014). Executive function </w:t>
      </w:r>
    </w:p>
    <w:p w:rsidR="00B2306E" w:rsidRPr="00B2306E" w:rsidRDefault="00B2306E" w:rsidP="00B2306E">
      <w:pPr>
        <w:spacing w:after="0" w:line="480" w:lineRule="auto"/>
        <w:ind w:firstLine="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and mothering: Challenges faced by teenage mothers. </w:t>
      </w:r>
      <w:r w:rsidRPr="00B2306E">
        <w:rPr>
          <w:rFonts w:ascii="Times New Roman" w:eastAsia="Times New Roman" w:hAnsi="Times New Roman" w:cs="Times New Roman"/>
          <w:i/>
          <w:sz w:val="24"/>
          <w:szCs w:val="24"/>
        </w:rPr>
        <w:t>Developmental Psychobiology, 56</w:t>
      </w:r>
      <w:r w:rsidRPr="00B2306E">
        <w:rPr>
          <w:rFonts w:ascii="Times New Roman" w:eastAsia="Times New Roman" w:hAnsi="Times New Roman" w:cs="Times New Roman"/>
          <w:sz w:val="24"/>
          <w:szCs w:val="24"/>
        </w:rPr>
        <w:t>(5), 1027-1035.</w:t>
      </w:r>
    </w:p>
    <w:p w:rsidR="00B2306E" w:rsidRPr="00B2306E" w:rsidRDefault="00B2306E" w:rsidP="00B2306E">
      <w:pPr>
        <w:spacing w:after="0" w:line="480" w:lineRule="auto"/>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De Wolff, M. , &amp; van Ijzendoorn, M. (1997). Sensitivity and attachment: A meta-analysis </w:t>
      </w:r>
    </w:p>
    <w:p w:rsidR="00B2306E" w:rsidRPr="00B2306E" w:rsidRDefault="00B2306E" w:rsidP="00B2306E">
      <w:pPr>
        <w:spacing w:after="0" w:line="480" w:lineRule="auto"/>
        <w:ind w:firstLine="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on parental antecedents of infant-attachment. </w:t>
      </w:r>
      <w:r w:rsidRPr="00B2306E">
        <w:rPr>
          <w:rFonts w:ascii="Times New Roman" w:eastAsia="Times New Roman" w:hAnsi="Times New Roman" w:cs="Times New Roman"/>
          <w:i/>
          <w:sz w:val="24"/>
          <w:szCs w:val="24"/>
        </w:rPr>
        <w:t>Child Development, 68</w:t>
      </w:r>
      <w:r w:rsidRPr="00B2306E">
        <w:rPr>
          <w:rFonts w:ascii="Times New Roman" w:eastAsia="Times New Roman" w:hAnsi="Times New Roman" w:cs="Times New Roman"/>
          <w:sz w:val="24"/>
          <w:szCs w:val="24"/>
        </w:rPr>
        <w:t xml:space="preserve">(4), 571-591. </w:t>
      </w:r>
    </w:p>
    <w:p w:rsidR="00B2306E" w:rsidRPr="00B2306E" w:rsidRDefault="00B2306E" w:rsidP="00B2306E">
      <w:pPr>
        <w:spacing w:after="0" w:line="480" w:lineRule="auto"/>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Erikson, E. H.  (1963). </w:t>
      </w:r>
      <w:r w:rsidRPr="00B2306E">
        <w:rPr>
          <w:rFonts w:ascii="Times New Roman" w:eastAsia="Times New Roman" w:hAnsi="Times New Roman" w:cs="Times New Roman"/>
          <w:i/>
          <w:sz w:val="24"/>
          <w:szCs w:val="24"/>
        </w:rPr>
        <w:t>Childhood and society</w:t>
      </w:r>
      <w:r w:rsidRPr="00B2306E">
        <w:rPr>
          <w:rFonts w:ascii="Times New Roman" w:eastAsia="Times New Roman" w:hAnsi="Times New Roman" w:cs="Times New Roman"/>
          <w:sz w:val="24"/>
          <w:szCs w:val="24"/>
        </w:rPr>
        <w:t>. New York, NY: Norton.</w:t>
      </w:r>
    </w:p>
    <w:p w:rsidR="00B2306E" w:rsidRPr="00B2306E" w:rsidRDefault="00B2306E" w:rsidP="00B2306E">
      <w:pPr>
        <w:spacing w:after="0" w:line="480" w:lineRule="auto"/>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Erikson, E. H.  (1968). </w:t>
      </w:r>
      <w:r w:rsidRPr="00B2306E">
        <w:rPr>
          <w:rFonts w:ascii="Times New Roman" w:eastAsia="Times New Roman" w:hAnsi="Times New Roman" w:cs="Times New Roman"/>
          <w:i/>
          <w:sz w:val="24"/>
          <w:szCs w:val="24"/>
        </w:rPr>
        <w:t>Identity: Youth and crisis</w:t>
      </w:r>
      <w:r w:rsidRPr="00B2306E">
        <w:rPr>
          <w:rFonts w:ascii="Times New Roman" w:eastAsia="Times New Roman" w:hAnsi="Times New Roman" w:cs="Times New Roman"/>
          <w:sz w:val="24"/>
          <w:szCs w:val="24"/>
        </w:rPr>
        <w:t>. New York, NY: Norton.</w:t>
      </w:r>
    </w:p>
    <w:p w:rsidR="00B2306E" w:rsidRPr="00B2306E" w:rsidRDefault="00B2306E" w:rsidP="00B2306E">
      <w:pPr>
        <w:spacing w:after="0" w:line="480" w:lineRule="auto"/>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Estes, K. , &amp; Hurley, K. (2013). Infant-directed prosody helps infants map sounds to </w:t>
      </w:r>
    </w:p>
    <w:p w:rsidR="00B2306E" w:rsidRPr="00B2306E" w:rsidRDefault="00B2306E" w:rsidP="00B2306E">
      <w:pPr>
        <w:spacing w:after="0" w:line="480" w:lineRule="auto"/>
        <w:ind w:firstLine="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meanings. </w:t>
      </w:r>
      <w:r w:rsidRPr="00B2306E">
        <w:rPr>
          <w:rFonts w:ascii="Times New Roman" w:eastAsia="Times New Roman" w:hAnsi="Times New Roman" w:cs="Times New Roman"/>
          <w:i/>
          <w:sz w:val="24"/>
          <w:szCs w:val="24"/>
        </w:rPr>
        <w:t>Infancy, 18</w:t>
      </w:r>
      <w:r w:rsidRPr="00B2306E">
        <w:rPr>
          <w:rFonts w:ascii="Times New Roman" w:eastAsia="Times New Roman" w:hAnsi="Times New Roman" w:cs="Times New Roman"/>
          <w:sz w:val="24"/>
          <w:szCs w:val="24"/>
        </w:rPr>
        <w:t xml:space="preserve">(5), 797-824. </w:t>
      </w:r>
    </w:p>
    <w:p w:rsidR="00B2306E" w:rsidRPr="00B2306E" w:rsidRDefault="00B2306E" w:rsidP="00B2306E">
      <w:pPr>
        <w:spacing w:after="0" w:line="480" w:lineRule="auto"/>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Field, T. , Widmayer, S. , Stringer, S. , &amp; Ignatoff, E. (1980). Teenage, lower-class, </w:t>
      </w:r>
    </w:p>
    <w:p w:rsidR="00B2306E" w:rsidRPr="00B2306E" w:rsidRDefault="00B2306E" w:rsidP="00B2306E">
      <w:pPr>
        <w:spacing w:after="0" w:line="480" w:lineRule="auto"/>
        <w:ind w:left="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lastRenderedPageBreak/>
        <w:t xml:space="preserve">black-mothers and their preterm infants: An intervention and developmental follow-up. </w:t>
      </w:r>
      <w:r w:rsidRPr="00B2306E">
        <w:rPr>
          <w:rFonts w:ascii="Times New Roman" w:eastAsia="Times New Roman" w:hAnsi="Times New Roman" w:cs="Times New Roman"/>
          <w:i/>
          <w:sz w:val="24"/>
          <w:szCs w:val="24"/>
        </w:rPr>
        <w:t>Child Development, 10</w:t>
      </w:r>
      <w:r w:rsidRPr="00B2306E">
        <w:rPr>
          <w:rFonts w:ascii="Times New Roman" w:eastAsia="Times New Roman" w:hAnsi="Times New Roman" w:cs="Times New Roman"/>
          <w:sz w:val="24"/>
          <w:szCs w:val="24"/>
        </w:rPr>
        <w:t xml:space="preserve">(3), 129-145. </w:t>
      </w:r>
    </w:p>
    <w:p w:rsidR="00B2306E" w:rsidRPr="00B2306E" w:rsidRDefault="00B2306E" w:rsidP="00B2306E">
      <w:pPr>
        <w:spacing w:after="0" w:line="480" w:lineRule="auto"/>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Flom, R. , &amp; Pick, A. (2003). Verbal encouragement and joint attention in 18-month-old </w:t>
      </w:r>
    </w:p>
    <w:p w:rsidR="00B2306E" w:rsidRPr="00B2306E" w:rsidRDefault="00B2306E" w:rsidP="00B2306E">
      <w:pPr>
        <w:spacing w:after="0" w:line="480" w:lineRule="auto"/>
        <w:ind w:firstLine="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Infants. </w:t>
      </w:r>
      <w:r w:rsidRPr="00B2306E">
        <w:rPr>
          <w:rFonts w:ascii="Times New Roman" w:eastAsia="Times New Roman" w:hAnsi="Times New Roman" w:cs="Times New Roman"/>
          <w:i/>
          <w:sz w:val="24"/>
          <w:szCs w:val="24"/>
        </w:rPr>
        <w:t>Infant Behavior Development, 26</w:t>
      </w:r>
      <w:r w:rsidRPr="00B2306E">
        <w:rPr>
          <w:rFonts w:ascii="Times New Roman" w:eastAsia="Times New Roman" w:hAnsi="Times New Roman" w:cs="Times New Roman"/>
          <w:sz w:val="24"/>
          <w:szCs w:val="24"/>
        </w:rPr>
        <w:t xml:space="preserve">(2), 127-134. </w:t>
      </w:r>
    </w:p>
    <w:p w:rsidR="00B2306E" w:rsidRPr="00B2306E" w:rsidRDefault="00B2306E" w:rsidP="00B2306E">
      <w:pPr>
        <w:spacing w:after="0" w:line="480" w:lineRule="auto"/>
        <w:rPr>
          <w:rFonts w:ascii="Times New Roman" w:eastAsia="Times New Roman" w:hAnsi="Times New Roman" w:cs="Times New Roman"/>
          <w:i/>
          <w:sz w:val="24"/>
          <w:szCs w:val="24"/>
        </w:rPr>
      </w:pPr>
      <w:r w:rsidRPr="00B2306E">
        <w:rPr>
          <w:rFonts w:ascii="Times New Roman" w:eastAsia="Times New Roman" w:hAnsi="Times New Roman" w:cs="Times New Roman"/>
          <w:sz w:val="24"/>
          <w:szCs w:val="24"/>
        </w:rPr>
        <w:t xml:space="preserve">Franescon, M. (2008). Adult outcomes for children of teenage mothers. </w:t>
      </w:r>
      <w:r w:rsidRPr="00B2306E">
        <w:rPr>
          <w:rFonts w:ascii="Times New Roman" w:eastAsia="Times New Roman" w:hAnsi="Times New Roman" w:cs="Times New Roman"/>
          <w:i/>
          <w:sz w:val="24"/>
          <w:szCs w:val="24"/>
        </w:rPr>
        <w:t xml:space="preserve">The </w:t>
      </w:r>
    </w:p>
    <w:p w:rsidR="00B2306E" w:rsidRPr="00B2306E" w:rsidRDefault="00B2306E" w:rsidP="00B2306E">
      <w:pPr>
        <w:spacing w:after="0" w:line="480" w:lineRule="auto"/>
        <w:ind w:firstLine="720"/>
        <w:rPr>
          <w:rFonts w:ascii="Times New Roman" w:eastAsia="Times New Roman" w:hAnsi="Times New Roman" w:cs="Times New Roman"/>
          <w:sz w:val="24"/>
          <w:szCs w:val="24"/>
        </w:rPr>
      </w:pPr>
      <w:r w:rsidRPr="00B2306E">
        <w:rPr>
          <w:rFonts w:ascii="Times New Roman" w:eastAsia="Times New Roman" w:hAnsi="Times New Roman" w:cs="Times New Roman"/>
          <w:i/>
          <w:sz w:val="24"/>
          <w:szCs w:val="24"/>
        </w:rPr>
        <w:t>Scandinavian Journal of Economics, 110</w:t>
      </w:r>
      <w:r w:rsidRPr="00B2306E">
        <w:rPr>
          <w:rFonts w:ascii="Times New Roman" w:eastAsia="Times New Roman" w:hAnsi="Times New Roman" w:cs="Times New Roman"/>
          <w:sz w:val="24"/>
          <w:szCs w:val="24"/>
        </w:rPr>
        <w:t xml:space="preserve">(1), 129-145. </w:t>
      </w:r>
    </w:p>
    <w:p w:rsidR="00B2306E" w:rsidRPr="00B2306E" w:rsidRDefault="00B2306E" w:rsidP="00B2306E">
      <w:pPr>
        <w:spacing w:after="0" w:line="480" w:lineRule="auto"/>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Fraser, A. , Brockert, J. , &amp; Ward, R.H. (1995). Association of young maternal age with </w:t>
      </w:r>
    </w:p>
    <w:p w:rsidR="00B2306E" w:rsidRPr="00B2306E" w:rsidRDefault="00B2306E" w:rsidP="00B2306E">
      <w:pPr>
        <w:spacing w:after="0" w:line="480" w:lineRule="auto"/>
        <w:ind w:left="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adverse reproduction outcomes. </w:t>
      </w:r>
      <w:r w:rsidRPr="00B2306E">
        <w:rPr>
          <w:rFonts w:ascii="Times New Roman" w:eastAsia="Times New Roman" w:hAnsi="Times New Roman" w:cs="Times New Roman"/>
          <w:i/>
          <w:sz w:val="24"/>
          <w:szCs w:val="24"/>
        </w:rPr>
        <w:t>The New England Journal of Medicine, 332</w:t>
      </w:r>
      <w:r w:rsidRPr="00B2306E">
        <w:rPr>
          <w:rFonts w:ascii="Times New Roman" w:eastAsia="Times New Roman" w:hAnsi="Times New Roman" w:cs="Times New Roman"/>
          <w:sz w:val="24"/>
          <w:szCs w:val="24"/>
        </w:rPr>
        <w:t xml:space="preserve">, 1113-1118. </w:t>
      </w:r>
    </w:p>
    <w:p w:rsidR="00B2306E" w:rsidRPr="00B2306E" w:rsidRDefault="00B2306E" w:rsidP="00B2306E">
      <w:pPr>
        <w:spacing w:after="0" w:line="480" w:lineRule="auto"/>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Friede, A. , Baldwin, W. , Rhodes, P. , Buehler, J. , Strauss, L. , Smith, J. , &amp; Hogue, C. </w:t>
      </w:r>
    </w:p>
    <w:p w:rsidR="00B2306E" w:rsidRPr="00B2306E" w:rsidRDefault="00B2306E" w:rsidP="00B2306E">
      <w:pPr>
        <w:spacing w:after="0" w:line="480" w:lineRule="auto"/>
        <w:ind w:left="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(1987). Young maternal age and infant mortality: the role of low birth weight, </w:t>
      </w:r>
      <w:r w:rsidRPr="00B2306E">
        <w:rPr>
          <w:rFonts w:ascii="Times New Roman" w:eastAsia="Times New Roman" w:hAnsi="Times New Roman" w:cs="Times New Roman"/>
          <w:i/>
          <w:sz w:val="24"/>
          <w:szCs w:val="24"/>
        </w:rPr>
        <w:t>Public Health Report, 102</w:t>
      </w:r>
      <w:r w:rsidRPr="00B2306E">
        <w:rPr>
          <w:rFonts w:ascii="Times New Roman" w:eastAsia="Times New Roman" w:hAnsi="Times New Roman" w:cs="Times New Roman"/>
          <w:sz w:val="24"/>
          <w:szCs w:val="24"/>
        </w:rPr>
        <w:t xml:space="preserve">(2), 192, 199.  </w:t>
      </w:r>
    </w:p>
    <w:p w:rsidR="00B2306E" w:rsidRPr="00B2306E" w:rsidRDefault="00B2306E" w:rsidP="00B2306E">
      <w:pPr>
        <w:spacing w:after="0" w:line="480" w:lineRule="auto"/>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Giardino, J. , Gonzalez, A. , Steiner, M. , &amp; Fleming, A. (2008). Effects of motherhood </w:t>
      </w:r>
    </w:p>
    <w:p w:rsidR="00B2306E" w:rsidRPr="00B2306E" w:rsidRDefault="00B2306E" w:rsidP="00B2306E">
      <w:pPr>
        <w:spacing w:after="0" w:line="480" w:lineRule="auto"/>
        <w:ind w:left="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on physiological and subjective responses to infant cries in teenage mothers: A comparison with non-mothers and adult mothers. </w:t>
      </w:r>
      <w:r w:rsidRPr="00B2306E">
        <w:rPr>
          <w:rFonts w:ascii="Times New Roman" w:eastAsia="Times New Roman" w:hAnsi="Times New Roman" w:cs="Times New Roman"/>
          <w:i/>
          <w:sz w:val="24"/>
          <w:szCs w:val="24"/>
        </w:rPr>
        <w:t>Hormones and Behavior, 53</w:t>
      </w:r>
      <w:r w:rsidRPr="00B2306E">
        <w:rPr>
          <w:rFonts w:ascii="Times New Roman" w:eastAsia="Times New Roman" w:hAnsi="Times New Roman" w:cs="Times New Roman"/>
          <w:sz w:val="24"/>
          <w:szCs w:val="24"/>
        </w:rPr>
        <w:t xml:space="preserve">(1), 149-158. </w:t>
      </w:r>
    </w:p>
    <w:p w:rsidR="00B2306E" w:rsidRPr="00B2306E" w:rsidRDefault="00B2306E" w:rsidP="00B2306E">
      <w:pPr>
        <w:spacing w:after="0" w:line="480" w:lineRule="auto"/>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Keown, L, , Woodward, L. , &amp; Field, J. (2011). Language development of pre-school </w:t>
      </w:r>
    </w:p>
    <w:p w:rsidR="00B2306E" w:rsidRPr="00B2306E" w:rsidRDefault="00B2306E" w:rsidP="00B2306E">
      <w:pPr>
        <w:spacing w:after="0" w:line="480" w:lineRule="auto"/>
        <w:ind w:firstLine="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children born to teenage mothers. </w:t>
      </w:r>
      <w:r w:rsidRPr="00B2306E">
        <w:rPr>
          <w:rFonts w:ascii="Times New Roman" w:eastAsia="Times New Roman" w:hAnsi="Times New Roman" w:cs="Times New Roman"/>
          <w:i/>
          <w:sz w:val="24"/>
          <w:szCs w:val="24"/>
        </w:rPr>
        <w:t>Infant and Child Development, 10</w:t>
      </w:r>
      <w:r w:rsidRPr="00B2306E">
        <w:rPr>
          <w:rFonts w:ascii="Times New Roman" w:eastAsia="Times New Roman" w:hAnsi="Times New Roman" w:cs="Times New Roman"/>
          <w:sz w:val="24"/>
          <w:szCs w:val="24"/>
        </w:rPr>
        <w:t>(3), 129-145.</w:t>
      </w:r>
    </w:p>
    <w:p w:rsidR="00B2306E" w:rsidRPr="00B2306E" w:rsidRDefault="00B2306E" w:rsidP="00B2306E">
      <w:pPr>
        <w:spacing w:after="0" w:line="480" w:lineRule="auto"/>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Kleck, A. , Gillam, R. , Hamilton, L. , &amp; McGrath, C. (1997). The relationship between </w:t>
      </w:r>
    </w:p>
    <w:p w:rsidR="00B2306E" w:rsidRPr="00B2306E" w:rsidRDefault="00B2306E" w:rsidP="0059496B">
      <w:pPr>
        <w:spacing w:after="0" w:line="480" w:lineRule="auto"/>
        <w:ind w:left="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middle-class parents’ book-sharing discussion and their preschooler’s abstract language development. </w:t>
      </w:r>
      <w:r w:rsidRPr="00B2306E">
        <w:rPr>
          <w:rFonts w:ascii="Times New Roman" w:eastAsia="Times New Roman" w:hAnsi="Times New Roman" w:cs="Times New Roman"/>
          <w:i/>
          <w:sz w:val="24"/>
          <w:szCs w:val="24"/>
        </w:rPr>
        <w:t>Journal of Speech, Language, and Hearing Research, 40</w:t>
      </w:r>
      <w:r w:rsidRPr="00B2306E">
        <w:rPr>
          <w:rFonts w:ascii="Times New Roman" w:eastAsia="Times New Roman" w:hAnsi="Times New Roman" w:cs="Times New Roman"/>
          <w:sz w:val="24"/>
          <w:szCs w:val="24"/>
        </w:rPr>
        <w:t xml:space="preserve">, 1261-1271. </w:t>
      </w:r>
    </w:p>
    <w:p w:rsidR="00B2306E" w:rsidRPr="00B2306E" w:rsidRDefault="00B2306E" w:rsidP="00B2306E">
      <w:pPr>
        <w:spacing w:after="0" w:line="480" w:lineRule="auto"/>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Landry, S. , Smith, K. , Swank, P. , Miller-Lancar, C. , (2000). Early maternal and child </w:t>
      </w:r>
    </w:p>
    <w:p w:rsidR="00B2306E" w:rsidRPr="00B2306E" w:rsidRDefault="00B2306E" w:rsidP="00B2306E">
      <w:pPr>
        <w:spacing w:after="0" w:line="480" w:lineRule="auto"/>
        <w:ind w:firstLine="720"/>
        <w:rPr>
          <w:rFonts w:ascii="Times New Roman" w:eastAsia="Times New Roman" w:hAnsi="Times New Roman" w:cs="Times New Roman"/>
          <w:i/>
          <w:sz w:val="24"/>
          <w:szCs w:val="24"/>
        </w:rPr>
      </w:pPr>
      <w:r w:rsidRPr="00B2306E">
        <w:rPr>
          <w:rFonts w:ascii="Times New Roman" w:eastAsia="Times New Roman" w:hAnsi="Times New Roman" w:cs="Times New Roman"/>
          <w:sz w:val="24"/>
          <w:szCs w:val="24"/>
        </w:rPr>
        <w:t xml:space="preserve">influences on children’s later independent cognitive and social functioning. </w:t>
      </w:r>
      <w:r w:rsidRPr="00B2306E">
        <w:rPr>
          <w:rFonts w:ascii="Times New Roman" w:eastAsia="Times New Roman" w:hAnsi="Times New Roman" w:cs="Times New Roman"/>
          <w:i/>
          <w:sz w:val="24"/>
          <w:szCs w:val="24"/>
        </w:rPr>
        <w:t xml:space="preserve">Child </w:t>
      </w:r>
    </w:p>
    <w:p w:rsidR="00B2306E" w:rsidRPr="00B2306E" w:rsidRDefault="00B2306E" w:rsidP="00B2306E">
      <w:pPr>
        <w:spacing w:after="0" w:line="480" w:lineRule="auto"/>
        <w:ind w:left="720"/>
        <w:rPr>
          <w:rFonts w:ascii="Times New Roman" w:eastAsia="Times New Roman" w:hAnsi="Times New Roman" w:cs="Times New Roman"/>
          <w:sz w:val="24"/>
          <w:szCs w:val="24"/>
        </w:rPr>
      </w:pPr>
      <w:r w:rsidRPr="00B2306E">
        <w:rPr>
          <w:rFonts w:ascii="Times New Roman" w:eastAsia="Times New Roman" w:hAnsi="Times New Roman" w:cs="Times New Roman"/>
          <w:i/>
          <w:sz w:val="24"/>
          <w:szCs w:val="24"/>
        </w:rPr>
        <w:t>Development, 71</w:t>
      </w:r>
      <w:r w:rsidRPr="00B2306E">
        <w:rPr>
          <w:rFonts w:ascii="Times New Roman" w:eastAsia="Times New Roman" w:hAnsi="Times New Roman" w:cs="Times New Roman"/>
          <w:sz w:val="24"/>
          <w:szCs w:val="24"/>
        </w:rPr>
        <w:t xml:space="preserve">(2), 358-375. </w:t>
      </w:r>
    </w:p>
    <w:p w:rsidR="00B2306E" w:rsidRPr="00B2306E" w:rsidRDefault="00B2306E" w:rsidP="00B2306E">
      <w:pPr>
        <w:spacing w:after="0" w:line="480" w:lineRule="auto"/>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lastRenderedPageBreak/>
        <w:t xml:space="preserve">Meadows-Oliver, M. , Sadler, L. , Swartz, M. , &amp; Ryan-Krause, P. (2007). Sources of </w:t>
      </w:r>
    </w:p>
    <w:p w:rsidR="00B2306E" w:rsidRPr="00B2306E" w:rsidRDefault="00B2306E" w:rsidP="00B2306E">
      <w:pPr>
        <w:spacing w:after="0" w:line="480" w:lineRule="auto"/>
        <w:ind w:left="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stress and support and maternal resources of homeless teenage mothers. </w:t>
      </w:r>
      <w:r w:rsidRPr="00B2306E">
        <w:rPr>
          <w:rFonts w:ascii="Times New Roman" w:eastAsia="Times New Roman" w:hAnsi="Times New Roman" w:cs="Times New Roman"/>
          <w:i/>
          <w:sz w:val="24"/>
          <w:szCs w:val="24"/>
        </w:rPr>
        <w:t>Journal of Child and Adolescent Psychiatric Nursing, 20</w:t>
      </w:r>
      <w:r w:rsidRPr="00B2306E">
        <w:rPr>
          <w:rFonts w:ascii="Times New Roman" w:eastAsia="Times New Roman" w:hAnsi="Times New Roman" w:cs="Times New Roman"/>
          <w:sz w:val="24"/>
          <w:szCs w:val="24"/>
        </w:rPr>
        <w:t xml:space="preserve">(2), 116-125. </w:t>
      </w:r>
    </w:p>
    <w:p w:rsidR="00B2306E" w:rsidRPr="00B2306E" w:rsidRDefault="00B2306E" w:rsidP="00B2306E">
      <w:pPr>
        <w:spacing w:after="0" w:line="480" w:lineRule="auto"/>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Merz, E. , Zucker, T. , Landry, S. , Williams, J. , Assel, M. , Taylor, H, … Villiers, J. </w:t>
      </w:r>
    </w:p>
    <w:p w:rsidR="00B2306E" w:rsidRPr="00B2306E" w:rsidRDefault="00B2306E" w:rsidP="00B2306E">
      <w:pPr>
        <w:spacing w:after="0" w:line="480" w:lineRule="auto"/>
        <w:ind w:left="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(2015). Parenting predictors of cognitive skills and emotion knowledge in socioeconomically disadvantaged preschooler. </w:t>
      </w:r>
      <w:r w:rsidRPr="00B2306E">
        <w:rPr>
          <w:rFonts w:ascii="Times New Roman" w:eastAsia="Times New Roman" w:hAnsi="Times New Roman" w:cs="Times New Roman"/>
          <w:i/>
          <w:sz w:val="24"/>
          <w:szCs w:val="24"/>
        </w:rPr>
        <w:t>Journal of Experimental Child Psychology, 132</w:t>
      </w:r>
      <w:r w:rsidRPr="00B2306E">
        <w:rPr>
          <w:rFonts w:ascii="Times New Roman" w:eastAsia="Times New Roman" w:hAnsi="Times New Roman" w:cs="Times New Roman"/>
          <w:sz w:val="24"/>
          <w:szCs w:val="24"/>
        </w:rPr>
        <w:t xml:space="preserve">, 14-31. </w:t>
      </w:r>
    </w:p>
    <w:p w:rsidR="00B2306E" w:rsidRPr="00B2306E" w:rsidRDefault="00B2306E" w:rsidP="00B2306E">
      <w:pPr>
        <w:spacing w:after="0" w:line="480" w:lineRule="auto"/>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Mol, S. , &amp; Neuman, S. (2014). Sharing information books with kindergartners: The role </w:t>
      </w:r>
    </w:p>
    <w:p w:rsidR="00B2306E" w:rsidRPr="00B2306E" w:rsidRDefault="00B2306E" w:rsidP="00B2306E">
      <w:pPr>
        <w:spacing w:after="0" w:line="480" w:lineRule="auto"/>
        <w:ind w:left="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of parents’ extra-textual talk and socioeconomic status. </w:t>
      </w:r>
      <w:r w:rsidRPr="00B2306E">
        <w:rPr>
          <w:rFonts w:ascii="Times New Roman" w:eastAsia="Times New Roman" w:hAnsi="Times New Roman" w:cs="Times New Roman"/>
          <w:i/>
          <w:sz w:val="24"/>
          <w:szCs w:val="24"/>
        </w:rPr>
        <w:t>Early Childhood Research Quarterly, 29</w:t>
      </w:r>
      <w:r w:rsidRPr="00B2306E">
        <w:rPr>
          <w:rFonts w:ascii="Times New Roman" w:eastAsia="Times New Roman" w:hAnsi="Times New Roman" w:cs="Times New Roman"/>
          <w:sz w:val="24"/>
          <w:szCs w:val="24"/>
        </w:rPr>
        <w:t xml:space="preserve">(4), 399-410. </w:t>
      </w:r>
    </w:p>
    <w:p w:rsidR="00B2306E" w:rsidRPr="00B2306E" w:rsidRDefault="00B2306E" w:rsidP="00B2306E">
      <w:pPr>
        <w:spacing w:after="0" w:line="480" w:lineRule="auto"/>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Neuman, S. , &amp; Gallagher, P. (1994). Joining together in literacy learning: Teenage </w:t>
      </w:r>
    </w:p>
    <w:p w:rsidR="00B2306E" w:rsidRPr="00B2306E" w:rsidRDefault="00B2306E" w:rsidP="00B2306E">
      <w:pPr>
        <w:spacing w:after="0" w:line="480" w:lineRule="auto"/>
        <w:ind w:firstLine="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mothers and children. </w:t>
      </w:r>
      <w:r w:rsidRPr="00B2306E">
        <w:rPr>
          <w:rFonts w:ascii="Times New Roman" w:eastAsia="Times New Roman" w:hAnsi="Times New Roman" w:cs="Times New Roman"/>
          <w:i/>
          <w:sz w:val="24"/>
          <w:szCs w:val="24"/>
        </w:rPr>
        <w:t>Reading Research Quarterly, 29</w:t>
      </w:r>
      <w:r w:rsidRPr="00B2306E">
        <w:rPr>
          <w:rFonts w:ascii="Times New Roman" w:eastAsia="Times New Roman" w:hAnsi="Times New Roman" w:cs="Times New Roman"/>
          <w:sz w:val="24"/>
          <w:szCs w:val="24"/>
        </w:rPr>
        <w:t xml:space="preserve">(4), 382-401. </w:t>
      </w:r>
    </w:p>
    <w:p w:rsidR="00B2306E" w:rsidRPr="00B2306E" w:rsidRDefault="00B2306E" w:rsidP="00B2306E">
      <w:pPr>
        <w:spacing w:after="0" w:line="480" w:lineRule="auto"/>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Sadler, L. , &amp; Cowlin, A. (2003). Moving into parenthood: A program for new adolescent </w:t>
      </w:r>
    </w:p>
    <w:p w:rsidR="00B2306E" w:rsidRPr="00B2306E" w:rsidRDefault="00B2306E" w:rsidP="00B2306E">
      <w:pPr>
        <w:spacing w:after="0" w:line="480" w:lineRule="auto"/>
        <w:ind w:left="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mothers combining parent education with creative physical activety, </w:t>
      </w:r>
      <w:r w:rsidRPr="00B2306E">
        <w:rPr>
          <w:rFonts w:ascii="Times New Roman" w:eastAsia="Times New Roman" w:hAnsi="Times New Roman" w:cs="Times New Roman"/>
          <w:i/>
          <w:sz w:val="24"/>
          <w:szCs w:val="24"/>
        </w:rPr>
        <w:t>Journal for Specialists in Pediatric Nursing, 8</w:t>
      </w:r>
      <w:r w:rsidRPr="00B2306E">
        <w:rPr>
          <w:rFonts w:ascii="Times New Roman" w:eastAsia="Times New Roman" w:hAnsi="Times New Roman" w:cs="Times New Roman"/>
          <w:sz w:val="24"/>
          <w:szCs w:val="24"/>
        </w:rPr>
        <w:t xml:space="preserve">(2), 62-70. </w:t>
      </w:r>
    </w:p>
    <w:p w:rsidR="00B2306E" w:rsidRPr="00B2306E" w:rsidRDefault="00B2306E" w:rsidP="00B2306E">
      <w:pPr>
        <w:spacing w:after="0" w:line="480" w:lineRule="auto"/>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Sénéchal, M. , &amp;  LeFevre, J. (2002). Parental involvement in the development of </w:t>
      </w:r>
    </w:p>
    <w:p w:rsidR="00B2306E" w:rsidRPr="00B2306E" w:rsidRDefault="00B2306E" w:rsidP="00B2306E">
      <w:pPr>
        <w:spacing w:after="0" w:line="480" w:lineRule="auto"/>
        <w:ind w:left="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children’s reading skill: A five-year longitudinal study. </w:t>
      </w:r>
      <w:r w:rsidRPr="00B2306E">
        <w:rPr>
          <w:rFonts w:ascii="Times New Roman" w:eastAsia="Times New Roman" w:hAnsi="Times New Roman" w:cs="Times New Roman"/>
          <w:i/>
          <w:sz w:val="24"/>
          <w:szCs w:val="24"/>
        </w:rPr>
        <w:t>Child Development, 73</w:t>
      </w:r>
      <w:r w:rsidRPr="00B2306E">
        <w:rPr>
          <w:rFonts w:ascii="Times New Roman" w:eastAsia="Times New Roman" w:hAnsi="Times New Roman" w:cs="Times New Roman"/>
          <w:sz w:val="24"/>
          <w:szCs w:val="24"/>
        </w:rPr>
        <w:t xml:space="preserve">(2), 445-460. </w:t>
      </w:r>
    </w:p>
    <w:p w:rsidR="00B2306E" w:rsidRPr="00B2306E" w:rsidRDefault="00B2306E" w:rsidP="00B2306E">
      <w:pPr>
        <w:spacing w:after="0" w:line="480" w:lineRule="auto"/>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Shaw, M. , Lawlor, D. , &amp; Najman, J. (2006). Teenage children of teenage mothers: </w:t>
      </w:r>
    </w:p>
    <w:p w:rsidR="00B2306E" w:rsidRPr="00B2306E" w:rsidRDefault="00B2306E" w:rsidP="00B2306E">
      <w:pPr>
        <w:spacing w:after="0" w:line="480" w:lineRule="auto"/>
        <w:ind w:left="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Psychological, behavioral and health outcomes from an Australian prospective longitudinal study. </w:t>
      </w:r>
      <w:r w:rsidRPr="00B2306E">
        <w:rPr>
          <w:rFonts w:ascii="Times New Roman" w:eastAsia="Times New Roman" w:hAnsi="Times New Roman" w:cs="Times New Roman"/>
          <w:i/>
          <w:sz w:val="24"/>
          <w:szCs w:val="24"/>
        </w:rPr>
        <w:t>Social Science &amp; Medicine, 62</w:t>
      </w:r>
      <w:r w:rsidRPr="00B2306E">
        <w:rPr>
          <w:rFonts w:ascii="Times New Roman" w:eastAsia="Times New Roman" w:hAnsi="Times New Roman" w:cs="Times New Roman"/>
          <w:sz w:val="24"/>
          <w:szCs w:val="24"/>
        </w:rPr>
        <w:t>(10), 2526-2539.</w:t>
      </w:r>
    </w:p>
    <w:p w:rsidR="00B2306E" w:rsidRPr="00B2306E" w:rsidRDefault="00B2306E" w:rsidP="00B2306E">
      <w:pPr>
        <w:spacing w:after="0" w:line="480" w:lineRule="auto"/>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Stockwell, M. , Kharbanda, E. , Martinez, R. , Lara, M. , Vawdrey, D. , Natarajan, K. , &amp; </w:t>
      </w:r>
    </w:p>
    <w:p w:rsidR="00B2306E" w:rsidRPr="00B2306E" w:rsidRDefault="00B2306E" w:rsidP="00B2306E">
      <w:pPr>
        <w:spacing w:after="0" w:line="480" w:lineRule="auto"/>
        <w:ind w:left="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lastRenderedPageBreak/>
        <w:t xml:space="preserve">Rickert, V. (2012). Text4Health: Impact of test message reminder-recalls for pediatric and adolescent immunizations. </w:t>
      </w:r>
      <w:r w:rsidRPr="00B2306E">
        <w:rPr>
          <w:rFonts w:ascii="Times New Roman" w:eastAsia="Times New Roman" w:hAnsi="Times New Roman" w:cs="Times New Roman"/>
          <w:i/>
          <w:sz w:val="24"/>
          <w:szCs w:val="24"/>
        </w:rPr>
        <w:t>American Journal of Public Health, 102</w:t>
      </w:r>
      <w:r w:rsidRPr="00B2306E">
        <w:rPr>
          <w:rFonts w:ascii="Times New Roman" w:eastAsia="Times New Roman" w:hAnsi="Times New Roman" w:cs="Times New Roman"/>
          <w:sz w:val="24"/>
          <w:szCs w:val="24"/>
        </w:rPr>
        <w:t>(2), e15-e21</w:t>
      </w:r>
      <w:r w:rsidRPr="00B2306E">
        <w:rPr>
          <w:rFonts w:ascii="Times New Roman" w:eastAsia="Times New Roman" w:hAnsi="Times New Roman" w:cs="Times New Roman"/>
          <w:i/>
          <w:sz w:val="24"/>
          <w:szCs w:val="24"/>
        </w:rPr>
        <w:t xml:space="preserve">. </w:t>
      </w:r>
      <w:r w:rsidRPr="00B2306E">
        <w:rPr>
          <w:rFonts w:ascii="Times New Roman" w:eastAsia="Times New Roman" w:hAnsi="Times New Roman" w:cs="Times New Roman"/>
          <w:sz w:val="24"/>
          <w:szCs w:val="24"/>
        </w:rPr>
        <w:t xml:space="preserve"> </w:t>
      </w:r>
    </w:p>
    <w:p w:rsidR="00B2306E" w:rsidRPr="00B2306E" w:rsidRDefault="00B2306E" w:rsidP="00B2306E">
      <w:pPr>
        <w:spacing w:after="0" w:line="480" w:lineRule="auto"/>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Sutherland, K. , Wehby, J. , &amp; Copeland, S. (2000). Effect of varying rates of behavior-</w:t>
      </w:r>
    </w:p>
    <w:p w:rsidR="00B2306E" w:rsidRPr="00B2306E" w:rsidRDefault="00B2306E" w:rsidP="00B2306E">
      <w:pPr>
        <w:spacing w:after="0" w:line="480" w:lineRule="auto"/>
        <w:ind w:left="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specific praise on the on-task behavior of students with EBD. </w:t>
      </w:r>
      <w:r w:rsidRPr="00B2306E">
        <w:rPr>
          <w:rFonts w:ascii="Times New Roman" w:eastAsia="Times New Roman" w:hAnsi="Times New Roman" w:cs="Times New Roman"/>
          <w:i/>
          <w:sz w:val="24"/>
          <w:szCs w:val="24"/>
        </w:rPr>
        <w:t>Journal of Emotional and Behavioral Disorders, 8</w:t>
      </w:r>
      <w:r w:rsidRPr="00B2306E">
        <w:rPr>
          <w:rFonts w:ascii="Times New Roman" w:eastAsia="Times New Roman" w:hAnsi="Times New Roman" w:cs="Times New Roman"/>
          <w:sz w:val="24"/>
          <w:szCs w:val="24"/>
        </w:rPr>
        <w:t xml:space="preserve">(1), 2-8. </w:t>
      </w:r>
    </w:p>
    <w:p w:rsidR="00B2306E" w:rsidRPr="00B2306E" w:rsidRDefault="00B2306E" w:rsidP="00B2306E">
      <w:pPr>
        <w:spacing w:after="0" w:line="480" w:lineRule="auto"/>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Tamis-LeMonda, C. , Bornstein, M. , &amp; Baumwell, L. (2001). Maternal responsiveness </w:t>
      </w:r>
    </w:p>
    <w:p w:rsidR="00B2306E" w:rsidRPr="00B2306E" w:rsidRDefault="00B2306E" w:rsidP="00B2306E">
      <w:pPr>
        <w:spacing w:after="0" w:line="480" w:lineRule="auto"/>
        <w:ind w:left="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and children’s achievement of language milestones. </w:t>
      </w:r>
      <w:r w:rsidRPr="00B2306E">
        <w:rPr>
          <w:rFonts w:ascii="Times New Roman" w:eastAsia="Times New Roman" w:hAnsi="Times New Roman" w:cs="Times New Roman"/>
          <w:i/>
          <w:sz w:val="24"/>
          <w:szCs w:val="24"/>
        </w:rPr>
        <w:t>Child Development, 72</w:t>
      </w:r>
      <w:r w:rsidRPr="00B2306E">
        <w:rPr>
          <w:rFonts w:ascii="Times New Roman" w:eastAsia="Times New Roman" w:hAnsi="Times New Roman" w:cs="Times New Roman"/>
          <w:sz w:val="24"/>
          <w:szCs w:val="24"/>
        </w:rPr>
        <w:t xml:space="preserve">(3), </w:t>
      </w:r>
    </w:p>
    <w:p w:rsidR="00B2306E" w:rsidRPr="00B2306E" w:rsidRDefault="00B2306E" w:rsidP="00B2306E">
      <w:pPr>
        <w:spacing w:after="0" w:line="480" w:lineRule="auto"/>
        <w:ind w:left="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748-767.</w:t>
      </w:r>
    </w:p>
    <w:p w:rsidR="00B2306E" w:rsidRPr="00B2306E" w:rsidRDefault="00B2306E" w:rsidP="00B2306E">
      <w:pPr>
        <w:spacing w:after="0" w:line="480" w:lineRule="auto"/>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Taylor, H. , Anthony, J. , &amp; Aghara, R. (2008). The interaction of early maternal </w:t>
      </w:r>
    </w:p>
    <w:p w:rsidR="00B2306E" w:rsidRPr="00B2306E" w:rsidRDefault="00B2306E" w:rsidP="00B2306E">
      <w:pPr>
        <w:spacing w:after="0" w:line="480" w:lineRule="auto"/>
        <w:ind w:left="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responsiveness and children’s cognitive abilities on later decoding and reading comprehension skills. </w:t>
      </w:r>
      <w:r w:rsidRPr="00B2306E">
        <w:rPr>
          <w:rFonts w:ascii="Times New Roman" w:eastAsia="Times New Roman" w:hAnsi="Times New Roman" w:cs="Times New Roman"/>
          <w:i/>
          <w:sz w:val="24"/>
          <w:szCs w:val="24"/>
        </w:rPr>
        <w:t>Early Education and Development, 19</w:t>
      </w:r>
      <w:r w:rsidRPr="00B2306E">
        <w:rPr>
          <w:rFonts w:ascii="Times New Roman" w:eastAsia="Times New Roman" w:hAnsi="Times New Roman" w:cs="Times New Roman"/>
          <w:sz w:val="24"/>
          <w:szCs w:val="24"/>
        </w:rPr>
        <w:t xml:space="preserve">(1), 188-207. </w:t>
      </w:r>
    </w:p>
    <w:p w:rsidR="00B2306E" w:rsidRPr="00B2306E" w:rsidRDefault="00B2306E" w:rsidP="00B2306E">
      <w:pPr>
        <w:spacing w:after="0" w:line="480" w:lineRule="auto"/>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Thiessen, E. , Hill, E. , &amp; Saffran, J. (2005). Infant-directed speech facilitates word </w:t>
      </w:r>
    </w:p>
    <w:p w:rsidR="00B2306E" w:rsidRPr="00B2306E" w:rsidRDefault="00B2306E" w:rsidP="00B2306E">
      <w:pPr>
        <w:spacing w:after="0" w:line="480" w:lineRule="auto"/>
        <w:ind w:firstLine="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segmentation. </w:t>
      </w:r>
      <w:r w:rsidRPr="00B2306E">
        <w:rPr>
          <w:rFonts w:ascii="Times New Roman" w:eastAsia="Times New Roman" w:hAnsi="Times New Roman" w:cs="Times New Roman"/>
          <w:i/>
          <w:sz w:val="24"/>
          <w:szCs w:val="24"/>
        </w:rPr>
        <w:t>Infancy, 7</w:t>
      </w:r>
      <w:r w:rsidRPr="00B2306E">
        <w:rPr>
          <w:rFonts w:ascii="Times New Roman" w:eastAsia="Times New Roman" w:hAnsi="Times New Roman" w:cs="Times New Roman"/>
          <w:sz w:val="24"/>
          <w:szCs w:val="24"/>
        </w:rPr>
        <w:t xml:space="preserve">(1), 53-71. </w:t>
      </w:r>
    </w:p>
    <w:p w:rsidR="00B2306E" w:rsidRPr="00B2306E" w:rsidRDefault="00B2306E" w:rsidP="00B2306E">
      <w:pPr>
        <w:spacing w:after="0" w:line="480" w:lineRule="auto"/>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Wert, B. , &amp; Neisworth, J. (2003). Spontaneous requesting in children with autism. </w:t>
      </w:r>
    </w:p>
    <w:p w:rsidR="00B2306E" w:rsidRPr="00B2306E" w:rsidRDefault="00B2306E" w:rsidP="00B2306E">
      <w:pPr>
        <w:spacing w:after="0" w:line="480" w:lineRule="auto"/>
        <w:ind w:firstLine="720"/>
        <w:rPr>
          <w:rFonts w:ascii="Times New Roman" w:eastAsia="Times New Roman" w:hAnsi="Times New Roman" w:cs="Times New Roman"/>
          <w:sz w:val="24"/>
          <w:szCs w:val="24"/>
        </w:rPr>
      </w:pPr>
      <w:r w:rsidRPr="00B2306E">
        <w:rPr>
          <w:rFonts w:ascii="Times New Roman" w:eastAsia="Times New Roman" w:hAnsi="Times New Roman" w:cs="Times New Roman"/>
          <w:i/>
          <w:sz w:val="24"/>
          <w:szCs w:val="24"/>
        </w:rPr>
        <w:t>Journal of Positive Behavior Interventions, 5</w:t>
      </w:r>
      <w:r w:rsidRPr="00B2306E">
        <w:rPr>
          <w:rFonts w:ascii="Times New Roman" w:eastAsia="Times New Roman" w:hAnsi="Times New Roman" w:cs="Times New Roman"/>
          <w:sz w:val="24"/>
          <w:szCs w:val="24"/>
        </w:rPr>
        <w:t>(1), 30-34.</w:t>
      </w:r>
    </w:p>
    <w:p w:rsidR="00B2306E" w:rsidRPr="00B2306E" w:rsidRDefault="00B2306E" w:rsidP="00B2306E">
      <w:pPr>
        <w:spacing w:after="0" w:line="480" w:lineRule="auto"/>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Whitmarsh, J. (2011). Out of the mouth of babes: first-time disadvantaged mothers and </w:t>
      </w:r>
    </w:p>
    <w:p w:rsidR="00B2306E" w:rsidRPr="00B2306E" w:rsidRDefault="00B2306E" w:rsidP="00B2306E">
      <w:pPr>
        <w:spacing w:after="0" w:line="480" w:lineRule="auto"/>
        <w:ind w:left="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their perceptions of infant communication. </w:t>
      </w:r>
      <w:r w:rsidRPr="00B2306E">
        <w:rPr>
          <w:rFonts w:ascii="Times New Roman" w:eastAsia="Times New Roman" w:hAnsi="Times New Roman" w:cs="Times New Roman"/>
          <w:i/>
          <w:sz w:val="24"/>
          <w:szCs w:val="24"/>
        </w:rPr>
        <w:t>International Journal of Early Years Education, 19</w:t>
      </w:r>
      <w:r w:rsidRPr="00B2306E">
        <w:rPr>
          <w:rFonts w:ascii="Times New Roman" w:eastAsia="Times New Roman" w:hAnsi="Times New Roman" w:cs="Times New Roman"/>
          <w:sz w:val="24"/>
          <w:szCs w:val="24"/>
        </w:rPr>
        <w:t xml:space="preserve">(3-4), 283-396. </w:t>
      </w:r>
    </w:p>
    <w:p w:rsidR="00B2306E" w:rsidRPr="00B2306E" w:rsidRDefault="00B2306E" w:rsidP="00B2306E">
      <w:pPr>
        <w:spacing w:after="0" w:line="480" w:lineRule="auto"/>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Yoder, P. , McCathern, R. , Warren, S. , Watson, A. (2001). Important distinctions in </w:t>
      </w:r>
    </w:p>
    <w:p w:rsidR="00B2306E" w:rsidRDefault="00B2306E" w:rsidP="00B2306E">
      <w:pPr>
        <w:spacing w:after="0" w:line="480" w:lineRule="auto"/>
        <w:ind w:left="720"/>
        <w:rPr>
          <w:rFonts w:ascii="Times New Roman" w:eastAsia="Times New Roman" w:hAnsi="Times New Roman" w:cs="Times New Roman"/>
          <w:sz w:val="24"/>
          <w:szCs w:val="24"/>
        </w:rPr>
      </w:pPr>
      <w:r w:rsidRPr="00B2306E">
        <w:rPr>
          <w:rFonts w:ascii="Times New Roman" w:eastAsia="Times New Roman" w:hAnsi="Times New Roman" w:cs="Times New Roman"/>
          <w:sz w:val="24"/>
          <w:szCs w:val="24"/>
        </w:rPr>
        <w:t xml:space="preserve">measuring maternal responses to communication in prelinguistic children with disabilities. </w:t>
      </w:r>
      <w:r w:rsidRPr="00B2306E">
        <w:rPr>
          <w:rFonts w:ascii="Times New Roman" w:eastAsia="Times New Roman" w:hAnsi="Times New Roman" w:cs="Times New Roman"/>
          <w:i/>
          <w:sz w:val="24"/>
          <w:szCs w:val="24"/>
        </w:rPr>
        <w:t>Communication Disorders Quarterly, 22</w:t>
      </w:r>
      <w:r w:rsidRPr="00B2306E">
        <w:rPr>
          <w:rFonts w:ascii="Times New Roman" w:eastAsia="Times New Roman" w:hAnsi="Times New Roman" w:cs="Times New Roman"/>
          <w:sz w:val="24"/>
          <w:szCs w:val="24"/>
        </w:rPr>
        <w:t xml:space="preserve">(3), 135-147.  </w:t>
      </w:r>
    </w:p>
    <w:p w:rsidR="00B2306E" w:rsidRDefault="00B2306E" w:rsidP="00B2306E">
      <w:pPr>
        <w:spacing w:after="0" w:line="480" w:lineRule="auto"/>
        <w:ind w:left="720"/>
        <w:rPr>
          <w:rFonts w:ascii="Times New Roman" w:eastAsia="Times New Roman" w:hAnsi="Times New Roman" w:cs="Times New Roman"/>
          <w:sz w:val="24"/>
          <w:szCs w:val="24"/>
        </w:rPr>
      </w:pPr>
    </w:p>
    <w:p w:rsidR="00B2306E" w:rsidRDefault="00B2306E" w:rsidP="00B2306E">
      <w:pPr>
        <w:spacing w:after="0" w:line="480" w:lineRule="auto"/>
        <w:ind w:left="720"/>
        <w:rPr>
          <w:rFonts w:ascii="Times New Roman" w:eastAsia="Times New Roman" w:hAnsi="Times New Roman" w:cs="Times New Roman"/>
          <w:sz w:val="24"/>
          <w:szCs w:val="24"/>
        </w:rPr>
      </w:pPr>
    </w:p>
    <w:p w:rsidR="00B2306E" w:rsidRDefault="00B2306E" w:rsidP="00B2306E">
      <w:pPr>
        <w:spacing w:after="0" w:line="480" w:lineRule="auto"/>
        <w:ind w:left="720"/>
        <w:rPr>
          <w:rFonts w:ascii="Times New Roman" w:eastAsia="Times New Roman" w:hAnsi="Times New Roman" w:cs="Times New Roman"/>
          <w:sz w:val="24"/>
          <w:szCs w:val="24"/>
        </w:rPr>
      </w:pPr>
    </w:p>
    <w:p w:rsidR="00B2306E" w:rsidRPr="0059496B" w:rsidRDefault="0059496B" w:rsidP="0059496B">
      <w:pPr>
        <w:spacing w:after="0" w:line="480" w:lineRule="auto"/>
        <w:ind w:left="720"/>
        <w:jc w:val="center"/>
        <w:rPr>
          <w:rFonts w:ascii="Times New Roman" w:eastAsia="Times New Roman" w:hAnsi="Times New Roman" w:cs="Times New Roman"/>
          <w:sz w:val="96"/>
          <w:szCs w:val="96"/>
        </w:rPr>
      </w:pPr>
      <w:r w:rsidRPr="0059496B">
        <w:rPr>
          <w:rFonts w:ascii="Times New Roman" w:eastAsia="Times New Roman" w:hAnsi="Times New Roman" w:cs="Times New Roman"/>
          <w:sz w:val="96"/>
          <w:szCs w:val="96"/>
        </w:rPr>
        <w:t>Screenshots of my Website</w:t>
      </w:r>
    </w:p>
    <w:p w:rsidR="00B2306E" w:rsidRDefault="00B2306E" w:rsidP="00B2306E">
      <w:pPr>
        <w:spacing w:after="0" w:line="480" w:lineRule="auto"/>
        <w:ind w:left="720"/>
        <w:rPr>
          <w:rFonts w:ascii="Times New Roman" w:eastAsia="Times New Roman" w:hAnsi="Times New Roman" w:cs="Times New Roman"/>
          <w:sz w:val="24"/>
          <w:szCs w:val="24"/>
        </w:rPr>
      </w:pPr>
    </w:p>
    <w:p w:rsidR="00B2306E" w:rsidRDefault="00B2306E" w:rsidP="00B2306E">
      <w:pPr>
        <w:spacing w:after="0" w:line="480" w:lineRule="auto"/>
        <w:ind w:left="720"/>
        <w:rPr>
          <w:rFonts w:ascii="Times New Roman" w:eastAsia="Times New Roman" w:hAnsi="Times New Roman" w:cs="Times New Roman"/>
          <w:sz w:val="24"/>
          <w:szCs w:val="24"/>
        </w:rPr>
      </w:pPr>
    </w:p>
    <w:p w:rsidR="00B2306E" w:rsidRDefault="00B2306E" w:rsidP="00B2306E">
      <w:pPr>
        <w:spacing w:after="0" w:line="480" w:lineRule="auto"/>
        <w:ind w:left="720"/>
        <w:rPr>
          <w:rFonts w:ascii="Times New Roman" w:eastAsia="Times New Roman" w:hAnsi="Times New Roman" w:cs="Times New Roman"/>
          <w:sz w:val="24"/>
          <w:szCs w:val="24"/>
        </w:rPr>
      </w:pPr>
    </w:p>
    <w:p w:rsidR="00B2306E" w:rsidRDefault="00B2306E" w:rsidP="00B2306E">
      <w:pPr>
        <w:spacing w:after="0" w:line="480" w:lineRule="auto"/>
        <w:ind w:left="720"/>
        <w:rPr>
          <w:rFonts w:ascii="Times New Roman" w:eastAsia="Times New Roman" w:hAnsi="Times New Roman" w:cs="Times New Roman"/>
          <w:sz w:val="24"/>
          <w:szCs w:val="24"/>
        </w:rPr>
      </w:pPr>
    </w:p>
    <w:p w:rsidR="00B2306E" w:rsidRDefault="00B2306E" w:rsidP="00B2306E">
      <w:pPr>
        <w:spacing w:after="0" w:line="480" w:lineRule="auto"/>
        <w:ind w:left="720"/>
        <w:rPr>
          <w:rFonts w:ascii="Times New Roman" w:eastAsia="Times New Roman" w:hAnsi="Times New Roman" w:cs="Times New Roman"/>
          <w:sz w:val="24"/>
          <w:szCs w:val="24"/>
        </w:rPr>
      </w:pPr>
    </w:p>
    <w:p w:rsidR="00B2306E" w:rsidRDefault="00B2306E" w:rsidP="00B2306E">
      <w:pPr>
        <w:spacing w:after="0" w:line="480" w:lineRule="auto"/>
        <w:ind w:left="720"/>
        <w:rPr>
          <w:rFonts w:ascii="Times New Roman" w:eastAsia="Times New Roman" w:hAnsi="Times New Roman" w:cs="Times New Roman"/>
          <w:sz w:val="24"/>
          <w:szCs w:val="24"/>
        </w:rPr>
      </w:pPr>
    </w:p>
    <w:p w:rsidR="00B2306E" w:rsidRDefault="00B2306E" w:rsidP="00B2306E">
      <w:pPr>
        <w:spacing w:after="0" w:line="480" w:lineRule="auto"/>
        <w:ind w:left="720"/>
        <w:rPr>
          <w:rFonts w:ascii="Times New Roman" w:eastAsia="Times New Roman" w:hAnsi="Times New Roman" w:cs="Times New Roman"/>
          <w:sz w:val="24"/>
          <w:szCs w:val="24"/>
        </w:rPr>
      </w:pPr>
    </w:p>
    <w:p w:rsidR="00B2306E" w:rsidRDefault="00B2306E" w:rsidP="00B2306E">
      <w:pPr>
        <w:spacing w:after="0" w:line="480" w:lineRule="auto"/>
        <w:ind w:left="720"/>
        <w:rPr>
          <w:rFonts w:ascii="Times New Roman" w:eastAsia="Times New Roman" w:hAnsi="Times New Roman" w:cs="Times New Roman"/>
          <w:sz w:val="24"/>
          <w:szCs w:val="24"/>
        </w:rPr>
      </w:pPr>
    </w:p>
    <w:p w:rsidR="006743F1" w:rsidRDefault="006743F1" w:rsidP="00B2306E">
      <w:pPr>
        <w:spacing w:after="0" w:line="480" w:lineRule="auto"/>
        <w:ind w:left="720"/>
        <w:rPr>
          <w:rFonts w:ascii="Times New Roman" w:eastAsia="Times New Roman" w:hAnsi="Times New Roman" w:cs="Times New Roman"/>
          <w:sz w:val="24"/>
          <w:szCs w:val="24"/>
        </w:rPr>
      </w:pPr>
    </w:p>
    <w:p w:rsidR="006743F1" w:rsidRDefault="006743F1" w:rsidP="00B2306E">
      <w:pPr>
        <w:spacing w:after="0" w:line="480" w:lineRule="auto"/>
        <w:ind w:left="720"/>
        <w:rPr>
          <w:rFonts w:ascii="Times New Roman" w:eastAsia="Times New Roman" w:hAnsi="Times New Roman" w:cs="Times New Roman"/>
          <w:sz w:val="24"/>
          <w:szCs w:val="24"/>
        </w:rPr>
      </w:pPr>
    </w:p>
    <w:p w:rsidR="006743F1" w:rsidRDefault="006743F1" w:rsidP="00B2306E">
      <w:pPr>
        <w:spacing w:after="0" w:line="480" w:lineRule="auto"/>
        <w:ind w:left="720"/>
        <w:rPr>
          <w:rFonts w:ascii="Times New Roman" w:eastAsia="Times New Roman" w:hAnsi="Times New Roman" w:cs="Times New Roman"/>
          <w:sz w:val="24"/>
          <w:szCs w:val="24"/>
        </w:rPr>
      </w:pPr>
    </w:p>
    <w:p w:rsidR="006743F1" w:rsidRDefault="006743F1" w:rsidP="00B2306E">
      <w:pPr>
        <w:spacing w:after="0" w:line="480" w:lineRule="auto"/>
        <w:ind w:left="720"/>
        <w:rPr>
          <w:rFonts w:ascii="Times New Roman" w:eastAsia="Times New Roman" w:hAnsi="Times New Roman" w:cs="Times New Roman"/>
          <w:sz w:val="24"/>
          <w:szCs w:val="24"/>
        </w:rPr>
      </w:pPr>
    </w:p>
    <w:p w:rsidR="006743F1" w:rsidRDefault="006743F1" w:rsidP="00B2306E">
      <w:pPr>
        <w:spacing w:after="0" w:line="480" w:lineRule="auto"/>
        <w:ind w:left="720"/>
        <w:rPr>
          <w:rFonts w:ascii="Times New Roman" w:eastAsia="Times New Roman" w:hAnsi="Times New Roman" w:cs="Times New Roman"/>
          <w:sz w:val="24"/>
          <w:szCs w:val="24"/>
        </w:rPr>
      </w:pPr>
    </w:p>
    <w:p w:rsidR="006743F1" w:rsidRDefault="006743F1" w:rsidP="00B2306E">
      <w:pPr>
        <w:spacing w:after="0" w:line="480" w:lineRule="auto"/>
        <w:ind w:left="720"/>
        <w:rPr>
          <w:rFonts w:ascii="Times New Roman" w:eastAsia="Times New Roman" w:hAnsi="Times New Roman" w:cs="Times New Roman"/>
          <w:sz w:val="24"/>
          <w:szCs w:val="24"/>
        </w:rPr>
      </w:pPr>
    </w:p>
    <w:p w:rsidR="006743F1" w:rsidRDefault="006743F1" w:rsidP="00B2306E">
      <w:pPr>
        <w:spacing w:after="0" w:line="480" w:lineRule="auto"/>
        <w:ind w:left="720"/>
        <w:rPr>
          <w:rFonts w:ascii="Times New Roman" w:eastAsia="Times New Roman" w:hAnsi="Times New Roman" w:cs="Times New Roman"/>
          <w:sz w:val="24"/>
          <w:szCs w:val="24"/>
        </w:rPr>
      </w:pPr>
    </w:p>
    <w:p w:rsidR="006743F1" w:rsidRDefault="006743F1" w:rsidP="00B2306E">
      <w:pPr>
        <w:spacing w:after="0" w:line="480" w:lineRule="auto"/>
        <w:ind w:left="720"/>
        <w:rPr>
          <w:rFonts w:ascii="Times New Roman" w:eastAsia="Times New Roman" w:hAnsi="Times New Roman" w:cs="Times New Roman"/>
          <w:sz w:val="24"/>
          <w:szCs w:val="24"/>
        </w:rPr>
      </w:pPr>
    </w:p>
    <w:p w:rsidR="006743F1" w:rsidRDefault="006743F1" w:rsidP="00B2306E">
      <w:pPr>
        <w:spacing w:after="0" w:line="480" w:lineRule="auto"/>
        <w:ind w:left="720"/>
        <w:rPr>
          <w:rFonts w:ascii="Times New Roman" w:eastAsia="Times New Roman" w:hAnsi="Times New Roman" w:cs="Times New Roman"/>
          <w:sz w:val="24"/>
          <w:szCs w:val="24"/>
        </w:rPr>
      </w:pPr>
    </w:p>
    <w:p w:rsidR="006743F1" w:rsidRDefault="006743F1" w:rsidP="00CA1B44">
      <w:pPr>
        <w:spacing w:after="0" w:line="480" w:lineRule="auto"/>
        <w:rPr>
          <w:rFonts w:ascii="Times New Roman" w:eastAsia="Times New Roman" w:hAnsi="Times New Roman" w:cs="Times New Roman"/>
          <w:sz w:val="24"/>
          <w:szCs w:val="24"/>
        </w:rPr>
      </w:pPr>
      <w:r>
        <w:rPr>
          <w:noProof/>
        </w:rPr>
        <w:drawing>
          <wp:inline distT="0" distB="0" distL="0" distR="0" wp14:anchorId="30959FFB" wp14:editId="772735D3">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3600" cy="3343275"/>
                    </a:xfrm>
                    <a:prstGeom prst="rect">
                      <a:avLst/>
                    </a:prstGeom>
                  </pic:spPr>
                </pic:pic>
              </a:graphicData>
            </a:graphic>
          </wp:inline>
        </w:drawing>
      </w:r>
    </w:p>
    <w:p w:rsidR="003F30F5" w:rsidRDefault="003F30F5" w:rsidP="00CA1B44">
      <w:pPr>
        <w:spacing w:after="0" w:line="480" w:lineRule="auto"/>
        <w:rPr>
          <w:rFonts w:ascii="Times New Roman" w:eastAsia="Times New Roman" w:hAnsi="Times New Roman" w:cs="Times New Roman"/>
          <w:sz w:val="24"/>
          <w:szCs w:val="24"/>
        </w:rPr>
      </w:pPr>
    </w:p>
    <w:p w:rsidR="003F30F5" w:rsidRDefault="003F30F5" w:rsidP="00CA1B4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3600" cy="2209482"/>
            <wp:effectExtent l="0" t="0" r="0" b="635"/>
            <wp:docPr id="14" name="Picture 14" descr="C:\Users\NIK\Pictures\Camera Roll\thesis maternal responsiveness pag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IK\Pictures\Camera Roll\thesis maternal responsiveness page 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2209482"/>
                    </a:xfrm>
                    <a:prstGeom prst="rect">
                      <a:avLst/>
                    </a:prstGeom>
                    <a:noFill/>
                    <a:ln>
                      <a:noFill/>
                    </a:ln>
                  </pic:spPr>
                </pic:pic>
              </a:graphicData>
            </a:graphic>
          </wp:inline>
        </w:drawing>
      </w:r>
    </w:p>
    <w:p w:rsidR="003F30F5" w:rsidRDefault="003F30F5" w:rsidP="00CA1B44">
      <w:pPr>
        <w:spacing w:after="0" w:line="480" w:lineRule="auto"/>
        <w:rPr>
          <w:rFonts w:ascii="Times New Roman" w:eastAsia="Times New Roman" w:hAnsi="Times New Roman" w:cs="Times New Roman"/>
          <w:sz w:val="24"/>
          <w:szCs w:val="24"/>
        </w:rPr>
      </w:pPr>
    </w:p>
    <w:p w:rsidR="003F30F5" w:rsidRDefault="003F30F5" w:rsidP="00CA1B4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5943600" cy="2727693"/>
            <wp:effectExtent l="0" t="0" r="0" b="0"/>
            <wp:docPr id="15" name="Picture 15" descr="C:\Users\NIK\Pictures\Camera Roll\thesis maternal responsiveness pag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IK\Pictures\Camera Roll\thesis maternal responsiveness page 2.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2727693"/>
                    </a:xfrm>
                    <a:prstGeom prst="rect">
                      <a:avLst/>
                    </a:prstGeom>
                    <a:noFill/>
                    <a:ln>
                      <a:noFill/>
                    </a:ln>
                  </pic:spPr>
                </pic:pic>
              </a:graphicData>
            </a:graphic>
          </wp:inline>
        </w:drawing>
      </w:r>
    </w:p>
    <w:p w:rsidR="003F30F5" w:rsidRDefault="003F30F5" w:rsidP="003F30F5">
      <w:pPr>
        <w:spacing w:after="0" w:line="480" w:lineRule="auto"/>
        <w:rPr>
          <w:rFonts w:ascii="Times New Roman" w:eastAsia="Times New Roman" w:hAnsi="Times New Roman" w:cs="Times New Roman"/>
          <w:sz w:val="24"/>
          <w:szCs w:val="24"/>
        </w:rPr>
      </w:pPr>
    </w:p>
    <w:p w:rsidR="003F30F5" w:rsidRDefault="003F30F5" w:rsidP="003F30F5">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3600" cy="1464231"/>
            <wp:effectExtent l="0" t="0" r="0" b="3175"/>
            <wp:docPr id="16" name="Picture 16" descr="C:\Users\NIK\Pictures\Camera Roll\thesis maternal responsiveness pag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IK\Pictures\Camera Roll\thesis maternal responsiveness page 3.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1464231"/>
                    </a:xfrm>
                    <a:prstGeom prst="rect">
                      <a:avLst/>
                    </a:prstGeom>
                    <a:noFill/>
                    <a:ln>
                      <a:noFill/>
                    </a:ln>
                  </pic:spPr>
                </pic:pic>
              </a:graphicData>
            </a:graphic>
          </wp:inline>
        </w:drawing>
      </w:r>
    </w:p>
    <w:p w:rsidR="003F30F5" w:rsidRDefault="003F30F5" w:rsidP="003F30F5">
      <w:pPr>
        <w:spacing w:after="0" w:line="480" w:lineRule="auto"/>
        <w:rPr>
          <w:rFonts w:ascii="Times New Roman" w:eastAsia="Times New Roman" w:hAnsi="Times New Roman" w:cs="Times New Roman"/>
          <w:sz w:val="24"/>
          <w:szCs w:val="24"/>
        </w:rPr>
      </w:pPr>
    </w:p>
    <w:p w:rsidR="003F30F5" w:rsidRDefault="003F30F5" w:rsidP="003F30F5">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3600" cy="1841635"/>
            <wp:effectExtent l="0" t="0" r="0" b="6350"/>
            <wp:docPr id="17" name="Picture 17" descr="C:\Users\NIK\Pictures\Camera Roll\thesis maternal responsiveness page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IK\Pictures\Camera Roll\thesis maternal responsiveness page 4.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1841635"/>
                    </a:xfrm>
                    <a:prstGeom prst="rect">
                      <a:avLst/>
                    </a:prstGeom>
                    <a:noFill/>
                    <a:ln>
                      <a:noFill/>
                    </a:ln>
                  </pic:spPr>
                </pic:pic>
              </a:graphicData>
            </a:graphic>
          </wp:inline>
        </w:drawing>
      </w:r>
    </w:p>
    <w:p w:rsidR="003F30F5" w:rsidRDefault="003F30F5" w:rsidP="003F30F5">
      <w:pPr>
        <w:spacing w:after="0" w:line="480" w:lineRule="auto"/>
        <w:rPr>
          <w:rFonts w:ascii="Times New Roman" w:eastAsia="Times New Roman" w:hAnsi="Times New Roman" w:cs="Times New Roman"/>
          <w:sz w:val="24"/>
          <w:szCs w:val="24"/>
        </w:rPr>
      </w:pPr>
    </w:p>
    <w:p w:rsidR="003F30F5" w:rsidRDefault="003F30F5" w:rsidP="003F30F5">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5943600" cy="2409055"/>
            <wp:effectExtent l="0" t="0" r="0" b="0"/>
            <wp:docPr id="18" name="Picture 18" descr="C:\Users\NIK\Pictures\Camera Roll\thesis maternal responsiveness page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IK\Pictures\Camera Roll\thesis maternal responsiveness page 5.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2409055"/>
                    </a:xfrm>
                    <a:prstGeom prst="rect">
                      <a:avLst/>
                    </a:prstGeom>
                    <a:noFill/>
                    <a:ln>
                      <a:noFill/>
                    </a:ln>
                  </pic:spPr>
                </pic:pic>
              </a:graphicData>
            </a:graphic>
          </wp:inline>
        </w:drawing>
      </w:r>
    </w:p>
    <w:p w:rsidR="003F30F5" w:rsidRDefault="003F30F5" w:rsidP="003F30F5">
      <w:pPr>
        <w:spacing w:after="0" w:line="480" w:lineRule="auto"/>
        <w:rPr>
          <w:rFonts w:ascii="Times New Roman" w:eastAsia="Times New Roman" w:hAnsi="Times New Roman" w:cs="Times New Roman"/>
          <w:sz w:val="24"/>
          <w:szCs w:val="24"/>
        </w:rPr>
      </w:pPr>
    </w:p>
    <w:p w:rsidR="003F30F5" w:rsidRDefault="003F30F5" w:rsidP="00CA1B4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3600" cy="2172726"/>
            <wp:effectExtent l="0" t="0" r="0" b="0"/>
            <wp:docPr id="19" name="Picture 19" descr="C:\Users\NIK\Pictures\Camera Roll\thesis maternal responsiveness page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IK\Pictures\Camera Roll\thesis maternal responsiveness page 6.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2172726"/>
                    </a:xfrm>
                    <a:prstGeom prst="rect">
                      <a:avLst/>
                    </a:prstGeom>
                    <a:noFill/>
                    <a:ln>
                      <a:noFill/>
                    </a:ln>
                  </pic:spPr>
                </pic:pic>
              </a:graphicData>
            </a:graphic>
          </wp:inline>
        </w:drawing>
      </w:r>
    </w:p>
    <w:p w:rsidR="00B2306E" w:rsidRDefault="006743F1" w:rsidP="00CA1B44">
      <w:pPr>
        <w:spacing w:after="0" w:line="480" w:lineRule="auto"/>
        <w:rPr>
          <w:rFonts w:ascii="Times New Roman" w:eastAsia="Times New Roman" w:hAnsi="Times New Roman" w:cs="Times New Roman"/>
          <w:sz w:val="24"/>
          <w:szCs w:val="24"/>
        </w:rPr>
      </w:pPr>
      <w:r>
        <w:rPr>
          <w:noProof/>
        </w:rPr>
        <w:lastRenderedPageBreak/>
        <w:drawing>
          <wp:inline distT="0" distB="0" distL="0" distR="0" wp14:anchorId="228A5FDC" wp14:editId="318C421B">
            <wp:extent cx="5943600" cy="33432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943600" cy="3343275"/>
                    </a:xfrm>
                    <a:prstGeom prst="rect">
                      <a:avLst/>
                    </a:prstGeom>
                  </pic:spPr>
                </pic:pic>
              </a:graphicData>
            </a:graphic>
          </wp:inline>
        </w:drawing>
      </w:r>
    </w:p>
    <w:p w:rsidR="00B2306E" w:rsidRDefault="00B2306E" w:rsidP="003F30F5">
      <w:pPr>
        <w:spacing w:after="0" w:line="480" w:lineRule="auto"/>
        <w:rPr>
          <w:rFonts w:ascii="Times New Roman" w:eastAsia="Times New Roman" w:hAnsi="Times New Roman" w:cs="Times New Roman"/>
          <w:sz w:val="24"/>
          <w:szCs w:val="24"/>
        </w:rPr>
      </w:pPr>
    </w:p>
    <w:p w:rsidR="003F30F5" w:rsidRDefault="003F30F5" w:rsidP="003F30F5">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3600" cy="2427180"/>
            <wp:effectExtent l="0" t="0" r="0" b="0"/>
            <wp:docPr id="20" name="Picture 20" descr="C:\Users\NIK\Pictures\Camera Roll\thesis maternal iniation pag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NIK\Pictures\Camera Roll\thesis maternal iniation page 1.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2427180"/>
                    </a:xfrm>
                    <a:prstGeom prst="rect">
                      <a:avLst/>
                    </a:prstGeom>
                    <a:noFill/>
                    <a:ln>
                      <a:noFill/>
                    </a:ln>
                  </pic:spPr>
                </pic:pic>
              </a:graphicData>
            </a:graphic>
          </wp:inline>
        </w:drawing>
      </w:r>
    </w:p>
    <w:p w:rsidR="003F30F5" w:rsidRDefault="003F30F5" w:rsidP="003F30F5">
      <w:pPr>
        <w:spacing w:after="0" w:line="480" w:lineRule="auto"/>
        <w:rPr>
          <w:rFonts w:ascii="Times New Roman" w:eastAsia="Times New Roman" w:hAnsi="Times New Roman" w:cs="Times New Roman"/>
          <w:sz w:val="24"/>
          <w:szCs w:val="24"/>
        </w:rPr>
      </w:pPr>
    </w:p>
    <w:p w:rsidR="003F30F5" w:rsidRDefault="003F30F5" w:rsidP="003F30F5">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5943600" cy="2118449"/>
            <wp:effectExtent l="0" t="0" r="0" b="0"/>
            <wp:docPr id="21" name="Picture 21" descr="C:\Users\NIK\Pictures\Camera Roll\thesis maternal iniation pag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NIK\Pictures\Camera Roll\thesis maternal iniation page 2.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2118449"/>
                    </a:xfrm>
                    <a:prstGeom prst="rect">
                      <a:avLst/>
                    </a:prstGeom>
                    <a:noFill/>
                    <a:ln>
                      <a:noFill/>
                    </a:ln>
                  </pic:spPr>
                </pic:pic>
              </a:graphicData>
            </a:graphic>
          </wp:inline>
        </w:drawing>
      </w:r>
    </w:p>
    <w:p w:rsidR="00B2306E" w:rsidRDefault="00B2306E" w:rsidP="00B2306E">
      <w:pPr>
        <w:spacing w:after="0" w:line="480" w:lineRule="auto"/>
        <w:ind w:left="720"/>
        <w:rPr>
          <w:rFonts w:ascii="Times New Roman" w:eastAsia="Times New Roman" w:hAnsi="Times New Roman" w:cs="Times New Roman"/>
          <w:sz w:val="24"/>
          <w:szCs w:val="24"/>
        </w:rPr>
      </w:pPr>
    </w:p>
    <w:p w:rsidR="00B2306E" w:rsidRDefault="00645E0C" w:rsidP="00CA1B44">
      <w:pPr>
        <w:spacing w:after="0" w:line="480" w:lineRule="auto"/>
        <w:rPr>
          <w:rFonts w:ascii="Times New Roman" w:eastAsia="Times New Roman" w:hAnsi="Times New Roman" w:cs="Times New Roman"/>
          <w:sz w:val="24"/>
          <w:szCs w:val="24"/>
        </w:rPr>
      </w:pPr>
      <w:r>
        <w:rPr>
          <w:noProof/>
        </w:rPr>
        <w:drawing>
          <wp:inline distT="0" distB="0" distL="0" distR="0" wp14:anchorId="21971235" wp14:editId="3BA238EC">
            <wp:extent cx="5943600" cy="33432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943600" cy="3343275"/>
                    </a:xfrm>
                    <a:prstGeom prst="rect">
                      <a:avLst/>
                    </a:prstGeom>
                  </pic:spPr>
                </pic:pic>
              </a:graphicData>
            </a:graphic>
          </wp:inline>
        </w:drawing>
      </w:r>
    </w:p>
    <w:p w:rsidR="00B2306E" w:rsidRDefault="00B2306E" w:rsidP="00B2306E">
      <w:pPr>
        <w:spacing w:after="0" w:line="480" w:lineRule="auto"/>
        <w:ind w:left="720"/>
        <w:rPr>
          <w:rFonts w:ascii="Times New Roman" w:eastAsia="Times New Roman" w:hAnsi="Times New Roman" w:cs="Times New Roman"/>
          <w:sz w:val="24"/>
          <w:szCs w:val="24"/>
        </w:rPr>
      </w:pPr>
    </w:p>
    <w:p w:rsidR="00B2306E" w:rsidRDefault="00B2306E" w:rsidP="00B2306E">
      <w:pPr>
        <w:spacing w:after="0" w:line="480" w:lineRule="auto"/>
        <w:ind w:left="720"/>
        <w:rPr>
          <w:rFonts w:ascii="Times New Roman" w:eastAsia="Times New Roman" w:hAnsi="Times New Roman" w:cs="Times New Roman"/>
          <w:sz w:val="24"/>
          <w:szCs w:val="24"/>
        </w:rPr>
      </w:pPr>
    </w:p>
    <w:p w:rsidR="00B2306E" w:rsidRDefault="00017C0C" w:rsidP="00CA1B44">
      <w:pPr>
        <w:spacing w:after="0" w:line="480" w:lineRule="auto"/>
        <w:rPr>
          <w:rFonts w:ascii="Times New Roman" w:eastAsia="Times New Roman" w:hAnsi="Times New Roman" w:cs="Times New Roman"/>
          <w:sz w:val="24"/>
          <w:szCs w:val="24"/>
        </w:rPr>
      </w:pPr>
      <w:r>
        <w:rPr>
          <w:noProof/>
        </w:rPr>
        <w:lastRenderedPageBreak/>
        <w:drawing>
          <wp:inline distT="0" distB="0" distL="0" distR="0" wp14:anchorId="51386AD3" wp14:editId="3C211165">
            <wp:extent cx="5943600" cy="334327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43600" cy="3343275"/>
                    </a:xfrm>
                    <a:prstGeom prst="rect">
                      <a:avLst/>
                    </a:prstGeom>
                  </pic:spPr>
                </pic:pic>
              </a:graphicData>
            </a:graphic>
          </wp:inline>
        </w:drawing>
      </w:r>
    </w:p>
    <w:p w:rsidR="00B2306E" w:rsidRDefault="00B2306E" w:rsidP="00B2306E">
      <w:pPr>
        <w:spacing w:after="0" w:line="480" w:lineRule="auto"/>
        <w:ind w:left="720"/>
        <w:rPr>
          <w:rFonts w:ascii="Times New Roman" w:eastAsia="Times New Roman" w:hAnsi="Times New Roman" w:cs="Times New Roman"/>
          <w:sz w:val="24"/>
          <w:szCs w:val="24"/>
        </w:rPr>
      </w:pPr>
    </w:p>
    <w:p w:rsidR="00B2306E" w:rsidRDefault="00CA1B44" w:rsidP="00CA1B44">
      <w:pPr>
        <w:spacing w:after="0" w:line="480" w:lineRule="auto"/>
        <w:rPr>
          <w:rFonts w:ascii="Times New Roman" w:eastAsia="Times New Roman" w:hAnsi="Times New Roman" w:cs="Times New Roman"/>
          <w:sz w:val="24"/>
          <w:szCs w:val="24"/>
        </w:rPr>
      </w:pPr>
      <w:r>
        <w:rPr>
          <w:noProof/>
        </w:rPr>
        <w:drawing>
          <wp:inline distT="0" distB="0" distL="0" distR="0" wp14:anchorId="5A31ECAC" wp14:editId="48515C06">
            <wp:extent cx="5943600" cy="33432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43600" cy="3343275"/>
                    </a:xfrm>
                    <a:prstGeom prst="rect">
                      <a:avLst/>
                    </a:prstGeom>
                  </pic:spPr>
                </pic:pic>
              </a:graphicData>
            </a:graphic>
          </wp:inline>
        </w:drawing>
      </w:r>
    </w:p>
    <w:p w:rsidR="00B2306E" w:rsidRDefault="00B2306E" w:rsidP="00B2306E">
      <w:pPr>
        <w:spacing w:after="0" w:line="480" w:lineRule="auto"/>
        <w:ind w:left="720"/>
        <w:rPr>
          <w:rFonts w:ascii="Times New Roman" w:eastAsia="Times New Roman" w:hAnsi="Times New Roman" w:cs="Times New Roman"/>
          <w:sz w:val="24"/>
          <w:szCs w:val="24"/>
        </w:rPr>
      </w:pPr>
    </w:p>
    <w:p w:rsidR="00B2306E" w:rsidRDefault="00CA1B44">
      <w:r>
        <w:rPr>
          <w:noProof/>
        </w:rPr>
        <w:lastRenderedPageBreak/>
        <w:drawing>
          <wp:inline distT="0" distB="0" distL="0" distR="0" wp14:anchorId="316DD9CC" wp14:editId="400D3624">
            <wp:extent cx="5943600" cy="33432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943600" cy="3343275"/>
                    </a:xfrm>
                    <a:prstGeom prst="rect">
                      <a:avLst/>
                    </a:prstGeom>
                  </pic:spPr>
                </pic:pic>
              </a:graphicData>
            </a:graphic>
          </wp:inline>
        </w:drawing>
      </w:r>
    </w:p>
    <w:p w:rsidR="00CA1B44" w:rsidRDefault="00CA1B44"/>
    <w:p w:rsidR="00CA1B44" w:rsidRDefault="00CA1B44">
      <w:r>
        <w:rPr>
          <w:noProof/>
        </w:rPr>
        <w:drawing>
          <wp:inline distT="0" distB="0" distL="0" distR="0" wp14:anchorId="61401766" wp14:editId="1BD50489">
            <wp:extent cx="5943600" cy="33432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943600" cy="3343275"/>
                    </a:xfrm>
                    <a:prstGeom prst="rect">
                      <a:avLst/>
                    </a:prstGeom>
                  </pic:spPr>
                </pic:pic>
              </a:graphicData>
            </a:graphic>
          </wp:inline>
        </w:drawing>
      </w:r>
    </w:p>
    <w:p w:rsidR="00CA1B44" w:rsidRDefault="00CA1B44"/>
    <w:p w:rsidR="00CA1B44" w:rsidRDefault="00CA1B44">
      <w:r>
        <w:rPr>
          <w:noProof/>
        </w:rPr>
        <w:lastRenderedPageBreak/>
        <w:drawing>
          <wp:inline distT="0" distB="0" distL="0" distR="0" wp14:anchorId="73C174FD" wp14:editId="40B37624">
            <wp:extent cx="5943600" cy="33432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943600" cy="3343275"/>
                    </a:xfrm>
                    <a:prstGeom prst="rect">
                      <a:avLst/>
                    </a:prstGeom>
                  </pic:spPr>
                </pic:pic>
              </a:graphicData>
            </a:graphic>
          </wp:inline>
        </w:drawing>
      </w:r>
    </w:p>
    <w:p w:rsidR="00017C0C" w:rsidRDefault="00017C0C"/>
    <w:p w:rsidR="00017C0C" w:rsidRDefault="00017C0C">
      <w:r>
        <w:rPr>
          <w:noProof/>
        </w:rPr>
        <w:drawing>
          <wp:inline distT="0" distB="0" distL="0" distR="0">
            <wp:extent cx="5943600" cy="541734"/>
            <wp:effectExtent l="0" t="0" r="0" b="0"/>
            <wp:docPr id="23" name="Picture 23" descr="C:\Users\NIK\Pictures\Camera Roll\thesis speech register pag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NIK\Pictures\Camera Roll\thesis speech register page 1.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541734"/>
                    </a:xfrm>
                    <a:prstGeom prst="rect">
                      <a:avLst/>
                    </a:prstGeom>
                    <a:noFill/>
                    <a:ln>
                      <a:noFill/>
                    </a:ln>
                  </pic:spPr>
                </pic:pic>
              </a:graphicData>
            </a:graphic>
          </wp:inline>
        </w:drawing>
      </w:r>
    </w:p>
    <w:p w:rsidR="00CA1B44" w:rsidRDefault="00CA1B44"/>
    <w:p w:rsidR="00CA1B44" w:rsidRDefault="00CA1B44">
      <w:r>
        <w:rPr>
          <w:noProof/>
        </w:rPr>
        <w:drawing>
          <wp:inline distT="0" distB="0" distL="0" distR="0" wp14:anchorId="2463423D" wp14:editId="7FE31225">
            <wp:extent cx="5943600" cy="33432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43600" cy="3343275"/>
                    </a:xfrm>
                    <a:prstGeom prst="rect">
                      <a:avLst/>
                    </a:prstGeom>
                  </pic:spPr>
                </pic:pic>
              </a:graphicData>
            </a:graphic>
          </wp:inline>
        </w:drawing>
      </w:r>
    </w:p>
    <w:p w:rsidR="00017C0C" w:rsidRDefault="00017C0C">
      <w:r>
        <w:rPr>
          <w:noProof/>
        </w:rPr>
        <w:lastRenderedPageBreak/>
        <w:drawing>
          <wp:inline distT="0" distB="0" distL="0" distR="0">
            <wp:extent cx="5943600" cy="1415737"/>
            <wp:effectExtent l="0" t="0" r="0" b="0"/>
            <wp:docPr id="24" name="Picture 24" descr="C:\Users\NIK\Pictures\Camera Roll\thesis speech register pag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NIK\Pictures\Camera Roll\thesis speech register page 2.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1415737"/>
                    </a:xfrm>
                    <a:prstGeom prst="rect">
                      <a:avLst/>
                    </a:prstGeom>
                    <a:noFill/>
                    <a:ln>
                      <a:noFill/>
                    </a:ln>
                  </pic:spPr>
                </pic:pic>
              </a:graphicData>
            </a:graphic>
          </wp:inline>
        </w:drawing>
      </w:r>
    </w:p>
    <w:p w:rsidR="00017C0C" w:rsidRDefault="00017C0C"/>
    <w:p w:rsidR="00017C0C" w:rsidRDefault="00017C0C">
      <w:r>
        <w:rPr>
          <w:noProof/>
        </w:rPr>
        <w:drawing>
          <wp:inline distT="0" distB="0" distL="0" distR="0">
            <wp:extent cx="5943600" cy="2335454"/>
            <wp:effectExtent l="0" t="0" r="0" b="8255"/>
            <wp:docPr id="25" name="Picture 25" descr="C:\Users\NIK\Pictures\Camera Roll\thesis booksharing pag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IK\Pictures\Camera Roll\thesis booksharing page 1.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2335454"/>
                    </a:xfrm>
                    <a:prstGeom prst="rect">
                      <a:avLst/>
                    </a:prstGeom>
                    <a:noFill/>
                    <a:ln>
                      <a:noFill/>
                    </a:ln>
                  </pic:spPr>
                </pic:pic>
              </a:graphicData>
            </a:graphic>
          </wp:inline>
        </w:drawing>
      </w:r>
    </w:p>
    <w:p w:rsidR="00017C0C" w:rsidRDefault="00017C0C"/>
    <w:p w:rsidR="00017C0C" w:rsidRDefault="00017C0C">
      <w:r>
        <w:rPr>
          <w:noProof/>
        </w:rPr>
        <w:drawing>
          <wp:inline distT="0" distB="0" distL="0" distR="0">
            <wp:extent cx="5943600" cy="1885335"/>
            <wp:effectExtent l="0" t="0" r="0" b="635"/>
            <wp:docPr id="26" name="Picture 26" descr="C:\Users\NIK\Pictures\Camera Roll\thesis booksharing pag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NIK\Pictures\Camera Roll\thesis booksharing page 2.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1885335"/>
                    </a:xfrm>
                    <a:prstGeom prst="rect">
                      <a:avLst/>
                    </a:prstGeom>
                    <a:noFill/>
                    <a:ln>
                      <a:noFill/>
                    </a:ln>
                  </pic:spPr>
                </pic:pic>
              </a:graphicData>
            </a:graphic>
          </wp:inline>
        </w:drawing>
      </w:r>
    </w:p>
    <w:p w:rsidR="00017C0C" w:rsidRDefault="00017C0C"/>
    <w:p w:rsidR="00CA1B44" w:rsidRDefault="00017C0C">
      <w:r>
        <w:rPr>
          <w:noProof/>
        </w:rPr>
        <w:lastRenderedPageBreak/>
        <w:drawing>
          <wp:inline distT="0" distB="0" distL="0" distR="0">
            <wp:extent cx="5943600" cy="2193059"/>
            <wp:effectExtent l="0" t="0" r="0" b="0"/>
            <wp:docPr id="27" name="Picture 27" descr="C:\Users\NIK\Pictures\Camera Roll\thesis booksharing pag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NIK\Pictures\Camera Roll\thesis booksharing page 3.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2193059"/>
                    </a:xfrm>
                    <a:prstGeom prst="rect">
                      <a:avLst/>
                    </a:prstGeom>
                    <a:noFill/>
                    <a:ln>
                      <a:noFill/>
                    </a:ln>
                  </pic:spPr>
                </pic:pic>
              </a:graphicData>
            </a:graphic>
          </wp:inline>
        </w:drawing>
      </w:r>
    </w:p>
    <w:p w:rsidR="00017C0C" w:rsidRDefault="00017C0C"/>
    <w:p w:rsidR="00017C0C" w:rsidRDefault="00017C0C"/>
    <w:p w:rsidR="00CA1B44" w:rsidRDefault="00CA1B44">
      <w:r>
        <w:rPr>
          <w:noProof/>
        </w:rPr>
        <w:drawing>
          <wp:inline distT="0" distB="0" distL="0" distR="0" wp14:anchorId="13EF7B26" wp14:editId="3AE1832F">
            <wp:extent cx="5943600" cy="33432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943600" cy="3343275"/>
                    </a:xfrm>
                    <a:prstGeom prst="rect">
                      <a:avLst/>
                    </a:prstGeom>
                  </pic:spPr>
                </pic:pic>
              </a:graphicData>
            </a:graphic>
          </wp:inline>
        </w:drawing>
      </w:r>
    </w:p>
    <w:p w:rsidR="00017C0C" w:rsidRDefault="00017C0C"/>
    <w:p w:rsidR="00017C0C" w:rsidRDefault="00017C0C"/>
    <w:p w:rsidR="00CA1B44" w:rsidRDefault="00CA1B44">
      <w:r>
        <w:rPr>
          <w:noProof/>
        </w:rPr>
        <w:lastRenderedPageBreak/>
        <w:drawing>
          <wp:inline distT="0" distB="0" distL="0" distR="0" wp14:anchorId="36B7CFB0" wp14:editId="11C12F4D">
            <wp:extent cx="5943600" cy="33432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943600" cy="3343275"/>
                    </a:xfrm>
                    <a:prstGeom prst="rect">
                      <a:avLst/>
                    </a:prstGeom>
                  </pic:spPr>
                </pic:pic>
              </a:graphicData>
            </a:graphic>
          </wp:inline>
        </w:drawing>
      </w:r>
    </w:p>
    <w:p w:rsidR="00017C0C" w:rsidRDefault="00017C0C"/>
    <w:p w:rsidR="00017C0C" w:rsidRDefault="00017C0C">
      <w:r>
        <w:rPr>
          <w:noProof/>
        </w:rPr>
        <w:drawing>
          <wp:inline distT="0" distB="0" distL="0" distR="0">
            <wp:extent cx="5943600" cy="2038611"/>
            <wp:effectExtent l="0" t="0" r="0" b="0"/>
            <wp:docPr id="29" name="Picture 29" descr="C:\Users\NIK\Pictures\Camera Roll\thesis quiz pag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NIK\Pictures\Camera Roll\thesis quiz page 1.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2038611"/>
                    </a:xfrm>
                    <a:prstGeom prst="rect">
                      <a:avLst/>
                    </a:prstGeom>
                    <a:noFill/>
                    <a:ln>
                      <a:noFill/>
                    </a:ln>
                  </pic:spPr>
                </pic:pic>
              </a:graphicData>
            </a:graphic>
          </wp:inline>
        </w:drawing>
      </w:r>
    </w:p>
    <w:p w:rsidR="00017C0C" w:rsidRDefault="00017C0C"/>
    <w:p w:rsidR="00017C0C" w:rsidRDefault="00017C0C">
      <w:r>
        <w:rPr>
          <w:noProof/>
        </w:rPr>
        <w:lastRenderedPageBreak/>
        <w:drawing>
          <wp:inline distT="0" distB="0" distL="0" distR="0">
            <wp:extent cx="5943600" cy="2029141"/>
            <wp:effectExtent l="0" t="0" r="0" b="9525"/>
            <wp:docPr id="30" name="Picture 30" descr="C:\Users\NIK\Pictures\Camera Roll\thesis quiz pag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NIK\Pictures\Camera Roll\thesis quiz page 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2029141"/>
                    </a:xfrm>
                    <a:prstGeom prst="rect">
                      <a:avLst/>
                    </a:prstGeom>
                    <a:noFill/>
                    <a:ln>
                      <a:noFill/>
                    </a:ln>
                  </pic:spPr>
                </pic:pic>
              </a:graphicData>
            </a:graphic>
          </wp:inline>
        </w:drawing>
      </w:r>
    </w:p>
    <w:p w:rsidR="00017C0C" w:rsidRDefault="00017C0C"/>
    <w:p w:rsidR="00017C0C" w:rsidRDefault="00017C0C">
      <w:r>
        <w:rPr>
          <w:noProof/>
        </w:rPr>
        <w:drawing>
          <wp:inline distT="0" distB="0" distL="0" distR="0">
            <wp:extent cx="5943600" cy="2252178"/>
            <wp:effectExtent l="0" t="0" r="0" b="0"/>
            <wp:docPr id="31" name="Picture 31" descr="C:\Users\NIK\Pictures\Camera Roll\thesis quiz pag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NIK\Pictures\Camera Roll\thesis quiz page 3.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2252178"/>
                    </a:xfrm>
                    <a:prstGeom prst="rect">
                      <a:avLst/>
                    </a:prstGeom>
                    <a:noFill/>
                    <a:ln>
                      <a:noFill/>
                    </a:ln>
                  </pic:spPr>
                </pic:pic>
              </a:graphicData>
            </a:graphic>
          </wp:inline>
        </w:drawing>
      </w:r>
    </w:p>
    <w:p w:rsidR="00017C0C" w:rsidRDefault="00017C0C"/>
    <w:p w:rsidR="00017C0C" w:rsidRDefault="00017C0C">
      <w:r>
        <w:rPr>
          <w:noProof/>
        </w:rPr>
        <w:drawing>
          <wp:inline distT="0" distB="0" distL="0" distR="0">
            <wp:extent cx="5943600" cy="2163570"/>
            <wp:effectExtent l="0" t="0" r="0" b="8255"/>
            <wp:docPr id="32" name="Picture 32" descr="C:\Users\NIK\Pictures\Camera Roll\thesis quiz page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NIK\Pictures\Camera Roll\thesis quiz page 4.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2163570"/>
                    </a:xfrm>
                    <a:prstGeom prst="rect">
                      <a:avLst/>
                    </a:prstGeom>
                    <a:noFill/>
                    <a:ln>
                      <a:noFill/>
                    </a:ln>
                  </pic:spPr>
                </pic:pic>
              </a:graphicData>
            </a:graphic>
          </wp:inline>
        </w:drawing>
      </w:r>
    </w:p>
    <w:p w:rsidR="00017C0C" w:rsidRDefault="00017C0C"/>
    <w:p w:rsidR="00017C0C" w:rsidRDefault="00017C0C">
      <w:r>
        <w:rPr>
          <w:noProof/>
        </w:rPr>
        <w:lastRenderedPageBreak/>
        <w:drawing>
          <wp:inline distT="0" distB="0" distL="0" distR="0">
            <wp:extent cx="5943600" cy="2064751"/>
            <wp:effectExtent l="0" t="0" r="0" b="0"/>
            <wp:docPr id="33" name="Picture 33" descr="C:\Users\NIK\Pictures\Camera Roll\thesis quiz page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NIK\Pictures\Camera Roll\thesis quiz page 5.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3600" cy="2064751"/>
                    </a:xfrm>
                    <a:prstGeom prst="rect">
                      <a:avLst/>
                    </a:prstGeom>
                    <a:noFill/>
                    <a:ln>
                      <a:noFill/>
                    </a:ln>
                  </pic:spPr>
                </pic:pic>
              </a:graphicData>
            </a:graphic>
          </wp:inline>
        </w:drawing>
      </w:r>
    </w:p>
    <w:p w:rsidR="00017C0C" w:rsidRDefault="00017C0C"/>
    <w:p w:rsidR="00017C0C" w:rsidRDefault="00017C0C">
      <w:r>
        <w:rPr>
          <w:noProof/>
        </w:rPr>
        <w:drawing>
          <wp:inline distT="0" distB="0" distL="0" distR="0">
            <wp:extent cx="5943600" cy="2440897"/>
            <wp:effectExtent l="0" t="0" r="0" b="0"/>
            <wp:docPr id="34" name="Picture 34" descr="C:\Users\NIK\Pictures\Camera Roll\thesis quiz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NIK\Pictures\Camera Roll\thesis quiz 6.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3600" cy="2440897"/>
                    </a:xfrm>
                    <a:prstGeom prst="rect">
                      <a:avLst/>
                    </a:prstGeom>
                    <a:noFill/>
                    <a:ln>
                      <a:noFill/>
                    </a:ln>
                  </pic:spPr>
                </pic:pic>
              </a:graphicData>
            </a:graphic>
          </wp:inline>
        </w:drawing>
      </w:r>
    </w:p>
    <w:p w:rsidR="00017C0C" w:rsidRDefault="00017C0C"/>
    <w:p w:rsidR="00017C0C" w:rsidRDefault="00017C0C">
      <w:r>
        <w:rPr>
          <w:noProof/>
        </w:rPr>
        <w:drawing>
          <wp:inline distT="0" distB="0" distL="0" distR="0">
            <wp:extent cx="5943600" cy="2217480"/>
            <wp:effectExtent l="0" t="0" r="0" b="0"/>
            <wp:docPr id="35" name="Picture 35" descr="C:\Users\NIK\Pictures\Camera Roll\thesis quiz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NIK\Pictures\Camera Roll\thesis quiz 7.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3600" cy="2217480"/>
                    </a:xfrm>
                    <a:prstGeom prst="rect">
                      <a:avLst/>
                    </a:prstGeom>
                    <a:noFill/>
                    <a:ln>
                      <a:noFill/>
                    </a:ln>
                  </pic:spPr>
                </pic:pic>
              </a:graphicData>
            </a:graphic>
          </wp:inline>
        </w:drawing>
      </w:r>
    </w:p>
    <w:p w:rsidR="00017C0C" w:rsidRDefault="00017C0C"/>
    <w:p w:rsidR="00017C0C" w:rsidRDefault="00017C0C">
      <w:r>
        <w:rPr>
          <w:noProof/>
        </w:rPr>
        <w:lastRenderedPageBreak/>
        <w:drawing>
          <wp:inline distT="0" distB="0" distL="0" distR="0">
            <wp:extent cx="5943600" cy="1981200"/>
            <wp:effectExtent l="0" t="0" r="0" b="0"/>
            <wp:docPr id="36" name="Picture 36" descr="C:\Users\NIK\Pictures\Camera Roll\thesis quiz 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NIK\Pictures\Camera Roll\thesis quiz 8.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1981200"/>
                    </a:xfrm>
                    <a:prstGeom prst="rect">
                      <a:avLst/>
                    </a:prstGeom>
                    <a:noFill/>
                    <a:ln>
                      <a:noFill/>
                    </a:ln>
                  </pic:spPr>
                </pic:pic>
              </a:graphicData>
            </a:graphic>
          </wp:inline>
        </w:drawing>
      </w:r>
    </w:p>
    <w:p w:rsidR="003F30F5" w:rsidRDefault="003F30F5"/>
    <w:p w:rsidR="003F30F5" w:rsidRDefault="003F30F5">
      <w:r>
        <w:rPr>
          <w:noProof/>
        </w:rPr>
        <w:drawing>
          <wp:inline distT="0" distB="0" distL="0" distR="0" wp14:anchorId="7B3C450E" wp14:editId="2919294F">
            <wp:extent cx="5943600" cy="33432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943600" cy="3343275"/>
                    </a:xfrm>
                    <a:prstGeom prst="rect">
                      <a:avLst/>
                    </a:prstGeom>
                  </pic:spPr>
                </pic:pic>
              </a:graphicData>
            </a:graphic>
          </wp:inline>
        </w:drawing>
      </w:r>
    </w:p>
    <w:p w:rsidR="0059496B" w:rsidRDefault="0059496B"/>
    <w:p w:rsidR="0059496B" w:rsidRDefault="0059496B"/>
    <w:p w:rsidR="0059496B" w:rsidRDefault="0059496B"/>
    <w:p w:rsidR="0059496B" w:rsidRDefault="0059496B"/>
    <w:p w:rsidR="0059496B" w:rsidRDefault="0059496B"/>
    <w:p w:rsidR="0059496B" w:rsidRDefault="0059496B"/>
    <w:p w:rsidR="0059496B" w:rsidRDefault="0059496B"/>
    <w:p w:rsidR="0059496B" w:rsidRDefault="0059496B"/>
    <w:p w:rsidR="0059496B" w:rsidRDefault="0059496B" w:rsidP="0059496B">
      <w:pPr>
        <w:jc w:val="center"/>
        <w:rPr>
          <w:sz w:val="72"/>
          <w:szCs w:val="72"/>
        </w:rPr>
      </w:pPr>
    </w:p>
    <w:p w:rsidR="0059496B" w:rsidRDefault="0059496B" w:rsidP="0059496B">
      <w:pPr>
        <w:jc w:val="center"/>
        <w:rPr>
          <w:sz w:val="72"/>
          <w:szCs w:val="72"/>
        </w:rPr>
      </w:pPr>
    </w:p>
    <w:p w:rsidR="0059496B" w:rsidRDefault="0059496B" w:rsidP="0059496B">
      <w:pPr>
        <w:jc w:val="center"/>
        <w:rPr>
          <w:sz w:val="72"/>
          <w:szCs w:val="72"/>
        </w:rPr>
      </w:pPr>
    </w:p>
    <w:p w:rsidR="0059496B" w:rsidRDefault="0059496B" w:rsidP="0059496B">
      <w:pPr>
        <w:jc w:val="center"/>
        <w:rPr>
          <w:sz w:val="72"/>
          <w:szCs w:val="72"/>
        </w:rPr>
      </w:pPr>
      <w:r>
        <w:rPr>
          <w:sz w:val="72"/>
          <w:szCs w:val="72"/>
        </w:rPr>
        <w:t>Parts of my Coding Manual that I helped develop</w:t>
      </w:r>
    </w:p>
    <w:p w:rsidR="0059496B" w:rsidRDefault="0059496B" w:rsidP="0059496B">
      <w:pPr>
        <w:jc w:val="center"/>
        <w:rPr>
          <w:sz w:val="72"/>
          <w:szCs w:val="72"/>
        </w:rPr>
      </w:pPr>
    </w:p>
    <w:p w:rsidR="0059496B" w:rsidRDefault="0059496B" w:rsidP="0059496B">
      <w:pPr>
        <w:jc w:val="center"/>
        <w:rPr>
          <w:sz w:val="72"/>
          <w:szCs w:val="72"/>
        </w:rPr>
      </w:pPr>
    </w:p>
    <w:p w:rsidR="0059496B" w:rsidRDefault="0059496B" w:rsidP="0059496B">
      <w:pPr>
        <w:jc w:val="center"/>
        <w:rPr>
          <w:sz w:val="72"/>
          <w:szCs w:val="72"/>
        </w:rPr>
      </w:pPr>
    </w:p>
    <w:p w:rsidR="0059496B" w:rsidRDefault="0059496B" w:rsidP="0059496B">
      <w:pPr>
        <w:jc w:val="center"/>
        <w:rPr>
          <w:sz w:val="72"/>
          <w:szCs w:val="72"/>
        </w:rPr>
      </w:pPr>
    </w:p>
    <w:p w:rsidR="0059496B" w:rsidRDefault="0059496B" w:rsidP="0059496B">
      <w:pPr>
        <w:jc w:val="center"/>
        <w:rPr>
          <w:sz w:val="72"/>
          <w:szCs w:val="72"/>
        </w:rPr>
      </w:pPr>
    </w:p>
    <w:p w:rsidR="0059496B" w:rsidRDefault="0059496B" w:rsidP="0059496B">
      <w:pPr>
        <w:jc w:val="center"/>
        <w:rPr>
          <w:sz w:val="72"/>
          <w:szCs w:val="72"/>
        </w:rPr>
      </w:pPr>
    </w:p>
    <w:p w:rsidR="0059496B" w:rsidRDefault="0059496B" w:rsidP="0059496B">
      <w:pPr>
        <w:jc w:val="center"/>
        <w:rPr>
          <w:sz w:val="72"/>
          <w:szCs w:val="72"/>
        </w:rPr>
      </w:pPr>
    </w:p>
    <w:p w:rsidR="0059496B" w:rsidRPr="00A51719" w:rsidRDefault="0059496B" w:rsidP="0059496B">
      <w:pPr>
        <w:jc w:val="center"/>
        <w:rPr>
          <w:b/>
          <w:sz w:val="32"/>
          <w:szCs w:val="32"/>
        </w:rPr>
      </w:pPr>
      <w:r w:rsidRPr="00A51719">
        <w:rPr>
          <w:b/>
          <w:sz w:val="32"/>
          <w:szCs w:val="32"/>
        </w:rPr>
        <w:lastRenderedPageBreak/>
        <w:t>Speech Register</w:t>
      </w:r>
    </w:p>
    <w:p w:rsidR="0059496B" w:rsidRDefault="0059496B" w:rsidP="0059496B">
      <w:r>
        <w:t xml:space="preserve">You will code either </w:t>
      </w:r>
      <w:r>
        <w:rPr>
          <w:i/>
        </w:rPr>
        <w:t xml:space="preserve">Infant Directed Speech </w:t>
      </w:r>
      <w:r>
        <w:t xml:space="preserve">or </w:t>
      </w:r>
      <w:r>
        <w:rPr>
          <w:i/>
        </w:rPr>
        <w:t xml:space="preserve">Adult Directed Speech. </w:t>
      </w:r>
      <w:r>
        <w:t xml:space="preserve">There is an “unspecified” code; however, this code should rarely, if ever, be used. </w:t>
      </w:r>
    </w:p>
    <w:p w:rsidR="0059496B" w:rsidRDefault="0059496B" w:rsidP="0059496B">
      <w:r>
        <w:rPr>
          <w:b/>
        </w:rPr>
        <w:t xml:space="preserve">Infant directed speech (IDS) is </w:t>
      </w:r>
      <w:r>
        <w:t xml:space="preserve">characterized by higher frequency, increased pitch excursions, and exaggerated phrasing </w:t>
      </w:r>
    </w:p>
    <w:p w:rsidR="0059496B" w:rsidRDefault="0059496B" w:rsidP="0059496B">
      <w:r>
        <w:rPr>
          <w:b/>
        </w:rPr>
        <w:t xml:space="preserve">Adult directed speech (ADS) is </w:t>
      </w:r>
      <w:r>
        <w:t xml:space="preserve">normal speech, the way you would talk to an adult </w:t>
      </w:r>
    </w:p>
    <w:p w:rsidR="0059496B" w:rsidRDefault="0059496B" w:rsidP="0059496B">
      <w:r>
        <w:t>Helpful hints:</w:t>
      </w:r>
    </w:p>
    <w:p w:rsidR="0059496B" w:rsidRDefault="0059496B" w:rsidP="0059496B">
      <w:r>
        <w:t>IDS:</w:t>
      </w:r>
    </w:p>
    <w:p w:rsidR="0059496B" w:rsidRDefault="0059496B" w:rsidP="0059496B">
      <w:pPr>
        <w:pStyle w:val="ListParagraph"/>
        <w:numPr>
          <w:ilvl w:val="0"/>
          <w:numId w:val="1"/>
        </w:numPr>
      </w:pPr>
      <w:r>
        <w:t>Sing-songy</w:t>
      </w:r>
    </w:p>
    <w:p w:rsidR="0059496B" w:rsidRDefault="0059496B" w:rsidP="0059496B">
      <w:pPr>
        <w:pStyle w:val="ListParagraph"/>
        <w:numPr>
          <w:ilvl w:val="0"/>
          <w:numId w:val="1"/>
        </w:numPr>
      </w:pPr>
      <w:r>
        <w:t>The rate of speech is slower</w:t>
      </w:r>
    </w:p>
    <w:p w:rsidR="0059496B" w:rsidRDefault="0059496B" w:rsidP="0059496B">
      <w:pPr>
        <w:pStyle w:val="ListParagraph"/>
        <w:numPr>
          <w:ilvl w:val="0"/>
          <w:numId w:val="1"/>
        </w:numPr>
      </w:pPr>
      <w:r>
        <w:t>The mom is more likely to lower her head and get on the baby’s level</w:t>
      </w:r>
    </w:p>
    <w:p w:rsidR="0059496B" w:rsidRDefault="0059496B" w:rsidP="0059496B">
      <w:pPr>
        <w:pStyle w:val="ListParagraph"/>
        <w:numPr>
          <w:ilvl w:val="0"/>
          <w:numId w:val="1"/>
        </w:numPr>
      </w:pPr>
      <w:r>
        <w:t xml:space="preserve">Speech is usually more enunciated, and the phrases are often exaggerated, especially the end of the phrases . </w:t>
      </w:r>
    </w:p>
    <w:p w:rsidR="0059496B" w:rsidRDefault="0059496B" w:rsidP="0059496B">
      <w:pPr>
        <w:pStyle w:val="ListParagraph"/>
        <w:numPr>
          <w:ilvl w:val="0"/>
          <w:numId w:val="1"/>
        </w:numPr>
      </w:pPr>
      <w:r>
        <w:t xml:space="preserve">The vowels are often elongated. </w:t>
      </w:r>
    </w:p>
    <w:p w:rsidR="0059496B" w:rsidRDefault="0059496B" w:rsidP="0059496B">
      <w:r>
        <w:t xml:space="preserve">ADS:  </w:t>
      </w:r>
    </w:p>
    <w:p w:rsidR="0059496B" w:rsidRDefault="0059496B" w:rsidP="0059496B">
      <w:pPr>
        <w:pStyle w:val="ListParagraph"/>
        <w:numPr>
          <w:ilvl w:val="0"/>
          <w:numId w:val="2"/>
        </w:numPr>
      </w:pPr>
      <w:r>
        <w:t>Speech that is of normal frequency, and the frequency does not vary very much.</w:t>
      </w:r>
    </w:p>
    <w:p w:rsidR="0059496B" w:rsidRDefault="0059496B" w:rsidP="0059496B">
      <w:pPr>
        <w:pStyle w:val="ListParagraph"/>
        <w:numPr>
          <w:ilvl w:val="0"/>
          <w:numId w:val="2"/>
        </w:numPr>
      </w:pPr>
      <w:r>
        <w:t>The rate of speech is usually a little faster.</w:t>
      </w:r>
    </w:p>
    <w:p w:rsidR="0059496B" w:rsidRDefault="0059496B" w:rsidP="0059496B">
      <w:pPr>
        <w:pStyle w:val="ListParagraph"/>
        <w:numPr>
          <w:ilvl w:val="0"/>
          <w:numId w:val="2"/>
        </w:numPr>
      </w:pPr>
      <w:r>
        <w:t xml:space="preserve">There is not as much emphasis on enunciation. </w:t>
      </w:r>
    </w:p>
    <w:p w:rsidR="0059496B" w:rsidRDefault="0059496B" w:rsidP="0059496B">
      <w:pPr>
        <w:pStyle w:val="ListParagraph"/>
        <w:numPr>
          <w:ilvl w:val="0"/>
          <w:numId w:val="2"/>
        </w:numPr>
      </w:pPr>
      <w:r>
        <w:t>Slang is used more often. (Ex. You just chillin’)</w:t>
      </w:r>
    </w:p>
    <w:p w:rsidR="0059496B" w:rsidRDefault="0059496B" w:rsidP="0059496B">
      <w:r>
        <w:t xml:space="preserve">Examples: Go to coding assignment in AACT under zaynee. </w:t>
      </w:r>
      <w:r w:rsidRPr="002D2260">
        <w:t>Open Speech Register</w:t>
      </w:r>
      <w:r>
        <w:t xml:space="preserve"> (3</w:t>
      </w:r>
      <w:r w:rsidRPr="002D2260">
        <w:rPr>
          <w:vertAlign w:val="superscript"/>
        </w:rPr>
        <w:t>rd</w:t>
      </w:r>
      <w:r>
        <w:t xml:space="preserve"> assignment)</w:t>
      </w:r>
    </w:p>
    <w:p w:rsidR="0059496B" w:rsidRDefault="0059496B" w:rsidP="0059496B">
      <w:r>
        <w:t xml:space="preserve">See the following segments for examples of difficult speech register coding. </w:t>
      </w:r>
    </w:p>
    <w:p w:rsidR="0059496B" w:rsidRDefault="0059496B" w:rsidP="0059496B">
      <w:pPr>
        <w:pStyle w:val="ListParagraph"/>
        <w:numPr>
          <w:ilvl w:val="0"/>
          <w:numId w:val="3"/>
        </w:numPr>
      </w:pPr>
      <w:r>
        <w:t>00:00:56.209-00:00:57.465</w:t>
      </w:r>
      <w:r>
        <w:tab/>
        <w:t>19.</w:t>
      </w:r>
      <w:r>
        <w:tab/>
        <w:t xml:space="preserve">00:09:37.941-00:09:38.434  </w:t>
      </w:r>
    </w:p>
    <w:p w:rsidR="0059496B" w:rsidRDefault="0059496B" w:rsidP="0059496B">
      <w:pPr>
        <w:pStyle w:val="ListParagraph"/>
        <w:numPr>
          <w:ilvl w:val="0"/>
          <w:numId w:val="3"/>
        </w:numPr>
      </w:pPr>
      <w:r>
        <w:t>00:06:23.026-00:06:24.507</w:t>
      </w:r>
      <w:r>
        <w:tab/>
        <w:t xml:space="preserve">20. </w:t>
      </w:r>
      <w:r>
        <w:tab/>
        <w:t>00:11:29.636-00:11:30.769</w:t>
      </w:r>
    </w:p>
    <w:p w:rsidR="0059496B" w:rsidRDefault="0059496B" w:rsidP="0059496B">
      <w:pPr>
        <w:pStyle w:val="ListParagraph"/>
        <w:numPr>
          <w:ilvl w:val="0"/>
          <w:numId w:val="3"/>
        </w:numPr>
      </w:pPr>
      <w:r>
        <w:t>00:06:29.543-00:06:30.464</w:t>
      </w:r>
      <w:r>
        <w:tab/>
        <w:t xml:space="preserve">21. </w:t>
      </w:r>
      <w:r>
        <w:tab/>
        <w:t>00:11:30.792-00:11:32.497</w:t>
      </w:r>
    </w:p>
    <w:p w:rsidR="0059496B" w:rsidRDefault="0059496B" w:rsidP="0059496B">
      <w:pPr>
        <w:pStyle w:val="ListParagraph"/>
        <w:numPr>
          <w:ilvl w:val="0"/>
          <w:numId w:val="3"/>
        </w:numPr>
      </w:pPr>
      <w:r>
        <w:t>00:07:26.763-00:07:28.120</w:t>
      </w:r>
      <w:r>
        <w:tab/>
        <w:t>22.</w:t>
      </w:r>
      <w:r>
        <w:tab/>
        <w:t>00:11:32.553-00:11:33.663</w:t>
      </w:r>
    </w:p>
    <w:p w:rsidR="0059496B" w:rsidRDefault="0059496B" w:rsidP="0059496B">
      <w:pPr>
        <w:pStyle w:val="ListParagraph"/>
        <w:numPr>
          <w:ilvl w:val="0"/>
          <w:numId w:val="3"/>
        </w:numPr>
      </w:pPr>
      <w:r>
        <w:t>00:07:28.180-00:07:29.224</w:t>
      </w:r>
      <w:r>
        <w:tab/>
        <w:t>23.</w:t>
      </w:r>
      <w:r>
        <w:tab/>
        <w:t>00:11:34.824-00:11:35.879</w:t>
      </w:r>
    </w:p>
    <w:p w:rsidR="0059496B" w:rsidRDefault="0059496B" w:rsidP="0059496B">
      <w:pPr>
        <w:pStyle w:val="ListParagraph"/>
        <w:numPr>
          <w:ilvl w:val="0"/>
          <w:numId w:val="3"/>
        </w:numPr>
      </w:pPr>
      <w:r>
        <w:t>00:07:49.134-00:07:51.243</w:t>
      </w:r>
      <w:r>
        <w:tab/>
        <w:t>24.</w:t>
      </w:r>
      <w:r>
        <w:tab/>
        <w:t>00:11:37.197-00:11:38.632</w:t>
      </w:r>
    </w:p>
    <w:p w:rsidR="0059496B" w:rsidRDefault="0059496B" w:rsidP="0059496B">
      <w:pPr>
        <w:pStyle w:val="ListParagraph"/>
        <w:numPr>
          <w:ilvl w:val="0"/>
          <w:numId w:val="3"/>
        </w:numPr>
      </w:pPr>
      <w:r>
        <w:t>00:07:51.949-00:07:53.598</w:t>
      </w:r>
      <w:r>
        <w:tab/>
        <w:t xml:space="preserve">25. </w:t>
      </w:r>
      <w:r>
        <w:tab/>
        <w:t>00:11:51.908-00:11:52.974</w:t>
      </w:r>
    </w:p>
    <w:p w:rsidR="0059496B" w:rsidRDefault="0059496B" w:rsidP="0059496B">
      <w:pPr>
        <w:pStyle w:val="ListParagraph"/>
        <w:numPr>
          <w:ilvl w:val="0"/>
          <w:numId w:val="3"/>
        </w:numPr>
      </w:pPr>
      <w:r>
        <w:t>00:07:56.930-00:07:57.883</w:t>
      </w:r>
      <w:r>
        <w:tab/>
        <w:t>26.</w:t>
      </w:r>
      <w:r>
        <w:tab/>
        <w:t>00:11:54.723-00:11:56.148</w:t>
      </w:r>
    </w:p>
    <w:p w:rsidR="0059496B" w:rsidRDefault="0059496B" w:rsidP="0059496B">
      <w:pPr>
        <w:pStyle w:val="ListParagraph"/>
        <w:numPr>
          <w:ilvl w:val="0"/>
          <w:numId w:val="3"/>
        </w:numPr>
      </w:pPr>
      <w:r>
        <w:t>00:07:58.108-00:07:58.837</w:t>
      </w:r>
      <w:r>
        <w:tab/>
        <w:t>27.</w:t>
      </w:r>
      <w:r>
        <w:tab/>
        <w:t>00:12:02.396-00:12:03.170</w:t>
      </w:r>
    </w:p>
    <w:p w:rsidR="0059496B" w:rsidRDefault="0059496B" w:rsidP="0059496B">
      <w:pPr>
        <w:pStyle w:val="ListParagraph"/>
        <w:numPr>
          <w:ilvl w:val="0"/>
          <w:numId w:val="3"/>
        </w:numPr>
      </w:pPr>
      <w:r>
        <w:t>00:08:00.340-00:08:01.899</w:t>
      </w:r>
      <w:r>
        <w:tab/>
        <w:t xml:space="preserve">28. </w:t>
      </w:r>
      <w:r>
        <w:tab/>
      </w:r>
      <w:r w:rsidRPr="00EB4FBE">
        <w:t>00:09:33.828-00:09:35.051</w:t>
      </w:r>
    </w:p>
    <w:p w:rsidR="0059496B" w:rsidRDefault="0059496B" w:rsidP="0059496B">
      <w:pPr>
        <w:pStyle w:val="ListParagraph"/>
        <w:numPr>
          <w:ilvl w:val="0"/>
          <w:numId w:val="3"/>
        </w:numPr>
      </w:pPr>
      <w:r>
        <w:t>00:08:15.641-00:08:17.884</w:t>
      </w:r>
    </w:p>
    <w:p w:rsidR="0059496B" w:rsidRDefault="0059496B" w:rsidP="0059496B">
      <w:pPr>
        <w:pStyle w:val="ListParagraph"/>
        <w:numPr>
          <w:ilvl w:val="0"/>
          <w:numId w:val="3"/>
        </w:numPr>
      </w:pPr>
      <w:r>
        <w:t xml:space="preserve">00:08:25.798-00:08:26.830 </w:t>
      </w:r>
    </w:p>
    <w:p w:rsidR="0059496B" w:rsidRDefault="0059496B" w:rsidP="0059496B">
      <w:pPr>
        <w:pStyle w:val="ListParagraph"/>
        <w:numPr>
          <w:ilvl w:val="0"/>
          <w:numId w:val="3"/>
        </w:numPr>
      </w:pPr>
      <w:r>
        <w:t>00:08:37.503-00:08:38.995</w:t>
      </w:r>
    </w:p>
    <w:p w:rsidR="0059496B" w:rsidRDefault="0059496B" w:rsidP="0059496B">
      <w:pPr>
        <w:pStyle w:val="ListParagraph"/>
        <w:numPr>
          <w:ilvl w:val="0"/>
          <w:numId w:val="3"/>
        </w:numPr>
      </w:pPr>
      <w:r>
        <w:t>00:09:02.080-00:09:03.684</w:t>
      </w:r>
    </w:p>
    <w:p w:rsidR="0059496B" w:rsidRDefault="0059496B" w:rsidP="0059496B">
      <w:pPr>
        <w:pStyle w:val="ListParagraph"/>
        <w:numPr>
          <w:ilvl w:val="0"/>
          <w:numId w:val="3"/>
        </w:numPr>
      </w:pPr>
      <w:r>
        <w:t>00:09:24.463-00:09:25.259</w:t>
      </w:r>
    </w:p>
    <w:p w:rsidR="0059496B" w:rsidRDefault="0059496B" w:rsidP="0059496B">
      <w:pPr>
        <w:pStyle w:val="ListParagraph"/>
        <w:numPr>
          <w:ilvl w:val="0"/>
          <w:numId w:val="3"/>
        </w:numPr>
      </w:pPr>
      <w:r>
        <w:t>00:09:25.463-00:09:27.113</w:t>
      </w:r>
    </w:p>
    <w:p w:rsidR="0059496B" w:rsidRDefault="0059496B" w:rsidP="0059496B">
      <w:pPr>
        <w:pStyle w:val="ListParagraph"/>
        <w:numPr>
          <w:ilvl w:val="0"/>
          <w:numId w:val="3"/>
        </w:numPr>
      </w:pPr>
      <w:r>
        <w:t>00:09:27.649-00:09:28.468</w:t>
      </w:r>
    </w:p>
    <w:p w:rsidR="0059496B" w:rsidRDefault="0059496B" w:rsidP="0059496B">
      <w:pPr>
        <w:pStyle w:val="ListParagraph"/>
        <w:numPr>
          <w:ilvl w:val="0"/>
          <w:numId w:val="3"/>
        </w:numPr>
      </w:pPr>
      <w:r>
        <w:t>00:09:32.605-00:09:33.873</w:t>
      </w:r>
    </w:p>
    <w:p w:rsidR="0059496B" w:rsidRPr="009726CE" w:rsidRDefault="0059496B" w:rsidP="0059496B">
      <w:pPr>
        <w:pStyle w:val="ListParagraph"/>
        <w:jc w:val="center"/>
        <w:rPr>
          <w:b/>
          <w:sz w:val="32"/>
          <w:szCs w:val="32"/>
        </w:rPr>
      </w:pPr>
      <w:r w:rsidRPr="009726CE">
        <w:rPr>
          <w:b/>
          <w:sz w:val="32"/>
          <w:szCs w:val="32"/>
        </w:rPr>
        <w:lastRenderedPageBreak/>
        <w:t xml:space="preserve">Maternal Initiation </w:t>
      </w:r>
    </w:p>
    <w:p w:rsidR="0059496B" w:rsidRDefault="0059496B" w:rsidP="0059496B">
      <w:r>
        <w:t xml:space="preserve">Your will code either </w:t>
      </w:r>
      <w:r w:rsidRPr="006D21C0">
        <w:rPr>
          <w:i/>
        </w:rPr>
        <w:t>Elicit</w:t>
      </w:r>
      <w:r>
        <w:t xml:space="preserve">, </w:t>
      </w:r>
      <w:r w:rsidRPr="006D21C0">
        <w:rPr>
          <w:i/>
        </w:rPr>
        <w:t>Comment</w:t>
      </w:r>
      <w:r>
        <w:t xml:space="preserve">, or </w:t>
      </w:r>
      <w:r w:rsidRPr="006D21C0">
        <w:rPr>
          <w:i/>
        </w:rPr>
        <w:t>Directive</w:t>
      </w:r>
      <w:r>
        <w:t xml:space="preserve">. There is an “unspecified” code; however, this code should rarely be used, only in situations where you cannot understand the mother. </w:t>
      </w:r>
    </w:p>
    <w:p w:rsidR="0059496B" w:rsidRDefault="0059496B" w:rsidP="0059496B">
      <w:r w:rsidRPr="005A79C0">
        <w:rPr>
          <w:b/>
        </w:rPr>
        <w:t>Directive</w:t>
      </w:r>
      <w:r>
        <w:t xml:space="preserve">: </w:t>
      </w:r>
      <w:r w:rsidRPr="005A79C0">
        <w:t>e.</w:t>
      </w:r>
      <w:r>
        <w:t>g., stop crying, play with this</w:t>
      </w:r>
    </w:p>
    <w:p w:rsidR="0059496B" w:rsidRDefault="0059496B" w:rsidP="0059496B">
      <w:r w:rsidRPr="005A79C0">
        <w:rPr>
          <w:b/>
        </w:rPr>
        <w:t>Comment</w:t>
      </w:r>
      <w:r>
        <w:t>: e.g., you’re a good baby, I don’t like green eggs</w:t>
      </w:r>
    </w:p>
    <w:p w:rsidR="0059496B" w:rsidRDefault="0059496B" w:rsidP="0059496B">
      <w:r w:rsidRPr="005A79C0">
        <w:rPr>
          <w:b/>
        </w:rPr>
        <w:t>Elicitation</w:t>
      </w:r>
      <w:r>
        <w:t>: e.g., any question</w:t>
      </w:r>
    </w:p>
    <w:p w:rsidR="0059496B" w:rsidRDefault="0059496B" w:rsidP="0059496B">
      <w:r>
        <w:t xml:space="preserve">Helpful hints: </w:t>
      </w:r>
    </w:p>
    <w:p w:rsidR="0059496B" w:rsidRDefault="0059496B" w:rsidP="0059496B">
      <w:r>
        <w:t>Elicit:</w:t>
      </w:r>
    </w:p>
    <w:p w:rsidR="0059496B" w:rsidRDefault="0059496B" w:rsidP="0059496B">
      <w:pPr>
        <w:pStyle w:val="ListParagraph"/>
        <w:numPr>
          <w:ilvl w:val="0"/>
          <w:numId w:val="4"/>
        </w:numPr>
      </w:pPr>
      <w:r>
        <w:t xml:space="preserve">These are any questions that the mom asks her child. </w:t>
      </w:r>
    </w:p>
    <w:p w:rsidR="0059496B" w:rsidRDefault="0059496B" w:rsidP="0059496B">
      <w:pPr>
        <w:pStyle w:val="ListParagraph"/>
        <w:numPr>
          <w:ilvl w:val="0"/>
          <w:numId w:val="4"/>
        </w:numPr>
      </w:pPr>
      <w:r>
        <w:t>These can be wh-questions, or they can be questions such as “You want the ball?”</w:t>
      </w:r>
    </w:p>
    <w:p w:rsidR="0059496B" w:rsidRDefault="0059496B" w:rsidP="0059496B">
      <w:pPr>
        <w:pStyle w:val="ListParagraph"/>
        <w:numPr>
          <w:ilvl w:val="0"/>
          <w:numId w:val="4"/>
        </w:numPr>
      </w:pPr>
      <w:r>
        <w:t xml:space="preserve">“Huh?” is also included. </w:t>
      </w:r>
    </w:p>
    <w:p w:rsidR="0059496B" w:rsidRDefault="0059496B" w:rsidP="0059496B">
      <w:pPr>
        <w:pStyle w:val="ListParagraph"/>
        <w:numPr>
          <w:ilvl w:val="0"/>
          <w:numId w:val="4"/>
        </w:numPr>
      </w:pPr>
      <w:r>
        <w:t xml:space="preserve">Often times these questions have a rising intonation towards the end. </w:t>
      </w:r>
    </w:p>
    <w:p w:rsidR="0059496B" w:rsidRDefault="0059496B" w:rsidP="0059496B">
      <w:r>
        <w:t xml:space="preserve">Comment: </w:t>
      </w:r>
    </w:p>
    <w:p w:rsidR="0059496B" w:rsidRDefault="0059496B" w:rsidP="0059496B">
      <w:pPr>
        <w:pStyle w:val="ListParagraph"/>
        <w:numPr>
          <w:ilvl w:val="0"/>
          <w:numId w:val="5"/>
        </w:numPr>
      </w:pPr>
      <w:r>
        <w:t>These are statements that the mother makes, usually regarding a present activity that they are engaged in. For example, the baby is playing with a doll, and the mom says “the doll has pink hair”.</w:t>
      </w:r>
    </w:p>
    <w:p w:rsidR="0059496B" w:rsidRDefault="0059496B" w:rsidP="0059496B">
      <w:pPr>
        <w:pStyle w:val="ListParagraph"/>
        <w:numPr>
          <w:ilvl w:val="0"/>
          <w:numId w:val="5"/>
        </w:numPr>
      </w:pPr>
      <w:r>
        <w:t>It also includes stories that the mom tells the infant.</w:t>
      </w:r>
    </w:p>
    <w:p w:rsidR="0059496B" w:rsidRDefault="0059496B" w:rsidP="0059496B">
      <w:pPr>
        <w:pStyle w:val="ListParagraph"/>
        <w:numPr>
          <w:ilvl w:val="0"/>
          <w:numId w:val="5"/>
        </w:numPr>
      </w:pPr>
      <w:r w:rsidRPr="00F80B9B">
        <w:t>We have decided to include comments that the mom makes to herself.</w:t>
      </w:r>
    </w:p>
    <w:p w:rsidR="0059496B" w:rsidRDefault="0059496B" w:rsidP="0059496B">
      <w:pPr>
        <w:pStyle w:val="ListParagraph"/>
        <w:numPr>
          <w:ilvl w:val="0"/>
          <w:numId w:val="5"/>
        </w:numPr>
      </w:pPr>
      <w:r>
        <w:t xml:space="preserve"> I</w:t>
      </w:r>
      <w:r w:rsidRPr="00F80B9B">
        <w:t xml:space="preserve">nclude statements like “you can close it” because she is commenting on something that can be done with the object. She is not telling her child to close it. </w:t>
      </w:r>
      <w:r>
        <w:t xml:space="preserve">  </w:t>
      </w:r>
    </w:p>
    <w:p w:rsidR="0059496B" w:rsidRDefault="0059496B" w:rsidP="0059496B">
      <w:pPr>
        <w:pStyle w:val="ListParagraph"/>
        <w:numPr>
          <w:ilvl w:val="0"/>
          <w:numId w:val="5"/>
        </w:numPr>
      </w:pPr>
      <w:r>
        <w:t>I</w:t>
      </w:r>
      <w:r w:rsidRPr="00974B81">
        <w:t xml:space="preserve">nclude statements such as “let’s see what you do on your tummy”. </w:t>
      </w:r>
      <w:r>
        <w:t xml:space="preserve">                                                                                                                                                                                                                                                                                                                                                                                                                                                                                                            </w:t>
      </w:r>
    </w:p>
    <w:p w:rsidR="0059496B" w:rsidRDefault="0059496B" w:rsidP="0059496B">
      <w:r>
        <w:t xml:space="preserve">Directive: </w:t>
      </w:r>
    </w:p>
    <w:p w:rsidR="0059496B" w:rsidRDefault="0059496B" w:rsidP="0059496B">
      <w:pPr>
        <w:pStyle w:val="ListParagraph"/>
        <w:numPr>
          <w:ilvl w:val="0"/>
          <w:numId w:val="6"/>
        </w:numPr>
      </w:pPr>
      <w:r w:rsidRPr="00974B81">
        <w:t>These are commands that the mom makes asking her child to do something.  For example, the mom tells her child to “sit up”.</w:t>
      </w:r>
    </w:p>
    <w:p w:rsidR="0059496B" w:rsidRDefault="0059496B" w:rsidP="0059496B">
      <w:r>
        <w:t xml:space="preserve">Examples: Go to coding assignment in AACT under zaynee. </w:t>
      </w:r>
      <w:r w:rsidRPr="002D2260">
        <w:t>Open Maternal Initiation</w:t>
      </w:r>
      <w:r>
        <w:t xml:space="preserve"> (2</w:t>
      </w:r>
      <w:r w:rsidRPr="002D2260">
        <w:rPr>
          <w:vertAlign w:val="superscript"/>
        </w:rPr>
        <w:t>nd</w:t>
      </w:r>
      <w:r>
        <w:t xml:space="preserve"> assignment) </w:t>
      </w:r>
    </w:p>
    <w:p w:rsidR="0059496B" w:rsidRDefault="0059496B" w:rsidP="0059496B">
      <w:r>
        <w:t>See the following segments for examples of difficult speech register coding.</w:t>
      </w:r>
    </w:p>
    <w:p w:rsidR="0059496B" w:rsidRDefault="0059496B" w:rsidP="0059496B">
      <w:pPr>
        <w:pStyle w:val="ListParagraph"/>
        <w:numPr>
          <w:ilvl w:val="0"/>
          <w:numId w:val="7"/>
        </w:numPr>
      </w:pPr>
      <w:r>
        <w:t>00:00:56.209-00:00:57.465   12.  00:06:05.931-00:06:06.503   23. 00:09:02.080-00:09:03.684</w:t>
      </w:r>
    </w:p>
    <w:p w:rsidR="0059496B" w:rsidRDefault="0059496B" w:rsidP="0059496B">
      <w:pPr>
        <w:pStyle w:val="ListParagraph"/>
        <w:numPr>
          <w:ilvl w:val="0"/>
          <w:numId w:val="7"/>
        </w:numPr>
      </w:pPr>
      <w:r>
        <w:t>00:03:33.001-00:03:34.133   13.  00:06:11.764-00:06:14.20     24. 00:09:27.647-00:09:28.471</w:t>
      </w:r>
    </w:p>
    <w:p w:rsidR="0059496B" w:rsidRDefault="0059496B" w:rsidP="0059496B">
      <w:pPr>
        <w:pStyle w:val="ListParagraph"/>
        <w:numPr>
          <w:ilvl w:val="0"/>
          <w:numId w:val="7"/>
        </w:numPr>
      </w:pPr>
      <w:r>
        <w:t xml:space="preserve">00:03:39.013-00:03:39.708   14.  </w:t>
      </w:r>
      <w:r w:rsidRPr="00A445A7">
        <w:t>00:06:29.532-00:06:30.553</w:t>
      </w:r>
      <w:r>
        <w:t xml:space="preserve">   25. 00:09:32.605-00:09:33.873</w:t>
      </w:r>
    </w:p>
    <w:p w:rsidR="0059496B" w:rsidRDefault="0059496B" w:rsidP="0059496B">
      <w:pPr>
        <w:pStyle w:val="ListParagraph"/>
        <w:numPr>
          <w:ilvl w:val="0"/>
          <w:numId w:val="7"/>
        </w:numPr>
      </w:pPr>
      <w:r>
        <w:t>00:03:48.155-00:03:49.310   15.  00:06:38.012-00:06:39.818   26. 00:09:33.828-00:09:35.051</w:t>
      </w:r>
    </w:p>
    <w:p w:rsidR="0059496B" w:rsidRDefault="0059496B" w:rsidP="0059496B">
      <w:pPr>
        <w:pStyle w:val="ListParagraph"/>
        <w:numPr>
          <w:ilvl w:val="0"/>
          <w:numId w:val="7"/>
        </w:numPr>
      </w:pPr>
      <w:r>
        <w:t>00:03:53:371-00:03:56.769   16.  00:06:40.525-00:06:42.342   27. 00:11:26.200-00:11:27.356</w:t>
      </w:r>
    </w:p>
    <w:p w:rsidR="0059496B" w:rsidRDefault="0059496B" w:rsidP="0059496B">
      <w:pPr>
        <w:pStyle w:val="ListParagraph"/>
        <w:numPr>
          <w:ilvl w:val="0"/>
          <w:numId w:val="7"/>
        </w:numPr>
      </w:pPr>
      <w:r>
        <w:t>00:04:04.442-00:04:05.743   17.  00:07:09.218-00:07:09.812   28. 00:06:16.868-00:06:18.539</w:t>
      </w:r>
    </w:p>
    <w:p w:rsidR="0059496B" w:rsidRDefault="0059496B" w:rsidP="0059496B">
      <w:pPr>
        <w:pStyle w:val="ListParagraph"/>
        <w:numPr>
          <w:ilvl w:val="0"/>
          <w:numId w:val="7"/>
        </w:numPr>
      </w:pPr>
      <w:r>
        <w:t>00:04:24.453-00:04.25.676   18.  00:07:32.403-00:07:33.043   29. 00:06:44.927-00:06:46.352</w:t>
      </w:r>
    </w:p>
    <w:p w:rsidR="0059496B" w:rsidRDefault="0059496B" w:rsidP="0059496B">
      <w:pPr>
        <w:pStyle w:val="ListParagraph"/>
        <w:numPr>
          <w:ilvl w:val="0"/>
          <w:numId w:val="7"/>
        </w:numPr>
      </w:pPr>
      <w:r>
        <w:t>00:04:41.144-00:04:43.578   19.  00:07:44.293-00:07:46.458   30. 00:07:03.851-00:07:04.703</w:t>
      </w:r>
    </w:p>
    <w:p w:rsidR="0059496B" w:rsidRDefault="0059496B" w:rsidP="0059496B">
      <w:pPr>
        <w:pStyle w:val="ListParagraph"/>
        <w:numPr>
          <w:ilvl w:val="0"/>
          <w:numId w:val="7"/>
        </w:numPr>
      </w:pPr>
      <w:r>
        <w:t>00:05:44.282-00:05:00.267   20.  00:07:46.582-00:07:47.883   31. 00:07:49.150-00:07:51.226</w:t>
      </w:r>
    </w:p>
    <w:p w:rsidR="0059496B" w:rsidRDefault="0059496B" w:rsidP="0059496B">
      <w:pPr>
        <w:pStyle w:val="ListParagraph"/>
        <w:numPr>
          <w:ilvl w:val="0"/>
          <w:numId w:val="7"/>
        </w:numPr>
      </w:pPr>
      <w:r>
        <w:t>00:05:46.862-00:05:48.713   21.  00:07:56.913-00:07:57.911   32. 00:08:05.056-00:08:05.539</w:t>
      </w:r>
    </w:p>
    <w:p w:rsidR="0059496B" w:rsidRDefault="0059496B" w:rsidP="0059496B">
      <w:pPr>
        <w:pStyle w:val="ListParagraph"/>
        <w:numPr>
          <w:ilvl w:val="0"/>
          <w:numId w:val="7"/>
        </w:numPr>
      </w:pPr>
      <w:r>
        <w:t>00:05.48.735-00:05:50.653   22.  00:08:15.679-00:08:17.844</w:t>
      </w:r>
    </w:p>
    <w:p w:rsidR="0059496B" w:rsidRPr="009726CE" w:rsidRDefault="0059496B" w:rsidP="0059496B">
      <w:pPr>
        <w:pStyle w:val="ListParagraph"/>
        <w:jc w:val="center"/>
        <w:rPr>
          <w:b/>
          <w:sz w:val="32"/>
          <w:szCs w:val="32"/>
        </w:rPr>
      </w:pPr>
      <w:r w:rsidRPr="009726CE">
        <w:rPr>
          <w:b/>
          <w:sz w:val="32"/>
          <w:szCs w:val="32"/>
        </w:rPr>
        <w:lastRenderedPageBreak/>
        <w:t xml:space="preserve">Infant Vocalizations </w:t>
      </w:r>
    </w:p>
    <w:p w:rsidR="0059496B" w:rsidRDefault="0059496B" w:rsidP="0059496B">
      <w:r>
        <w:t xml:space="preserve">You will either code </w:t>
      </w:r>
      <w:r w:rsidRPr="002C2B4B">
        <w:rPr>
          <w:i/>
        </w:rPr>
        <w:t xml:space="preserve">Biological </w:t>
      </w:r>
      <w:r>
        <w:t xml:space="preserve">or </w:t>
      </w:r>
      <w:r w:rsidRPr="002C2B4B">
        <w:rPr>
          <w:i/>
        </w:rPr>
        <w:t>Speech-like</w:t>
      </w:r>
      <w:r>
        <w:t xml:space="preserve">. There is an “unspecified” code; however, this code should rarely, if ever, be used. </w:t>
      </w:r>
    </w:p>
    <w:p w:rsidR="0059496B" w:rsidRDefault="0059496B" w:rsidP="0059496B">
      <w:r w:rsidRPr="002C2B4B">
        <w:rPr>
          <w:b/>
        </w:rPr>
        <w:t>Biological</w:t>
      </w:r>
      <w:r>
        <w:t xml:space="preserve">: e.g., </w:t>
      </w:r>
      <w:r w:rsidRPr="002C2B4B">
        <w:t>cough, burp, hiccu</w:t>
      </w:r>
      <w:r>
        <w:t>p, etc.</w:t>
      </w:r>
    </w:p>
    <w:p w:rsidR="0059496B" w:rsidRDefault="0059496B" w:rsidP="0059496B">
      <w:r w:rsidRPr="002C2B4B">
        <w:rPr>
          <w:b/>
        </w:rPr>
        <w:t>Speech-like</w:t>
      </w:r>
      <w:r>
        <w:t>: It is vowel-like and consonant-like.</w:t>
      </w:r>
      <w:r w:rsidRPr="002C2B4B">
        <w:t xml:space="preserve"> Whine is still speech-like but crying is characterized by open vocal tract</w:t>
      </w:r>
    </w:p>
    <w:p w:rsidR="0059496B" w:rsidRDefault="0059496B" w:rsidP="0059496B">
      <w:r>
        <w:t>Helpful hints:</w:t>
      </w:r>
    </w:p>
    <w:p w:rsidR="0059496B" w:rsidRDefault="0059496B" w:rsidP="0059496B">
      <w:r>
        <w:t>Biological:</w:t>
      </w:r>
    </w:p>
    <w:p w:rsidR="0059496B" w:rsidRDefault="0059496B" w:rsidP="0059496B">
      <w:pPr>
        <w:pStyle w:val="ListParagraph"/>
        <w:numPr>
          <w:ilvl w:val="0"/>
          <w:numId w:val="8"/>
        </w:numPr>
      </w:pPr>
      <w:r w:rsidRPr="000F3F20">
        <w:t>Bi</w:t>
      </w:r>
      <w:r>
        <w:t>ological productions can be</w:t>
      </w:r>
      <w:r w:rsidRPr="000F3F20">
        <w:t xml:space="preserve"> more abrupt</w:t>
      </w:r>
      <w:r>
        <w:t>.</w:t>
      </w:r>
    </w:p>
    <w:p w:rsidR="0059496B" w:rsidRDefault="0059496B" w:rsidP="0059496B">
      <w:pPr>
        <w:pStyle w:val="ListParagraph"/>
        <w:numPr>
          <w:ilvl w:val="0"/>
          <w:numId w:val="8"/>
        </w:numPr>
      </w:pPr>
      <w:r w:rsidRPr="000F3F20">
        <w:t>They do not have intonation or prosody.</w:t>
      </w:r>
    </w:p>
    <w:p w:rsidR="0059496B" w:rsidRDefault="0059496B" w:rsidP="0059496B">
      <w:r>
        <w:t>Speech-like:</w:t>
      </w:r>
    </w:p>
    <w:p w:rsidR="0059496B" w:rsidRDefault="0059496B" w:rsidP="0059496B">
      <w:pPr>
        <w:pStyle w:val="ListParagraph"/>
        <w:numPr>
          <w:ilvl w:val="0"/>
          <w:numId w:val="9"/>
        </w:numPr>
      </w:pPr>
      <w:r w:rsidRPr="000F3F20">
        <w:t>Productions that have recognizable intonation and prosody such as cooing and whining.</w:t>
      </w:r>
    </w:p>
    <w:p w:rsidR="0059496B" w:rsidRDefault="0059496B" w:rsidP="0059496B">
      <w:pPr>
        <w:pStyle w:val="ListParagraph"/>
        <w:numPr>
          <w:ilvl w:val="0"/>
          <w:numId w:val="9"/>
        </w:numPr>
      </w:pPr>
      <w:r w:rsidRPr="000F3F20">
        <w:t>Any type of babbling should be included.</w:t>
      </w:r>
    </w:p>
    <w:p w:rsidR="0059496B" w:rsidRDefault="0059496B" w:rsidP="0059496B">
      <w:pPr>
        <w:pStyle w:val="ListParagraph"/>
        <w:numPr>
          <w:ilvl w:val="0"/>
          <w:numId w:val="9"/>
        </w:numPr>
      </w:pPr>
      <w:r w:rsidRPr="000F3F20">
        <w:t>These pr</w:t>
      </w:r>
      <w:r>
        <w:t>oductions are made with an approximated</w:t>
      </w:r>
      <w:r w:rsidRPr="000F3F20">
        <w:t xml:space="preserve"> vocal tract.</w:t>
      </w:r>
    </w:p>
    <w:p w:rsidR="0059496B" w:rsidRDefault="0059496B" w:rsidP="0059496B">
      <w:pPr>
        <w:pStyle w:val="ListParagraph"/>
        <w:numPr>
          <w:ilvl w:val="0"/>
          <w:numId w:val="9"/>
        </w:numPr>
      </w:pPr>
      <w:r>
        <w:t>Vocalizations</w:t>
      </w:r>
      <w:r w:rsidRPr="000F3F20">
        <w:t xml:space="preserve"> where vowels and consonants sounds are noticed should be included.</w:t>
      </w:r>
    </w:p>
    <w:p w:rsidR="0059496B" w:rsidRDefault="0059496B" w:rsidP="0059496B">
      <w:pPr>
        <w:pStyle w:val="ListParagraph"/>
        <w:numPr>
          <w:ilvl w:val="0"/>
          <w:numId w:val="9"/>
        </w:numPr>
      </w:pPr>
      <w:r w:rsidRPr="000F3F20">
        <w:t>Squeals and growls are also included</w:t>
      </w:r>
      <w:r>
        <w:t xml:space="preserve">. </w:t>
      </w:r>
    </w:p>
    <w:p w:rsidR="0059496B" w:rsidRDefault="0059496B" w:rsidP="0059496B">
      <w:r>
        <w:t xml:space="preserve">Examples: Go to coding assignment in AACT under zaynee. </w:t>
      </w:r>
      <w:r w:rsidRPr="002D2260">
        <w:t>Open Infant Vocalization</w:t>
      </w:r>
      <w:r>
        <w:t xml:space="preserve"> (4</w:t>
      </w:r>
      <w:r w:rsidRPr="002D2260">
        <w:rPr>
          <w:vertAlign w:val="superscript"/>
        </w:rPr>
        <w:t>th</w:t>
      </w:r>
      <w:r>
        <w:t xml:space="preserve"> assignment)</w:t>
      </w:r>
    </w:p>
    <w:p w:rsidR="0059496B" w:rsidRDefault="0059496B" w:rsidP="0059496B">
      <w:r>
        <w:t>See the following segments for examples of difficult speech register coding.</w:t>
      </w:r>
    </w:p>
    <w:p w:rsidR="0059496B" w:rsidRDefault="0059496B" w:rsidP="0059496B">
      <w:pPr>
        <w:pStyle w:val="ListParagraph"/>
        <w:numPr>
          <w:ilvl w:val="0"/>
          <w:numId w:val="10"/>
        </w:numPr>
      </w:pPr>
      <w:r>
        <w:t>00:03:38.020-00:03:38.850</w:t>
      </w:r>
    </w:p>
    <w:p w:rsidR="0059496B" w:rsidRDefault="0059496B" w:rsidP="0059496B">
      <w:pPr>
        <w:pStyle w:val="ListParagraph"/>
        <w:numPr>
          <w:ilvl w:val="0"/>
          <w:numId w:val="10"/>
        </w:numPr>
      </w:pPr>
      <w:r>
        <w:t>00:05:22.047-00:55:23.537</w:t>
      </w:r>
    </w:p>
    <w:p w:rsidR="0059496B" w:rsidRDefault="0059496B" w:rsidP="0059496B">
      <w:pPr>
        <w:pStyle w:val="ListParagraph"/>
        <w:numPr>
          <w:ilvl w:val="0"/>
          <w:numId w:val="10"/>
        </w:numPr>
      </w:pPr>
      <w:r>
        <w:t>00:05:32.518-00:05:33.079</w:t>
      </w:r>
    </w:p>
    <w:p w:rsidR="0059496B" w:rsidRDefault="0059496B" w:rsidP="0059496B">
      <w:pPr>
        <w:pStyle w:val="ListParagraph"/>
        <w:numPr>
          <w:ilvl w:val="0"/>
          <w:numId w:val="10"/>
        </w:numPr>
      </w:pPr>
      <w:r>
        <w:t>00:06:08.861-00:06:09.579</w:t>
      </w:r>
    </w:p>
    <w:p w:rsidR="0059496B" w:rsidRDefault="0059496B" w:rsidP="0059496B">
      <w:pPr>
        <w:pStyle w:val="ListParagraph"/>
        <w:numPr>
          <w:ilvl w:val="0"/>
          <w:numId w:val="10"/>
        </w:numPr>
      </w:pPr>
      <w:r>
        <w:t>00:06:16.236-00:06:16.943</w:t>
      </w:r>
    </w:p>
    <w:p w:rsidR="0059496B" w:rsidRDefault="0059496B" w:rsidP="0059496B">
      <w:pPr>
        <w:pStyle w:val="ListParagraph"/>
        <w:numPr>
          <w:ilvl w:val="0"/>
          <w:numId w:val="10"/>
        </w:numPr>
      </w:pPr>
      <w:r>
        <w:t>00:08:18.116-00:08:18.845</w:t>
      </w:r>
    </w:p>
    <w:p w:rsidR="0059496B" w:rsidRDefault="0059496B" w:rsidP="0059496B">
      <w:pPr>
        <w:pStyle w:val="ListParagraph"/>
        <w:numPr>
          <w:ilvl w:val="0"/>
          <w:numId w:val="10"/>
        </w:numPr>
      </w:pPr>
      <w:r>
        <w:t>00:10:47.252-00:10:48.542</w:t>
      </w:r>
    </w:p>
    <w:p w:rsidR="0059496B" w:rsidRDefault="0059496B" w:rsidP="0059496B">
      <w:pPr>
        <w:pStyle w:val="ListParagraph"/>
        <w:numPr>
          <w:ilvl w:val="0"/>
          <w:numId w:val="10"/>
        </w:numPr>
      </w:pPr>
      <w:r>
        <w:t>00:10:48.509-00:10:49.350</w:t>
      </w:r>
    </w:p>
    <w:p w:rsidR="0059496B" w:rsidRDefault="0059496B" w:rsidP="0059496B">
      <w:pPr>
        <w:pStyle w:val="ListParagraph"/>
        <w:numPr>
          <w:ilvl w:val="0"/>
          <w:numId w:val="10"/>
        </w:numPr>
      </w:pPr>
      <w:r>
        <w:t>00:10:49.399-00:10:50.943</w:t>
      </w:r>
    </w:p>
    <w:p w:rsidR="0059496B" w:rsidRDefault="0059496B" w:rsidP="0059496B">
      <w:pPr>
        <w:pStyle w:val="ListParagraph"/>
        <w:numPr>
          <w:ilvl w:val="0"/>
          <w:numId w:val="10"/>
        </w:numPr>
      </w:pPr>
      <w:r>
        <w:t>00:10:53.500-00:10:54.936</w:t>
      </w:r>
    </w:p>
    <w:p w:rsidR="0059496B" w:rsidRDefault="0059496B" w:rsidP="0059496B">
      <w:pPr>
        <w:pStyle w:val="ListParagraph"/>
        <w:numPr>
          <w:ilvl w:val="0"/>
          <w:numId w:val="10"/>
        </w:numPr>
      </w:pPr>
      <w:r>
        <w:t>00:10:55.800-00:11:00.533</w:t>
      </w:r>
    </w:p>
    <w:p w:rsidR="0059496B" w:rsidRDefault="0059496B" w:rsidP="0059496B">
      <w:pPr>
        <w:pStyle w:val="ListParagraph"/>
        <w:numPr>
          <w:ilvl w:val="0"/>
          <w:numId w:val="10"/>
        </w:numPr>
      </w:pPr>
      <w:r>
        <w:t>00:11:08.397-00:11:09.579</w:t>
      </w:r>
    </w:p>
    <w:p w:rsidR="0059496B" w:rsidRDefault="0059496B" w:rsidP="0059496B">
      <w:pPr>
        <w:pStyle w:val="ListParagraph"/>
        <w:numPr>
          <w:ilvl w:val="0"/>
          <w:numId w:val="10"/>
        </w:numPr>
      </w:pPr>
      <w:r>
        <w:t>00:11:38.549-00:11:39.412</w:t>
      </w:r>
    </w:p>
    <w:p w:rsidR="0059496B" w:rsidRPr="002C2B4B" w:rsidRDefault="0059496B" w:rsidP="0059496B"/>
    <w:p w:rsidR="0059496B" w:rsidRDefault="0059496B" w:rsidP="0059496B"/>
    <w:p w:rsidR="0059496B" w:rsidRDefault="0059496B" w:rsidP="0059496B"/>
    <w:p w:rsidR="0059496B" w:rsidRDefault="0059496B" w:rsidP="0059496B"/>
    <w:p w:rsidR="0059496B" w:rsidRDefault="0059496B" w:rsidP="0059496B"/>
    <w:p w:rsidR="0059496B" w:rsidRDefault="0059496B" w:rsidP="0059496B">
      <w:r>
        <w:t>Tips for coding utterances:</w:t>
      </w:r>
    </w:p>
    <w:p w:rsidR="0059496B" w:rsidRDefault="0059496B" w:rsidP="0059496B">
      <w:pPr>
        <w:pStyle w:val="ListParagraph"/>
        <w:numPr>
          <w:ilvl w:val="0"/>
          <w:numId w:val="11"/>
        </w:numPr>
      </w:pPr>
      <w:r>
        <w:t>Use SALT transcription and C-Units</w:t>
      </w:r>
    </w:p>
    <w:p w:rsidR="0059496B" w:rsidRDefault="0059496B" w:rsidP="0059496B">
      <w:pPr>
        <w:pStyle w:val="ListParagraph"/>
        <w:numPr>
          <w:ilvl w:val="0"/>
          <w:numId w:val="11"/>
        </w:numPr>
      </w:pPr>
      <w:r>
        <w:t>What counts as a C-Unit is a complete sentences. For example, for the utterance “this is four, and this is five”, “this is four” would be one utterance, and “and this is five” would be another utterance.</w:t>
      </w:r>
    </w:p>
    <w:p w:rsidR="0059496B" w:rsidRDefault="0059496B" w:rsidP="0059496B">
      <w:r>
        <w:t xml:space="preserve">Helpful Tips about AACT: </w:t>
      </w:r>
    </w:p>
    <w:p w:rsidR="0059496B" w:rsidRDefault="0059496B" w:rsidP="0059496B">
      <w:r>
        <w:t>To code:</w:t>
      </w:r>
    </w:p>
    <w:p w:rsidR="0059496B" w:rsidRDefault="0059496B" w:rsidP="0059496B">
      <w:pPr>
        <w:pStyle w:val="ListParagraph"/>
        <w:numPr>
          <w:ilvl w:val="0"/>
          <w:numId w:val="12"/>
        </w:numPr>
      </w:pPr>
      <w:r>
        <w:t>Open AACT from the icon at the bottom of the desktop</w:t>
      </w:r>
    </w:p>
    <w:p w:rsidR="0059496B" w:rsidRDefault="0059496B" w:rsidP="0059496B">
      <w:pPr>
        <w:pStyle w:val="ListParagraph"/>
        <w:numPr>
          <w:ilvl w:val="0"/>
          <w:numId w:val="12"/>
        </w:numPr>
      </w:pPr>
      <w:r>
        <w:t>Once AACT opens click coder and log in</w:t>
      </w:r>
    </w:p>
    <w:p w:rsidR="0059496B" w:rsidRDefault="0059496B" w:rsidP="0059496B">
      <w:pPr>
        <w:pStyle w:val="ListParagraph"/>
        <w:numPr>
          <w:ilvl w:val="0"/>
          <w:numId w:val="12"/>
        </w:numPr>
      </w:pPr>
      <w:r>
        <w:t xml:space="preserve">Your username and password should be your first name. </w:t>
      </w:r>
    </w:p>
    <w:p w:rsidR="0059496B" w:rsidRDefault="0059496B" w:rsidP="0059496B">
      <w:pPr>
        <w:pStyle w:val="ListParagraph"/>
        <w:numPr>
          <w:ilvl w:val="0"/>
          <w:numId w:val="12"/>
        </w:numPr>
      </w:pPr>
      <w:r>
        <w:t xml:space="preserve">After you log in, your assignments should pop up. </w:t>
      </w:r>
    </w:p>
    <w:p w:rsidR="0059496B" w:rsidRDefault="0059496B" w:rsidP="0059496B">
      <w:pPr>
        <w:pStyle w:val="ListParagraph"/>
        <w:numPr>
          <w:ilvl w:val="0"/>
          <w:numId w:val="12"/>
        </w:numPr>
      </w:pPr>
      <w:r>
        <w:t>If you use the scroll bar towards the bottom and scroll over to the right to the heading Field, you will be able to see what you are coding.</w:t>
      </w:r>
    </w:p>
    <w:p w:rsidR="0059496B" w:rsidRDefault="0059496B" w:rsidP="0059496B">
      <w:pPr>
        <w:pStyle w:val="ListParagraph"/>
        <w:numPr>
          <w:ilvl w:val="0"/>
          <w:numId w:val="12"/>
        </w:numPr>
      </w:pPr>
      <w:r>
        <w:t xml:space="preserve">To open it, use the scroll bar and scroll back to the left to the heading Session File, and click on which ever one you want to code. </w:t>
      </w:r>
    </w:p>
    <w:p w:rsidR="0059496B" w:rsidRDefault="0059496B" w:rsidP="0059496B">
      <w:pPr>
        <w:pStyle w:val="ListParagraph"/>
        <w:numPr>
          <w:ilvl w:val="0"/>
          <w:numId w:val="12"/>
        </w:numPr>
      </w:pPr>
      <w:r>
        <w:t xml:space="preserve">After opening it, move video 1 to the computer screen on the right. </w:t>
      </w:r>
    </w:p>
    <w:p w:rsidR="0059496B" w:rsidRDefault="0059496B" w:rsidP="0059496B">
      <w:pPr>
        <w:pStyle w:val="ListParagraph"/>
        <w:numPr>
          <w:ilvl w:val="0"/>
          <w:numId w:val="12"/>
        </w:numPr>
      </w:pPr>
      <w:r>
        <w:t xml:space="preserve">Then, also move the AACT-TF32 window to the computer screen on the right. </w:t>
      </w:r>
    </w:p>
    <w:p w:rsidR="0059496B" w:rsidRDefault="0059496B" w:rsidP="0059496B">
      <w:pPr>
        <w:pStyle w:val="ListParagraph"/>
        <w:numPr>
          <w:ilvl w:val="0"/>
          <w:numId w:val="12"/>
        </w:numPr>
      </w:pPr>
      <w:r>
        <w:t xml:space="preserve">After that, on the AACT Event Coding window, click on video, and then click on Launch Second Video. </w:t>
      </w:r>
    </w:p>
    <w:p w:rsidR="0059496B" w:rsidRDefault="0059496B" w:rsidP="0059496B">
      <w:pPr>
        <w:pStyle w:val="ListParagraph"/>
        <w:numPr>
          <w:ilvl w:val="0"/>
          <w:numId w:val="12"/>
        </w:numPr>
      </w:pPr>
      <w:r>
        <w:t xml:space="preserve">Once you click that, an aactwin_20141217 window pops up. Just click OK, and Video 2 should pop up. Also move Video 2 to the computer screen on the right. </w:t>
      </w:r>
    </w:p>
    <w:p w:rsidR="0059496B" w:rsidRDefault="0059496B" w:rsidP="0059496B">
      <w:pPr>
        <w:pStyle w:val="ListParagraph"/>
        <w:numPr>
          <w:ilvl w:val="0"/>
          <w:numId w:val="12"/>
        </w:numPr>
      </w:pPr>
      <w:r>
        <w:t xml:space="preserve">To play straight through, on the ACCT Event Coding screen, click Make Active. Then, click Play. Click STOP when you find what you’re looking for. </w:t>
      </w:r>
    </w:p>
    <w:p w:rsidR="0059496B" w:rsidRDefault="0059496B" w:rsidP="0059496B">
      <w:pPr>
        <w:pStyle w:val="ListParagraph"/>
        <w:numPr>
          <w:ilvl w:val="0"/>
          <w:numId w:val="12"/>
        </w:numPr>
      </w:pPr>
      <w:r>
        <w:t>To play just the event of interest, on the AACT Event Coding window, click on Active Loop Range to TF32 Cursors, and then click on Video 1.</w:t>
      </w:r>
    </w:p>
    <w:p w:rsidR="0059496B" w:rsidRDefault="0059496B" w:rsidP="0059496B">
      <w:pPr>
        <w:pStyle w:val="ListParagraph"/>
        <w:numPr>
          <w:ilvl w:val="0"/>
          <w:numId w:val="12"/>
        </w:numPr>
      </w:pPr>
      <w:r>
        <w:t>On the AACT-TF32 window, ] is the beginning point, and [ is the ending point</w:t>
      </w:r>
    </w:p>
    <w:p w:rsidR="0059496B" w:rsidRDefault="0059496B" w:rsidP="0059496B">
      <w:pPr>
        <w:pStyle w:val="ListParagraph"/>
        <w:numPr>
          <w:ilvl w:val="0"/>
          <w:numId w:val="12"/>
        </w:numPr>
      </w:pPr>
      <w:r>
        <w:t>To code, on the AACT-TF32 window, drag ] to where [ is and then click on &lt;&lt;Cursor on the right side of the TF32 window (this will swap Right and Left cursors). After that, drag ] cursor to the beginning of the event you want to code. Then, on the AACT Event Coding window, under the heading Field, you will different options for coding that behavior. Click on one of those options, and you should be able to see it on the Field Codes Display window after you code it.</w:t>
      </w:r>
    </w:p>
    <w:p w:rsidR="0059496B" w:rsidRDefault="0059496B" w:rsidP="0059496B">
      <w:pPr>
        <w:ind w:left="360"/>
      </w:pPr>
      <w:r>
        <w:t>Helpful Hints:</w:t>
      </w:r>
    </w:p>
    <w:p w:rsidR="0059496B" w:rsidRDefault="0059496B" w:rsidP="0059496B">
      <w:pPr>
        <w:pStyle w:val="ListParagraph"/>
        <w:numPr>
          <w:ilvl w:val="0"/>
          <w:numId w:val="13"/>
        </w:numPr>
      </w:pPr>
      <w:r>
        <w:t xml:space="preserve">To look at a behavior that you have previously coded, on the Field Codes Display, click on the event that you want look at, and you cursors should line up on the AACT-TF32 window. </w:t>
      </w:r>
    </w:p>
    <w:p w:rsidR="0059496B" w:rsidRDefault="0059496B" w:rsidP="0059496B">
      <w:pPr>
        <w:pStyle w:val="ListParagraph"/>
        <w:numPr>
          <w:ilvl w:val="0"/>
          <w:numId w:val="13"/>
        </w:numPr>
      </w:pPr>
      <w:r>
        <w:t xml:space="preserve">To look at two different behaviors that you have coded, such as speech register and maternal initiation, on the AACT Event Coding window, click on fields. Then, click on select fields to code. After that, click on the field that you want to display. You will not be able to change anything on that field. You will only be able to view it.  </w:t>
      </w:r>
    </w:p>
    <w:p w:rsidR="0059496B" w:rsidRDefault="0059496B" w:rsidP="0059496B"/>
    <w:p w:rsidR="0059496B" w:rsidRDefault="0059496B" w:rsidP="0059496B"/>
    <w:p w:rsidR="0059496B" w:rsidRPr="00C6517B" w:rsidRDefault="0059496B" w:rsidP="0059496B">
      <w:pPr>
        <w:pStyle w:val="ListParagraph"/>
      </w:pPr>
      <w:r>
        <w:lastRenderedPageBreak/>
        <w:t xml:space="preserve"> </w:t>
      </w:r>
    </w:p>
    <w:p w:rsidR="0059496B" w:rsidRPr="0059496B" w:rsidRDefault="0059496B" w:rsidP="0059496B">
      <w:pPr>
        <w:jc w:val="center"/>
        <w:rPr>
          <w:sz w:val="72"/>
          <w:szCs w:val="72"/>
        </w:rPr>
      </w:pPr>
    </w:p>
    <w:sectPr w:rsidR="0059496B" w:rsidRPr="0059496B">
      <w:headerReference w:type="default" r:id="rId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51F7" w:rsidRDefault="001851F7" w:rsidP="00613477">
      <w:pPr>
        <w:spacing w:after="0"/>
      </w:pPr>
      <w:r>
        <w:separator/>
      </w:r>
    </w:p>
  </w:endnote>
  <w:endnote w:type="continuationSeparator" w:id="0">
    <w:p w:rsidR="001851F7" w:rsidRDefault="001851F7" w:rsidP="006134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51F7" w:rsidRDefault="001851F7" w:rsidP="00613477">
      <w:pPr>
        <w:spacing w:after="0"/>
      </w:pPr>
      <w:r>
        <w:separator/>
      </w:r>
    </w:p>
  </w:footnote>
  <w:footnote w:type="continuationSeparator" w:id="0">
    <w:p w:rsidR="001851F7" w:rsidRDefault="001851F7" w:rsidP="00613477">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0137820"/>
      <w:docPartObj>
        <w:docPartGallery w:val="Page Numbers (Top of Page)"/>
        <w:docPartUnique/>
      </w:docPartObj>
    </w:sdtPr>
    <w:sdtEndPr>
      <w:rPr>
        <w:noProof/>
      </w:rPr>
    </w:sdtEndPr>
    <w:sdtContent>
      <w:p w:rsidR="00613477" w:rsidRDefault="00613477" w:rsidP="00613477">
        <w:pPr>
          <w:pStyle w:val="Header"/>
        </w:pPr>
        <w:r>
          <w:t xml:space="preserve">Better Maternal Interaction                                                                                                                                      </w:t>
        </w:r>
        <w:r>
          <w:fldChar w:fldCharType="begin"/>
        </w:r>
        <w:r>
          <w:instrText xml:space="preserve"> PAGE   \* MERGEFORMAT </w:instrText>
        </w:r>
        <w:r>
          <w:fldChar w:fldCharType="separate"/>
        </w:r>
        <w:r w:rsidR="00930D7E">
          <w:rPr>
            <w:noProof/>
          </w:rPr>
          <w:t>13</w:t>
        </w:r>
        <w:r>
          <w:rPr>
            <w:noProof/>
          </w:rPr>
          <w:fldChar w:fldCharType="end"/>
        </w:r>
      </w:p>
    </w:sdtContent>
  </w:sdt>
  <w:p w:rsidR="00613477" w:rsidRDefault="006134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72164"/>
    <w:multiLevelType w:val="hybridMultilevel"/>
    <w:tmpl w:val="9B50D9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E15649"/>
    <w:multiLevelType w:val="hybridMultilevel"/>
    <w:tmpl w:val="5A04E5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1B7159"/>
    <w:multiLevelType w:val="hybridMultilevel"/>
    <w:tmpl w:val="45F075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C281070"/>
    <w:multiLevelType w:val="hybridMultilevel"/>
    <w:tmpl w:val="5DAACF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7290103"/>
    <w:multiLevelType w:val="hybridMultilevel"/>
    <w:tmpl w:val="257085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7343453"/>
    <w:multiLevelType w:val="hybridMultilevel"/>
    <w:tmpl w:val="C7F0F6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87834D1"/>
    <w:multiLevelType w:val="hybridMultilevel"/>
    <w:tmpl w:val="A0DE0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0490EB1"/>
    <w:multiLevelType w:val="hybridMultilevel"/>
    <w:tmpl w:val="38B27F80"/>
    <w:lvl w:ilvl="0" w:tplc="E02EDF90">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267550F"/>
    <w:multiLevelType w:val="hybridMultilevel"/>
    <w:tmpl w:val="3C6ED6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4671726"/>
    <w:multiLevelType w:val="hybridMultilevel"/>
    <w:tmpl w:val="118C8880"/>
    <w:lvl w:ilvl="0" w:tplc="1F520C58">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1D66147"/>
    <w:multiLevelType w:val="hybridMultilevel"/>
    <w:tmpl w:val="954E71D0"/>
    <w:lvl w:ilvl="0" w:tplc="B0E491D0">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5AE550F"/>
    <w:multiLevelType w:val="hybridMultilevel"/>
    <w:tmpl w:val="D06A01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F470F89"/>
    <w:multiLevelType w:val="hybridMultilevel"/>
    <w:tmpl w:val="2C202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5"/>
  </w:num>
  <w:num w:numId="3">
    <w:abstractNumId w:val="4"/>
  </w:num>
  <w:num w:numId="4">
    <w:abstractNumId w:val="7"/>
  </w:num>
  <w:num w:numId="5">
    <w:abstractNumId w:val="9"/>
  </w:num>
  <w:num w:numId="6">
    <w:abstractNumId w:val="3"/>
  </w:num>
  <w:num w:numId="7">
    <w:abstractNumId w:val="10"/>
  </w:num>
  <w:num w:numId="8">
    <w:abstractNumId w:val="0"/>
  </w:num>
  <w:num w:numId="9">
    <w:abstractNumId w:val="8"/>
  </w:num>
  <w:num w:numId="10">
    <w:abstractNumId w:val="12"/>
  </w:num>
  <w:num w:numId="11">
    <w:abstractNumId w:val="1"/>
  </w:num>
  <w:num w:numId="12">
    <w:abstractNumId w:val="6"/>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052"/>
    <w:rsid w:val="00017C0C"/>
    <w:rsid w:val="000477E1"/>
    <w:rsid w:val="001851F7"/>
    <w:rsid w:val="001D1CBA"/>
    <w:rsid w:val="003F30F5"/>
    <w:rsid w:val="0059496B"/>
    <w:rsid w:val="00612A8E"/>
    <w:rsid w:val="00613477"/>
    <w:rsid w:val="00645E0C"/>
    <w:rsid w:val="006743F1"/>
    <w:rsid w:val="007B7B68"/>
    <w:rsid w:val="00930D7E"/>
    <w:rsid w:val="00990052"/>
    <w:rsid w:val="009B4BD8"/>
    <w:rsid w:val="00AB207F"/>
    <w:rsid w:val="00B2306E"/>
    <w:rsid w:val="00B96617"/>
    <w:rsid w:val="00CA1B44"/>
    <w:rsid w:val="00DF6D46"/>
    <w:rsid w:val="00EC0AF6"/>
    <w:rsid w:val="00FA4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306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306E"/>
    <w:rPr>
      <w:rFonts w:ascii="Tahoma" w:hAnsi="Tahoma" w:cs="Tahoma"/>
      <w:sz w:val="16"/>
      <w:szCs w:val="16"/>
    </w:rPr>
  </w:style>
  <w:style w:type="paragraph" w:styleId="ListParagraph">
    <w:name w:val="List Paragraph"/>
    <w:basedOn w:val="Normal"/>
    <w:uiPriority w:val="34"/>
    <w:qFormat/>
    <w:rsid w:val="0059496B"/>
    <w:pPr>
      <w:ind w:left="720"/>
      <w:contextualSpacing/>
    </w:pPr>
  </w:style>
  <w:style w:type="paragraph" w:styleId="Header">
    <w:name w:val="header"/>
    <w:basedOn w:val="Normal"/>
    <w:link w:val="HeaderChar"/>
    <w:uiPriority w:val="99"/>
    <w:unhideWhenUsed/>
    <w:rsid w:val="00613477"/>
    <w:pPr>
      <w:tabs>
        <w:tab w:val="center" w:pos="4680"/>
        <w:tab w:val="right" w:pos="9360"/>
      </w:tabs>
      <w:spacing w:after="0"/>
    </w:pPr>
  </w:style>
  <w:style w:type="character" w:customStyle="1" w:styleId="HeaderChar">
    <w:name w:val="Header Char"/>
    <w:basedOn w:val="DefaultParagraphFont"/>
    <w:link w:val="Header"/>
    <w:uiPriority w:val="99"/>
    <w:rsid w:val="00613477"/>
  </w:style>
  <w:style w:type="paragraph" w:styleId="Footer">
    <w:name w:val="footer"/>
    <w:basedOn w:val="Normal"/>
    <w:link w:val="FooterChar"/>
    <w:uiPriority w:val="99"/>
    <w:unhideWhenUsed/>
    <w:rsid w:val="00613477"/>
    <w:pPr>
      <w:tabs>
        <w:tab w:val="center" w:pos="4680"/>
        <w:tab w:val="right" w:pos="9360"/>
      </w:tabs>
      <w:spacing w:after="0"/>
    </w:pPr>
  </w:style>
  <w:style w:type="character" w:customStyle="1" w:styleId="FooterChar">
    <w:name w:val="Footer Char"/>
    <w:basedOn w:val="DefaultParagraphFont"/>
    <w:link w:val="Footer"/>
    <w:uiPriority w:val="99"/>
    <w:rsid w:val="006134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306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306E"/>
    <w:rPr>
      <w:rFonts w:ascii="Tahoma" w:hAnsi="Tahoma" w:cs="Tahoma"/>
      <w:sz w:val="16"/>
      <w:szCs w:val="16"/>
    </w:rPr>
  </w:style>
  <w:style w:type="paragraph" w:styleId="ListParagraph">
    <w:name w:val="List Paragraph"/>
    <w:basedOn w:val="Normal"/>
    <w:uiPriority w:val="34"/>
    <w:qFormat/>
    <w:rsid w:val="0059496B"/>
    <w:pPr>
      <w:ind w:left="720"/>
      <w:contextualSpacing/>
    </w:pPr>
  </w:style>
  <w:style w:type="paragraph" w:styleId="Header">
    <w:name w:val="header"/>
    <w:basedOn w:val="Normal"/>
    <w:link w:val="HeaderChar"/>
    <w:uiPriority w:val="99"/>
    <w:unhideWhenUsed/>
    <w:rsid w:val="00613477"/>
    <w:pPr>
      <w:tabs>
        <w:tab w:val="center" w:pos="4680"/>
        <w:tab w:val="right" w:pos="9360"/>
      </w:tabs>
      <w:spacing w:after="0"/>
    </w:pPr>
  </w:style>
  <w:style w:type="character" w:customStyle="1" w:styleId="HeaderChar">
    <w:name w:val="Header Char"/>
    <w:basedOn w:val="DefaultParagraphFont"/>
    <w:link w:val="Header"/>
    <w:uiPriority w:val="99"/>
    <w:rsid w:val="00613477"/>
  </w:style>
  <w:style w:type="paragraph" w:styleId="Footer">
    <w:name w:val="footer"/>
    <w:basedOn w:val="Normal"/>
    <w:link w:val="FooterChar"/>
    <w:uiPriority w:val="99"/>
    <w:unhideWhenUsed/>
    <w:rsid w:val="00613477"/>
    <w:pPr>
      <w:tabs>
        <w:tab w:val="center" w:pos="4680"/>
        <w:tab w:val="right" w:pos="9360"/>
      </w:tabs>
      <w:spacing w:after="0"/>
    </w:pPr>
  </w:style>
  <w:style w:type="character" w:customStyle="1" w:styleId="FooterChar">
    <w:name w:val="Footer Char"/>
    <w:basedOn w:val="DefaultParagraphFont"/>
    <w:link w:val="Footer"/>
    <w:uiPriority w:val="99"/>
    <w:rsid w:val="006134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theme" Target="theme/theme1.xml"/><Relationship Id="rId8" Type="http://schemas.openxmlformats.org/officeDocument/2006/relationships/image" Target="media/image1.png"/><Relationship Id="rId3" Type="http://schemas.microsoft.com/office/2007/relationships/stylesWithEffects" Target="stylesWithEffect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37</Pages>
  <Words>5503</Words>
  <Characters>31368</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nikunjroy@hotmail.com</dc:creator>
  <cp:lastModifiedBy>nikunjroy@hotmail.com</cp:lastModifiedBy>
  <cp:revision>2</cp:revision>
  <dcterms:created xsi:type="dcterms:W3CDTF">2016-05-04T02:40:00Z</dcterms:created>
  <dcterms:modified xsi:type="dcterms:W3CDTF">2016-05-04T02:40:00Z</dcterms:modified>
</cp:coreProperties>
</file>