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BF8C59" w14:textId="63EFA260" w:rsidR="00213EEF" w:rsidRPr="00D03C73" w:rsidRDefault="00D36369" w:rsidP="00213EEF">
      <w:pPr>
        <w:tabs>
          <w:tab w:val="center" w:pos="4320"/>
          <w:tab w:val="left" w:pos="7484"/>
        </w:tabs>
        <w:jc w:val="center"/>
        <w:rPr>
          <w:b/>
          <w:sz w:val="36"/>
          <w:szCs w:val="36"/>
          <w:lang w:val="en-CA"/>
        </w:rPr>
      </w:pPr>
      <w:r>
        <w:rPr>
          <w:sz w:val="36"/>
          <w:szCs w:val="36"/>
          <w:lang w:val="en-CA"/>
        </w:rPr>
        <w:t>Improved Fungicidal Control of Large Patch through Optimal Use of Surfactants and Spray Rate Volume</w:t>
      </w:r>
    </w:p>
    <w:p w14:paraId="6F77FB89" w14:textId="77777777" w:rsidR="00213EEF" w:rsidRPr="00D03C73" w:rsidRDefault="00213EEF" w:rsidP="00213EEF">
      <w:pPr>
        <w:jc w:val="center"/>
        <w:rPr>
          <w:sz w:val="36"/>
          <w:szCs w:val="36"/>
        </w:rPr>
      </w:pPr>
    </w:p>
    <w:p w14:paraId="68F9A25D" w14:textId="77777777" w:rsidR="00213EEF" w:rsidRPr="00D03C73" w:rsidRDefault="00213EEF" w:rsidP="00213EEF">
      <w:pPr>
        <w:jc w:val="center"/>
        <w:rPr>
          <w:sz w:val="36"/>
          <w:szCs w:val="36"/>
        </w:rPr>
      </w:pPr>
    </w:p>
    <w:p w14:paraId="4BD6C3B1" w14:textId="77777777" w:rsidR="00213EEF" w:rsidRPr="00D03C73" w:rsidRDefault="00213EEF" w:rsidP="00213EEF">
      <w:pPr>
        <w:jc w:val="center"/>
        <w:rPr>
          <w:sz w:val="36"/>
          <w:szCs w:val="36"/>
        </w:rPr>
      </w:pPr>
    </w:p>
    <w:p w14:paraId="091E4B73" w14:textId="77777777" w:rsidR="00213EEF" w:rsidRPr="00D03C73" w:rsidRDefault="00213EEF" w:rsidP="00213EEF">
      <w:pPr>
        <w:jc w:val="center"/>
        <w:rPr>
          <w:sz w:val="36"/>
          <w:szCs w:val="36"/>
        </w:rPr>
      </w:pPr>
    </w:p>
    <w:p w14:paraId="6A412EB3" w14:textId="77777777" w:rsidR="00213EEF" w:rsidRPr="00D03C73" w:rsidRDefault="00213EEF" w:rsidP="00213EEF">
      <w:pPr>
        <w:jc w:val="center"/>
        <w:rPr>
          <w:sz w:val="36"/>
          <w:szCs w:val="36"/>
        </w:rPr>
      </w:pPr>
    </w:p>
    <w:p w14:paraId="61A98482" w14:textId="77777777" w:rsidR="00213EEF" w:rsidRPr="00D03C73" w:rsidRDefault="00213EEF" w:rsidP="00213EEF">
      <w:pPr>
        <w:jc w:val="center"/>
        <w:rPr>
          <w:sz w:val="36"/>
          <w:szCs w:val="36"/>
        </w:rPr>
      </w:pPr>
    </w:p>
    <w:p w14:paraId="3F4D5641" w14:textId="77777777" w:rsidR="00213EEF" w:rsidRPr="00D03C73" w:rsidRDefault="00213EEF" w:rsidP="00213EEF">
      <w:pPr>
        <w:jc w:val="center"/>
        <w:rPr>
          <w:sz w:val="36"/>
          <w:szCs w:val="36"/>
        </w:rPr>
      </w:pPr>
    </w:p>
    <w:p w14:paraId="14F2CC17" w14:textId="77777777" w:rsidR="00213EEF" w:rsidRPr="00D03C73" w:rsidRDefault="00213EEF" w:rsidP="00213EEF">
      <w:pPr>
        <w:spacing w:line="480" w:lineRule="auto"/>
        <w:jc w:val="center"/>
        <w:rPr>
          <w:sz w:val="36"/>
          <w:szCs w:val="36"/>
        </w:rPr>
      </w:pPr>
      <w:r w:rsidRPr="00D03C73">
        <w:rPr>
          <w:sz w:val="36"/>
          <w:szCs w:val="36"/>
        </w:rPr>
        <w:t xml:space="preserve">A </w:t>
      </w:r>
      <w:r>
        <w:rPr>
          <w:sz w:val="36"/>
          <w:szCs w:val="36"/>
        </w:rPr>
        <w:t>Dissertation</w:t>
      </w:r>
      <w:r w:rsidRPr="00D03C73">
        <w:rPr>
          <w:sz w:val="36"/>
          <w:szCs w:val="36"/>
        </w:rPr>
        <w:t xml:space="preserve"> Presented for the</w:t>
      </w:r>
    </w:p>
    <w:p w14:paraId="418C44FA" w14:textId="77777777" w:rsidR="00213EEF" w:rsidRPr="00D03C73" w:rsidRDefault="00213EEF" w:rsidP="00213EEF">
      <w:pPr>
        <w:spacing w:line="480" w:lineRule="auto"/>
        <w:jc w:val="center"/>
        <w:rPr>
          <w:sz w:val="36"/>
          <w:szCs w:val="36"/>
        </w:rPr>
      </w:pPr>
      <w:r>
        <w:rPr>
          <w:sz w:val="36"/>
          <w:szCs w:val="36"/>
        </w:rPr>
        <w:t>Doctor of Philosophy</w:t>
      </w:r>
    </w:p>
    <w:p w14:paraId="3D3F149F" w14:textId="77777777" w:rsidR="00213EEF" w:rsidRPr="00D03C73" w:rsidRDefault="00213EEF" w:rsidP="00213EEF">
      <w:pPr>
        <w:spacing w:line="480" w:lineRule="auto"/>
        <w:jc w:val="center"/>
        <w:rPr>
          <w:sz w:val="36"/>
          <w:szCs w:val="36"/>
        </w:rPr>
      </w:pPr>
      <w:r w:rsidRPr="00D03C73">
        <w:rPr>
          <w:sz w:val="36"/>
          <w:szCs w:val="36"/>
        </w:rPr>
        <w:t>Degree</w:t>
      </w:r>
    </w:p>
    <w:p w14:paraId="3806DD85" w14:textId="77777777" w:rsidR="00213EEF" w:rsidRPr="00D03C73" w:rsidRDefault="00213EEF" w:rsidP="00213EEF">
      <w:pPr>
        <w:spacing w:line="480" w:lineRule="auto"/>
        <w:jc w:val="center"/>
        <w:rPr>
          <w:sz w:val="36"/>
          <w:szCs w:val="36"/>
        </w:rPr>
      </w:pPr>
      <w:r w:rsidRPr="00D03C73">
        <w:rPr>
          <w:sz w:val="36"/>
          <w:szCs w:val="36"/>
        </w:rPr>
        <w:t>The University of Tennessee, Knoxville</w:t>
      </w:r>
    </w:p>
    <w:p w14:paraId="7A6D1546" w14:textId="77777777" w:rsidR="00213EEF" w:rsidRPr="00D03C73" w:rsidRDefault="00213EEF" w:rsidP="00213EEF">
      <w:pPr>
        <w:jc w:val="center"/>
        <w:rPr>
          <w:sz w:val="36"/>
          <w:szCs w:val="36"/>
        </w:rPr>
      </w:pPr>
    </w:p>
    <w:p w14:paraId="45D61617" w14:textId="77777777" w:rsidR="00213EEF" w:rsidRPr="00D03C73" w:rsidRDefault="00213EEF" w:rsidP="00213EEF">
      <w:pPr>
        <w:jc w:val="center"/>
        <w:rPr>
          <w:sz w:val="36"/>
          <w:szCs w:val="36"/>
        </w:rPr>
      </w:pPr>
    </w:p>
    <w:p w14:paraId="411A4D57" w14:textId="77777777" w:rsidR="00213EEF" w:rsidRPr="00D03C73" w:rsidRDefault="00213EEF" w:rsidP="00213EEF">
      <w:pPr>
        <w:jc w:val="center"/>
        <w:rPr>
          <w:sz w:val="36"/>
          <w:szCs w:val="36"/>
        </w:rPr>
      </w:pPr>
    </w:p>
    <w:p w14:paraId="2915EC68" w14:textId="77777777" w:rsidR="00213EEF" w:rsidRPr="00D03C73" w:rsidRDefault="00213EEF" w:rsidP="00213EEF">
      <w:pPr>
        <w:jc w:val="center"/>
        <w:rPr>
          <w:sz w:val="36"/>
          <w:szCs w:val="36"/>
        </w:rPr>
      </w:pPr>
    </w:p>
    <w:p w14:paraId="491B178A" w14:textId="77777777" w:rsidR="00213EEF" w:rsidRPr="00D03C73" w:rsidRDefault="00213EEF" w:rsidP="00213EEF">
      <w:pPr>
        <w:jc w:val="center"/>
        <w:rPr>
          <w:sz w:val="36"/>
          <w:szCs w:val="36"/>
        </w:rPr>
      </w:pPr>
    </w:p>
    <w:p w14:paraId="2F62E718" w14:textId="77777777" w:rsidR="00213EEF" w:rsidRPr="00D03C73" w:rsidRDefault="00213EEF" w:rsidP="00213EEF">
      <w:pPr>
        <w:jc w:val="center"/>
        <w:rPr>
          <w:sz w:val="36"/>
          <w:szCs w:val="36"/>
        </w:rPr>
      </w:pPr>
    </w:p>
    <w:p w14:paraId="00485505" w14:textId="77777777" w:rsidR="00213EEF" w:rsidRPr="00D03C73" w:rsidRDefault="00213EEF" w:rsidP="00213EEF">
      <w:pPr>
        <w:jc w:val="center"/>
        <w:rPr>
          <w:sz w:val="36"/>
          <w:szCs w:val="36"/>
        </w:rPr>
      </w:pPr>
    </w:p>
    <w:p w14:paraId="71F2575D" w14:textId="77777777" w:rsidR="00213EEF" w:rsidRPr="00D03C73" w:rsidRDefault="00213EEF" w:rsidP="00213EEF">
      <w:pPr>
        <w:rPr>
          <w:sz w:val="36"/>
          <w:szCs w:val="36"/>
        </w:rPr>
      </w:pPr>
    </w:p>
    <w:p w14:paraId="790E6D9D" w14:textId="77777777" w:rsidR="00213EEF" w:rsidRPr="00D03C73" w:rsidRDefault="00213EEF" w:rsidP="00213EEF">
      <w:pPr>
        <w:rPr>
          <w:sz w:val="36"/>
          <w:szCs w:val="36"/>
        </w:rPr>
      </w:pPr>
    </w:p>
    <w:p w14:paraId="39901EBD" w14:textId="28275001" w:rsidR="00213EEF" w:rsidRPr="00D03C73" w:rsidRDefault="00213EEF" w:rsidP="00213EEF">
      <w:pPr>
        <w:spacing w:line="480" w:lineRule="auto"/>
        <w:jc w:val="center"/>
        <w:rPr>
          <w:sz w:val="36"/>
          <w:szCs w:val="36"/>
        </w:rPr>
      </w:pPr>
      <w:r>
        <w:rPr>
          <w:sz w:val="36"/>
          <w:szCs w:val="36"/>
        </w:rPr>
        <w:t>Jesse J</w:t>
      </w:r>
      <w:r w:rsidR="00346EA5">
        <w:rPr>
          <w:sz w:val="36"/>
          <w:szCs w:val="36"/>
        </w:rPr>
        <w:t>.</w:t>
      </w:r>
      <w:r w:rsidRPr="00D03C73">
        <w:rPr>
          <w:sz w:val="36"/>
          <w:szCs w:val="36"/>
        </w:rPr>
        <w:t xml:space="preserve"> Benelli</w:t>
      </w:r>
    </w:p>
    <w:p w14:paraId="68F8187E" w14:textId="77777777" w:rsidR="00213EEF" w:rsidRDefault="00213EEF" w:rsidP="00213EEF">
      <w:pPr>
        <w:spacing w:line="480" w:lineRule="auto"/>
        <w:jc w:val="center"/>
        <w:rPr>
          <w:sz w:val="36"/>
          <w:szCs w:val="36"/>
        </w:rPr>
      </w:pPr>
      <w:r>
        <w:rPr>
          <w:sz w:val="36"/>
          <w:szCs w:val="36"/>
        </w:rPr>
        <w:t>December</w:t>
      </w:r>
      <w:r w:rsidRPr="00D03C73">
        <w:rPr>
          <w:sz w:val="36"/>
          <w:szCs w:val="36"/>
        </w:rPr>
        <w:t xml:space="preserve"> 201</w:t>
      </w:r>
      <w:r>
        <w:rPr>
          <w:sz w:val="36"/>
          <w:szCs w:val="36"/>
        </w:rPr>
        <w:t>6</w:t>
      </w:r>
    </w:p>
    <w:p w14:paraId="10D07FD4" w14:textId="77777777" w:rsidR="00213EEF" w:rsidRDefault="00213EEF" w:rsidP="00213EEF">
      <w:pPr>
        <w:jc w:val="center"/>
        <w:rPr>
          <w:sz w:val="36"/>
          <w:szCs w:val="36"/>
        </w:rPr>
      </w:pPr>
    </w:p>
    <w:p w14:paraId="29C4AAA1" w14:textId="77777777" w:rsidR="00213EEF" w:rsidRDefault="00213EEF" w:rsidP="00213EEF">
      <w:pPr>
        <w:jc w:val="center"/>
        <w:rPr>
          <w:sz w:val="36"/>
          <w:szCs w:val="36"/>
        </w:rPr>
      </w:pPr>
    </w:p>
    <w:p w14:paraId="59E472FC" w14:textId="77777777" w:rsidR="000720CB" w:rsidRDefault="000720CB" w:rsidP="00213EEF">
      <w:pPr>
        <w:jc w:val="center"/>
        <w:rPr>
          <w:sz w:val="36"/>
          <w:szCs w:val="36"/>
        </w:rPr>
      </w:pPr>
    </w:p>
    <w:p w14:paraId="2C1C1014" w14:textId="77777777" w:rsidR="000720CB" w:rsidRDefault="000720CB" w:rsidP="00213EEF">
      <w:pPr>
        <w:jc w:val="center"/>
        <w:rPr>
          <w:sz w:val="36"/>
          <w:szCs w:val="36"/>
        </w:rPr>
      </w:pPr>
    </w:p>
    <w:p w14:paraId="4BA1A3A2" w14:textId="77777777" w:rsidR="000720CB" w:rsidRDefault="000720CB" w:rsidP="00213EEF">
      <w:pPr>
        <w:jc w:val="center"/>
        <w:rPr>
          <w:sz w:val="36"/>
          <w:szCs w:val="36"/>
        </w:rPr>
      </w:pPr>
    </w:p>
    <w:p w14:paraId="130F6BED" w14:textId="77777777" w:rsidR="000720CB" w:rsidRDefault="000720CB" w:rsidP="00213EEF">
      <w:pPr>
        <w:jc w:val="center"/>
        <w:rPr>
          <w:sz w:val="36"/>
          <w:szCs w:val="36"/>
        </w:rPr>
      </w:pPr>
    </w:p>
    <w:p w14:paraId="51AC100E" w14:textId="77777777" w:rsidR="000720CB" w:rsidRDefault="000720CB" w:rsidP="00213EEF">
      <w:pPr>
        <w:jc w:val="center"/>
        <w:rPr>
          <w:sz w:val="36"/>
          <w:szCs w:val="36"/>
        </w:rPr>
      </w:pPr>
    </w:p>
    <w:p w14:paraId="50F0C253" w14:textId="77777777" w:rsidR="000720CB" w:rsidRDefault="000720CB" w:rsidP="00213EEF">
      <w:pPr>
        <w:jc w:val="center"/>
        <w:rPr>
          <w:sz w:val="36"/>
          <w:szCs w:val="36"/>
        </w:rPr>
      </w:pPr>
    </w:p>
    <w:p w14:paraId="3F5BD0CE" w14:textId="77777777" w:rsidR="000720CB" w:rsidRDefault="000720CB" w:rsidP="00213EEF">
      <w:pPr>
        <w:jc w:val="center"/>
        <w:rPr>
          <w:sz w:val="36"/>
          <w:szCs w:val="36"/>
        </w:rPr>
      </w:pPr>
    </w:p>
    <w:p w14:paraId="406642D5" w14:textId="77777777" w:rsidR="000720CB" w:rsidRDefault="000720CB" w:rsidP="00213EEF">
      <w:pPr>
        <w:jc w:val="center"/>
        <w:rPr>
          <w:sz w:val="36"/>
          <w:szCs w:val="36"/>
        </w:rPr>
      </w:pPr>
    </w:p>
    <w:p w14:paraId="2E1EB09C" w14:textId="77777777" w:rsidR="000720CB" w:rsidRDefault="000720CB" w:rsidP="00213EEF">
      <w:pPr>
        <w:jc w:val="center"/>
        <w:rPr>
          <w:sz w:val="36"/>
          <w:szCs w:val="36"/>
        </w:rPr>
      </w:pPr>
    </w:p>
    <w:p w14:paraId="508446B2" w14:textId="7D986194" w:rsidR="00213EEF" w:rsidRPr="0047272D" w:rsidRDefault="00213EEF" w:rsidP="000720CB">
      <w:pPr>
        <w:jc w:val="center"/>
      </w:pPr>
      <w:r w:rsidRPr="0047272D">
        <w:t>Copyright © 201</w:t>
      </w:r>
      <w:r>
        <w:t>6</w:t>
      </w:r>
      <w:r w:rsidRPr="0047272D">
        <w:t xml:space="preserve"> by Jesse J</w:t>
      </w:r>
      <w:r w:rsidR="00346EA5">
        <w:t>.</w:t>
      </w:r>
      <w:r w:rsidRPr="0047272D">
        <w:t xml:space="preserve"> Benelli</w:t>
      </w:r>
    </w:p>
    <w:p w14:paraId="7D98EE5B" w14:textId="77777777" w:rsidR="00213EEF" w:rsidRPr="0047272D" w:rsidRDefault="00213EEF" w:rsidP="000720CB">
      <w:pPr>
        <w:jc w:val="center"/>
      </w:pPr>
      <w:r w:rsidRPr="0047272D">
        <w:t>All rights reserved.</w:t>
      </w:r>
    </w:p>
    <w:p w14:paraId="6EFD1523" w14:textId="77777777" w:rsidR="00213EEF" w:rsidRDefault="00213EEF" w:rsidP="00213EEF">
      <w:pPr>
        <w:jc w:val="center"/>
        <w:rPr>
          <w:rFonts w:ascii="Arial" w:hAnsi="Arial" w:cs="Arial"/>
        </w:rPr>
      </w:pPr>
    </w:p>
    <w:p w14:paraId="7E20D81F" w14:textId="77777777" w:rsidR="00213EEF" w:rsidRDefault="00213EEF" w:rsidP="00213EEF">
      <w:pPr>
        <w:jc w:val="center"/>
        <w:rPr>
          <w:rFonts w:ascii="Arial" w:hAnsi="Arial" w:cs="Arial"/>
        </w:rPr>
      </w:pPr>
    </w:p>
    <w:p w14:paraId="4D101991" w14:textId="77777777" w:rsidR="00213EEF" w:rsidRDefault="00213EEF" w:rsidP="00213EEF">
      <w:pPr>
        <w:jc w:val="center"/>
        <w:rPr>
          <w:rFonts w:ascii="Arial" w:hAnsi="Arial" w:cs="Arial"/>
        </w:rPr>
      </w:pPr>
    </w:p>
    <w:p w14:paraId="7DB1B6B3" w14:textId="77777777" w:rsidR="00213EEF" w:rsidRDefault="00213EEF" w:rsidP="00213EEF">
      <w:pPr>
        <w:jc w:val="center"/>
        <w:rPr>
          <w:rFonts w:ascii="Arial" w:hAnsi="Arial" w:cs="Arial"/>
        </w:rPr>
      </w:pPr>
    </w:p>
    <w:p w14:paraId="25BAE7DE" w14:textId="77777777" w:rsidR="00213EEF" w:rsidRDefault="00213EEF" w:rsidP="00213EEF">
      <w:pPr>
        <w:jc w:val="center"/>
        <w:rPr>
          <w:rFonts w:ascii="Arial" w:hAnsi="Arial" w:cs="Arial"/>
        </w:rPr>
      </w:pPr>
    </w:p>
    <w:p w14:paraId="0E5DE66D" w14:textId="77777777" w:rsidR="00213EEF" w:rsidRDefault="00213EEF" w:rsidP="00213EEF">
      <w:pPr>
        <w:jc w:val="center"/>
        <w:rPr>
          <w:rFonts w:ascii="Arial" w:hAnsi="Arial" w:cs="Arial"/>
        </w:rPr>
      </w:pPr>
    </w:p>
    <w:p w14:paraId="435D8E9B" w14:textId="77777777" w:rsidR="00213EEF" w:rsidRDefault="00213EEF" w:rsidP="00213EEF">
      <w:pPr>
        <w:jc w:val="center"/>
        <w:rPr>
          <w:rFonts w:ascii="Arial" w:hAnsi="Arial" w:cs="Arial"/>
        </w:rPr>
      </w:pPr>
    </w:p>
    <w:p w14:paraId="7734B42F" w14:textId="77777777" w:rsidR="00213EEF" w:rsidRDefault="00213EEF" w:rsidP="00213EEF">
      <w:pPr>
        <w:jc w:val="center"/>
        <w:rPr>
          <w:rFonts w:ascii="Arial" w:hAnsi="Arial" w:cs="Arial"/>
        </w:rPr>
      </w:pPr>
    </w:p>
    <w:p w14:paraId="3BF17426" w14:textId="77777777" w:rsidR="00213EEF" w:rsidRDefault="00213EEF" w:rsidP="00213EEF">
      <w:pPr>
        <w:jc w:val="center"/>
        <w:rPr>
          <w:rFonts w:ascii="Arial" w:hAnsi="Arial" w:cs="Arial"/>
        </w:rPr>
      </w:pPr>
    </w:p>
    <w:p w14:paraId="3901A00F" w14:textId="77777777" w:rsidR="00213EEF" w:rsidRDefault="00213EEF" w:rsidP="00213EEF">
      <w:pPr>
        <w:jc w:val="center"/>
        <w:rPr>
          <w:rFonts w:ascii="Arial" w:hAnsi="Arial" w:cs="Arial"/>
        </w:rPr>
      </w:pPr>
    </w:p>
    <w:p w14:paraId="0E663984" w14:textId="77777777" w:rsidR="00213EEF" w:rsidRDefault="00213EEF" w:rsidP="00213EEF">
      <w:pPr>
        <w:jc w:val="center"/>
        <w:rPr>
          <w:rFonts w:ascii="Arial" w:hAnsi="Arial" w:cs="Arial"/>
        </w:rPr>
      </w:pPr>
    </w:p>
    <w:p w14:paraId="02B93D2C" w14:textId="77777777" w:rsidR="00213EEF" w:rsidRDefault="00213EEF" w:rsidP="00213EEF">
      <w:pPr>
        <w:jc w:val="center"/>
        <w:rPr>
          <w:rFonts w:ascii="Arial" w:hAnsi="Arial" w:cs="Arial"/>
        </w:rPr>
      </w:pPr>
    </w:p>
    <w:p w14:paraId="176C67A6" w14:textId="77777777" w:rsidR="00213EEF" w:rsidRDefault="00213EEF" w:rsidP="00213EEF">
      <w:pPr>
        <w:jc w:val="center"/>
        <w:rPr>
          <w:rFonts w:ascii="Arial" w:hAnsi="Arial" w:cs="Arial"/>
        </w:rPr>
      </w:pPr>
    </w:p>
    <w:p w14:paraId="34D11AA8" w14:textId="77777777" w:rsidR="00213EEF" w:rsidRDefault="00213EEF" w:rsidP="00213EEF">
      <w:pPr>
        <w:jc w:val="center"/>
        <w:rPr>
          <w:rFonts w:ascii="Arial" w:hAnsi="Arial" w:cs="Arial"/>
        </w:rPr>
      </w:pPr>
    </w:p>
    <w:p w14:paraId="5B029787" w14:textId="022F6689" w:rsidR="00213EEF" w:rsidRPr="00545E5A" w:rsidRDefault="00213EEF" w:rsidP="00545E5A">
      <w:pPr>
        <w:spacing w:line="480" w:lineRule="auto"/>
        <w:jc w:val="center"/>
        <w:rPr>
          <w:b/>
          <w:sz w:val="28"/>
          <w:szCs w:val="28"/>
        </w:rPr>
      </w:pPr>
      <w:r>
        <w:rPr>
          <w:rFonts w:ascii="Arial" w:hAnsi="Arial" w:cs="Arial"/>
          <w:sz w:val="36"/>
          <w:szCs w:val="36"/>
        </w:rPr>
        <w:br w:type="page"/>
      </w:r>
      <w:r w:rsidRPr="009B2EE6">
        <w:rPr>
          <w:b/>
          <w:sz w:val="28"/>
          <w:szCs w:val="28"/>
        </w:rPr>
        <w:lastRenderedPageBreak/>
        <w:t>DEDICATION</w:t>
      </w:r>
    </w:p>
    <w:p w14:paraId="0D7BFD5F" w14:textId="10C216E5" w:rsidR="00213EEF" w:rsidRPr="004B3AF0" w:rsidRDefault="00213EEF" w:rsidP="00545E5A">
      <w:pPr>
        <w:autoSpaceDE w:val="0"/>
        <w:autoSpaceDN w:val="0"/>
        <w:adjustRightInd w:val="0"/>
        <w:spacing w:line="480" w:lineRule="auto"/>
        <w:jc w:val="center"/>
        <w:rPr>
          <w:rFonts w:ascii="TimesNewRomanPSMT" w:hAnsi="TimesNewRomanPSMT" w:cs="TimesNewRomanPSMT"/>
        </w:rPr>
      </w:pPr>
      <w:r>
        <w:rPr>
          <w:rFonts w:ascii="TimesNewRomanPSMT" w:hAnsi="TimesNewRomanPSMT" w:cs="TimesNewRomanPSMT"/>
        </w:rPr>
        <w:t xml:space="preserve">I dedicate this dissertation to </w:t>
      </w:r>
      <w:r w:rsidR="00545E5A">
        <w:rPr>
          <w:rFonts w:ascii="TimesNewRomanPSMT" w:hAnsi="TimesNewRomanPSMT" w:cs="TimesNewRomanPSMT"/>
        </w:rPr>
        <w:t xml:space="preserve">my loving wife Victoria Benelli and expected son Hudson. </w:t>
      </w:r>
      <w:r>
        <w:rPr>
          <w:rFonts w:ascii="TimesNewRomanPSMT" w:hAnsi="TimesNewRomanPSMT" w:cs="TimesNewRomanPSMT"/>
        </w:rPr>
        <w:t xml:space="preserve"> </w:t>
      </w:r>
    </w:p>
    <w:p w14:paraId="68B3EB7E" w14:textId="77777777" w:rsidR="00213EEF" w:rsidRDefault="00213EEF" w:rsidP="00213EEF">
      <w:pPr>
        <w:jc w:val="center"/>
        <w:rPr>
          <w:rFonts w:ascii="Arial" w:hAnsi="Arial" w:cs="Arial"/>
          <w:sz w:val="36"/>
          <w:szCs w:val="36"/>
        </w:rPr>
      </w:pPr>
    </w:p>
    <w:p w14:paraId="595E33A3" w14:textId="77777777" w:rsidR="00213EEF" w:rsidRDefault="00213EEF" w:rsidP="00213EEF">
      <w:pPr>
        <w:jc w:val="center"/>
        <w:rPr>
          <w:rFonts w:ascii="Arial" w:hAnsi="Arial" w:cs="Arial"/>
          <w:sz w:val="36"/>
          <w:szCs w:val="36"/>
        </w:rPr>
      </w:pPr>
    </w:p>
    <w:p w14:paraId="0DEFDF84" w14:textId="77777777" w:rsidR="00213EEF" w:rsidRDefault="00213EEF" w:rsidP="00213EEF">
      <w:pPr>
        <w:jc w:val="center"/>
        <w:rPr>
          <w:rFonts w:ascii="Arial" w:hAnsi="Arial" w:cs="Arial"/>
          <w:sz w:val="36"/>
          <w:szCs w:val="36"/>
        </w:rPr>
      </w:pPr>
    </w:p>
    <w:p w14:paraId="465E82A0" w14:textId="77777777" w:rsidR="00213EEF" w:rsidRDefault="00213EEF" w:rsidP="00213EEF">
      <w:pPr>
        <w:jc w:val="center"/>
        <w:rPr>
          <w:rFonts w:ascii="Arial" w:hAnsi="Arial" w:cs="Arial"/>
          <w:sz w:val="36"/>
          <w:szCs w:val="36"/>
        </w:rPr>
      </w:pPr>
    </w:p>
    <w:p w14:paraId="32C60C64" w14:textId="77777777" w:rsidR="00213EEF" w:rsidRDefault="00213EEF" w:rsidP="00213EEF">
      <w:pPr>
        <w:jc w:val="center"/>
        <w:rPr>
          <w:rFonts w:ascii="Arial" w:hAnsi="Arial" w:cs="Arial"/>
          <w:sz w:val="36"/>
          <w:szCs w:val="36"/>
        </w:rPr>
      </w:pPr>
    </w:p>
    <w:p w14:paraId="72D6311E" w14:textId="77777777" w:rsidR="00213EEF" w:rsidRDefault="00213EEF" w:rsidP="00213EEF">
      <w:pPr>
        <w:jc w:val="center"/>
        <w:rPr>
          <w:rFonts w:ascii="Arial" w:hAnsi="Arial" w:cs="Arial"/>
          <w:sz w:val="36"/>
          <w:szCs w:val="36"/>
        </w:rPr>
      </w:pPr>
    </w:p>
    <w:p w14:paraId="1E272F1B" w14:textId="77777777" w:rsidR="00213EEF" w:rsidRDefault="00213EEF" w:rsidP="00213EEF">
      <w:pPr>
        <w:jc w:val="center"/>
        <w:rPr>
          <w:rFonts w:ascii="Arial" w:hAnsi="Arial" w:cs="Arial"/>
          <w:sz w:val="36"/>
          <w:szCs w:val="36"/>
        </w:rPr>
      </w:pPr>
    </w:p>
    <w:p w14:paraId="6046E52A" w14:textId="77777777" w:rsidR="00213EEF" w:rsidRDefault="00213EEF" w:rsidP="00213EEF">
      <w:pPr>
        <w:jc w:val="center"/>
        <w:rPr>
          <w:rFonts w:ascii="Arial" w:hAnsi="Arial" w:cs="Arial"/>
          <w:sz w:val="36"/>
          <w:szCs w:val="36"/>
        </w:rPr>
      </w:pPr>
    </w:p>
    <w:p w14:paraId="1AD26B9B" w14:textId="77777777" w:rsidR="00213EEF" w:rsidRDefault="00213EEF" w:rsidP="00213EEF">
      <w:pPr>
        <w:jc w:val="center"/>
        <w:rPr>
          <w:rFonts w:ascii="Arial" w:hAnsi="Arial" w:cs="Arial"/>
          <w:sz w:val="36"/>
          <w:szCs w:val="36"/>
        </w:rPr>
      </w:pPr>
    </w:p>
    <w:p w14:paraId="1576C9A4" w14:textId="77777777" w:rsidR="00213EEF" w:rsidRDefault="00213EEF" w:rsidP="00213EEF">
      <w:pPr>
        <w:jc w:val="center"/>
        <w:rPr>
          <w:rFonts w:ascii="Arial" w:hAnsi="Arial" w:cs="Arial"/>
          <w:sz w:val="36"/>
          <w:szCs w:val="36"/>
        </w:rPr>
      </w:pPr>
    </w:p>
    <w:p w14:paraId="09225220" w14:textId="77777777" w:rsidR="00213EEF" w:rsidRDefault="00213EEF" w:rsidP="00213EEF">
      <w:pPr>
        <w:jc w:val="center"/>
        <w:rPr>
          <w:rFonts w:ascii="Arial" w:hAnsi="Arial" w:cs="Arial"/>
          <w:sz w:val="36"/>
          <w:szCs w:val="36"/>
        </w:rPr>
      </w:pPr>
    </w:p>
    <w:p w14:paraId="31F3084D" w14:textId="02F81357" w:rsidR="00213EEF" w:rsidRPr="00545E5A" w:rsidRDefault="00213EEF" w:rsidP="00545E5A">
      <w:pPr>
        <w:spacing w:line="480" w:lineRule="auto"/>
        <w:jc w:val="center"/>
        <w:rPr>
          <w:b/>
          <w:sz w:val="28"/>
          <w:szCs w:val="28"/>
        </w:rPr>
      </w:pPr>
      <w:r>
        <w:rPr>
          <w:rFonts w:ascii="Arial" w:hAnsi="Arial" w:cs="Arial"/>
          <w:sz w:val="36"/>
          <w:szCs w:val="36"/>
        </w:rPr>
        <w:br w:type="page"/>
      </w:r>
      <w:r w:rsidRPr="00D03C73">
        <w:rPr>
          <w:b/>
          <w:sz w:val="28"/>
          <w:szCs w:val="28"/>
        </w:rPr>
        <w:lastRenderedPageBreak/>
        <w:t>ACKNOWLEDGEMENTS</w:t>
      </w:r>
    </w:p>
    <w:p w14:paraId="53922D04" w14:textId="77777777" w:rsidR="00213EEF" w:rsidRDefault="00213EEF" w:rsidP="00545E5A">
      <w:pPr>
        <w:spacing w:line="480" w:lineRule="auto"/>
        <w:ind w:firstLine="720"/>
      </w:pPr>
      <w:r>
        <w:t>I express my sincere appreciation to my graduate committee: Drs. Alan Windham, Bonnie Ownley, Alvin Womac, and John Sorochan. Their encouragement and project guidance has been invaluable for the past few years. I would</w:t>
      </w:r>
      <w:r w:rsidR="00B80B41">
        <w:t xml:space="preserve"> also</w:t>
      </w:r>
      <w:r>
        <w:t xml:space="preserve"> like to express a tremendous gratitude to my major professor Dr. Brandon Horvath for allowing me to pursue my academic endeavors throughout my graduate career and for providing ample opportunities to grow as a professional. I also like to thank many of the golf course superintendents and turfgrass managers for allowing me to conduct numerous research projects at their locations. My research would not have been possible if not for your assistance. </w:t>
      </w:r>
    </w:p>
    <w:p w14:paraId="29D5D164" w14:textId="7718DA7E" w:rsidR="00213EEF" w:rsidRDefault="00213EEF" w:rsidP="00213EEF">
      <w:pPr>
        <w:spacing w:line="480" w:lineRule="auto"/>
        <w:ind w:firstLine="720"/>
      </w:pPr>
      <w:r>
        <w:t xml:space="preserve">I would like to thank my fellow graduate students David Shell, Kyley Dickson, and Dr. Adam Thoms for providing assistance and friendship throughout graduate school. It would be a tremendous oversight if I didn’t mention my fellow inhabitants of the Turf House: Dr. Matt Elmore, Matt Hollan, Pat Jones, and Eric Reasor. Together, we flourished in an environment built on responsibility and hard work while serving as model citizens in the community </w:t>
      </w:r>
      <w:r w:rsidR="00164D3B">
        <w:t>which we lived</w:t>
      </w:r>
      <w:r>
        <w:t xml:space="preserve">. </w:t>
      </w:r>
    </w:p>
    <w:p w14:paraId="0ACEA221" w14:textId="77777777" w:rsidR="00213EEF" w:rsidRDefault="00213EEF" w:rsidP="00213EEF">
      <w:pPr>
        <w:spacing w:line="480" w:lineRule="auto"/>
        <w:ind w:firstLine="720"/>
      </w:pPr>
    </w:p>
    <w:p w14:paraId="342E7354" w14:textId="77777777" w:rsidR="00213EEF" w:rsidRDefault="00213EEF" w:rsidP="00213EEF">
      <w:pPr>
        <w:spacing w:line="480" w:lineRule="auto"/>
        <w:ind w:firstLine="720"/>
      </w:pPr>
    </w:p>
    <w:p w14:paraId="750B1EDA" w14:textId="77777777" w:rsidR="00213EEF" w:rsidRDefault="00213EEF" w:rsidP="00213EEF">
      <w:pPr>
        <w:jc w:val="center"/>
        <w:rPr>
          <w:rFonts w:ascii="Arial" w:hAnsi="Arial" w:cs="Arial"/>
        </w:rPr>
      </w:pPr>
    </w:p>
    <w:p w14:paraId="46AB7A05" w14:textId="77777777" w:rsidR="00213EEF" w:rsidRPr="00F276FE" w:rsidRDefault="00213EEF" w:rsidP="00213EEF">
      <w:pPr>
        <w:autoSpaceDE w:val="0"/>
        <w:autoSpaceDN w:val="0"/>
        <w:adjustRightInd w:val="0"/>
        <w:spacing w:line="480" w:lineRule="auto"/>
        <w:jc w:val="center"/>
      </w:pPr>
      <w:r>
        <w:rPr>
          <w:rFonts w:ascii="Arial" w:hAnsi="Arial" w:cs="Arial"/>
        </w:rPr>
        <w:br w:type="page"/>
      </w:r>
    </w:p>
    <w:p w14:paraId="3B74F027" w14:textId="77777777" w:rsidR="00213EEF" w:rsidRPr="00E87A77" w:rsidRDefault="00213EEF" w:rsidP="00213EEF">
      <w:pPr>
        <w:jc w:val="center"/>
      </w:pPr>
      <w:r w:rsidRPr="00E87A77">
        <w:rPr>
          <w:b/>
          <w:bCs/>
          <w:sz w:val="28"/>
          <w:szCs w:val="28"/>
        </w:rPr>
        <w:lastRenderedPageBreak/>
        <w:t>ABSTRACT</w:t>
      </w:r>
    </w:p>
    <w:p w14:paraId="102DD5F2" w14:textId="77777777" w:rsidR="00213EEF" w:rsidRPr="009D794C" w:rsidRDefault="00213EEF" w:rsidP="00213EEF">
      <w:pPr>
        <w:rPr>
          <w:rFonts w:ascii="Arial" w:hAnsi="Arial" w:cs="Arial"/>
        </w:rPr>
      </w:pPr>
    </w:p>
    <w:p w14:paraId="49756D38" w14:textId="0CF037F5" w:rsidR="00213EEF" w:rsidRDefault="00213EEF" w:rsidP="00213EEF">
      <w:pPr>
        <w:pStyle w:val="xmsonormal"/>
        <w:spacing w:before="0" w:beforeAutospacing="0" w:after="0" w:afterAutospacing="0" w:line="480" w:lineRule="auto"/>
        <w:ind w:firstLine="720"/>
        <w:rPr>
          <w:color w:val="000000"/>
        </w:rPr>
      </w:pPr>
      <w:r w:rsidRPr="00E04113">
        <w:rPr>
          <w:color w:val="000000"/>
        </w:rPr>
        <w:t>Large patch (</w:t>
      </w:r>
      <w:r w:rsidRPr="007268BD">
        <w:rPr>
          <w:i/>
          <w:color w:val="000000"/>
        </w:rPr>
        <w:t>Rhizoctonia solani</w:t>
      </w:r>
      <w:r>
        <w:rPr>
          <w:color w:val="000000"/>
        </w:rPr>
        <w:t xml:space="preserve"> AG 2-2LP</w:t>
      </w:r>
      <w:r w:rsidRPr="00E04113">
        <w:rPr>
          <w:color w:val="000000"/>
        </w:rPr>
        <w:t xml:space="preserve">) </w:t>
      </w:r>
      <w:r>
        <w:rPr>
          <w:color w:val="000000"/>
        </w:rPr>
        <w:t xml:space="preserve">epidemics cause significant damage to Japanese lawngrass (JLG; </w:t>
      </w:r>
      <w:r w:rsidRPr="00B80B41">
        <w:rPr>
          <w:i/>
          <w:color w:val="000000"/>
        </w:rPr>
        <w:t>Zoysia japonica</w:t>
      </w:r>
      <w:r>
        <w:rPr>
          <w:color w:val="000000"/>
        </w:rPr>
        <w:t>) in the transition zone</w:t>
      </w:r>
      <w:r w:rsidR="008B50BA">
        <w:rPr>
          <w:color w:val="000000"/>
        </w:rPr>
        <w:t>.</w:t>
      </w:r>
      <w:r>
        <w:rPr>
          <w:color w:val="000000"/>
        </w:rPr>
        <w:t xml:space="preserve"> Large patch primarily affects the stems and sheaths of JLG and is difficult to control using traditional fungicide sprays. Field and growth chamber experiments were conducted during 2015-2016 in TN and GA to evaluate methods to enhance fungicidal control of large patch in JLG landscapes. The </w:t>
      </w:r>
      <w:r w:rsidR="006742ED">
        <w:rPr>
          <w:color w:val="000000"/>
        </w:rPr>
        <w:t>1</w:t>
      </w:r>
      <w:r w:rsidR="006742ED" w:rsidRPr="006742ED">
        <w:rPr>
          <w:color w:val="000000"/>
          <w:vertAlign w:val="superscript"/>
        </w:rPr>
        <w:t>st</w:t>
      </w:r>
      <w:r w:rsidR="006742ED">
        <w:rPr>
          <w:color w:val="000000"/>
        </w:rPr>
        <w:t xml:space="preserve"> experiment evaluated </w:t>
      </w:r>
      <w:r>
        <w:rPr>
          <w:color w:val="000000"/>
        </w:rPr>
        <w:t>the most critical appl</w:t>
      </w:r>
      <w:r w:rsidR="00D36369">
        <w:rPr>
          <w:color w:val="000000"/>
        </w:rPr>
        <w:t>ication target site that resulted</w:t>
      </w:r>
      <w:r>
        <w:rPr>
          <w:color w:val="000000"/>
        </w:rPr>
        <w:t xml:space="preserve"> in the greatest amount </w:t>
      </w:r>
      <w:r w:rsidR="006742ED">
        <w:rPr>
          <w:color w:val="000000"/>
        </w:rPr>
        <w:t>large patch control</w:t>
      </w:r>
      <w:r>
        <w:rPr>
          <w:color w:val="000000"/>
        </w:rPr>
        <w:t>. In this experiment, four fungicides (azoxystrobin, flutolanil, tebuconazole, and chlorothalonil) were dispensed as single droplets on either the stem, sheath, or leaf plant part of JLG. Plants were evaluated for large patch control</w:t>
      </w:r>
      <w:r w:rsidRPr="00F40FCF">
        <w:rPr>
          <w:color w:val="000000"/>
        </w:rPr>
        <w:t xml:space="preserve"> </w:t>
      </w:r>
      <w:r w:rsidR="00B80B41">
        <w:rPr>
          <w:color w:val="000000"/>
        </w:rPr>
        <w:t xml:space="preserve">and </w:t>
      </w:r>
      <w:r>
        <w:rPr>
          <w:color w:val="000000"/>
        </w:rPr>
        <w:t>photochemical efficiency</w:t>
      </w:r>
      <w:r w:rsidRPr="00E04113">
        <w:rPr>
          <w:color w:val="000000"/>
        </w:rPr>
        <w:t xml:space="preserve"> (</w:t>
      </w:r>
      <w:r w:rsidRPr="007268BD">
        <w:rPr>
          <w:i/>
          <w:color w:val="000000"/>
        </w:rPr>
        <w:t>F</w:t>
      </w:r>
      <w:r w:rsidRPr="007268BD">
        <w:rPr>
          <w:i/>
          <w:color w:val="000000"/>
          <w:vertAlign w:val="subscript"/>
        </w:rPr>
        <w:t>v</w:t>
      </w:r>
      <w:r w:rsidRPr="007268BD">
        <w:rPr>
          <w:i/>
          <w:color w:val="000000"/>
        </w:rPr>
        <w:t>/F</w:t>
      </w:r>
      <w:r w:rsidRPr="007268BD">
        <w:rPr>
          <w:i/>
          <w:color w:val="000000"/>
          <w:vertAlign w:val="subscript"/>
        </w:rPr>
        <w:t>m</w:t>
      </w:r>
      <w:r w:rsidRPr="00E04113">
        <w:rPr>
          <w:color w:val="000000"/>
        </w:rPr>
        <w:t>)</w:t>
      </w:r>
      <w:r>
        <w:rPr>
          <w:color w:val="000000"/>
        </w:rPr>
        <w:t>. The 2</w:t>
      </w:r>
      <w:r w:rsidRPr="00F40FCF">
        <w:rPr>
          <w:color w:val="000000"/>
          <w:vertAlign w:val="superscript"/>
        </w:rPr>
        <w:t>nd</w:t>
      </w:r>
      <w:r>
        <w:rPr>
          <w:color w:val="000000"/>
        </w:rPr>
        <w:t xml:space="preserve"> experiment evaluated the effects of spray rate volume ((93, 374, 748, and 1496 L ha</w:t>
      </w:r>
      <w:r w:rsidRPr="00E2783B">
        <w:rPr>
          <w:color w:val="000000"/>
          <w:vertAlign w:val="superscript"/>
        </w:rPr>
        <w:t>-1</w:t>
      </w:r>
      <w:r>
        <w:rPr>
          <w:color w:val="000000"/>
        </w:rPr>
        <w:t xml:space="preserve">) and </w:t>
      </w:r>
      <w:r w:rsidR="00B80B41">
        <w:rPr>
          <w:color w:val="000000"/>
        </w:rPr>
        <w:t>adjuvants</w:t>
      </w:r>
      <w:r>
        <w:rPr>
          <w:color w:val="000000"/>
        </w:rPr>
        <w:t xml:space="preserve"> on large patch control and spray deposition quality on JLG. </w:t>
      </w:r>
      <w:r w:rsidR="008B50BA">
        <w:rPr>
          <w:color w:val="000000"/>
        </w:rPr>
        <w:t>Results of the</w:t>
      </w:r>
      <w:r>
        <w:rPr>
          <w:color w:val="000000"/>
        </w:rPr>
        <w:t xml:space="preserve"> 1</w:t>
      </w:r>
      <w:r w:rsidRPr="006475F7">
        <w:rPr>
          <w:color w:val="000000"/>
          <w:vertAlign w:val="superscript"/>
        </w:rPr>
        <w:t>st</w:t>
      </w:r>
      <w:r>
        <w:rPr>
          <w:color w:val="000000"/>
        </w:rPr>
        <w:t xml:space="preserve"> experiment</w:t>
      </w:r>
      <w:r w:rsidR="008B50BA">
        <w:rPr>
          <w:color w:val="000000"/>
        </w:rPr>
        <w:t xml:space="preserve"> suggest</w:t>
      </w:r>
      <w:r w:rsidR="00D36369">
        <w:rPr>
          <w:color w:val="000000"/>
        </w:rPr>
        <w:t>ed</w:t>
      </w:r>
      <w:r w:rsidR="008B50BA">
        <w:rPr>
          <w:color w:val="000000"/>
        </w:rPr>
        <w:t xml:space="preserve"> that</w:t>
      </w:r>
      <w:r>
        <w:rPr>
          <w:color w:val="000000"/>
        </w:rPr>
        <w:t xml:space="preserve"> </w:t>
      </w:r>
      <w:r w:rsidRPr="00E04113">
        <w:rPr>
          <w:color w:val="000000"/>
        </w:rPr>
        <w:t xml:space="preserve">JLG treated with fungicides </w:t>
      </w:r>
      <w:r w:rsidR="00B80B41">
        <w:rPr>
          <w:color w:val="000000"/>
        </w:rPr>
        <w:t xml:space="preserve">dispensed </w:t>
      </w:r>
      <w:r w:rsidRPr="00E04113">
        <w:rPr>
          <w:color w:val="000000"/>
        </w:rPr>
        <w:t xml:space="preserve">on the </w:t>
      </w:r>
      <w:r w:rsidR="00B80B41">
        <w:rPr>
          <w:color w:val="000000"/>
        </w:rPr>
        <w:t>stem or sheath</w:t>
      </w:r>
      <w:r w:rsidRPr="00E04113">
        <w:rPr>
          <w:color w:val="000000"/>
        </w:rPr>
        <w:t xml:space="preserve"> exhibited significantly lower large patch severity and higher </w:t>
      </w:r>
      <w:r w:rsidRPr="007268BD">
        <w:rPr>
          <w:i/>
          <w:color w:val="000000"/>
        </w:rPr>
        <w:t>F</w:t>
      </w:r>
      <w:r w:rsidRPr="007268BD">
        <w:rPr>
          <w:i/>
          <w:color w:val="000000"/>
          <w:vertAlign w:val="subscript"/>
        </w:rPr>
        <w:t>v</w:t>
      </w:r>
      <w:r w:rsidRPr="007268BD">
        <w:rPr>
          <w:i/>
          <w:color w:val="000000"/>
        </w:rPr>
        <w:t>/F</w:t>
      </w:r>
      <w:r w:rsidRPr="007268BD">
        <w:rPr>
          <w:i/>
          <w:color w:val="000000"/>
          <w:vertAlign w:val="subscript"/>
        </w:rPr>
        <w:t>m</w:t>
      </w:r>
      <w:r w:rsidRPr="00E04113">
        <w:rPr>
          <w:color w:val="000000"/>
        </w:rPr>
        <w:t xml:space="preserve"> values compared to JLG receiving leaf applications on most rating dates</w:t>
      </w:r>
      <w:r w:rsidR="00E2783B">
        <w:rPr>
          <w:color w:val="000000"/>
        </w:rPr>
        <w:t xml:space="preserve">. </w:t>
      </w:r>
      <w:r>
        <w:rPr>
          <w:color w:val="000000"/>
        </w:rPr>
        <w:t xml:space="preserve"> Results of the 2</w:t>
      </w:r>
      <w:r w:rsidRPr="006475F7">
        <w:rPr>
          <w:color w:val="000000"/>
          <w:vertAlign w:val="superscript"/>
        </w:rPr>
        <w:t>nd</w:t>
      </w:r>
      <w:r>
        <w:rPr>
          <w:color w:val="000000"/>
        </w:rPr>
        <w:t xml:space="preserve"> experiment suggest</w:t>
      </w:r>
      <w:r w:rsidR="00D36369">
        <w:rPr>
          <w:color w:val="000000"/>
        </w:rPr>
        <w:t>ed</w:t>
      </w:r>
      <w:r>
        <w:rPr>
          <w:color w:val="000000"/>
        </w:rPr>
        <w:t xml:space="preserve"> that increasing the spray rate volume from 93 to 1496 L ha</w:t>
      </w:r>
      <w:r w:rsidRPr="00E2783B">
        <w:rPr>
          <w:color w:val="000000"/>
          <w:vertAlign w:val="superscript"/>
        </w:rPr>
        <w:t>-1</w:t>
      </w:r>
      <w:r w:rsidR="00D36369">
        <w:rPr>
          <w:color w:val="000000"/>
        </w:rPr>
        <w:t xml:space="preserve"> </w:t>
      </w:r>
      <w:r>
        <w:rPr>
          <w:color w:val="000000"/>
        </w:rPr>
        <w:t>improve</w:t>
      </w:r>
      <w:r w:rsidR="00D36369">
        <w:rPr>
          <w:color w:val="000000"/>
        </w:rPr>
        <w:t>d</w:t>
      </w:r>
      <w:r>
        <w:rPr>
          <w:color w:val="000000"/>
        </w:rPr>
        <w:t xml:space="preserve"> large patch control by more than 20% depending on the fungicide. On most rating dates, each increase in spray rate volume resulted in significant </w:t>
      </w:r>
      <w:r w:rsidR="00E2783B">
        <w:rPr>
          <w:color w:val="000000"/>
        </w:rPr>
        <w:t>decreases</w:t>
      </w:r>
      <w:r>
        <w:rPr>
          <w:color w:val="000000"/>
        </w:rPr>
        <w:t xml:space="preserve"> in large patch </w:t>
      </w:r>
      <w:r w:rsidR="00E2783B">
        <w:rPr>
          <w:color w:val="000000"/>
        </w:rPr>
        <w:t>severity</w:t>
      </w:r>
      <w:r>
        <w:rPr>
          <w:color w:val="000000"/>
        </w:rPr>
        <w:t>. The addition of adjuvants in the spray solution ha</w:t>
      </w:r>
      <w:r w:rsidR="00E2783B">
        <w:rPr>
          <w:color w:val="000000"/>
        </w:rPr>
        <w:t>d</w:t>
      </w:r>
      <w:r>
        <w:rPr>
          <w:color w:val="000000"/>
        </w:rPr>
        <w:t xml:space="preserve"> </w:t>
      </w:r>
      <w:r w:rsidR="00E2783B">
        <w:rPr>
          <w:color w:val="000000"/>
        </w:rPr>
        <w:t>less pronounced impacts</w:t>
      </w:r>
      <w:r>
        <w:rPr>
          <w:color w:val="000000"/>
        </w:rPr>
        <w:t xml:space="preserve"> compared to spray rate volume. </w:t>
      </w:r>
      <w:r w:rsidR="008B50BA">
        <w:rPr>
          <w:color w:val="000000"/>
        </w:rPr>
        <w:t xml:space="preserve">Increases in spray rate volume </w:t>
      </w:r>
      <w:r w:rsidR="007A115A">
        <w:rPr>
          <w:color w:val="000000"/>
        </w:rPr>
        <w:t xml:space="preserve">were also critical in depositing more spray solution on the stems and sheaths of JLG plants. </w:t>
      </w:r>
      <w:r>
        <w:rPr>
          <w:color w:val="000000"/>
        </w:rPr>
        <w:t>Higher spray rate volumes increased the percentage of stems and sheaths that contained spray deposits by as much as 35% compared to the lowest spray rate vo</w:t>
      </w:r>
      <w:r w:rsidR="00D36369">
        <w:rPr>
          <w:color w:val="000000"/>
        </w:rPr>
        <w:t>lume. This research demonstrated</w:t>
      </w:r>
      <w:r>
        <w:rPr>
          <w:color w:val="000000"/>
        </w:rPr>
        <w:t xml:space="preserve"> that </w:t>
      </w:r>
      <w:r w:rsidR="00D36369">
        <w:rPr>
          <w:color w:val="000000"/>
        </w:rPr>
        <w:lastRenderedPageBreak/>
        <w:t>higher spray rate volumes were</w:t>
      </w:r>
      <w:r w:rsidR="007A115A">
        <w:rPr>
          <w:color w:val="000000"/>
        </w:rPr>
        <w:t xml:space="preserve"> able to penetrate the spray solution lower in the canopy near the site of pathogen infection. </w:t>
      </w:r>
      <w:r w:rsidR="00D36369">
        <w:rPr>
          <w:color w:val="000000"/>
        </w:rPr>
        <w:t>Increased</w:t>
      </w:r>
      <w:r>
        <w:rPr>
          <w:color w:val="000000"/>
        </w:rPr>
        <w:t xml:space="preserve"> spray ra</w:t>
      </w:r>
      <w:r w:rsidR="00D36369">
        <w:rPr>
          <w:color w:val="000000"/>
        </w:rPr>
        <w:t>te volume applications were identified to</w:t>
      </w:r>
      <w:r>
        <w:rPr>
          <w:color w:val="000000"/>
        </w:rPr>
        <w:t xml:space="preserve"> enable</w:t>
      </w:r>
      <w:r w:rsidR="00D36369">
        <w:rPr>
          <w:color w:val="000000"/>
        </w:rPr>
        <w:t xml:space="preserve"> increased fungicide deposition</w:t>
      </w:r>
      <w:r>
        <w:rPr>
          <w:color w:val="000000"/>
        </w:rPr>
        <w:t xml:space="preserve"> lower </w:t>
      </w:r>
      <w:r w:rsidR="00D36369">
        <w:rPr>
          <w:color w:val="000000"/>
        </w:rPr>
        <w:t>in the canopy</w:t>
      </w:r>
      <w:r>
        <w:rPr>
          <w:color w:val="000000"/>
        </w:rPr>
        <w:t xml:space="preserve"> and results in enhanced fungicidal control of large patch.  </w:t>
      </w:r>
    </w:p>
    <w:p w14:paraId="38EBE20C" w14:textId="77777777" w:rsidR="00213EEF" w:rsidRDefault="00213EEF" w:rsidP="00213EEF">
      <w:pPr>
        <w:spacing w:line="480" w:lineRule="auto"/>
        <w:rPr>
          <w:color w:val="000000"/>
        </w:rPr>
      </w:pPr>
    </w:p>
    <w:p w14:paraId="4C4BC4FE" w14:textId="77777777" w:rsidR="00213EEF" w:rsidRDefault="00213EEF" w:rsidP="00213EEF">
      <w:pPr>
        <w:spacing w:line="480" w:lineRule="auto"/>
        <w:rPr>
          <w:color w:val="000000"/>
        </w:rPr>
      </w:pPr>
    </w:p>
    <w:p w14:paraId="11D12DED" w14:textId="77777777" w:rsidR="00213EEF" w:rsidRDefault="00213EEF" w:rsidP="00213EEF">
      <w:pPr>
        <w:spacing w:line="480" w:lineRule="auto"/>
        <w:rPr>
          <w:color w:val="000000"/>
        </w:rPr>
      </w:pPr>
    </w:p>
    <w:p w14:paraId="20DB94EC" w14:textId="77777777" w:rsidR="00213EEF" w:rsidRDefault="00213EEF" w:rsidP="00213EEF">
      <w:pPr>
        <w:rPr>
          <w:rFonts w:ascii="Arial" w:hAnsi="Arial" w:cs="Arial"/>
        </w:rPr>
      </w:pPr>
    </w:p>
    <w:p w14:paraId="22ECE193" w14:textId="77777777" w:rsidR="00213EEF" w:rsidRDefault="00213EEF" w:rsidP="00213EEF">
      <w:pPr>
        <w:rPr>
          <w:rFonts w:ascii="Arial" w:hAnsi="Arial" w:cs="Arial"/>
        </w:rPr>
      </w:pPr>
    </w:p>
    <w:p w14:paraId="749694F3" w14:textId="77777777" w:rsidR="00213EEF" w:rsidRDefault="00213EEF" w:rsidP="00213EEF">
      <w:pPr>
        <w:rPr>
          <w:rFonts w:ascii="Arial" w:hAnsi="Arial" w:cs="Arial"/>
        </w:rPr>
      </w:pPr>
    </w:p>
    <w:p w14:paraId="4FDD123B" w14:textId="77777777" w:rsidR="00213EEF" w:rsidRDefault="00213EEF" w:rsidP="00213EEF">
      <w:pPr>
        <w:rPr>
          <w:rFonts w:ascii="Arial" w:hAnsi="Arial" w:cs="Arial"/>
        </w:rPr>
      </w:pPr>
    </w:p>
    <w:p w14:paraId="6F114742" w14:textId="77777777" w:rsidR="00213EEF" w:rsidRDefault="00213EEF" w:rsidP="00213EEF">
      <w:pPr>
        <w:rPr>
          <w:rFonts w:ascii="Arial" w:hAnsi="Arial" w:cs="Arial"/>
        </w:rPr>
      </w:pPr>
    </w:p>
    <w:p w14:paraId="04E7A96A" w14:textId="77777777" w:rsidR="00213EEF" w:rsidRDefault="00213EEF" w:rsidP="00213EEF">
      <w:pPr>
        <w:rPr>
          <w:rFonts w:ascii="Arial" w:hAnsi="Arial" w:cs="Arial"/>
        </w:rPr>
      </w:pPr>
    </w:p>
    <w:p w14:paraId="465AF37E" w14:textId="77777777" w:rsidR="00213EEF" w:rsidRDefault="00213EEF" w:rsidP="00213EEF">
      <w:pPr>
        <w:rPr>
          <w:rFonts w:ascii="Arial" w:hAnsi="Arial" w:cs="Arial"/>
        </w:rPr>
      </w:pPr>
    </w:p>
    <w:p w14:paraId="2A3BF427" w14:textId="77777777" w:rsidR="00213EEF" w:rsidRDefault="00213EEF" w:rsidP="00213EEF">
      <w:pPr>
        <w:rPr>
          <w:rFonts w:ascii="Arial" w:hAnsi="Arial" w:cs="Arial"/>
        </w:rPr>
      </w:pPr>
    </w:p>
    <w:p w14:paraId="59124BAA" w14:textId="77777777" w:rsidR="00213EEF" w:rsidRDefault="00213EEF" w:rsidP="00213EEF">
      <w:pPr>
        <w:rPr>
          <w:rFonts w:ascii="Arial" w:hAnsi="Arial" w:cs="Arial"/>
        </w:rPr>
      </w:pPr>
    </w:p>
    <w:p w14:paraId="2DEDAE3F" w14:textId="77777777" w:rsidR="00213EEF" w:rsidRDefault="00213EEF" w:rsidP="00213EEF">
      <w:pPr>
        <w:rPr>
          <w:rFonts w:ascii="Arial" w:hAnsi="Arial" w:cs="Arial"/>
        </w:rPr>
      </w:pPr>
    </w:p>
    <w:p w14:paraId="12427989" w14:textId="77777777" w:rsidR="00213EEF" w:rsidRDefault="00213EEF" w:rsidP="00213EEF">
      <w:pPr>
        <w:rPr>
          <w:rFonts w:ascii="Arial" w:hAnsi="Arial" w:cs="Arial"/>
        </w:rPr>
      </w:pPr>
    </w:p>
    <w:p w14:paraId="1B3D3DA9" w14:textId="77777777" w:rsidR="00213EEF" w:rsidRDefault="00213EEF" w:rsidP="00213EEF">
      <w:pPr>
        <w:rPr>
          <w:rFonts w:ascii="Arial" w:hAnsi="Arial" w:cs="Arial"/>
        </w:rPr>
      </w:pPr>
    </w:p>
    <w:p w14:paraId="17733B69" w14:textId="77777777" w:rsidR="00213EEF" w:rsidRDefault="00213EEF" w:rsidP="00213EEF">
      <w:pPr>
        <w:rPr>
          <w:rFonts w:ascii="Arial" w:hAnsi="Arial" w:cs="Arial"/>
        </w:rPr>
      </w:pPr>
    </w:p>
    <w:p w14:paraId="3ABAFBC5" w14:textId="77777777" w:rsidR="00213EEF" w:rsidRDefault="00213EEF" w:rsidP="00213EEF">
      <w:pPr>
        <w:rPr>
          <w:rFonts w:ascii="Arial" w:hAnsi="Arial" w:cs="Arial"/>
        </w:rPr>
      </w:pPr>
    </w:p>
    <w:p w14:paraId="32597921" w14:textId="77777777" w:rsidR="00674F3A" w:rsidRDefault="00674F3A" w:rsidP="00213EEF">
      <w:pPr>
        <w:rPr>
          <w:rFonts w:ascii="Arial" w:hAnsi="Arial" w:cs="Arial"/>
        </w:rPr>
      </w:pPr>
    </w:p>
    <w:p w14:paraId="2D88A22F" w14:textId="77777777" w:rsidR="00674F3A" w:rsidRDefault="00674F3A" w:rsidP="00213EEF">
      <w:pPr>
        <w:rPr>
          <w:rFonts w:ascii="Arial" w:hAnsi="Arial" w:cs="Arial"/>
        </w:rPr>
      </w:pPr>
    </w:p>
    <w:p w14:paraId="6DC2AB94" w14:textId="77777777" w:rsidR="00674F3A" w:rsidRDefault="00674F3A" w:rsidP="00213EEF">
      <w:pPr>
        <w:rPr>
          <w:rFonts w:ascii="Arial" w:hAnsi="Arial" w:cs="Arial"/>
        </w:rPr>
      </w:pPr>
    </w:p>
    <w:p w14:paraId="603D4A0B" w14:textId="77777777" w:rsidR="00674F3A" w:rsidRDefault="00674F3A" w:rsidP="00213EEF">
      <w:pPr>
        <w:rPr>
          <w:rFonts w:ascii="Arial" w:hAnsi="Arial" w:cs="Arial"/>
        </w:rPr>
      </w:pPr>
    </w:p>
    <w:p w14:paraId="2A4E7CD0" w14:textId="77777777" w:rsidR="00674F3A" w:rsidRDefault="00674F3A" w:rsidP="00213EEF">
      <w:pPr>
        <w:rPr>
          <w:rFonts w:ascii="Arial" w:hAnsi="Arial" w:cs="Arial"/>
        </w:rPr>
      </w:pPr>
    </w:p>
    <w:p w14:paraId="2016F1DC" w14:textId="77777777" w:rsidR="00674F3A" w:rsidRDefault="00674F3A" w:rsidP="00213EEF">
      <w:pPr>
        <w:rPr>
          <w:rFonts w:ascii="Arial" w:hAnsi="Arial" w:cs="Arial"/>
        </w:rPr>
      </w:pPr>
    </w:p>
    <w:p w14:paraId="2B49448A" w14:textId="77777777" w:rsidR="00674F3A" w:rsidRDefault="00674F3A" w:rsidP="00213EEF">
      <w:pPr>
        <w:rPr>
          <w:rFonts w:ascii="Arial" w:hAnsi="Arial" w:cs="Arial"/>
        </w:rPr>
      </w:pPr>
    </w:p>
    <w:p w14:paraId="34D71DC7" w14:textId="77777777" w:rsidR="00674F3A" w:rsidRDefault="00674F3A" w:rsidP="00213EEF">
      <w:pPr>
        <w:rPr>
          <w:rFonts w:ascii="Arial" w:hAnsi="Arial" w:cs="Arial"/>
        </w:rPr>
      </w:pPr>
    </w:p>
    <w:p w14:paraId="3B9E253F" w14:textId="77777777" w:rsidR="00674F3A" w:rsidRDefault="00674F3A" w:rsidP="00213EEF">
      <w:pPr>
        <w:rPr>
          <w:rFonts w:ascii="Arial" w:hAnsi="Arial" w:cs="Arial"/>
        </w:rPr>
      </w:pPr>
    </w:p>
    <w:p w14:paraId="3D07C671" w14:textId="77777777" w:rsidR="00674F3A" w:rsidRDefault="00674F3A" w:rsidP="00213EEF">
      <w:pPr>
        <w:rPr>
          <w:rFonts w:ascii="Arial" w:hAnsi="Arial" w:cs="Arial"/>
        </w:rPr>
      </w:pPr>
    </w:p>
    <w:p w14:paraId="6E54ADBF" w14:textId="77777777" w:rsidR="00674F3A" w:rsidRDefault="00674F3A" w:rsidP="00213EEF">
      <w:pPr>
        <w:rPr>
          <w:rFonts w:ascii="Arial" w:hAnsi="Arial" w:cs="Arial"/>
        </w:rPr>
      </w:pPr>
    </w:p>
    <w:p w14:paraId="1DE42A75" w14:textId="77777777" w:rsidR="00FC7A09" w:rsidRDefault="00FC7A09" w:rsidP="00213EEF">
      <w:pPr>
        <w:rPr>
          <w:rFonts w:ascii="Arial" w:hAnsi="Arial" w:cs="Arial"/>
        </w:rPr>
      </w:pPr>
    </w:p>
    <w:p w14:paraId="553D8E17" w14:textId="77777777" w:rsidR="00FC7A09" w:rsidRDefault="00FC7A09" w:rsidP="00213EEF">
      <w:pPr>
        <w:rPr>
          <w:rFonts w:ascii="Arial" w:hAnsi="Arial" w:cs="Arial"/>
        </w:rPr>
      </w:pPr>
    </w:p>
    <w:p w14:paraId="3580DC0D" w14:textId="77777777" w:rsidR="00FC7A09" w:rsidRDefault="00FC7A09" w:rsidP="00213EEF">
      <w:pPr>
        <w:rPr>
          <w:rFonts w:ascii="Arial" w:hAnsi="Arial" w:cs="Arial"/>
        </w:rPr>
      </w:pPr>
    </w:p>
    <w:p w14:paraId="2B86B471" w14:textId="77777777" w:rsidR="00FC7A09" w:rsidRDefault="00FC7A09" w:rsidP="00213EEF">
      <w:pPr>
        <w:rPr>
          <w:rFonts w:ascii="Arial" w:hAnsi="Arial" w:cs="Arial"/>
        </w:rPr>
      </w:pPr>
    </w:p>
    <w:p w14:paraId="0844B552" w14:textId="77777777" w:rsidR="00213EEF" w:rsidRDefault="00213EEF" w:rsidP="00490BB8">
      <w:pPr>
        <w:rPr>
          <w:rFonts w:ascii="Arial" w:hAnsi="Arial" w:cs="Arial"/>
        </w:rPr>
      </w:pPr>
    </w:p>
    <w:p w14:paraId="4EECB7D2" w14:textId="77777777" w:rsidR="00213EEF" w:rsidRDefault="00213EEF" w:rsidP="00213EEF">
      <w:pPr>
        <w:jc w:val="center"/>
        <w:rPr>
          <w:b/>
          <w:bCs/>
          <w:sz w:val="28"/>
          <w:szCs w:val="28"/>
        </w:rPr>
      </w:pPr>
      <w:r w:rsidRPr="009B2EE6">
        <w:rPr>
          <w:b/>
          <w:bCs/>
          <w:sz w:val="28"/>
          <w:szCs w:val="28"/>
        </w:rPr>
        <w:lastRenderedPageBreak/>
        <w:t>TABLE OF CONTENTS</w:t>
      </w:r>
    </w:p>
    <w:p w14:paraId="17D5D974" w14:textId="77777777" w:rsidR="00686C39" w:rsidRPr="009B2EE6" w:rsidRDefault="00686C39" w:rsidP="00213EEF">
      <w:pPr>
        <w:jc w:val="center"/>
      </w:pPr>
    </w:p>
    <w:p w14:paraId="6A54D37F" w14:textId="77777777" w:rsidR="00213EEF" w:rsidRDefault="00213EEF" w:rsidP="00213EE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14:paraId="534291AB" w14:textId="77777777" w:rsidR="00213EEF" w:rsidRDefault="00213EEF" w:rsidP="00213EEF">
      <w:pPr>
        <w:numPr>
          <w:ilvl w:val="12"/>
          <w:numId w:val="0"/>
        </w:numPr>
        <w:jc w:val="center"/>
        <w:rPr>
          <w:rFonts w:ascii="Arial" w:hAnsi="Arial" w:cs="Arial"/>
          <w:b/>
          <w:bCs/>
          <w:sz w:val="28"/>
          <w:szCs w:val="28"/>
        </w:rPr>
      </w:pPr>
    </w:p>
    <w:p w14:paraId="0F8330CD" w14:textId="371DF944" w:rsidR="005F4FDE" w:rsidRPr="005F4FDE" w:rsidRDefault="00213EEF" w:rsidP="000720CB">
      <w:pPr>
        <w:pStyle w:val="TOC1"/>
        <w:tabs>
          <w:tab w:val="clear" w:pos="8630"/>
          <w:tab w:val="right" w:leader="dot" w:pos="9360"/>
        </w:tabs>
        <w:spacing w:line="360" w:lineRule="auto"/>
        <w:ind w:right="0"/>
        <w:rPr>
          <w:rFonts w:cstheme="minorHAnsi"/>
          <w:caps/>
          <w:color w:val="0000FF"/>
          <w:u w:val="single"/>
        </w:rPr>
      </w:pPr>
      <w:r>
        <w:fldChar w:fldCharType="begin"/>
      </w:r>
      <w:r>
        <w:instrText xml:space="preserve"> TOC \o "1-3" \h \z \u </w:instrText>
      </w:r>
      <w:r>
        <w:fldChar w:fldCharType="separate"/>
      </w:r>
      <w:hyperlink w:anchor="_Toc466885880" w:history="1">
        <w:r w:rsidR="005F4FDE" w:rsidRPr="009F5730">
          <w:rPr>
            <w:rStyle w:val="Hyperlink"/>
          </w:rPr>
          <w:t>CHAPTER I  LITERATURE REVIEW</w:t>
        </w:r>
        <w:r w:rsidR="005F4FDE">
          <w:rPr>
            <w:webHidden/>
          </w:rPr>
          <w:tab/>
        </w:r>
        <w:r w:rsidR="005F4FDE">
          <w:rPr>
            <w:webHidden/>
          </w:rPr>
          <w:fldChar w:fldCharType="begin"/>
        </w:r>
        <w:r w:rsidR="005F4FDE">
          <w:rPr>
            <w:webHidden/>
          </w:rPr>
          <w:instrText xml:space="preserve"> PAGEREF _Toc466885880 \h </w:instrText>
        </w:r>
        <w:r w:rsidR="005F4FDE">
          <w:rPr>
            <w:webHidden/>
          </w:rPr>
        </w:r>
        <w:r w:rsidR="005F4FDE">
          <w:rPr>
            <w:webHidden/>
          </w:rPr>
          <w:fldChar w:fldCharType="separate"/>
        </w:r>
        <w:r w:rsidR="00470DFB">
          <w:rPr>
            <w:webHidden/>
          </w:rPr>
          <w:t>1</w:t>
        </w:r>
        <w:r w:rsidR="005F4FDE">
          <w:rPr>
            <w:webHidden/>
          </w:rPr>
          <w:fldChar w:fldCharType="end"/>
        </w:r>
      </w:hyperlink>
    </w:p>
    <w:p w14:paraId="1CB5F29C" w14:textId="77777777" w:rsidR="005F4FDE" w:rsidRDefault="001007F9" w:rsidP="00470DFB">
      <w:pPr>
        <w:pStyle w:val="TOC2"/>
        <w:rPr>
          <w:rFonts w:asciiTheme="minorHAnsi" w:eastAsiaTheme="minorEastAsia" w:hAnsiTheme="minorHAnsi" w:cstheme="minorBidi"/>
          <w:noProof/>
          <w:sz w:val="22"/>
          <w:szCs w:val="22"/>
        </w:rPr>
      </w:pPr>
      <w:hyperlink w:anchor="_Toc466885881" w:history="1">
        <w:r w:rsidR="005F4FDE" w:rsidRPr="009F5730">
          <w:rPr>
            <w:rStyle w:val="Hyperlink"/>
          </w:rPr>
          <w:t>Japanese lawngrass</w:t>
        </w:r>
        <w:r w:rsidR="005F4FDE">
          <w:rPr>
            <w:noProof/>
            <w:webHidden/>
          </w:rPr>
          <w:tab/>
        </w:r>
        <w:r w:rsidR="005F4FDE">
          <w:rPr>
            <w:noProof/>
            <w:webHidden/>
          </w:rPr>
          <w:fldChar w:fldCharType="begin"/>
        </w:r>
        <w:r w:rsidR="005F4FDE">
          <w:rPr>
            <w:noProof/>
            <w:webHidden/>
          </w:rPr>
          <w:instrText xml:space="preserve"> PAGEREF _Toc466885881 \h </w:instrText>
        </w:r>
        <w:r w:rsidR="005F4FDE">
          <w:rPr>
            <w:noProof/>
            <w:webHidden/>
          </w:rPr>
        </w:r>
        <w:r w:rsidR="005F4FDE">
          <w:rPr>
            <w:noProof/>
            <w:webHidden/>
          </w:rPr>
          <w:fldChar w:fldCharType="separate"/>
        </w:r>
        <w:r w:rsidR="00470DFB">
          <w:rPr>
            <w:noProof/>
            <w:webHidden/>
          </w:rPr>
          <w:t>2</w:t>
        </w:r>
        <w:r w:rsidR="005F4FDE">
          <w:rPr>
            <w:noProof/>
            <w:webHidden/>
          </w:rPr>
          <w:fldChar w:fldCharType="end"/>
        </w:r>
      </w:hyperlink>
    </w:p>
    <w:p w14:paraId="0B290F29" w14:textId="77777777" w:rsidR="005F4FDE" w:rsidRDefault="001007F9" w:rsidP="00470DFB">
      <w:pPr>
        <w:pStyle w:val="TOC2"/>
        <w:rPr>
          <w:rFonts w:asciiTheme="minorHAnsi" w:eastAsiaTheme="minorEastAsia" w:hAnsiTheme="minorHAnsi" w:cstheme="minorBidi"/>
          <w:noProof/>
          <w:sz w:val="22"/>
          <w:szCs w:val="22"/>
        </w:rPr>
      </w:pPr>
      <w:hyperlink w:anchor="_Toc466885882" w:history="1">
        <w:r w:rsidR="005F4FDE" w:rsidRPr="009F5730">
          <w:rPr>
            <w:rStyle w:val="Hyperlink"/>
          </w:rPr>
          <w:t>Rhizoctonia solani</w:t>
        </w:r>
        <w:r w:rsidR="005F4FDE">
          <w:rPr>
            <w:noProof/>
            <w:webHidden/>
          </w:rPr>
          <w:tab/>
        </w:r>
        <w:r w:rsidR="005F4FDE">
          <w:rPr>
            <w:noProof/>
            <w:webHidden/>
          </w:rPr>
          <w:fldChar w:fldCharType="begin"/>
        </w:r>
        <w:r w:rsidR="005F4FDE">
          <w:rPr>
            <w:noProof/>
            <w:webHidden/>
          </w:rPr>
          <w:instrText xml:space="preserve"> PAGEREF _Toc466885882 \h </w:instrText>
        </w:r>
        <w:r w:rsidR="005F4FDE">
          <w:rPr>
            <w:noProof/>
            <w:webHidden/>
          </w:rPr>
        </w:r>
        <w:r w:rsidR="005F4FDE">
          <w:rPr>
            <w:noProof/>
            <w:webHidden/>
          </w:rPr>
          <w:fldChar w:fldCharType="separate"/>
        </w:r>
        <w:r w:rsidR="00470DFB">
          <w:rPr>
            <w:noProof/>
            <w:webHidden/>
          </w:rPr>
          <w:t>3</w:t>
        </w:r>
        <w:r w:rsidR="005F4FDE">
          <w:rPr>
            <w:noProof/>
            <w:webHidden/>
          </w:rPr>
          <w:fldChar w:fldCharType="end"/>
        </w:r>
      </w:hyperlink>
    </w:p>
    <w:p w14:paraId="41374C1F" w14:textId="77777777" w:rsidR="005F4FDE" w:rsidRDefault="001007F9" w:rsidP="00470DFB">
      <w:pPr>
        <w:pStyle w:val="TOC2"/>
        <w:rPr>
          <w:rFonts w:asciiTheme="minorHAnsi" w:eastAsiaTheme="minorEastAsia" w:hAnsiTheme="minorHAnsi" w:cstheme="minorBidi"/>
          <w:noProof/>
          <w:sz w:val="22"/>
          <w:szCs w:val="22"/>
        </w:rPr>
      </w:pPr>
      <w:hyperlink w:anchor="_Toc466885883" w:history="1">
        <w:r w:rsidR="005F4FDE" w:rsidRPr="009F5730">
          <w:rPr>
            <w:rStyle w:val="Hyperlink"/>
            <w:rFonts w:eastAsia="MS Mincho"/>
          </w:rPr>
          <w:t>Hyphal anastomosis reactions</w:t>
        </w:r>
        <w:r w:rsidR="005F4FDE">
          <w:rPr>
            <w:noProof/>
            <w:webHidden/>
          </w:rPr>
          <w:tab/>
        </w:r>
        <w:r w:rsidR="005F4FDE">
          <w:rPr>
            <w:noProof/>
            <w:webHidden/>
          </w:rPr>
          <w:fldChar w:fldCharType="begin"/>
        </w:r>
        <w:r w:rsidR="005F4FDE">
          <w:rPr>
            <w:noProof/>
            <w:webHidden/>
          </w:rPr>
          <w:instrText xml:space="preserve"> PAGEREF _Toc466885883 \h </w:instrText>
        </w:r>
        <w:r w:rsidR="005F4FDE">
          <w:rPr>
            <w:noProof/>
            <w:webHidden/>
          </w:rPr>
        </w:r>
        <w:r w:rsidR="005F4FDE">
          <w:rPr>
            <w:noProof/>
            <w:webHidden/>
          </w:rPr>
          <w:fldChar w:fldCharType="separate"/>
        </w:r>
        <w:r w:rsidR="00470DFB">
          <w:rPr>
            <w:noProof/>
            <w:webHidden/>
          </w:rPr>
          <w:t>3</w:t>
        </w:r>
        <w:r w:rsidR="005F4FDE">
          <w:rPr>
            <w:noProof/>
            <w:webHidden/>
          </w:rPr>
          <w:fldChar w:fldCharType="end"/>
        </w:r>
      </w:hyperlink>
    </w:p>
    <w:p w14:paraId="01700BE5" w14:textId="77777777" w:rsidR="005F4FDE" w:rsidRDefault="001007F9" w:rsidP="00470DFB">
      <w:pPr>
        <w:pStyle w:val="TOC2"/>
        <w:rPr>
          <w:rFonts w:asciiTheme="minorHAnsi" w:eastAsiaTheme="minorEastAsia" w:hAnsiTheme="minorHAnsi" w:cstheme="minorBidi"/>
          <w:noProof/>
          <w:sz w:val="22"/>
          <w:szCs w:val="22"/>
        </w:rPr>
      </w:pPr>
      <w:hyperlink w:anchor="_Toc466885884" w:history="1">
        <w:r w:rsidR="005F4FDE" w:rsidRPr="009F5730">
          <w:rPr>
            <w:rStyle w:val="Hyperlink"/>
            <w:rFonts w:eastAsia="MS Mincho"/>
          </w:rPr>
          <w:t>Brown patch</w:t>
        </w:r>
        <w:r w:rsidR="005F4FDE">
          <w:rPr>
            <w:noProof/>
            <w:webHidden/>
          </w:rPr>
          <w:tab/>
        </w:r>
        <w:r w:rsidR="005F4FDE">
          <w:rPr>
            <w:noProof/>
            <w:webHidden/>
          </w:rPr>
          <w:fldChar w:fldCharType="begin"/>
        </w:r>
        <w:r w:rsidR="005F4FDE">
          <w:rPr>
            <w:noProof/>
            <w:webHidden/>
          </w:rPr>
          <w:instrText xml:space="preserve"> PAGEREF _Toc466885884 \h </w:instrText>
        </w:r>
        <w:r w:rsidR="005F4FDE">
          <w:rPr>
            <w:noProof/>
            <w:webHidden/>
          </w:rPr>
        </w:r>
        <w:r w:rsidR="005F4FDE">
          <w:rPr>
            <w:noProof/>
            <w:webHidden/>
          </w:rPr>
          <w:fldChar w:fldCharType="separate"/>
        </w:r>
        <w:r w:rsidR="00470DFB">
          <w:rPr>
            <w:noProof/>
            <w:webHidden/>
          </w:rPr>
          <w:t>5</w:t>
        </w:r>
        <w:r w:rsidR="005F4FDE">
          <w:rPr>
            <w:noProof/>
            <w:webHidden/>
          </w:rPr>
          <w:fldChar w:fldCharType="end"/>
        </w:r>
      </w:hyperlink>
    </w:p>
    <w:p w14:paraId="4285005F" w14:textId="77777777" w:rsidR="005F4FDE" w:rsidRDefault="001007F9" w:rsidP="00470DFB">
      <w:pPr>
        <w:pStyle w:val="TOC2"/>
        <w:rPr>
          <w:rFonts w:asciiTheme="minorHAnsi" w:eastAsiaTheme="minorEastAsia" w:hAnsiTheme="minorHAnsi" w:cstheme="minorBidi"/>
          <w:noProof/>
          <w:sz w:val="22"/>
          <w:szCs w:val="22"/>
        </w:rPr>
      </w:pPr>
      <w:hyperlink w:anchor="_Toc466885885" w:history="1">
        <w:r w:rsidR="005F4FDE" w:rsidRPr="009F5730">
          <w:rPr>
            <w:rStyle w:val="Hyperlink"/>
            <w:rFonts w:eastAsia="MS Mincho"/>
          </w:rPr>
          <w:t>Large patch</w:t>
        </w:r>
        <w:r w:rsidR="005F4FDE">
          <w:rPr>
            <w:noProof/>
            <w:webHidden/>
          </w:rPr>
          <w:tab/>
        </w:r>
        <w:r w:rsidR="005F4FDE">
          <w:rPr>
            <w:noProof/>
            <w:webHidden/>
          </w:rPr>
          <w:fldChar w:fldCharType="begin"/>
        </w:r>
        <w:r w:rsidR="005F4FDE">
          <w:rPr>
            <w:noProof/>
            <w:webHidden/>
          </w:rPr>
          <w:instrText xml:space="preserve"> PAGEREF _Toc466885885 \h </w:instrText>
        </w:r>
        <w:r w:rsidR="005F4FDE">
          <w:rPr>
            <w:noProof/>
            <w:webHidden/>
          </w:rPr>
        </w:r>
        <w:r w:rsidR="005F4FDE">
          <w:rPr>
            <w:noProof/>
            <w:webHidden/>
          </w:rPr>
          <w:fldChar w:fldCharType="separate"/>
        </w:r>
        <w:r w:rsidR="00470DFB">
          <w:rPr>
            <w:noProof/>
            <w:webHidden/>
          </w:rPr>
          <w:t>6</w:t>
        </w:r>
        <w:r w:rsidR="005F4FDE">
          <w:rPr>
            <w:noProof/>
            <w:webHidden/>
          </w:rPr>
          <w:fldChar w:fldCharType="end"/>
        </w:r>
      </w:hyperlink>
    </w:p>
    <w:p w14:paraId="036C0E7D" w14:textId="77777777" w:rsidR="005F4FDE" w:rsidRDefault="001007F9" w:rsidP="00470DFB">
      <w:pPr>
        <w:pStyle w:val="TOC2"/>
        <w:rPr>
          <w:rFonts w:asciiTheme="minorHAnsi" w:eastAsiaTheme="minorEastAsia" w:hAnsiTheme="minorHAnsi" w:cstheme="minorBidi"/>
          <w:noProof/>
          <w:sz w:val="22"/>
          <w:szCs w:val="22"/>
        </w:rPr>
      </w:pPr>
      <w:hyperlink w:anchor="_Toc466885886" w:history="1">
        <w:r w:rsidR="005F4FDE" w:rsidRPr="009F5730">
          <w:rPr>
            <w:rStyle w:val="Hyperlink"/>
            <w:rFonts w:eastAsia="MS Mincho"/>
          </w:rPr>
          <w:t>Fungicidal control of large patch</w:t>
        </w:r>
        <w:r w:rsidR="005F4FDE">
          <w:rPr>
            <w:noProof/>
            <w:webHidden/>
          </w:rPr>
          <w:tab/>
        </w:r>
        <w:r w:rsidR="005F4FDE">
          <w:rPr>
            <w:noProof/>
            <w:webHidden/>
          </w:rPr>
          <w:fldChar w:fldCharType="begin"/>
        </w:r>
        <w:r w:rsidR="005F4FDE">
          <w:rPr>
            <w:noProof/>
            <w:webHidden/>
          </w:rPr>
          <w:instrText xml:space="preserve"> PAGEREF _Toc466885886 \h </w:instrText>
        </w:r>
        <w:r w:rsidR="005F4FDE">
          <w:rPr>
            <w:noProof/>
            <w:webHidden/>
          </w:rPr>
        </w:r>
        <w:r w:rsidR="005F4FDE">
          <w:rPr>
            <w:noProof/>
            <w:webHidden/>
          </w:rPr>
          <w:fldChar w:fldCharType="separate"/>
        </w:r>
        <w:r w:rsidR="00470DFB">
          <w:rPr>
            <w:noProof/>
            <w:webHidden/>
          </w:rPr>
          <w:t>7</w:t>
        </w:r>
        <w:r w:rsidR="005F4FDE">
          <w:rPr>
            <w:noProof/>
            <w:webHidden/>
          </w:rPr>
          <w:fldChar w:fldCharType="end"/>
        </w:r>
      </w:hyperlink>
    </w:p>
    <w:p w14:paraId="63748569" w14:textId="77777777" w:rsidR="005F4FDE" w:rsidRDefault="001007F9" w:rsidP="00470DFB">
      <w:pPr>
        <w:pStyle w:val="TOC2"/>
        <w:rPr>
          <w:rFonts w:asciiTheme="minorHAnsi" w:eastAsiaTheme="minorEastAsia" w:hAnsiTheme="minorHAnsi" w:cstheme="minorBidi"/>
          <w:noProof/>
          <w:sz w:val="22"/>
          <w:szCs w:val="22"/>
        </w:rPr>
      </w:pPr>
      <w:hyperlink w:anchor="_Toc466885887" w:history="1">
        <w:r w:rsidR="005F4FDE" w:rsidRPr="009F5730">
          <w:rPr>
            <w:rStyle w:val="Hyperlink"/>
          </w:rPr>
          <w:t>Literature Cited</w:t>
        </w:r>
        <w:r w:rsidR="005F4FDE">
          <w:rPr>
            <w:noProof/>
            <w:webHidden/>
          </w:rPr>
          <w:tab/>
        </w:r>
        <w:r w:rsidR="005F4FDE">
          <w:rPr>
            <w:noProof/>
            <w:webHidden/>
          </w:rPr>
          <w:fldChar w:fldCharType="begin"/>
        </w:r>
        <w:r w:rsidR="005F4FDE">
          <w:rPr>
            <w:noProof/>
            <w:webHidden/>
          </w:rPr>
          <w:instrText xml:space="preserve"> PAGEREF _Toc466885887 \h </w:instrText>
        </w:r>
        <w:r w:rsidR="005F4FDE">
          <w:rPr>
            <w:noProof/>
            <w:webHidden/>
          </w:rPr>
        </w:r>
        <w:r w:rsidR="005F4FDE">
          <w:rPr>
            <w:noProof/>
            <w:webHidden/>
          </w:rPr>
          <w:fldChar w:fldCharType="separate"/>
        </w:r>
        <w:r w:rsidR="00470DFB">
          <w:rPr>
            <w:noProof/>
            <w:webHidden/>
          </w:rPr>
          <w:t>10</w:t>
        </w:r>
        <w:r w:rsidR="005F4FDE">
          <w:rPr>
            <w:noProof/>
            <w:webHidden/>
          </w:rPr>
          <w:fldChar w:fldCharType="end"/>
        </w:r>
      </w:hyperlink>
    </w:p>
    <w:p w14:paraId="54991338" w14:textId="13F0682B" w:rsidR="005F4FDE" w:rsidRPr="005F4FDE" w:rsidRDefault="001007F9" w:rsidP="000720CB">
      <w:pPr>
        <w:pStyle w:val="TOC1"/>
        <w:tabs>
          <w:tab w:val="clear" w:pos="8630"/>
          <w:tab w:val="right" w:leader="dot" w:pos="9360"/>
        </w:tabs>
        <w:spacing w:line="360" w:lineRule="auto"/>
        <w:ind w:right="0"/>
        <w:rPr>
          <w:rFonts w:cstheme="minorHAnsi"/>
          <w:caps/>
          <w:color w:val="0000FF"/>
          <w:u w:val="single"/>
        </w:rPr>
      </w:pPr>
      <w:hyperlink w:anchor="_Toc466885888" w:history="1">
        <w:r w:rsidR="005F4FDE" w:rsidRPr="009F5730">
          <w:rPr>
            <w:rStyle w:val="Hyperlink"/>
          </w:rPr>
          <w:t xml:space="preserve">CHAPTER II  </w:t>
        </w:r>
        <w:r w:rsidR="005F4FDE" w:rsidRPr="009F5730">
          <w:rPr>
            <w:rStyle w:val="Hyperlink"/>
            <w:rFonts w:eastAsia="?????? Pro W3"/>
          </w:rPr>
          <w:t>large patch (Rhizoctonia solani) development on japanese lawngrass (zoysia japonica) affected by fungicide mode of action and target site of application</w:t>
        </w:r>
        <w:r w:rsidR="005F4FDE">
          <w:rPr>
            <w:webHidden/>
          </w:rPr>
          <w:tab/>
        </w:r>
        <w:r w:rsidR="005F4FDE">
          <w:rPr>
            <w:webHidden/>
          </w:rPr>
          <w:fldChar w:fldCharType="begin"/>
        </w:r>
        <w:r w:rsidR="005F4FDE">
          <w:rPr>
            <w:webHidden/>
          </w:rPr>
          <w:instrText xml:space="preserve"> PAGEREF _Toc466885888 \h </w:instrText>
        </w:r>
        <w:r w:rsidR="005F4FDE">
          <w:rPr>
            <w:webHidden/>
          </w:rPr>
        </w:r>
        <w:r w:rsidR="005F4FDE">
          <w:rPr>
            <w:webHidden/>
          </w:rPr>
          <w:fldChar w:fldCharType="separate"/>
        </w:r>
        <w:r w:rsidR="00470DFB">
          <w:rPr>
            <w:webHidden/>
          </w:rPr>
          <w:t>13</w:t>
        </w:r>
        <w:r w:rsidR="005F4FDE">
          <w:rPr>
            <w:webHidden/>
          </w:rPr>
          <w:fldChar w:fldCharType="end"/>
        </w:r>
      </w:hyperlink>
    </w:p>
    <w:p w14:paraId="0AB65F58" w14:textId="77777777" w:rsidR="005F4FDE" w:rsidRDefault="001007F9" w:rsidP="00470DFB">
      <w:pPr>
        <w:pStyle w:val="TOC2"/>
        <w:rPr>
          <w:rFonts w:asciiTheme="minorHAnsi" w:eastAsiaTheme="minorEastAsia" w:hAnsiTheme="minorHAnsi" w:cstheme="minorBidi"/>
          <w:noProof/>
          <w:sz w:val="22"/>
          <w:szCs w:val="22"/>
        </w:rPr>
      </w:pPr>
      <w:hyperlink w:anchor="_Toc466885889" w:history="1">
        <w:r w:rsidR="005F4FDE" w:rsidRPr="009F5730">
          <w:rPr>
            <w:rStyle w:val="Hyperlink"/>
          </w:rPr>
          <w:t>ABSTRACT</w:t>
        </w:r>
        <w:r w:rsidR="005F4FDE">
          <w:rPr>
            <w:noProof/>
            <w:webHidden/>
          </w:rPr>
          <w:tab/>
        </w:r>
        <w:r w:rsidR="005F4FDE">
          <w:rPr>
            <w:noProof/>
            <w:webHidden/>
          </w:rPr>
          <w:fldChar w:fldCharType="begin"/>
        </w:r>
        <w:r w:rsidR="005F4FDE">
          <w:rPr>
            <w:noProof/>
            <w:webHidden/>
          </w:rPr>
          <w:instrText xml:space="preserve"> PAGEREF _Toc466885889 \h </w:instrText>
        </w:r>
        <w:r w:rsidR="005F4FDE">
          <w:rPr>
            <w:noProof/>
            <w:webHidden/>
          </w:rPr>
        </w:r>
        <w:r w:rsidR="005F4FDE">
          <w:rPr>
            <w:noProof/>
            <w:webHidden/>
          </w:rPr>
          <w:fldChar w:fldCharType="separate"/>
        </w:r>
        <w:r w:rsidR="00470DFB">
          <w:rPr>
            <w:noProof/>
            <w:webHidden/>
          </w:rPr>
          <w:t>14</w:t>
        </w:r>
        <w:r w:rsidR="005F4FDE">
          <w:rPr>
            <w:noProof/>
            <w:webHidden/>
          </w:rPr>
          <w:fldChar w:fldCharType="end"/>
        </w:r>
      </w:hyperlink>
    </w:p>
    <w:p w14:paraId="11745D75" w14:textId="77777777" w:rsidR="005F4FDE" w:rsidRDefault="001007F9" w:rsidP="00470DFB">
      <w:pPr>
        <w:pStyle w:val="TOC2"/>
        <w:rPr>
          <w:rFonts w:asciiTheme="minorHAnsi" w:eastAsiaTheme="minorEastAsia" w:hAnsiTheme="minorHAnsi" w:cstheme="minorBidi"/>
          <w:noProof/>
          <w:sz w:val="22"/>
          <w:szCs w:val="22"/>
        </w:rPr>
      </w:pPr>
      <w:hyperlink w:anchor="_Toc466885890" w:history="1">
        <w:r w:rsidR="005F4FDE" w:rsidRPr="009F5730">
          <w:rPr>
            <w:rStyle w:val="Hyperlink"/>
          </w:rPr>
          <w:t>Introduction</w:t>
        </w:r>
        <w:r w:rsidR="005F4FDE">
          <w:rPr>
            <w:noProof/>
            <w:webHidden/>
          </w:rPr>
          <w:tab/>
        </w:r>
        <w:r w:rsidR="005F4FDE">
          <w:rPr>
            <w:noProof/>
            <w:webHidden/>
          </w:rPr>
          <w:fldChar w:fldCharType="begin"/>
        </w:r>
        <w:r w:rsidR="005F4FDE">
          <w:rPr>
            <w:noProof/>
            <w:webHidden/>
          </w:rPr>
          <w:instrText xml:space="preserve"> PAGEREF _Toc466885890 \h </w:instrText>
        </w:r>
        <w:r w:rsidR="005F4FDE">
          <w:rPr>
            <w:noProof/>
            <w:webHidden/>
          </w:rPr>
        </w:r>
        <w:r w:rsidR="005F4FDE">
          <w:rPr>
            <w:noProof/>
            <w:webHidden/>
          </w:rPr>
          <w:fldChar w:fldCharType="separate"/>
        </w:r>
        <w:r w:rsidR="00470DFB">
          <w:rPr>
            <w:noProof/>
            <w:webHidden/>
          </w:rPr>
          <w:t>16</w:t>
        </w:r>
        <w:r w:rsidR="005F4FDE">
          <w:rPr>
            <w:noProof/>
            <w:webHidden/>
          </w:rPr>
          <w:fldChar w:fldCharType="end"/>
        </w:r>
      </w:hyperlink>
    </w:p>
    <w:p w14:paraId="3832049B" w14:textId="77777777" w:rsidR="005F4FDE" w:rsidRDefault="001007F9" w:rsidP="00470DFB">
      <w:pPr>
        <w:pStyle w:val="TOC2"/>
        <w:rPr>
          <w:rFonts w:asciiTheme="minorHAnsi" w:eastAsiaTheme="minorEastAsia" w:hAnsiTheme="minorHAnsi" w:cstheme="minorBidi"/>
          <w:noProof/>
          <w:sz w:val="22"/>
          <w:szCs w:val="22"/>
        </w:rPr>
      </w:pPr>
      <w:hyperlink w:anchor="_Toc466885891" w:history="1">
        <w:r w:rsidR="005F4FDE" w:rsidRPr="009F5730">
          <w:rPr>
            <w:rStyle w:val="Hyperlink"/>
          </w:rPr>
          <w:t>Materials and Methods</w:t>
        </w:r>
        <w:r w:rsidR="005F4FDE">
          <w:rPr>
            <w:noProof/>
            <w:webHidden/>
          </w:rPr>
          <w:tab/>
        </w:r>
        <w:r w:rsidR="005F4FDE">
          <w:rPr>
            <w:noProof/>
            <w:webHidden/>
          </w:rPr>
          <w:fldChar w:fldCharType="begin"/>
        </w:r>
        <w:r w:rsidR="005F4FDE">
          <w:rPr>
            <w:noProof/>
            <w:webHidden/>
          </w:rPr>
          <w:instrText xml:space="preserve"> PAGEREF _Toc466885891 \h </w:instrText>
        </w:r>
        <w:r w:rsidR="005F4FDE">
          <w:rPr>
            <w:noProof/>
            <w:webHidden/>
          </w:rPr>
        </w:r>
        <w:r w:rsidR="005F4FDE">
          <w:rPr>
            <w:noProof/>
            <w:webHidden/>
          </w:rPr>
          <w:fldChar w:fldCharType="separate"/>
        </w:r>
        <w:r w:rsidR="00470DFB">
          <w:rPr>
            <w:noProof/>
            <w:webHidden/>
          </w:rPr>
          <w:t>19</w:t>
        </w:r>
        <w:r w:rsidR="005F4FDE">
          <w:rPr>
            <w:noProof/>
            <w:webHidden/>
          </w:rPr>
          <w:fldChar w:fldCharType="end"/>
        </w:r>
      </w:hyperlink>
    </w:p>
    <w:p w14:paraId="1EC5AA62" w14:textId="77777777" w:rsidR="005F4FDE" w:rsidRDefault="001007F9" w:rsidP="00470DFB">
      <w:pPr>
        <w:pStyle w:val="TOC2"/>
        <w:rPr>
          <w:rFonts w:asciiTheme="minorHAnsi" w:eastAsiaTheme="minorEastAsia" w:hAnsiTheme="minorHAnsi" w:cstheme="minorBidi"/>
          <w:noProof/>
          <w:sz w:val="22"/>
          <w:szCs w:val="22"/>
        </w:rPr>
      </w:pPr>
      <w:hyperlink w:anchor="_Toc466885898" w:history="1">
        <w:r w:rsidR="005F4FDE" w:rsidRPr="009F5730">
          <w:rPr>
            <w:rStyle w:val="Hyperlink"/>
          </w:rPr>
          <w:t>Results</w:t>
        </w:r>
        <w:r w:rsidR="005F4FDE">
          <w:rPr>
            <w:noProof/>
            <w:webHidden/>
          </w:rPr>
          <w:tab/>
        </w:r>
        <w:r w:rsidR="005F4FDE">
          <w:rPr>
            <w:noProof/>
            <w:webHidden/>
          </w:rPr>
          <w:fldChar w:fldCharType="begin"/>
        </w:r>
        <w:r w:rsidR="005F4FDE">
          <w:rPr>
            <w:noProof/>
            <w:webHidden/>
          </w:rPr>
          <w:instrText xml:space="preserve"> PAGEREF _Toc466885898 \h </w:instrText>
        </w:r>
        <w:r w:rsidR="005F4FDE">
          <w:rPr>
            <w:noProof/>
            <w:webHidden/>
          </w:rPr>
        </w:r>
        <w:r w:rsidR="005F4FDE">
          <w:rPr>
            <w:noProof/>
            <w:webHidden/>
          </w:rPr>
          <w:fldChar w:fldCharType="separate"/>
        </w:r>
        <w:r w:rsidR="00470DFB">
          <w:rPr>
            <w:noProof/>
            <w:webHidden/>
          </w:rPr>
          <w:t>23</w:t>
        </w:r>
        <w:r w:rsidR="005F4FDE">
          <w:rPr>
            <w:noProof/>
            <w:webHidden/>
          </w:rPr>
          <w:fldChar w:fldCharType="end"/>
        </w:r>
      </w:hyperlink>
    </w:p>
    <w:p w14:paraId="702F43A5" w14:textId="77777777" w:rsidR="005F4FDE" w:rsidRDefault="001007F9" w:rsidP="00470DFB">
      <w:pPr>
        <w:pStyle w:val="TOC2"/>
        <w:rPr>
          <w:rFonts w:asciiTheme="minorHAnsi" w:eastAsiaTheme="minorEastAsia" w:hAnsiTheme="minorHAnsi" w:cstheme="minorBidi"/>
          <w:noProof/>
          <w:sz w:val="22"/>
          <w:szCs w:val="22"/>
        </w:rPr>
      </w:pPr>
      <w:hyperlink w:anchor="_Toc466885901" w:history="1">
        <w:r w:rsidR="005F4FDE" w:rsidRPr="009F5730">
          <w:rPr>
            <w:rStyle w:val="Hyperlink"/>
          </w:rPr>
          <w:t>Discussion</w:t>
        </w:r>
        <w:r w:rsidR="005F4FDE">
          <w:rPr>
            <w:noProof/>
            <w:webHidden/>
          </w:rPr>
          <w:tab/>
        </w:r>
        <w:r w:rsidR="005F4FDE">
          <w:rPr>
            <w:noProof/>
            <w:webHidden/>
          </w:rPr>
          <w:fldChar w:fldCharType="begin"/>
        </w:r>
        <w:r w:rsidR="005F4FDE">
          <w:rPr>
            <w:noProof/>
            <w:webHidden/>
          </w:rPr>
          <w:instrText xml:space="preserve"> PAGEREF _Toc466885901 \h </w:instrText>
        </w:r>
        <w:r w:rsidR="005F4FDE">
          <w:rPr>
            <w:noProof/>
            <w:webHidden/>
          </w:rPr>
        </w:r>
        <w:r w:rsidR="005F4FDE">
          <w:rPr>
            <w:noProof/>
            <w:webHidden/>
          </w:rPr>
          <w:fldChar w:fldCharType="separate"/>
        </w:r>
        <w:r w:rsidR="00470DFB">
          <w:rPr>
            <w:noProof/>
            <w:webHidden/>
          </w:rPr>
          <w:t>25</w:t>
        </w:r>
        <w:r w:rsidR="005F4FDE">
          <w:rPr>
            <w:noProof/>
            <w:webHidden/>
          </w:rPr>
          <w:fldChar w:fldCharType="end"/>
        </w:r>
      </w:hyperlink>
    </w:p>
    <w:p w14:paraId="6042F651" w14:textId="77777777" w:rsidR="005F4FDE" w:rsidRDefault="001007F9" w:rsidP="00470DFB">
      <w:pPr>
        <w:pStyle w:val="TOC2"/>
        <w:rPr>
          <w:rFonts w:asciiTheme="minorHAnsi" w:eastAsiaTheme="minorEastAsia" w:hAnsiTheme="minorHAnsi" w:cstheme="minorBidi"/>
          <w:noProof/>
          <w:sz w:val="22"/>
          <w:szCs w:val="22"/>
        </w:rPr>
      </w:pPr>
      <w:hyperlink w:anchor="_Toc466885902" w:history="1">
        <w:r w:rsidR="005F4FDE" w:rsidRPr="009F5730">
          <w:rPr>
            <w:rStyle w:val="Hyperlink"/>
          </w:rPr>
          <w:t>Acknowledgements</w:t>
        </w:r>
        <w:r w:rsidR="005F4FDE">
          <w:rPr>
            <w:noProof/>
            <w:webHidden/>
          </w:rPr>
          <w:tab/>
        </w:r>
        <w:r w:rsidR="005F4FDE">
          <w:rPr>
            <w:noProof/>
            <w:webHidden/>
          </w:rPr>
          <w:fldChar w:fldCharType="begin"/>
        </w:r>
        <w:r w:rsidR="005F4FDE">
          <w:rPr>
            <w:noProof/>
            <w:webHidden/>
          </w:rPr>
          <w:instrText xml:space="preserve"> PAGEREF _Toc466885902 \h </w:instrText>
        </w:r>
        <w:r w:rsidR="005F4FDE">
          <w:rPr>
            <w:noProof/>
            <w:webHidden/>
          </w:rPr>
        </w:r>
        <w:r w:rsidR="005F4FDE">
          <w:rPr>
            <w:noProof/>
            <w:webHidden/>
          </w:rPr>
          <w:fldChar w:fldCharType="separate"/>
        </w:r>
        <w:r w:rsidR="00470DFB">
          <w:rPr>
            <w:noProof/>
            <w:webHidden/>
          </w:rPr>
          <w:t>28</w:t>
        </w:r>
        <w:r w:rsidR="005F4FDE">
          <w:rPr>
            <w:noProof/>
            <w:webHidden/>
          </w:rPr>
          <w:fldChar w:fldCharType="end"/>
        </w:r>
      </w:hyperlink>
    </w:p>
    <w:p w14:paraId="03F0787E" w14:textId="77777777" w:rsidR="005F4FDE" w:rsidRDefault="001007F9" w:rsidP="00470DFB">
      <w:pPr>
        <w:pStyle w:val="TOC2"/>
        <w:rPr>
          <w:rFonts w:asciiTheme="minorHAnsi" w:eastAsiaTheme="minorEastAsia" w:hAnsiTheme="minorHAnsi" w:cstheme="minorBidi"/>
          <w:noProof/>
          <w:sz w:val="22"/>
          <w:szCs w:val="22"/>
        </w:rPr>
      </w:pPr>
      <w:hyperlink w:anchor="_Toc466885903" w:history="1">
        <w:r w:rsidR="005F4FDE" w:rsidRPr="009F5730">
          <w:rPr>
            <w:rStyle w:val="Hyperlink"/>
          </w:rPr>
          <w:t>LITERATURE CITED</w:t>
        </w:r>
        <w:r w:rsidR="005F4FDE">
          <w:rPr>
            <w:noProof/>
            <w:webHidden/>
          </w:rPr>
          <w:tab/>
        </w:r>
        <w:r w:rsidR="005F4FDE">
          <w:rPr>
            <w:noProof/>
            <w:webHidden/>
          </w:rPr>
          <w:fldChar w:fldCharType="begin"/>
        </w:r>
        <w:r w:rsidR="005F4FDE">
          <w:rPr>
            <w:noProof/>
            <w:webHidden/>
          </w:rPr>
          <w:instrText xml:space="preserve"> PAGEREF _Toc466885903 \h </w:instrText>
        </w:r>
        <w:r w:rsidR="005F4FDE">
          <w:rPr>
            <w:noProof/>
            <w:webHidden/>
          </w:rPr>
        </w:r>
        <w:r w:rsidR="005F4FDE">
          <w:rPr>
            <w:noProof/>
            <w:webHidden/>
          </w:rPr>
          <w:fldChar w:fldCharType="separate"/>
        </w:r>
        <w:r w:rsidR="00470DFB">
          <w:rPr>
            <w:noProof/>
            <w:webHidden/>
          </w:rPr>
          <w:t>29</w:t>
        </w:r>
        <w:r w:rsidR="005F4FDE">
          <w:rPr>
            <w:noProof/>
            <w:webHidden/>
          </w:rPr>
          <w:fldChar w:fldCharType="end"/>
        </w:r>
      </w:hyperlink>
    </w:p>
    <w:p w14:paraId="3B4B1EF0" w14:textId="77777777" w:rsidR="005F4FDE" w:rsidRDefault="001007F9" w:rsidP="00470DFB">
      <w:pPr>
        <w:pStyle w:val="TOC2"/>
        <w:rPr>
          <w:rFonts w:asciiTheme="minorHAnsi" w:eastAsiaTheme="minorEastAsia" w:hAnsiTheme="minorHAnsi" w:cstheme="minorBidi"/>
          <w:noProof/>
          <w:sz w:val="22"/>
          <w:szCs w:val="22"/>
        </w:rPr>
      </w:pPr>
      <w:hyperlink w:anchor="_Toc466885904" w:history="1">
        <w:r w:rsidR="005F4FDE" w:rsidRPr="009F5730">
          <w:rPr>
            <w:rStyle w:val="Hyperlink"/>
          </w:rPr>
          <w:t>APPENDIX  TABLES AND FIGURES</w:t>
        </w:r>
        <w:r w:rsidR="005F4FDE">
          <w:rPr>
            <w:noProof/>
            <w:webHidden/>
          </w:rPr>
          <w:tab/>
        </w:r>
        <w:r w:rsidR="005F4FDE">
          <w:rPr>
            <w:noProof/>
            <w:webHidden/>
          </w:rPr>
          <w:fldChar w:fldCharType="begin"/>
        </w:r>
        <w:r w:rsidR="005F4FDE">
          <w:rPr>
            <w:noProof/>
            <w:webHidden/>
          </w:rPr>
          <w:instrText xml:space="preserve"> PAGEREF _Toc466885904 \h </w:instrText>
        </w:r>
        <w:r w:rsidR="005F4FDE">
          <w:rPr>
            <w:noProof/>
            <w:webHidden/>
          </w:rPr>
        </w:r>
        <w:r w:rsidR="005F4FDE">
          <w:rPr>
            <w:noProof/>
            <w:webHidden/>
          </w:rPr>
          <w:fldChar w:fldCharType="separate"/>
        </w:r>
        <w:r w:rsidR="00470DFB">
          <w:rPr>
            <w:noProof/>
            <w:webHidden/>
          </w:rPr>
          <w:t>34</w:t>
        </w:r>
        <w:r w:rsidR="005F4FDE">
          <w:rPr>
            <w:noProof/>
            <w:webHidden/>
          </w:rPr>
          <w:fldChar w:fldCharType="end"/>
        </w:r>
      </w:hyperlink>
    </w:p>
    <w:p w14:paraId="453D1D47" w14:textId="08D8F185" w:rsidR="005F4FDE" w:rsidRPr="005F4FDE" w:rsidRDefault="001007F9" w:rsidP="000720CB">
      <w:pPr>
        <w:pStyle w:val="TOC1"/>
        <w:tabs>
          <w:tab w:val="clear" w:pos="8630"/>
          <w:tab w:val="right" w:leader="dot" w:pos="9360"/>
        </w:tabs>
        <w:spacing w:line="360" w:lineRule="auto"/>
        <w:ind w:right="0"/>
        <w:rPr>
          <w:rFonts w:cstheme="minorHAnsi"/>
          <w:caps/>
          <w:color w:val="0000FF"/>
          <w:u w:val="single"/>
        </w:rPr>
      </w:pPr>
      <w:hyperlink w:anchor="_Toc466885905" w:history="1">
        <w:r w:rsidR="005F4FDE" w:rsidRPr="009F5730">
          <w:rPr>
            <w:rStyle w:val="Hyperlink"/>
          </w:rPr>
          <w:t>CHAPTER III  Influence of spray rate volume and adjuvants on fungicidal control of large patch (rhizoctonia solani) and spray deposition characterstics</w:t>
        </w:r>
        <w:r w:rsidR="005F4FDE">
          <w:rPr>
            <w:webHidden/>
          </w:rPr>
          <w:tab/>
        </w:r>
        <w:r w:rsidR="005F4FDE">
          <w:rPr>
            <w:webHidden/>
          </w:rPr>
          <w:fldChar w:fldCharType="begin"/>
        </w:r>
        <w:r w:rsidR="005F4FDE">
          <w:rPr>
            <w:webHidden/>
          </w:rPr>
          <w:instrText xml:space="preserve"> PAGEREF _Toc466885905 \h </w:instrText>
        </w:r>
        <w:r w:rsidR="005F4FDE">
          <w:rPr>
            <w:webHidden/>
          </w:rPr>
        </w:r>
        <w:r w:rsidR="005F4FDE">
          <w:rPr>
            <w:webHidden/>
          </w:rPr>
          <w:fldChar w:fldCharType="separate"/>
        </w:r>
        <w:r w:rsidR="00470DFB">
          <w:rPr>
            <w:webHidden/>
          </w:rPr>
          <w:t>41</w:t>
        </w:r>
        <w:r w:rsidR="005F4FDE">
          <w:rPr>
            <w:webHidden/>
          </w:rPr>
          <w:fldChar w:fldCharType="end"/>
        </w:r>
      </w:hyperlink>
    </w:p>
    <w:p w14:paraId="207A5302" w14:textId="77777777" w:rsidR="005F4FDE" w:rsidRDefault="001007F9" w:rsidP="00470DFB">
      <w:pPr>
        <w:pStyle w:val="TOC2"/>
        <w:rPr>
          <w:rFonts w:asciiTheme="minorHAnsi" w:eastAsiaTheme="minorEastAsia" w:hAnsiTheme="minorHAnsi" w:cstheme="minorBidi"/>
          <w:noProof/>
          <w:sz w:val="22"/>
          <w:szCs w:val="22"/>
        </w:rPr>
      </w:pPr>
      <w:hyperlink w:anchor="_Toc466885906" w:history="1">
        <w:r w:rsidR="005F4FDE" w:rsidRPr="009F5730">
          <w:rPr>
            <w:rStyle w:val="Hyperlink"/>
          </w:rPr>
          <w:t>ABSTRACT</w:t>
        </w:r>
        <w:r w:rsidR="005F4FDE">
          <w:rPr>
            <w:noProof/>
            <w:webHidden/>
          </w:rPr>
          <w:tab/>
        </w:r>
        <w:r w:rsidR="005F4FDE">
          <w:rPr>
            <w:noProof/>
            <w:webHidden/>
          </w:rPr>
          <w:fldChar w:fldCharType="begin"/>
        </w:r>
        <w:r w:rsidR="005F4FDE">
          <w:rPr>
            <w:noProof/>
            <w:webHidden/>
          </w:rPr>
          <w:instrText xml:space="preserve"> PAGEREF _Toc466885906 \h </w:instrText>
        </w:r>
        <w:r w:rsidR="005F4FDE">
          <w:rPr>
            <w:noProof/>
            <w:webHidden/>
          </w:rPr>
        </w:r>
        <w:r w:rsidR="005F4FDE">
          <w:rPr>
            <w:noProof/>
            <w:webHidden/>
          </w:rPr>
          <w:fldChar w:fldCharType="separate"/>
        </w:r>
        <w:r w:rsidR="00470DFB">
          <w:rPr>
            <w:noProof/>
            <w:webHidden/>
          </w:rPr>
          <w:t>42</w:t>
        </w:r>
        <w:r w:rsidR="005F4FDE">
          <w:rPr>
            <w:noProof/>
            <w:webHidden/>
          </w:rPr>
          <w:fldChar w:fldCharType="end"/>
        </w:r>
      </w:hyperlink>
    </w:p>
    <w:p w14:paraId="0FCF4720" w14:textId="77777777" w:rsidR="005F4FDE" w:rsidRDefault="001007F9" w:rsidP="00470DFB">
      <w:pPr>
        <w:pStyle w:val="TOC2"/>
        <w:rPr>
          <w:rFonts w:asciiTheme="minorHAnsi" w:eastAsiaTheme="minorEastAsia" w:hAnsiTheme="minorHAnsi" w:cstheme="minorBidi"/>
          <w:noProof/>
          <w:sz w:val="22"/>
          <w:szCs w:val="22"/>
        </w:rPr>
      </w:pPr>
      <w:hyperlink w:anchor="_Toc466885907" w:history="1">
        <w:r w:rsidR="005F4FDE" w:rsidRPr="009F5730">
          <w:rPr>
            <w:rStyle w:val="Hyperlink"/>
          </w:rPr>
          <w:t>Introduction</w:t>
        </w:r>
        <w:r w:rsidR="005F4FDE">
          <w:rPr>
            <w:noProof/>
            <w:webHidden/>
          </w:rPr>
          <w:tab/>
        </w:r>
        <w:r w:rsidR="005F4FDE">
          <w:rPr>
            <w:noProof/>
            <w:webHidden/>
          </w:rPr>
          <w:fldChar w:fldCharType="begin"/>
        </w:r>
        <w:r w:rsidR="005F4FDE">
          <w:rPr>
            <w:noProof/>
            <w:webHidden/>
          </w:rPr>
          <w:instrText xml:space="preserve"> PAGEREF _Toc466885907 \h </w:instrText>
        </w:r>
        <w:r w:rsidR="005F4FDE">
          <w:rPr>
            <w:noProof/>
            <w:webHidden/>
          </w:rPr>
        </w:r>
        <w:r w:rsidR="005F4FDE">
          <w:rPr>
            <w:noProof/>
            <w:webHidden/>
          </w:rPr>
          <w:fldChar w:fldCharType="separate"/>
        </w:r>
        <w:r w:rsidR="00470DFB">
          <w:rPr>
            <w:noProof/>
            <w:webHidden/>
          </w:rPr>
          <w:t>43</w:t>
        </w:r>
        <w:r w:rsidR="005F4FDE">
          <w:rPr>
            <w:noProof/>
            <w:webHidden/>
          </w:rPr>
          <w:fldChar w:fldCharType="end"/>
        </w:r>
      </w:hyperlink>
    </w:p>
    <w:p w14:paraId="1DE85079" w14:textId="77777777" w:rsidR="005F4FDE" w:rsidRDefault="001007F9" w:rsidP="00470DFB">
      <w:pPr>
        <w:pStyle w:val="TOC2"/>
        <w:rPr>
          <w:rFonts w:asciiTheme="minorHAnsi" w:eastAsiaTheme="minorEastAsia" w:hAnsiTheme="minorHAnsi" w:cstheme="minorBidi"/>
          <w:noProof/>
          <w:sz w:val="22"/>
          <w:szCs w:val="22"/>
        </w:rPr>
      </w:pPr>
      <w:hyperlink w:anchor="_Toc466885908" w:history="1">
        <w:r w:rsidR="005F4FDE" w:rsidRPr="009F5730">
          <w:rPr>
            <w:rStyle w:val="Hyperlink"/>
          </w:rPr>
          <w:t>Materials and Methods</w:t>
        </w:r>
        <w:r w:rsidR="005F4FDE">
          <w:rPr>
            <w:noProof/>
            <w:webHidden/>
          </w:rPr>
          <w:tab/>
        </w:r>
        <w:r w:rsidR="005F4FDE">
          <w:rPr>
            <w:noProof/>
            <w:webHidden/>
          </w:rPr>
          <w:fldChar w:fldCharType="begin"/>
        </w:r>
        <w:r w:rsidR="005F4FDE">
          <w:rPr>
            <w:noProof/>
            <w:webHidden/>
          </w:rPr>
          <w:instrText xml:space="preserve"> PAGEREF _Toc466885908 \h </w:instrText>
        </w:r>
        <w:r w:rsidR="005F4FDE">
          <w:rPr>
            <w:noProof/>
            <w:webHidden/>
          </w:rPr>
        </w:r>
        <w:r w:rsidR="005F4FDE">
          <w:rPr>
            <w:noProof/>
            <w:webHidden/>
          </w:rPr>
          <w:fldChar w:fldCharType="separate"/>
        </w:r>
        <w:r w:rsidR="00470DFB">
          <w:rPr>
            <w:noProof/>
            <w:webHidden/>
          </w:rPr>
          <w:t>47</w:t>
        </w:r>
        <w:r w:rsidR="005F4FDE">
          <w:rPr>
            <w:noProof/>
            <w:webHidden/>
          </w:rPr>
          <w:fldChar w:fldCharType="end"/>
        </w:r>
      </w:hyperlink>
    </w:p>
    <w:p w14:paraId="6A18FEAD" w14:textId="77777777" w:rsidR="005F4FDE" w:rsidRDefault="001007F9" w:rsidP="00470DFB">
      <w:pPr>
        <w:pStyle w:val="TOC2"/>
        <w:rPr>
          <w:rFonts w:asciiTheme="minorHAnsi" w:eastAsiaTheme="minorEastAsia" w:hAnsiTheme="minorHAnsi" w:cstheme="minorBidi"/>
          <w:noProof/>
          <w:sz w:val="22"/>
          <w:szCs w:val="22"/>
        </w:rPr>
      </w:pPr>
      <w:hyperlink w:anchor="_Toc466885923" w:history="1">
        <w:r w:rsidR="005F4FDE" w:rsidRPr="009F5730">
          <w:rPr>
            <w:rStyle w:val="Hyperlink"/>
          </w:rPr>
          <w:t>Results</w:t>
        </w:r>
        <w:r w:rsidR="005F4FDE">
          <w:rPr>
            <w:noProof/>
            <w:webHidden/>
          </w:rPr>
          <w:tab/>
        </w:r>
        <w:r w:rsidR="005F4FDE">
          <w:rPr>
            <w:noProof/>
            <w:webHidden/>
          </w:rPr>
          <w:fldChar w:fldCharType="begin"/>
        </w:r>
        <w:r w:rsidR="005F4FDE">
          <w:rPr>
            <w:noProof/>
            <w:webHidden/>
          </w:rPr>
          <w:instrText xml:space="preserve"> PAGEREF _Toc466885923 \h </w:instrText>
        </w:r>
        <w:r w:rsidR="005F4FDE">
          <w:rPr>
            <w:noProof/>
            <w:webHidden/>
          </w:rPr>
        </w:r>
        <w:r w:rsidR="005F4FDE">
          <w:rPr>
            <w:noProof/>
            <w:webHidden/>
          </w:rPr>
          <w:fldChar w:fldCharType="separate"/>
        </w:r>
        <w:r w:rsidR="00470DFB">
          <w:rPr>
            <w:noProof/>
            <w:webHidden/>
          </w:rPr>
          <w:t>54</w:t>
        </w:r>
        <w:r w:rsidR="005F4FDE">
          <w:rPr>
            <w:noProof/>
            <w:webHidden/>
          </w:rPr>
          <w:fldChar w:fldCharType="end"/>
        </w:r>
      </w:hyperlink>
    </w:p>
    <w:p w14:paraId="44F27D7D" w14:textId="77777777" w:rsidR="005F4FDE" w:rsidRDefault="001007F9" w:rsidP="00470DFB">
      <w:pPr>
        <w:pStyle w:val="TOC2"/>
        <w:rPr>
          <w:rFonts w:asciiTheme="minorHAnsi" w:eastAsiaTheme="minorEastAsia" w:hAnsiTheme="minorHAnsi" w:cstheme="minorBidi"/>
          <w:noProof/>
          <w:sz w:val="22"/>
          <w:szCs w:val="22"/>
        </w:rPr>
      </w:pPr>
      <w:hyperlink w:anchor="_Toc466885927" w:history="1">
        <w:r w:rsidR="005F4FDE" w:rsidRPr="009F5730">
          <w:rPr>
            <w:rStyle w:val="Hyperlink"/>
          </w:rPr>
          <w:t>Discussion</w:t>
        </w:r>
        <w:r w:rsidR="005F4FDE">
          <w:rPr>
            <w:noProof/>
            <w:webHidden/>
          </w:rPr>
          <w:tab/>
        </w:r>
        <w:r w:rsidR="005F4FDE">
          <w:rPr>
            <w:noProof/>
            <w:webHidden/>
          </w:rPr>
          <w:fldChar w:fldCharType="begin"/>
        </w:r>
        <w:r w:rsidR="005F4FDE">
          <w:rPr>
            <w:noProof/>
            <w:webHidden/>
          </w:rPr>
          <w:instrText xml:space="preserve"> PAGEREF _Toc466885927 \h </w:instrText>
        </w:r>
        <w:r w:rsidR="005F4FDE">
          <w:rPr>
            <w:noProof/>
            <w:webHidden/>
          </w:rPr>
        </w:r>
        <w:r w:rsidR="005F4FDE">
          <w:rPr>
            <w:noProof/>
            <w:webHidden/>
          </w:rPr>
          <w:fldChar w:fldCharType="separate"/>
        </w:r>
        <w:r w:rsidR="00470DFB">
          <w:rPr>
            <w:noProof/>
            <w:webHidden/>
          </w:rPr>
          <w:t>58</w:t>
        </w:r>
        <w:r w:rsidR="005F4FDE">
          <w:rPr>
            <w:noProof/>
            <w:webHidden/>
          </w:rPr>
          <w:fldChar w:fldCharType="end"/>
        </w:r>
      </w:hyperlink>
    </w:p>
    <w:p w14:paraId="25C508F7" w14:textId="77777777" w:rsidR="005F4FDE" w:rsidRDefault="001007F9" w:rsidP="00470DFB">
      <w:pPr>
        <w:pStyle w:val="TOC2"/>
        <w:rPr>
          <w:rFonts w:asciiTheme="minorHAnsi" w:eastAsiaTheme="minorEastAsia" w:hAnsiTheme="minorHAnsi" w:cstheme="minorBidi"/>
          <w:noProof/>
          <w:sz w:val="22"/>
          <w:szCs w:val="22"/>
        </w:rPr>
      </w:pPr>
      <w:hyperlink w:anchor="_Toc466885928" w:history="1">
        <w:r w:rsidR="005F4FDE" w:rsidRPr="009F5730">
          <w:rPr>
            <w:rStyle w:val="Hyperlink"/>
          </w:rPr>
          <w:t>Acknowledgements</w:t>
        </w:r>
        <w:r w:rsidR="005F4FDE">
          <w:rPr>
            <w:noProof/>
            <w:webHidden/>
          </w:rPr>
          <w:tab/>
        </w:r>
        <w:r w:rsidR="005F4FDE">
          <w:rPr>
            <w:noProof/>
            <w:webHidden/>
          </w:rPr>
          <w:fldChar w:fldCharType="begin"/>
        </w:r>
        <w:r w:rsidR="005F4FDE">
          <w:rPr>
            <w:noProof/>
            <w:webHidden/>
          </w:rPr>
          <w:instrText xml:space="preserve"> PAGEREF _Toc466885928 \h </w:instrText>
        </w:r>
        <w:r w:rsidR="005F4FDE">
          <w:rPr>
            <w:noProof/>
            <w:webHidden/>
          </w:rPr>
        </w:r>
        <w:r w:rsidR="005F4FDE">
          <w:rPr>
            <w:noProof/>
            <w:webHidden/>
          </w:rPr>
          <w:fldChar w:fldCharType="separate"/>
        </w:r>
        <w:r w:rsidR="00470DFB">
          <w:rPr>
            <w:noProof/>
            <w:webHidden/>
          </w:rPr>
          <w:t>61</w:t>
        </w:r>
        <w:r w:rsidR="005F4FDE">
          <w:rPr>
            <w:noProof/>
            <w:webHidden/>
          </w:rPr>
          <w:fldChar w:fldCharType="end"/>
        </w:r>
      </w:hyperlink>
    </w:p>
    <w:p w14:paraId="12F5BC6E" w14:textId="77777777" w:rsidR="005F4FDE" w:rsidRDefault="001007F9" w:rsidP="00470DFB">
      <w:pPr>
        <w:pStyle w:val="TOC2"/>
        <w:rPr>
          <w:rFonts w:asciiTheme="minorHAnsi" w:eastAsiaTheme="minorEastAsia" w:hAnsiTheme="minorHAnsi" w:cstheme="minorBidi"/>
          <w:noProof/>
          <w:sz w:val="22"/>
          <w:szCs w:val="22"/>
        </w:rPr>
      </w:pPr>
      <w:hyperlink w:anchor="_Toc466885929" w:history="1">
        <w:r w:rsidR="005F4FDE" w:rsidRPr="009F5730">
          <w:rPr>
            <w:rStyle w:val="Hyperlink"/>
          </w:rPr>
          <w:t>LITERATURE CITED</w:t>
        </w:r>
        <w:r w:rsidR="005F4FDE">
          <w:rPr>
            <w:noProof/>
            <w:webHidden/>
          </w:rPr>
          <w:tab/>
        </w:r>
        <w:r w:rsidR="005F4FDE">
          <w:rPr>
            <w:noProof/>
            <w:webHidden/>
          </w:rPr>
          <w:fldChar w:fldCharType="begin"/>
        </w:r>
        <w:r w:rsidR="005F4FDE">
          <w:rPr>
            <w:noProof/>
            <w:webHidden/>
          </w:rPr>
          <w:instrText xml:space="preserve"> PAGEREF _Toc466885929 \h </w:instrText>
        </w:r>
        <w:r w:rsidR="005F4FDE">
          <w:rPr>
            <w:noProof/>
            <w:webHidden/>
          </w:rPr>
        </w:r>
        <w:r w:rsidR="005F4FDE">
          <w:rPr>
            <w:noProof/>
            <w:webHidden/>
          </w:rPr>
          <w:fldChar w:fldCharType="separate"/>
        </w:r>
        <w:r w:rsidR="00470DFB">
          <w:rPr>
            <w:noProof/>
            <w:webHidden/>
          </w:rPr>
          <w:t>62</w:t>
        </w:r>
        <w:r w:rsidR="005F4FDE">
          <w:rPr>
            <w:noProof/>
            <w:webHidden/>
          </w:rPr>
          <w:fldChar w:fldCharType="end"/>
        </w:r>
      </w:hyperlink>
    </w:p>
    <w:p w14:paraId="784A937C" w14:textId="77777777" w:rsidR="005F4FDE" w:rsidRDefault="001007F9" w:rsidP="00470DFB">
      <w:pPr>
        <w:pStyle w:val="TOC2"/>
        <w:rPr>
          <w:rFonts w:asciiTheme="minorHAnsi" w:eastAsiaTheme="minorEastAsia" w:hAnsiTheme="minorHAnsi" w:cstheme="minorBidi"/>
          <w:noProof/>
          <w:sz w:val="22"/>
          <w:szCs w:val="22"/>
        </w:rPr>
      </w:pPr>
      <w:hyperlink w:anchor="_Toc466885930" w:history="1">
        <w:r w:rsidR="005F4FDE" w:rsidRPr="009F5730">
          <w:rPr>
            <w:rStyle w:val="Hyperlink"/>
          </w:rPr>
          <w:t>APPENDIX  TABLES AND FIGURES</w:t>
        </w:r>
        <w:r w:rsidR="005F4FDE">
          <w:rPr>
            <w:noProof/>
            <w:webHidden/>
          </w:rPr>
          <w:tab/>
        </w:r>
        <w:r w:rsidR="005F4FDE">
          <w:rPr>
            <w:noProof/>
            <w:webHidden/>
          </w:rPr>
          <w:fldChar w:fldCharType="begin"/>
        </w:r>
        <w:r w:rsidR="005F4FDE">
          <w:rPr>
            <w:noProof/>
            <w:webHidden/>
          </w:rPr>
          <w:instrText xml:space="preserve"> PAGEREF _Toc466885930 \h </w:instrText>
        </w:r>
        <w:r w:rsidR="005F4FDE">
          <w:rPr>
            <w:noProof/>
            <w:webHidden/>
          </w:rPr>
        </w:r>
        <w:r w:rsidR="005F4FDE">
          <w:rPr>
            <w:noProof/>
            <w:webHidden/>
          </w:rPr>
          <w:fldChar w:fldCharType="separate"/>
        </w:r>
        <w:r w:rsidR="00470DFB">
          <w:rPr>
            <w:noProof/>
            <w:webHidden/>
          </w:rPr>
          <w:t>66</w:t>
        </w:r>
        <w:r w:rsidR="005F4FDE">
          <w:rPr>
            <w:noProof/>
            <w:webHidden/>
          </w:rPr>
          <w:fldChar w:fldCharType="end"/>
        </w:r>
      </w:hyperlink>
    </w:p>
    <w:p w14:paraId="6008FFD8" w14:textId="77777777" w:rsidR="005F4FDE" w:rsidRDefault="001007F9" w:rsidP="00470DFB">
      <w:pPr>
        <w:pStyle w:val="TOC2"/>
        <w:rPr>
          <w:rFonts w:asciiTheme="minorHAnsi" w:eastAsiaTheme="minorEastAsia" w:hAnsiTheme="minorHAnsi" w:cstheme="minorBidi"/>
          <w:noProof/>
          <w:sz w:val="22"/>
          <w:szCs w:val="22"/>
        </w:rPr>
      </w:pPr>
      <w:hyperlink w:anchor="_Toc466885931" w:history="1">
        <w:r w:rsidR="005F4FDE" w:rsidRPr="000720CB">
          <w:rPr>
            <w:rStyle w:val="Hyperlink"/>
            <w:b/>
          </w:rPr>
          <w:t>CHAPTER IV  CONCLUSIONS</w:t>
        </w:r>
        <w:r w:rsidR="005F4FDE" w:rsidRPr="00470DFB">
          <w:rPr>
            <w:b/>
            <w:noProof/>
            <w:webHidden/>
          </w:rPr>
          <w:tab/>
        </w:r>
        <w:r w:rsidR="005F4FDE" w:rsidRPr="00470DFB">
          <w:rPr>
            <w:b/>
            <w:noProof/>
            <w:webHidden/>
          </w:rPr>
          <w:fldChar w:fldCharType="begin"/>
        </w:r>
        <w:r w:rsidR="005F4FDE" w:rsidRPr="00470DFB">
          <w:rPr>
            <w:b/>
            <w:noProof/>
            <w:webHidden/>
          </w:rPr>
          <w:instrText xml:space="preserve"> PAGEREF _Toc466885931 \h </w:instrText>
        </w:r>
        <w:r w:rsidR="005F4FDE" w:rsidRPr="00470DFB">
          <w:rPr>
            <w:b/>
            <w:noProof/>
            <w:webHidden/>
          </w:rPr>
        </w:r>
        <w:r w:rsidR="005F4FDE" w:rsidRPr="00470DFB">
          <w:rPr>
            <w:b/>
            <w:noProof/>
            <w:webHidden/>
          </w:rPr>
          <w:fldChar w:fldCharType="separate"/>
        </w:r>
        <w:r w:rsidR="00470DFB">
          <w:rPr>
            <w:b/>
            <w:noProof/>
            <w:webHidden/>
          </w:rPr>
          <w:t>81</w:t>
        </w:r>
        <w:r w:rsidR="005F4FDE" w:rsidRPr="00470DFB">
          <w:rPr>
            <w:b/>
            <w:noProof/>
            <w:webHidden/>
          </w:rPr>
          <w:fldChar w:fldCharType="end"/>
        </w:r>
      </w:hyperlink>
    </w:p>
    <w:p w14:paraId="544BEECA" w14:textId="77777777" w:rsidR="005F4FDE" w:rsidRDefault="001007F9" w:rsidP="00470DFB">
      <w:pPr>
        <w:pStyle w:val="TOC2"/>
        <w:rPr>
          <w:rFonts w:asciiTheme="minorHAnsi" w:eastAsiaTheme="minorEastAsia" w:hAnsiTheme="minorHAnsi" w:cstheme="minorBidi"/>
          <w:noProof/>
          <w:sz w:val="22"/>
          <w:szCs w:val="22"/>
        </w:rPr>
      </w:pPr>
      <w:hyperlink w:anchor="_Toc466885932" w:history="1">
        <w:r w:rsidR="005F4FDE" w:rsidRPr="009F5730">
          <w:rPr>
            <w:rStyle w:val="Hyperlink"/>
          </w:rPr>
          <w:t>CONCLUSIONS</w:t>
        </w:r>
        <w:r w:rsidR="005F4FDE">
          <w:rPr>
            <w:noProof/>
            <w:webHidden/>
          </w:rPr>
          <w:tab/>
        </w:r>
        <w:r w:rsidR="005F4FDE">
          <w:rPr>
            <w:noProof/>
            <w:webHidden/>
          </w:rPr>
          <w:fldChar w:fldCharType="begin"/>
        </w:r>
        <w:r w:rsidR="005F4FDE">
          <w:rPr>
            <w:noProof/>
            <w:webHidden/>
          </w:rPr>
          <w:instrText xml:space="preserve"> PAGEREF _Toc466885932 \h </w:instrText>
        </w:r>
        <w:r w:rsidR="005F4FDE">
          <w:rPr>
            <w:noProof/>
            <w:webHidden/>
          </w:rPr>
        </w:r>
        <w:r w:rsidR="005F4FDE">
          <w:rPr>
            <w:noProof/>
            <w:webHidden/>
          </w:rPr>
          <w:fldChar w:fldCharType="separate"/>
        </w:r>
        <w:r w:rsidR="00470DFB">
          <w:rPr>
            <w:noProof/>
            <w:webHidden/>
          </w:rPr>
          <w:t>82</w:t>
        </w:r>
        <w:r w:rsidR="005F4FDE">
          <w:rPr>
            <w:noProof/>
            <w:webHidden/>
          </w:rPr>
          <w:fldChar w:fldCharType="end"/>
        </w:r>
      </w:hyperlink>
    </w:p>
    <w:p w14:paraId="001495C0" w14:textId="77777777" w:rsidR="005F4FDE" w:rsidRPr="00470DFB" w:rsidRDefault="001007F9" w:rsidP="00470DFB">
      <w:pPr>
        <w:pStyle w:val="TOC2"/>
        <w:rPr>
          <w:rFonts w:asciiTheme="minorHAnsi" w:eastAsiaTheme="minorEastAsia" w:hAnsiTheme="minorHAnsi" w:cstheme="minorBidi"/>
          <w:noProof/>
          <w:sz w:val="22"/>
          <w:szCs w:val="22"/>
        </w:rPr>
      </w:pPr>
      <w:hyperlink w:anchor="_Toc466885933" w:history="1">
        <w:r w:rsidR="005F4FDE" w:rsidRPr="00470DFB">
          <w:rPr>
            <w:rStyle w:val="Hyperlink"/>
            <w:b/>
          </w:rPr>
          <w:t>VITA</w:t>
        </w:r>
        <w:r w:rsidR="005F4FDE" w:rsidRPr="00470DFB">
          <w:rPr>
            <w:b/>
            <w:noProof/>
            <w:webHidden/>
          </w:rPr>
          <w:tab/>
        </w:r>
        <w:r w:rsidR="005F4FDE" w:rsidRPr="00470DFB">
          <w:rPr>
            <w:b/>
            <w:noProof/>
            <w:webHidden/>
          </w:rPr>
          <w:fldChar w:fldCharType="begin"/>
        </w:r>
        <w:r w:rsidR="005F4FDE" w:rsidRPr="00470DFB">
          <w:rPr>
            <w:b/>
            <w:noProof/>
            <w:webHidden/>
          </w:rPr>
          <w:instrText xml:space="preserve"> PAGEREF _Toc466885933 \h </w:instrText>
        </w:r>
        <w:r w:rsidR="005F4FDE" w:rsidRPr="00470DFB">
          <w:rPr>
            <w:b/>
            <w:noProof/>
            <w:webHidden/>
          </w:rPr>
        </w:r>
        <w:r w:rsidR="005F4FDE" w:rsidRPr="00470DFB">
          <w:rPr>
            <w:b/>
            <w:noProof/>
            <w:webHidden/>
          </w:rPr>
          <w:fldChar w:fldCharType="separate"/>
        </w:r>
        <w:r w:rsidR="00470DFB">
          <w:rPr>
            <w:b/>
            <w:noProof/>
            <w:webHidden/>
          </w:rPr>
          <w:t>85</w:t>
        </w:r>
        <w:r w:rsidR="005F4FDE" w:rsidRPr="00470DFB">
          <w:rPr>
            <w:b/>
            <w:noProof/>
            <w:webHidden/>
          </w:rPr>
          <w:fldChar w:fldCharType="end"/>
        </w:r>
      </w:hyperlink>
    </w:p>
    <w:p w14:paraId="6D2BDC11" w14:textId="77777777" w:rsidR="00213EEF" w:rsidRDefault="00213EEF" w:rsidP="00213EEF">
      <w:pPr>
        <w:numPr>
          <w:ilvl w:val="12"/>
          <w:numId w:val="0"/>
        </w:numPr>
        <w:jc w:val="center"/>
        <w:rPr>
          <w:rFonts w:ascii="Arial" w:hAnsi="Arial" w:cs="Arial"/>
          <w:b/>
          <w:bCs/>
          <w:sz w:val="28"/>
          <w:szCs w:val="28"/>
        </w:rPr>
      </w:pPr>
      <w:r>
        <w:fldChar w:fldCharType="end"/>
      </w:r>
      <w:r>
        <w:rPr>
          <w:rFonts w:ascii="Arial" w:hAnsi="Arial" w:cs="Arial"/>
          <w:b/>
          <w:bCs/>
          <w:sz w:val="28"/>
          <w:szCs w:val="28"/>
        </w:rPr>
        <w:t xml:space="preserve"> </w:t>
      </w:r>
    </w:p>
    <w:p w14:paraId="46A67AA0" w14:textId="77777777" w:rsidR="00213EEF" w:rsidRDefault="00213EEF" w:rsidP="00213EEF">
      <w:pPr>
        <w:numPr>
          <w:ilvl w:val="12"/>
          <w:numId w:val="0"/>
        </w:numPr>
        <w:jc w:val="center"/>
        <w:rPr>
          <w:rFonts w:ascii="Arial" w:hAnsi="Arial" w:cs="Arial"/>
          <w:b/>
          <w:bCs/>
          <w:sz w:val="28"/>
          <w:szCs w:val="28"/>
        </w:rPr>
      </w:pPr>
    </w:p>
    <w:p w14:paraId="7BBB2F1A" w14:textId="77777777" w:rsidR="00213EEF" w:rsidRDefault="00213EEF" w:rsidP="00213EEF">
      <w:pPr>
        <w:numPr>
          <w:ilvl w:val="12"/>
          <w:numId w:val="0"/>
        </w:numPr>
        <w:jc w:val="center"/>
        <w:rPr>
          <w:rFonts w:ascii="Arial" w:hAnsi="Arial" w:cs="Arial"/>
          <w:b/>
          <w:bCs/>
          <w:sz w:val="28"/>
          <w:szCs w:val="28"/>
        </w:rPr>
      </w:pPr>
    </w:p>
    <w:p w14:paraId="570AF6A0" w14:textId="77777777" w:rsidR="00213EEF" w:rsidRDefault="00213EEF" w:rsidP="00213EEF">
      <w:pPr>
        <w:numPr>
          <w:ilvl w:val="12"/>
          <w:numId w:val="0"/>
        </w:numPr>
        <w:jc w:val="center"/>
        <w:rPr>
          <w:rFonts w:ascii="Arial" w:hAnsi="Arial" w:cs="Arial"/>
          <w:b/>
          <w:bCs/>
          <w:sz w:val="28"/>
          <w:szCs w:val="28"/>
        </w:rPr>
      </w:pPr>
    </w:p>
    <w:p w14:paraId="5AA42D78" w14:textId="77777777" w:rsidR="00213EEF" w:rsidRDefault="00213EEF" w:rsidP="00213EEF">
      <w:pPr>
        <w:numPr>
          <w:ilvl w:val="12"/>
          <w:numId w:val="0"/>
        </w:numPr>
        <w:jc w:val="center"/>
        <w:rPr>
          <w:rFonts w:ascii="Arial" w:hAnsi="Arial" w:cs="Arial"/>
          <w:b/>
          <w:bCs/>
          <w:sz w:val="28"/>
          <w:szCs w:val="28"/>
        </w:rPr>
      </w:pPr>
    </w:p>
    <w:p w14:paraId="67712A29" w14:textId="77777777" w:rsidR="007F4ACA" w:rsidRDefault="007F4ACA" w:rsidP="00213EEF">
      <w:pPr>
        <w:numPr>
          <w:ilvl w:val="12"/>
          <w:numId w:val="0"/>
        </w:numPr>
        <w:jc w:val="center"/>
        <w:rPr>
          <w:rFonts w:ascii="Arial" w:hAnsi="Arial" w:cs="Arial"/>
          <w:b/>
          <w:bCs/>
          <w:sz w:val="28"/>
          <w:szCs w:val="28"/>
        </w:rPr>
      </w:pPr>
    </w:p>
    <w:p w14:paraId="5F0331EB" w14:textId="77777777" w:rsidR="00DD416B" w:rsidRDefault="00DD416B" w:rsidP="00213EEF">
      <w:pPr>
        <w:numPr>
          <w:ilvl w:val="12"/>
          <w:numId w:val="0"/>
        </w:numPr>
        <w:jc w:val="center"/>
        <w:rPr>
          <w:rFonts w:ascii="Arial" w:hAnsi="Arial" w:cs="Arial"/>
          <w:b/>
          <w:bCs/>
          <w:sz w:val="28"/>
          <w:szCs w:val="28"/>
        </w:rPr>
      </w:pPr>
    </w:p>
    <w:p w14:paraId="189EEF39" w14:textId="77777777" w:rsidR="00DD416B" w:rsidRDefault="00DD416B" w:rsidP="00213EEF">
      <w:pPr>
        <w:numPr>
          <w:ilvl w:val="12"/>
          <w:numId w:val="0"/>
        </w:numPr>
        <w:jc w:val="center"/>
        <w:rPr>
          <w:rFonts w:ascii="Arial" w:hAnsi="Arial" w:cs="Arial"/>
          <w:b/>
          <w:bCs/>
          <w:sz w:val="28"/>
          <w:szCs w:val="28"/>
        </w:rPr>
      </w:pPr>
    </w:p>
    <w:p w14:paraId="244C11EF" w14:textId="77777777" w:rsidR="00DD416B" w:rsidRDefault="00DD416B" w:rsidP="00213EEF">
      <w:pPr>
        <w:numPr>
          <w:ilvl w:val="12"/>
          <w:numId w:val="0"/>
        </w:numPr>
        <w:jc w:val="center"/>
        <w:rPr>
          <w:rFonts w:ascii="Arial" w:hAnsi="Arial" w:cs="Arial"/>
          <w:b/>
          <w:bCs/>
          <w:sz w:val="28"/>
          <w:szCs w:val="28"/>
        </w:rPr>
      </w:pPr>
    </w:p>
    <w:p w14:paraId="0E2C5D26" w14:textId="77777777" w:rsidR="001F55F1" w:rsidRDefault="001F55F1" w:rsidP="00213EEF">
      <w:pPr>
        <w:numPr>
          <w:ilvl w:val="12"/>
          <w:numId w:val="0"/>
        </w:numPr>
        <w:jc w:val="center"/>
        <w:rPr>
          <w:rFonts w:ascii="Arial" w:hAnsi="Arial" w:cs="Arial"/>
          <w:b/>
          <w:bCs/>
          <w:sz w:val="28"/>
          <w:szCs w:val="28"/>
        </w:rPr>
      </w:pPr>
    </w:p>
    <w:p w14:paraId="56FE3506" w14:textId="77777777" w:rsidR="001F55F1" w:rsidRDefault="001F55F1" w:rsidP="00213EEF">
      <w:pPr>
        <w:numPr>
          <w:ilvl w:val="12"/>
          <w:numId w:val="0"/>
        </w:numPr>
        <w:jc w:val="center"/>
        <w:rPr>
          <w:rFonts w:ascii="Arial" w:hAnsi="Arial" w:cs="Arial"/>
          <w:b/>
          <w:bCs/>
          <w:sz w:val="28"/>
          <w:szCs w:val="28"/>
        </w:rPr>
      </w:pPr>
    </w:p>
    <w:p w14:paraId="71450630" w14:textId="77777777" w:rsidR="001F55F1" w:rsidRDefault="001F55F1" w:rsidP="00213EEF">
      <w:pPr>
        <w:numPr>
          <w:ilvl w:val="12"/>
          <w:numId w:val="0"/>
        </w:numPr>
        <w:jc w:val="center"/>
        <w:rPr>
          <w:rFonts w:ascii="Arial" w:hAnsi="Arial" w:cs="Arial"/>
          <w:b/>
          <w:bCs/>
          <w:sz w:val="28"/>
          <w:szCs w:val="28"/>
        </w:rPr>
      </w:pPr>
    </w:p>
    <w:p w14:paraId="000B4592" w14:textId="77777777" w:rsidR="001F55F1" w:rsidRDefault="001F55F1" w:rsidP="00213EEF">
      <w:pPr>
        <w:numPr>
          <w:ilvl w:val="12"/>
          <w:numId w:val="0"/>
        </w:numPr>
        <w:jc w:val="center"/>
        <w:rPr>
          <w:rFonts w:ascii="Arial" w:hAnsi="Arial" w:cs="Arial"/>
          <w:b/>
          <w:bCs/>
          <w:sz w:val="28"/>
          <w:szCs w:val="28"/>
        </w:rPr>
      </w:pPr>
    </w:p>
    <w:p w14:paraId="4B789554" w14:textId="77777777" w:rsidR="001F55F1" w:rsidRDefault="001F55F1" w:rsidP="00213EEF">
      <w:pPr>
        <w:numPr>
          <w:ilvl w:val="12"/>
          <w:numId w:val="0"/>
        </w:numPr>
        <w:jc w:val="center"/>
        <w:rPr>
          <w:rFonts w:ascii="Arial" w:hAnsi="Arial" w:cs="Arial"/>
          <w:b/>
          <w:bCs/>
          <w:sz w:val="28"/>
          <w:szCs w:val="28"/>
        </w:rPr>
      </w:pPr>
    </w:p>
    <w:p w14:paraId="6C05A68F" w14:textId="77777777" w:rsidR="001F55F1" w:rsidRDefault="001F55F1" w:rsidP="00213EEF">
      <w:pPr>
        <w:numPr>
          <w:ilvl w:val="12"/>
          <w:numId w:val="0"/>
        </w:numPr>
        <w:jc w:val="center"/>
        <w:rPr>
          <w:rFonts w:ascii="Arial" w:hAnsi="Arial" w:cs="Arial"/>
          <w:b/>
          <w:bCs/>
          <w:sz w:val="28"/>
          <w:szCs w:val="28"/>
        </w:rPr>
      </w:pPr>
    </w:p>
    <w:p w14:paraId="2FD3AAC5" w14:textId="77777777" w:rsidR="001F55F1" w:rsidRDefault="001F55F1" w:rsidP="00213EEF">
      <w:pPr>
        <w:numPr>
          <w:ilvl w:val="12"/>
          <w:numId w:val="0"/>
        </w:numPr>
        <w:jc w:val="center"/>
        <w:rPr>
          <w:rFonts w:ascii="Arial" w:hAnsi="Arial" w:cs="Arial"/>
          <w:b/>
          <w:bCs/>
          <w:sz w:val="28"/>
          <w:szCs w:val="28"/>
        </w:rPr>
      </w:pPr>
    </w:p>
    <w:p w14:paraId="664B13EB" w14:textId="77777777" w:rsidR="001F55F1" w:rsidRDefault="001F55F1" w:rsidP="00213EEF">
      <w:pPr>
        <w:numPr>
          <w:ilvl w:val="12"/>
          <w:numId w:val="0"/>
        </w:numPr>
        <w:jc w:val="center"/>
        <w:rPr>
          <w:rFonts w:ascii="Arial" w:hAnsi="Arial" w:cs="Arial"/>
          <w:b/>
          <w:bCs/>
          <w:sz w:val="28"/>
          <w:szCs w:val="28"/>
        </w:rPr>
      </w:pPr>
    </w:p>
    <w:p w14:paraId="6947FBBB" w14:textId="77777777" w:rsidR="001F55F1" w:rsidRDefault="001F55F1" w:rsidP="00213EEF">
      <w:pPr>
        <w:numPr>
          <w:ilvl w:val="12"/>
          <w:numId w:val="0"/>
        </w:numPr>
        <w:jc w:val="center"/>
        <w:rPr>
          <w:rFonts w:ascii="Arial" w:hAnsi="Arial" w:cs="Arial"/>
          <w:b/>
          <w:bCs/>
          <w:sz w:val="28"/>
          <w:szCs w:val="28"/>
        </w:rPr>
      </w:pPr>
    </w:p>
    <w:p w14:paraId="09911B37" w14:textId="77777777" w:rsidR="001F55F1" w:rsidRDefault="001F55F1" w:rsidP="00213EEF">
      <w:pPr>
        <w:numPr>
          <w:ilvl w:val="12"/>
          <w:numId w:val="0"/>
        </w:numPr>
        <w:jc w:val="center"/>
        <w:rPr>
          <w:rFonts w:ascii="Arial" w:hAnsi="Arial" w:cs="Arial"/>
          <w:b/>
          <w:bCs/>
          <w:sz w:val="28"/>
          <w:szCs w:val="28"/>
        </w:rPr>
      </w:pPr>
    </w:p>
    <w:p w14:paraId="1ECDBE23" w14:textId="77777777" w:rsidR="001F55F1" w:rsidRDefault="001F55F1" w:rsidP="00213EEF">
      <w:pPr>
        <w:numPr>
          <w:ilvl w:val="12"/>
          <w:numId w:val="0"/>
        </w:numPr>
        <w:jc w:val="center"/>
        <w:rPr>
          <w:rFonts w:ascii="Arial" w:hAnsi="Arial" w:cs="Arial"/>
          <w:b/>
          <w:bCs/>
          <w:sz w:val="28"/>
          <w:szCs w:val="28"/>
        </w:rPr>
      </w:pPr>
    </w:p>
    <w:p w14:paraId="5603FE2F" w14:textId="77777777" w:rsidR="001F55F1" w:rsidRDefault="001F55F1" w:rsidP="00213EEF">
      <w:pPr>
        <w:numPr>
          <w:ilvl w:val="12"/>
          <w:numId w:val="0"/>
        </w:numPr>
        <w:jc w:val="center"/>
        <w:rPr>
          <w:rFonts w:ascii="Arial" w:hAnsi="Arial" w:cs="Arial"/>
          <w:b/>
          <w:bCs/>
          <w:sz w:val="28"/>
          <w:szCs w:val="28"/>
        </w:rPr>
      </w:pPr>
    </w:p>
    <w:p w14:paraId="723B3720" w14:textId="77777777" w:rsidR="001F55F1" w:rsidRDefault="001F55F1" w:rsidP="00213EEF">
      <w:pPr>
        <w:numPr>
          <w:ilvl w:val="12"/>
          <w:numId w:val="0"/>
        </w:numPr>
        <w:jc w:val="center"/>
        <w:rPr>
          <w:rFonts w:ascii="Arial" w:hAnsi="Arial" w:cs="Arial"/>
          <w:b/>
          <w:bCs/>
          <w:sz w:val="28"/>
          <w:szCs w:val="28"/>
        </w:rPr>
      </w:pPr>
    </w:p>
    <w:p w14:paraId="64BEAF99" w14:textId="77777777" w:rsidR="001F55F1" w:rsidRDefault="001F55F1" w:rsidP="00213EEF">
      <w:pPr>
        <w:numPr>
          <w:ilvl w:val="12"/>
          <w:numId w:val="0"/>
        </w:numPr>
        <w:jc w:val="center"/>
        <w:rPr>
          <w:rFonts w:ascii="Arial" w:hAnsi="Arial" w:cs="Arial"/>
          <w:b/>
          <w:bCs/>
          <w:sz w:val="28"/>
          <w:szCs w:val="28"/>
        </w:rPr>
      </w:pPr>
    </w:p>
    <w:p w14:paraId="02636CDC" w14:textId="77777777" w:rsidR="001F55F1" w:rsidRDefault="001F55F1" w:rsidP="00213EEF">
      <w:pPr>
        <w:numPr>
          <w:ilvl w:val="12"/>
          <w:numId w:val="0"/>
        </w:numPr>
        <w:jc w:val="center"/>
        <w:rPr>
          <w:rFonts w:ascii="Arial" w:hAnsi="Arial" w:cs="Arial"/>
          <w:b/>
          <w:bCs/>
          <w:sz w:val="28"/>
          <w:szCs w:val="28"/>
        </w:rPr>
      </w:pPr>
    </w:p>
    <w:p w14:paraId="3B53D318" w14:textId="77777777" w:rsidR="001F55F1" w:rsidRDefault="001F55F1" w:rsidP="00213EEF">
      <w:pPr>
        <w:numPr>
          <w:ilvl w:val="12"/>
          <w:numId w:val="0"/>
        </w:numPr>
        <w:jc w:val="center"/>
        <w:rPr>
          <w:rFonts w:ascii="Arial" w:hAnsi="Arial" w:cs="Arial"/>
          <w:b/>
          <w:bCs/>
          <w:sz w:val="28"/>
          <w:szCs w:val="28"/>
        </w:rPr>
      </w:pPr>
    </w:p>
    <w:p w14:paraId="19D608C7" w14:textId="77777777" w:rsidR="001F55F1" w:rsidRDefault="001F55F1" w:rsidP="00213EEF">
      <w:pPr>
        <w:numPr>
          <w:ilvl w:val="12"/>
          <w:numId w:val="0"/>
        </w:numPr>
        <w:jc w:val="center"/>
        <w:rPr>
          <w:rFonts w:ascii="Arial" w:hAnsi="Arial" w:cs="Arial"/>
          <w:b/>
          <w:bCs/>
          <w:sz w:val="28"/>
          <w:szCs w:val="28"/>
        </w:rPr>
      </w:pPr>
    </w:p>
    <w:p w14:paraId="431B8898" w14:textId="77777777" w:rsidR="001F55F1" w:rsidRDefault="001F55F1" w:rsidP="00213EEF">
      <w:pPr>
        <w:numPr>
          <w:ilvl w:val="12"/>
          <w:numId w:val="0"/>
        </w:numPr>
        <w:jc w:val="center"/>
        <w:rPr>
          <w:rFonts w:ascii="Arial" w:hAnsi="Arial" w:cs="Arial"/>
          <w:b/>
          <w:bCs/>
          <w:sz w:val="28"/>
          <w:szCs w:val="28"/>
        </w:rPr>
      </w:pPr>
    </w:p>
    <w:p w14:paraId="5D4F77F1" w14:textId="77777777" w:rsidR="001F55F1" w:rsidRDefault="001F55F1" w:rsidP="008C6C27">
      <w:pPr>
        <w:numPr>
          <w:ilvl w:val="12"/>
          <w:numId w:val="0"/>
        </w:numPr>
        <w:rPr>
          <w:rFonts w:ascii="Arial" w:hAnsi="Arial" w:cs="Arial"/>
          <w:b/>
          <w:bCs/>
          <w:sz w:val="28"/>
          <w:szCs w:val="28"/>
        </w:rPr>
      </w:pPr>
    </w:p>
    <w:p w14:paraId="70389A54" w14:textId="77777777" w:rsidR="008C6C27" w:rsidRDefault="008C6C27" w:rsidP="008C6C27">
      <w:pPr>
        <w:numPr>
          <w:ilvl w:val="12"/>
          <w:numId w:val="0"/>
        </w:numPr>
        <w:rPr>
          <w:rFonts w:ascii="Arial" w:hAnsi="Arial" w:cs="Arial"/>
          <w:b/>
          <w:bCs/>
          <w:sz w:val="28"/>
          <w:szCs w:val="28"/>
        </w:rPr>
      </w:pPr>
    </w:p>
    <w:p w14:paraId="4CB9505C" w14:textId="77777777" w:rsidR="001F55F1" w:rsidRDefault="001F55F1" w:rsidP="00213EEF">
      <w:pPr>
        <w:numPr>
          <w:ilvl w:val="12"/>
          <w:numId w:val="0"/>
        </w:numPr>
        <w:jc w:val="center"/>
        <w:rPr>
          <w:rFonts w:ascii="Arial" w:hAnsi="Arial" w:cs="Arial"/>
          <w:b/>
          <w:bCs/>
          <w:sz w:val="28"/>
          <w:szCs w:val="28"/>
        </w:rPr>
      </w:pPr>
    </w:p>
    <w:p w14:paraId="7C4CC444" w14:textId="1769281F" w:rsidR="001F55F1" w:rsidRPr="006D40EC" w:rsidRDefault="006D40EC" w:rsidP="006D40EC">
      <w:pPr>
        <w:jc w:val="center"/>
      </w:pPr>
      <w:r>
        <w:rPr>
          <w:b/>
          <w:bCs/>
          <w:sz w:val="28"/>
          <w:szCs w:val="28"/>
        </w:rPr>
        <w:lastRenderedPageBreak/>
        <w:t>LIST OF TABLES</w:t>
      </w:r>
    </w:p>
    <w:sdt>
      <w:sdtPr>
        <w:rPr>
          <w:rFonts w:ascii="Times New Roman" w:eastAsia="Times New Roman" w:hAnsi="Times New Roman" w:cs="Times New Roman"/>
          <w:b w:val="0"/>
          <w:bCs w:val="0"/>
          <w:caps/>
          <w:color w:val="auto"/>
          <w:sz w:val="24"/>
          <w:szCs w:val="24"/>
        </w:rPr>
        <w:id w:val="607165129"/>
        <w:docPartObj>
          <w:docPartGallery w:val="Table of Contents"/>
          <w:docPartUnique/>
        </w:docPartObj>
      </w:sdtPr>
      <w:sdtEndPr>
        <w:rPr>
          <w:caps w:val="0"/>
          <w:noProof/>
        </w:rPr>
      </w:sdtEndPr>
      <w:sdtContent>
        <w:p w14:paraId="01194E34" w14:textId="6BB2FEB5" w:rsidR="00812009" w:rsidRPr="006D40EC" w:rsidRDefault="001F55F1" w:rsidP="006D40EC">
          <w:pPr>
            <w:pStyle w:val="TOCHeading"/>
            <w:rPr>
              <w:noProof/>
            </w:rPr>
          </w:pPr>
          <w:r w:rsidRPr="00812009">
            <w:rPr>
              <w:b w:val="0"/>
              <w:bCs w:val="0"/>
            </w:rPr>
            <w:fldChar w:fldCharType="begin"/>
          </w:r>
          <w:r w:rsidRPr="00812009">
            <w:instrText xml:space="preserve"> TOC \o "1-3" \h \z \u </w:instrText>
          </w:r>
          <w:r w:rsidRPr="00812009">
            <w:rPr>
              <w:b w:val="0"/>
              <w:bCs w:val="0"/>
            </w:rPr>
            <w:fldChar w:fldCharType="separate"/>
          </w:r>
        </w:p>
        <w:p w14:paraId="306E9D7F" w14:textId="77777777" w:rsidR="00812009" w:rsidRDefault="001007F9" w:rsidP="000720CB">
          <w:pPr>
            <w:pStyle w:val="TOC3"/>
            <w:rPr>
              <w:rStyle w:val="Hyperlink"/>
              <w:caps w:val="0"/>
            </w:rPr>
          </w:pPr>
          <w:hyperlink w:anchor="_Toc466891169" w:history="1">
            <w:r w:rsidR="00812009" w:rsidRPr="00812009">
              <w:rPr>
                <w:rStyle w:val="Hyperlink"/>
                <w:rFonts w:cs="Times New Roman"/>
                <w:b/>
                <w:caps w:val="0"/>
              </w:rPr>
              <w:t>Table 2.1.</w:t>
            </w:r>
            <w:r w:rsidR="00812009" w:rsidRPr="00812009">
              <w:rPr>
                <w:rStyle w:val="Hyperlink"/>
                <w:rFonts w:cs="Times New Roman"/>
                <w:caps w:val="0"/>
              </w:rPr>
              <w:t xml:space="preserve"> Fungicide treatments evaluated for large patch (Rhizoctonia solani) control.</w:t>
            </w:r>
            <w:r w:rsidR="00812009" w:rsidRPr="00812009">
              <w:rPr>
                <w:noProof/>
                <w:webHidden/>
              </w:rPr>
              <w:tab/>
            </w:r>
            <w:r w:rsidR="00812009" w:rsidRPr="00812009">
              <w:rPr>
                <w:noProof/>
                <w:webHidden/>
              </w:rPr>
              <w:fldChar w:fldCharType="begin"/>
            </w:r>
            <w:r w:rsidR="00812009" w:rsidRPr="00812009">
              <w:rPr>
                <w:noProof/>
                <w:webHidden/>
              </w:rPr>
              <w:instrText xml:space="preserve"> PAGEREF _Toc466891169 \h </w:instrText>
            </w:r>
            <w:r w:rsidR="00812009" w:rsidRPr="00812009">
              <w:rPr>
                <w:noProof/>
                <w:webHidden/>
              </w:rPr>
            </w:r>
            <w:r w:rsidR="00812009" w:rsidRPr="00812009">
              <w:rPr>
                <w:noProof/>
                <w:webHidden/>
              </w:rPr>
              <w:fldChar w:fldCharType="separate"/>
            </w:r>
            <w:r w:rsidR="00470DFB">
              <w:rPr>
                <w:noProof/>
                <w:webHidden/>
              </w:rPr>
              <w:t>35</w:t>
            </w:r>
            <w:r w:rsidR="00812009" w:rsidRPr="00812009">
              <w:rPr>
                <w:noProof/>
                <w:webHidden/>
              </w:rPr>
              <w:fldChar w:fldCharType="end"/>
            </w:r>
          </w:hyperlink>
        </w:p>
        <w:p w14:paraId="02D041D6" w14:textId="77777777" w:rsidR="00812009" w:rsidRPr="00812009" w:rsidRDefault="00812009" w:rsidP="00812009">
          <w:pPr>
            <w:rPr>
              <w:rFonts w:eastAsiaTheme="minorEastAsia"/>
              <w:noProof/>
            </w:rPr>
          </w:pPr>
        </w:p>
        <w:p w14:paraId="1E9CDDDE" w14:textId="77777777" w:rsidR="00812009" w:rsidRDefault="001007F9" w:rsidP="000720CB">
          <w:pPr>
            <w:pStyle w:val="TOC3"/>
            <w:rPr>
              <w:rStyle w:val="Hyperlink"/>
              <w:caps w:val="0"/>
            </w:rPr>
          </w:pPr>
          <w:hyperlink w:anchor="_Toc466891170" w:history="1">
            <w:r w:rsidR="00812009" w:rsidRPr="00812009">
              <w:rPr>
                <w:rStyle w:val="Hyperlink"/>
                <w:b/>
                <w:caps w:val="0"/>
              </w:rPr>
              <w:t xml:space="preserve">Table 2.2. </w:t>
            </w:r>
            <w:r w:rsidR="00812009" w:rsidRPr="00812009">
              <w:rPr>
                <w:rStyle w:val="Hyperlink"/>
                <w:caps w:val="0"/>
              </w:rPr>
              <w:t>Analysis of variance for large patch (</w:t>
            </w:r>
            <w:r w:rsidR="00812009" w:rsidRPr="00812009">
              <w:rPr>
                <w:rStyle w:val="Hyperlink"/>
                <w:i/>
                <w:caps w:val="0"/>
              </w:rPr>
              <w:t>Rhizoctonia solani</w:t>
            </w:r>
            <w:r w:rsidR="00812009" w:rsidRPr="00812009">
              <w:rPr>
                <w:rStyle w:val="Hyperlink"/>
                <w:caps w:val="0"/>
              </w:rPr>
              <w:t>) severity and photochemical efficiency (</w:t>
            </w:r>
            <w:r w:rsidR="00812009" w:rsidRPr="00812009">
              <w:rPr>
                <w:rStyle w:val="Hyperlink"/>
                <w:i/>
                <w:caps w:val="0"/>
              </w:rPr>
              <w:t>F</w:t>
            </w:r>
            <w:r w:rsidR="00812009" w:rsidRPr="00812009">
              <w:rPr>
                <w:rStyle w:val="Hyperlink"/>
                <w:i/>
                <w:caps w:val="0"/>
                <w:vertAlign w:val="subscript"/>
              </w:rPr>
              <w:t>v</w:t>
            </w:r>
            <w:r w:rsidR="00812009" w:rsidRPr="00812009">
              <w:rPr>
                <w:rStyle w:val="Hyperlink"/>
                <w:i/>
                <w:caps w:val="0"/>
              </w:rPr>
              <w:t>/F</w:t>
            </w:r>
            <w:r w:rsidR="00812009" w:rsidRPr="00812009">
              <w:rPr>
                <w:rStyle w:val="Hyperlink"/>
                <w:i/>
                <w:caps w:val="0"/>
                <w:vertAlign w:val="subscript"/>
              </w:rPr>
              <w:t>m</w:t>
            </w:r>
            <w:r w:rsidR="00812009" w:rsidRPr="00812009">
              <w:rPr>
                <w:rStyle w:val="Hyperlink"/>
                <w:caps w:val="0"/>
              </w:rPr>
              <w:t>) of Japanese lawngrass (</w:t>
            </w:r>
            <w:r w:rsidR="00812009" w:rsidRPr="00812009">
              <w:rPr>
                <w:rStyle w:val="Hyperlink"/>
                <w:i/>
                <w:caps w:val="0"/>
              </w:rPr>
              <w:t>Zoysia japonica</w:t>
            </w:r>
            <w:r w:rsidR="00812009" w:rsidRPr="00812009">
              <w:rPr>
                <w:rStyle w:val="Hyperlink"/>
                <w:caps w:val="0"/>
              </w:rPr>
              <w:t>) in response to fungicide treatments.</w:t>
            </w:r>
            <w:r w:rsidR="00812009" w:rsidRPr="00812009">
              <w:rPr>
                <w:noProof/>
                <w:webHidden/>
              </w:rPr>
              <w:tab/>
            </w:r>
            <w:r w:rsidR="00812009" w:rsidRPr="00812009">
              <w:rPr>
                <w:noProof/>
                <w:webHidden/>
              </w:rPr>
              <w:fldChar w:fldCharType="begin"/>
            </w:r>
            <w:r w:rsidR="00812009" w:rsidRPr="00812009">
              <w:rPr>
                <w:noProof/>
                <w:webHidden/>
              </w:rPr>
              <w:instrText xml:space="preserve"> PAGEREF _Toc466891170 \h </w:instrText>
            </w:r>
            <w:r w:rsidR="00812009" w:rsidRPr="00812009">
              <w:rPr>
                <w:noProof/>
                <w:webHidden/>
              </w:rPr>
            </w:r>
            <w:r w:rsidR="00812009" w:rsidRPr="00812009">
              <w:rPr>
                <w:noProof/>
                <w:webHidden/>
              </w:rPr>
              <w:fldChar w:fldCharType="separate"/>
            </w:r>
            <w:r w:rsidR="00470DFB">
              <w:rPr>
                <w:noProof/>
                <w:webHidden/>
              </w:rPr>
              <w:t>36</w:t>
            </w:r>
            <w:r w:rsidR="00812009" w:rsidRPr="00812009">
              <w:rPr>
                <w:noProof/>
                <w:webHidden/>
              </w:rPr>
              <w:fldChar w:fldCharType="end"/>
            </w:r>
          </w:hyperlink>
        </w:p>
        <w:p w14:paraId="0A7A5EA0" w14:textId="77777777" w:rsidR="00812009" w:rsidRPr="00812009" w:rsidRDefault="00812009" w:rsidP="00812009">
          <w:pPr>
            <w:rPr>
              <w:rFonts w:eastAsiaTheme="minorEastAsia"/>
              <w:noProof/>
            </w:rPr>
          </w:pPr>
        </w:p>
        <w:p w14:paraId="44C28C6E" w14:textId="77777777" w:rsidR="00812009" w:rsidRDefault="001007F9" w:rsidP="000720CB">
          <w:pPr>
            <w:pStyle w:val="TOC3"/>
            <w:rPr>
              <w:rStyle w:val="Hyperlink"/>
              <w:caps w:val="0"/>
            </w:rPr>
          </w:pPr>
          <w:hyperlink w:anchor="_Toc466891197" w:history="1">
            <w:r w:rsidR="00812009" w:rsidRPr="00812009">
              <w:rPr>
                <w:rStyle w:val="Hyperlink"/>
                <w:b/>
                <w:caps w:val="0"/>
              </w:rPr>
              <w:t>Table 3.1.</w:t>
            </w:r>
            <w:r w:rsidR="00812009" w:rsidRPr="00812009">
              <w:rPr>
                <w:rStyle w:val="Hyperlink"/>
                <w:caps w:val="0"/>
              </w:rPr>
              <w:t xml:space="preserve"> Analysis of variance for large patch (</w:t>
            </w:r>
            <w:r w:rsidR="00812009" w:rsidRPr="00812009">
              <w:rPr>
                <w:rStyle w:val="Hyperlink"/>
                <w:i/>
                <w:caps w:val="0"/>
              </w:rPr>
              <w:t>Rhizoctonia solani</w:t>
            </w:r>
            <w:r w:rsidR="00812009" w:rsidRPr="00812009">
              <w:rPr>
                <w:rStyle w:val="Hyperlink"/>
                <w:caps w:val="0"/>
              </w:rPr>
              <w:t>) severity of Japanese lawngrass (</w:t>
            </w:r>
            <w:r w:rsidR="00812009" w:rsidRPr="00812009">
              <w:rPr>
                <w:rStyle w:val="Hyperlink"/>
                <w:i/>
                <w:caps w:val="0"/>
              </w:rPr>
              <w:t>Zoysia japonica</w:t>
            </w:r>
            <w:r w:rsidR="00812009" w:rsidRPr="00812009">
              <w:rPr>
                <w:rStyle w:val="Hyperlink"/>
                <w:caps w:val="0"/>
              </w:rPr>
              <w:t>) in response to azoxystrobin applied at four spray rate volumes including 93, 374, 748, and 1496 L ha</w:t>
            </w:r>
            <w:r w:rsidR="00812009" w:rsidRPr="00812009">
              <w:rPr>
                <w:rStyle w:val="Hyperlink"/>
                <w:caps w:val="0"/>
                <w:vertAlign w:val="superscript"/>
              </w:rPr>
              <w:t>-1</w:t>
            </w:r>
            <w:r w:rsidR="00812009" w:rsidRPr="00812009">
              <w:rPr>
                <w:rStyle w:val="Hyperlink"/>
                <w:caps w:val="0"/>
              </w:rPr>
              <w:t>. The AUDPC was pooled across locations. Research was conducted at Farm Golf Club and Gettysvue Golf and Polo Club in Dalton, GA, and Knoxville, TN, respectively during 2015-2016.</w:t>
            </w:r>
            <w:r w:rsidR="00812009" w:rsidRPr="00812009">
              <w:rPr>
                <w:noProof/>
                <w:webHidden/>
              </w:rPr>
              <w:tab/>
            </w:r>
            <w:r w:rsidR="00812009" w:rsidRPr="00812009">
              <w:rPr>
                <w:noProof/>
                <w:webHidden/>
              </w:rPr>
              <w:fldChar w:fldCharType="begin"/>
            </w:r>
            <w:r w:rsidR="00812009" w:rsidRPr="00812009">
              <w:rPr>
                <w:noProof/>
                <w:webHidden/>
              </w:rPr>
              <w:instrText xml:space="preserve"> PAGEREF _Toc466891197 \h </w:instrText>
            </w:r>
            <w:r w:rsidR="00812009" w:rsidRPr="00812009">
              <w:rPr>
                <w:noProof/>
                <w:webHidden/>
              </w:rPr>
            </w:r>
            <w:r w:rsidR="00812009" w:rsidRPr="00812009">
              <w:rPr>
                <w:noProof/>
                <w:webHidden/>
              </w:rPr>
              <w:fldChar w:fldCharType="separate"/>
            </w:r>
            <w:r w:rsidR="00470DFB">
              <w:rPr>
                <w:noProof/>
                <w:webHidden/>
              </w:rPr>
              <w:t>67</w:t>
            </w:r>
            <w:r w:rsidR="00812009" w:rsidRPr="00812009">
              <w:rPr>
                <w:noProof/>
                <w:webHidden/>
              </w:rPr>
              <w:fldChar w:fldCharType="end"/>
            </w:r>
          </w:hyperlink>
        </w:p>
        <w:p w14:paraId="138CD63B" w14:textId="77777777" w:rsidR="00812009" w:rsidRPr="00812009" w:rsidRDefault="00812009" w:rsidP="00812009">
          <w:pPr>
            <w:rPr>
              <w:rFonts w:eastAsiaTheme="minorEastAsia"/>
              <w:noProof/>
            </w:rPr>
          </w:pPr>
        </w:p>
        <w:p w14:paraId="76924295" w14:textId="77777777" w:rsidR="00812009" w:rsidRDefault="001007F9" w:rsidP="000720CB">
          <w:pPr>
            <w:pStyle w:val="TOC3"/>
            <w:rPr>
              <w:rStyle w:val="Hyperlink"/>
              <w:caps w:val="0"/>
            </w:rPr>
          </w:pPr>
          <w:hyperlink w:anchor="_Toc466891198" w:history="1">
            <w:r w:rsidR="00812009" w:rsidRPr="00812009">
              <w:rPr>
                <w:rStyle w:val="Hyperlink"/>
                <w:b/>
                <w:caps w:val="0"/>
              </w:rPr>
              <w:t>Table 3.2.</w:t>
            </w:r>
            <w:r w:rsidR="00812009" w:rsidRPr="00812009">
              <w:rPr>
                <w:rStyle w:val="Hyperlink"/>
                <w:caps w:val="0"/>
              </w:rPr>
              <w:t xml:space="preserve"> Analysis of variance (pooled across experimental runs) for large patch (</w:t>
            </w:r>
            <w:r w:rsidR="00812009" w:rsidRPr="00812009">
              <w:rPr>
                <w:rStyle w:val="Hyperlink"/>
                <w:i/>
                <w:caps w:val="0"/>
              </w:rPr>
              <w:t>Rhizoctonia solani</w:t>
            </w:r>
            <w:r w:rsidR="00812009" w:rsidRPr="00812009">
              <w:rPr>
                <w:rStyle w:val="Hyperlink"/>
                <w:caps w:val="0"/>
              </w:rPr>
              <w:t>) severity of Japanese lawngrass (</w:t>
            </w:r>
            <w:r w:rsidR="00812009" w:rsidRPr="00812009">
              <w:rPr>
                <w:rStyle w:val="Hyperlink"/>
                <w:i/>
                <w:caps w:val="0"/>
              </w:rPr>
              <w:t>Zoysia japonica</w:t>
            </w:r>
            <w:r w:rsidR="00812009" w:rsidRPr="00812009">
              <w:rPr>
                <w:rStyle w:val="Hyperlink"/>
                <w:caps w:val="0"/>
              </w:rPr>
              <w:t>) in response to azoxystrobin, flutolanil, and tebuconazole applied at four spray rate volumes including 93, 374, 748, and 1496 L ha</w:t>
            </w:r>
            <w:r w:rsidR="00812009" w:rsidRPr="00812009">
              <w:rPr>
                <w:rStyle w:val="Hyperlink"/>
                <w:caps w:val="0"/>
                <w:vertAlign w:val="superscript"/>
              </w:rPr>
              <w:t>-1</w:t>
            </w:r>
            <w:r w:rsidR="00812009" w:rsidRPr="00812009">
              <w:rPr>
                <w:rStyle w:val="Hyperlink"/>
                <w:caps w:val="0"/>
              </w:rPr>
              <w:t>. Research was conducted under greenhouse and growth chamber conditions in Knoxville, TN during 2016.</w:t>
            </w:r>
            <w:r w:rsidR="00812009" w:rsidRPr="00812009">
              <w:rPr>
                <w:noProof/>
                <w:webHidden/>
              </w:rPr>
              <w:tab/>
            </w:r>
            <w:r w:rsidR="00812009" w:rsidRPr="00812009">
              <w:rPr>
                <w:noProof/>
                <w:webHidden/>
              </w:rPr>
              <w:fldChar w:fldCharType="begin"/>
            </w:r>
            <w:r w:rsidR="00812009" w:rsidRPr="00812009">
              <w:rPr>
                <w:noProof/>
                <w:webHidden/>
              </w:rPr>
              <w:instrText xml:space="preserve"> PAGEREF _Toc466891198 \h </w:instrText>
            </w:r>
            <w:r w:rsidR="00812009" w:rsidRPr="00812009">
              <w:rPr>
                <w:noProof/>
                <w:webHidden/>
              </w:rPr>
            </w:r>
            <w:r w:rsidR="00812009" w:rsidRPr="00812009">
              <w:rPr>
                <w:noProof/>
                <w:webHidden/>
              </w:rPr>
              <w:fldChar w:fldCharType="separate"/>
            </w:r>
            <w:r w:rsidR="00470DFB">
              <w:rPr>
                <w:noProof/>
                <w:webHidden/>
              </w:rPr>
              <w:t>68</w:t>
            </w:r>
            <w:r w:rsidR="00812009" w:rsidRPr="00812009">
              <w:rPr>
                <w:noProof/>
                <w:webHidden/>
              </w:rPr>
              <w:fldChar w:fldCharType="end"/>
            </w:r>
          </w:hyperlink>
        </w:p>
        <w:p w14:paraId="1D033F16" w14:textId="77777777" w:rsidR="00812009" w:rsidRPr="00812009" w:rsidRDefault="00812009" w:rsidP="00812009">
          <w:pPr>
            <w:rPr>
              <w:rFonts w:eastAsiaTheme="minorEastAsia"/>
              <w:noProof/>
            </w:rPr>
          </w:pPr>
        </w:p>
        <w:p w14:paraId="64113A2C" w14:textId="01432FE4" w:rsidR="00812009" w:rsidRDefault="001007F9" w:rsidP="000720CB">
          <w:pPr>
            <w:pStyle w:val="TOC3"/>
            <w:rPr>
              <w:rStyle w:val="Hyperlink"/>
              <w:caps w:val="0"/>
            </w:rPr>
          </w:pPr>
          <w:hyperlink w:anchor="_Toc466891199" w:history="1">
            <w:r w:rsidR="00812009" w:rsidRPr="00812009">
              <w:rPr>
                <w:rStyle w:val="Hyperlink"/>
                <w:rFonts w:cs="Times New Roman"/>
                <w:b/>
                <w:caps w:val="0"/>
              </w:rPr>
              <w:t>Table 3.3.</w:t>
            </w:r>
            <w:r w:rsidR="00812009" w:rsidRPr="00812009">
              <w:rPr>
                <w:rStyle w:val="Hyperlink"/>
                <w:rFonts w:cs="Times New Roman"/>
                <w:caps w:val="0"/>
              </w:rPr>
              <w:t xml:space="preserve"> Analysis of variance for large patch (</w:t>
            </w:r>
            <w:r w:rsidR="00812009" w:rsidRPr="00812009">
              <w:rPr>
                <w:rStyle w:val="Hyperlink"/>
                <w:rFonts w:cs="Times New Roman"/>
                <w:i/>
                <w:caps w:val="0"/>
              </w:rPr>
              <w:t>Rhizoctonia solani</w:t>
            </w:r>
            <w:r w:rsidR="00812009" w:rsidRPr="00812009">
              <w:rPr>
                <w:rStyle w:val="Hyperlink"/>
                <w:rFonts w:cs="Times New Roman"/>
                <w:caps w:val="0"/>
              </w:rPr>
              <w:t>) severity of Japanese lawngrass (</w:t>
            </w:r>
            <w:r w:rsidR="00812009" w:rsidRPr="00812009">
              <w:rPr>
                <w:rStyle w:val="Hyperlink"/>
                <w:rFonts w:cs="Times New Roman"/>
                <w:i/>
                <w:caps w:val="0"/>
              </w:rPr>
              <w:t>Zoysia japonica</w:t>
            </w:r>
            <w:r w:rsidR="00812009" w:rsidRPr="00812009">
              <w:rPr>
                <w:rStyle w:val="Hyperlink"/>
                <w:rFonts w:cs="Times New Roman"/>
                <w:caps w:val="0"/>
              </w:rPr>
              <w:t>) in response to azoxystrobin, flutolanil, and tebuconazole applied with and without surfactant additives. The AUDPC was pooled across locations. Research was conducted at Farm Golf Club and Gettysvue Golf and Polo Club in Dalton, GA, and Knoxville, TN, respectively during 2015-2016.</w:t>
            </w:r>
            <w:r w:rsidR="00812009" w:rsidRPr="00812009">
              <w:rPr>
                <w:noProof/>
                <w:webHidden/>
              </w:rPr>
              <w:tab/>
            </w:r>
            <w:r w:rsidR="00812009" w:rsidRPr="00812009">
              <w:rPr>
                <w:noProof/>
                <w:webHidden/>
              </w:rPr>
              <w:fldChar w:fldCharType="begin"/>
            </w:r>
            <w:r w:rsidR="00812009" w:rsidRPr="00812009">
              <w:rPr>
                <w:noProof/>
                <w:webHidden/>
              </w:rPr>
              <w:instrText xml:space="preserve"> PAGEREF _Toc466891199 \h </w:instrText>
            </w:r>
            <w:r w:rsidR="00812009" w:rsidRPr="00812009">
              <w:rPr>
                <w:noProof/>
                <w:webHidden/>
              </w:rPr>
            </w:r>
            <w:r w:rsidR="00812009" w:rsidRPr="00812009">
              <w:rPr>
                <w:noProof/>
                <w:webHidden/>
              </w:rPr>
              <w:fldChar w:fldCharType="separate"/>
            </w:r>
            <w:r w:rsidR="00470DFB">
              <w:rPr>
                <w:noProof/>
                <w:webHidden/>
              </w:rPr>
              <w:t>69</w:t>
            </w:r>
            <w:r w:rsidR="00812009" w:rsidRPr="00812009">
              <w:rPr>
                <w:noProof/>
                <w:webHidden/>
              </w:rPr>
              <w:fldChar w:fldCharType="end"/>
            </w:r>
          </w:hyperlink>
        </w:p>
        <w:p w14:paraId="2097F949" w14:textId="77777777" w:rsidR="00812009" w:rsidRPr="00812009" w:rsidRDefault="00812009" w:rsidP="00812009">
          <w:pPr>
            <w:rPr>
              <w:rFonts w:eastAsiaTheme="minorEastAsia"/>
              <w:noProof/>
            </w:rPr>
          </w:pPr>
        </w:p>
        <w:p w14:paraId="03F1A77E" w14:textId="77777777" w:rsidR="00812009" w:rsidRDefault="001007F9" w:rsidP="000720CB">
          <w:pPr>
            <w:pStyle w:val="TOC3"/>
            <w:rPr>
              <w:rStyle w:val="Hyperlink"/>
              <w:caps w:val="0"/>
            </w:rPr>
          </w:pPr>
          <w:hyperlink w:anchor="_Toc466891200" w:history="1">
            <w:r w:rsidR="00812009" w:rsidRPr="006D40EC">
              <w:rPr>
                <w:rStyle w:val="Hyperlink"/>
                <w:rFonts w:cs="Times New Roman"/>
                <w:b/>
                <w:caps w:val="0"/>
              </w:rPr>
              <w:t>Table 3.4.</w:t>
            </w:r>
            <w:r w:rsidR="00812009" w:rsidRPr="00812009">
              <w:rPr>
                <w:rStyle w:val="Hyperlink"/>
                <w:rFonts w:cs="Times New Roman"/>
                <w:caps w:val="0"/>
              </w:rPr>
              <w:t xml:space="preserve"> Analysis of variance (pooled across experimental runs) for large patch (</w:t>
            </w:r>
            <w:r w:rsidR="00812009" w:rsidRPr="00812009">
              <w:rPr>
                <w:rStyle w:val="Hyperlink"/>
                <w:rFonts w:cs="Times New Roman"/>
                <w:i/>
                <w:caps w:val="0"/>
              </w:rPr>
              <w:t>Rhizoctonia solani</w:t>
            </w:r>
            <w:r w:rsidR="00812009" w:rsidRPr="00812009">
              <w:rPr>
                <w:rStyle w:val="Hyperlink"/>
                <w:rFonts w:cs="Times New Roman"/>
                <w:caps w:val="0"/>
              </w:rPr>
              <w:t>) severity of Japanese lawngrass (</w:t>
            </w:r>
            <w:r w:rsidR="00812009" w:rsidRPr="00812009">
              <w:rPr>
                <w:rStyle w:val="Hyperlink"/>
                <w:rFonts w:cs="Times New Roman"/>
                <w:i/>
                <w:caps w:val="0"/>
              </w:rPr>
              <w:t>Zoysia japonica</w:t>
            </w:r>
            <w:r w:rsidR="00812009" w:rsidRPr="00812009">
              <w:rPr>
                <w:rStyle w:val="Hyperlink"/>
                <w:rFonts w:cs="Times New Roman"/>
                <w:caps w:val="0"/>
              </w:rPr>
              <w:t>) in response to azoxystrobin, flutolanil, and tebuconazole applied with and without surfactant additives. Research was conducted under greenhouse and growth chamber conditions in Knoxville, TN during 2016.</w:t>
            </w:r>
            <w:r w:rsidR="00812009" w:rsidRPr="00812009">
              <w:rPr>
                <w:noProof/>
                <w:webHidden/>
              </w:rPr>
              <w:tab/>
            </w:r>
            <w:r w:rsidR="00812009" w:rsidRPr="00812009">
              <w:rPr>
                <w:noProof/>
                <w:webHidden/>
              </w:rPr>
              <w:fldChar w:fldCharType="begin"/>
            </w:r>
            <w:r w:rsidR="00812009" w:rsidRPr="00812009">
              <w:rPr>
                <w:noProof/>
                <w:webHidden/>
              </w:rPr>
              <w:instrText xml:space="preserve"> PAGEREF _Toc466891200 \h </w:instrText>
            </w:r>
            <w:r w:rsidR="00812009" w:rsidRPr="00812009">
              <w:rPr>
                <w:noProof/>
                <w:webHidden/>
              </w:rPr>
            </w:r>
            <w:r w:rsidR="00812009" w:rsidRPr="00812009">
              <w:rPr>
                <w:noProof/>
                <w:webHidden/>
              </w:rPr>
              <w:fldChar w:fldCharType="separate"/>
            </w:r>
            <w:r w:rsidR="00470DFB">
              <w:rPr>
                <w:noProof/>
                <w:webHidden/>
              </w:rPr>
              <w:t>70</w:t>
            </w:r>
            <w:r w:rsidR="00812009" w:rsidRPr="00812009">
              <w:rPr>
                <w:noProof/>
                <w:webHidden/>
              </w:rPr>
              <w:fldChar w:fldCharType="end"/>
            </w:r>
          </w:hyperlink>
        </w:p>
        <w:p w14:paraId="3834E16A" w14:textId="77777777" w:rsidR="006D40EC" w:rsidRPr="006D40EC" w:rsidRDefault="006D40EC" w:rsidP="006D40EC">
          <w:pPr>
            <w:rPr>
              <w:rFonts w:eastAsiaTheme="minorEastAsia"/>
              <w:noProof/>
            </w:rPr>
          </w:pPr>
        </w:p>
        <w:p w14:paraId="4DE2B757" w14:textId="44B8A15F" w:rsidR="001F55F1" w:rsidRPr="00812009" w:rsidRDefault="001007F9" w:rsidP="000720CB">
          <w:pPr>
            <w:pStyle w:val="TOC3"/>
            <w:rPr>
              <w:rFonts w:asciiTheme="minorHAnsi" w:eastAsiaTheme="minorEastAsia" w:hAnsiTheme="minorHAnsi" w:cstheme="minorBidi"/>
              <w:noProof/>
              <w:sz w:val="22"/>
              <w:szCs w:val="22"/>
            </w:rPr>
          </w:pPr>
          <w:hyperlink w:anchor="_Toc466891201" w:history="1">
            <w:r w:rsidR="00812009" w:rsidRPr="006D40EC">
              <w:rPr>
                <w:rStyle w:val="Hyperlink"/>
                <w:b/>
                <w:caps w:val="0"/>
              </w:rPr>
              <w:t xml:space="preserve">Table 3.5. </w:t>
            </w:r>
            <w:r w:rsidR="00812009" w:rsidRPr="00812009">
              <w:rPr>
                <w:rStyle w:val="Hyperlink"/>
                <w:caps w:val="0"/>
              </w:rPr>
              <w:t>Analysis of variance (pooled across experimental runs) of spray deposition characteristics of surface coverage, and percent incidence of stem and sheath coverage severity on Japanese lawngrass (</w:t>
            </w:r>
            <w:r w:rsidR="00812009" w:rsidRPr="00812009">
              <w:rPr>
                <w:rStyle w:val="Hyperlink"/>
                <w:i/>
                <w:caps w:val="0"/>
              </w:rPr>
              <w:t>Zoysia japonica</w:t>
            </w:r>
            <w:r w:rsidR="00812009" w:rsidRPr="00812009">
              <w:rPr>
                <w:rStyle w:val="Hyperlink"/>
                <w:caps w:val="0"/>
              </w:rPr>
              <w:t>) in response to various spray rate volumes and surfactant additives. Treatments were applied under greenhouse and spray chamber conditions in Knoxville, TN during 2016.</w:t>
            </w:r>
            <w:r w:rsidR="00812009" w:rsidRPr="00812009">
              <w:rPr>
                <w:noProof/>
                <w:webHidden/>
              </w:rPr>
              <w:tab/>
            </w:r>
            <w:r w:rsidR="00812009" w:rsidRPr="00812009">
              <w:rPr>
                <w:noProof/>
                <w:webHidden/>
              </w:rPr>
              <w:fldChar w:fldCharType="begin"/>
            </w:r>
            <w:r w:rsidR="00812009" w:rsidRPr="00812009">
              <w:rPr>
                <w:noProof/>
                <w:webHidden/>
              </w:rPr>
              <w:instrText xml:space="preserve"> PAGEREF _Toc466891201 \h </w:instrText>
            </w:r>
            <w:r w:rsidR="00812009" w:rsidRPr="00812009">
              <w:rPr>
                <w:noProof/>
                <w:webHidden/>
              </w:rPr>
            </w:r>
            <w:r w:rsidR="00812009" w:rsidRPr="00812009">
              <w:rPr>
                <w:noProof/>
                <w:webHidden/>
              </w:rPr>
              <w:fldChar w:fldCharType="separate"/>
            </w:r>
            <w:r w:rsidR="00470DFB">
              <w:rPr>
                <w:noProof/>
                <w:webHidden/>
              </w:rPr>
              <w:t>71</w:t>
            </w:r>
            <w:r w:rsidR="00812009" w:rsidRPr="00812009">
              <w:rPr>
                <w:noProof/>
                <w:webHidden/>
              </w:rPr>
              <w:fldChar w:fldCharType="end"/>
            </w:r>
          </w:hyperlink>
          <w:r w:rsidR="001F55F1" w:rsidRPr="00812009">
            <w:rPr>
              <w:b/>
              <w:bCs/>
              <w:noProof/>
            </w:rPr>
            <w:fldChar w:fldCharType="end"/>
          </w:r>
        </w:p>
      </w:sdtContent>
    </w:sdt>
    <w:p w14:paraId="281265A8" w14:textId="77777777" w:rsidR="001F55F1" w:rsidRDefault="001F55F1" w:rsidP="00213EEF">
      <w:pPr>
        <w:numPr>
          <w:ilvl w:val="12"/>
          <w:numId w:val="0"/>
        </w:numPr>
        <w:jc w:val="center"/>
        <w:rPr>
          <w:rFonts w:ascii="Arial" w:hAnsi="Arial" w:cs="Arial"/>
          <w:b/>
          <w:bCs/>
          <w:sz w:val="28"/>
          <w:szCs w:val="28"/>
        </w:rPr>
      </w:pPr>
    </w:p>
    <w:p w14:paraId="1558C875" w14:textId="77777777" w:rsidR="00DD416B" w:rsidRDefault="00DD416B" w:rsidP="00213EEF">
      <w:pPr>
        <w:numPr>
          <w:ilvl w:val="12"/>
          <w:numId w:val="0"/>
        </w:numPr>
        <w:jc w:val="center"/>
        <w:rPr>
          <w:rFonts w:ascii="Arial" w:hAnsi="Arial" w:cs="Arial"/>
          <w:b/>
          <w:bCs/>
          <w:sz w:val="28"/>
          <w:szCs w:val="28"/>
        </w:rPr>
      </w:pPr>
    </w:p>
    <w:p w14:paraId="0A0EE0B0" w14:textId="77777777" w:rsidR="00DD416B" w:rsidRDefault="00DD416B" w:rsidP="00213EEF">
      <w:pPr>
        <w:numPr>
          <w:ilvl w:val="12"/>
          <w:numId w:val="0"/>
        </w:numPr>
        <w:jc w:val="center"/>
        <w:rPr>
          <w:rFonts w:ascii="Arial" w:hAnsi="Arial" w:cs="Arial"/>
          <w:b/>
          <w:bCs/>
          <w:sz w:val="28"/>
          <w:szCs w:val="28"/>
        </w:rPr>
      </w:pPr>
    </w:p>
    <w:p w14:paraId="77CE6B8B" w14:textId="77777777" w:rsidR="00DD416B" w:rsidRDefault="00DD416B" w:rsidP="00213EEF">
      <w:pPr>
        <w:numPr>
          <w:ilvl w:val="12"/>
          <w:numId w:val="0"/>
        </w:numPr>
        <w:jc w:val="center"/>
        <w:rPr>
          <w:rFonts w:ascii="Arial" w:hAnsi="Arial" w:cs="Arial"/>
          <w:b/>
          <w:bCs/>
          <w:sz w:val="28"/>
          <w:szCs w:val="28"/>
        </w:rPr>
      </w:pPr>
    </w:p>
    <w:p w14:paraId="4500A8C2" w14:textId="77777777" w:rsidR="00DD416B" w:rsidRDefault="00DD416B" w:rsidP="00213EEF">
      <w:pPr>
        <w:numPr>
          <w:ilvl w:val="12"/>
          <w:numId w:val="0"/>
        </w:numPr>
        <w:jc w:val="center"/>
        <w:rPr>
          <w:rFonts w:ascii="Arial" w:hAnsi="Arial" w:cs="Arial"/>
          <w:b/>
          <w:bCs/>
          <w:sz w:val="28"/>
          <w:szCs w:val="28"/>
        </w:rPr>
      </w:pPr>
    </w:p>
    <w:p w14:paraId="4556FEA8" w14:textId="77777777" w:rsidR="00DD416B" w:rsidRDefault="00DD416B" w:rsidP="00213EEF">
      <w:pPr>
        <w:numPr>
          <w:ilvl w:val="12"/>
          <w:numId w:val="0"/>
        </w:numPr>
        <w:jc w:val="center"/>
        <w:rPr>
          <w:rFonts w:ascii="Arial" w:hAnsi="Arial" w:cs="Arial"/>
          <w:b/>
          <w:bCs/>
          <w:sz w:val="28"/>
          <w:szCs w:val="28"/>
        </w:rPr>
      </w:pPr>
    </w:p>
    <w:p w14:paraId="5FB8632B" w14:textId="77777777" w:rsidR="006D40EC" w:rsidRDefault="006D40EC" w:rsidP="00213EEF">
      <w:pPr>
        <w:numPr>
          <w:ilvl w:val="12"/>
          <w:numId w:val="0"/>
        </w:numPr>
        <w:jc w:val="center"/>
        <w:rPr>
          <w:rFonts w:ascii="Arial" w:hAnsi="Arial" w:cs="Arial"/>
          <w:b/>
          <w:bCs/>
          <w:sz w:val="28"/>
          <w:szCs w:val="28"/>
        </w:rPr>
      </w:pPr>
    </w:p>
    <w:p w14:paraId="3FC14349" w14:textId="77777777" w:rsidR="006D40EC" w:rsidRDefault="006D40EC" w:rsidP="00213EEF">
      <w:pPr>
        <w:numPr>
          <w:ilvl w:val="12"/>
          <w:numId w:val="0"/>
        </w:numPr>
        <w:jc w:val="center"/>
        <w:rPr>
          <w:rFonts w:ascii="Arial" w:hAnsi="Arial" w:cs="Arial"/>
          <w:b/>
          <w:bCs/>
          <w:sz w:val="28"/>
          <w:szCs w:val="28"/>
        </w:rPr>
      </w:pPr>
    </w:p>
    <w:p w14:paraId="743F191D" w14:textId="77777777" w:rsidR="006D40EC" w:rsidRDefault="006D40EC" w:rsidP="00213EEF">
      <w:pPr>
        <w:numPr>
          <w:ilvl w:val="12"/>
          <w:numId w:val="0"/>
        </w:numPr>
        <w:jc w:val="center"/>
        <w:rPr>
          <w:rFonts w:ascii="Arial" w:hAnsi="Arial" w:cs="Arial"/>
          <w:b/>
          <w:bCs/>
          <w:sz w:val="28"/>
          <w:szCs w:val="28"/>
        </w:rPr>
      </w:pPr>
    </w:p>
    <w:p w14:paraId="33B36652" w14:textId="77777777" w:rsidR="006D40EC" w:rsidRDefault="006D40EC" w:rsidP="00213EEF">
      <w:pPr>
        <w:numPr>
          <w:ilvl w:val="12"/>
          <w:numId w:val="0"/>
        </w:numPr>
        <w:jc w:val="center"/>
        <w:rPr>
          <w:rFonts w:ascii="Arial" w:hAnsi="Arial" w:cs="Arial"/>
          <w:b/>
          <w:bCs/>
          <w:sz w:val="28"/>
          <w:szCs w:val="28"/>
        </w:rPr>
      </w:pPr>
    </w:p>
    <w:p w14:paraId="04692A24" w14:textId="77777777" w:rsidR="006D40EC" w:rsidRDefault="006D40EC" w:rsidP="00213EEF">
      <w:pPr>
        <w:numPr>
          <w:ilvl w:val="12"/>
          <w:numId w:val="0"/>
        </w:numPr>
        <w:jc w:val="center"/>
        <w:rPr>
          <w:rFonts w:ascii="Arial" w:hAnsi="Arial" w:cs="Arial"/>
          <w:b/>
          <w:bCs/>
          <w:sz w:val="28"/>
          <w:szCs w:val="28"/>
        </w:rPr>
      </w:pPr>
    </w:p>
    <w:p w14:paraId="51824C18" w14:textId="77777777" w:rsidR="006D40EC" w:rsidRDefault="006D40EC" w:rsidP="00213EEF">
      <w:pPr>
        <w:numPr>
          <w:ilvl w:val="12"/>
          <w:numId w:val="0"/>
        </w:numPr>
        <w:jc w:val="center"/>
        <w:rPr>
          <w:rFonts w:ascii="Arial" w:hAnsi="Arial" w:cs="Arial"/>
          <w:b/>
          <w:bCs/>
          <w:sz w:val="28"/>
          <w:szCs w:val="28"/>
        </w:rPr>
      </w:pPr>
    </w:p>
    <w:p w14:paraId="0EAE0439" w14:textId="77777777" w:rsidR="006D40EC" w:rsidRDefault="006D40EC" w:rsidP="00213EEF">
      <w:pPr>
        <w:numPr>
          <w:ilvl w:val="12"/>
          <w:numId w:val="0"/>
        </w:numPr>
        <w:jc w:val="center"/>
        <w:rPr>
          <w:rFonts w:ascii="Arial" w:hAnsi="Arial" w:cs="Arial"/>
          <w:b/>
          <w:bCs/>
          <w:sz w:val="28"/>
          <w:szCs w:val="28"/>
        </w:rPr>
      </w:pPr>
    </w:p>
    <w:p w14:paraId="44E4A778" w14:textId="77777777" w:rsidR="006D40EC" w:rsidRDefault="006D40EC" w:rsidP="00213EEF">
      <w:pPr>
        <w:numPr>
          <w:ilvl w:val="12"/>
          <w:numId w:val="0"/>
        </w:numPr>
        <w:jc w:val="center"/>
        <w:rPr>
          <w:rFonts w:ascii="Arial" w:hAnsi="Arial" w:cs="Arial"/>
          <w:b/>
          <w:bCs/>
          <w:sz w:val="28"/>
          <w:szCs w:val="28"/>
        </w:rPr>
      </w:pPr>
    </w:p>
    <w:p w14:paraId="12F9793E" w14:textId="77777777" w:rsidR="006D40EC" w:rsidRDefault="006D40EC" w:rsidP="00213EEF">
      <w:pPr>
        <w:numPr>
          <w:ilvl w:val="12"/>
          <w:numId w:val="0"/>
        </w:numPr>
        <w:jc w:val="center"/>
        <w:rPr>
          <w:rFonts w:ascii="Arial" w:hAnsi="Arial" w:cs="Arial"/>
          <w:b/>
          <w:bCs/>
          <w:sz w:val="28"/>
          <w:szCs w:val="28"/>
        </w:rPr>
      </w:pPr>
    </w:p>
    <w:p w14:paraId="07AD006A" w14:textId="77777777" w:rsidR="006D40EC" w:rsidRDefault="006D40EC" w:rsidP="00213EEF">
      <w:pPr>
        <w:numPr>
          <w:ilvl w:val="12"/>
          <w:numId w:val="0"/>
        </w:numPr>
        <w:jc w:val="center"/>
        <w:rPr>
          <w:rFonts w:ascii="Arial" w:hAnsi="Arial" w:cs="Arial"/>
          <w:b/>
          <w:bCs/>
          <w:sz w:val="28"/>
          <w:szCs w:val="28"/>
        </w:rPr>
      </w:pPr>
    </w:p>
    <w:p w14:paraId="12F5A187" w14:textId="77777777" w:rsidR="006D40EC" w:rsidRDefault="006D40EC" w:rsidP="00213EEF">
      <w:pPr>
        <w:numPr>
          <w:ilvl w:val="12"/>
          <w:numId w:val="0"/>
        </w:numPr>
        <w:jc w:val="center"/>
        <w:rPr>
          <w:rFonts w:ascii="Arial" w:hAnsi="Arial" w:cs="Arial"/>
          <w:b/>
          <w:bCs/>
          <w:sz w:val="28"/>
          <w:szCs w:val="28"/>
        </w:rPr>
      </w:pPr>
    </w:p>
    <w:p w14:paraId="7442624D" w14:textId="77777777" w:rsidR="006D40EC" w:rsidRDefault="006D40EC" w:rsidP="00213EEF">
      <w:pPr>
        <w:numPr>
          <w:ilvl w:val="12"/>
          <w:numId w:val="0"/>
        </w:numPr>
        <w:jc w:val="center"/>
        <w:rPr>
          <w:rFonts w:ascii="Arial" w:hAnsi="Arial" w:cs="Arial"/>
          <w:b/>
          <w:bCs/>
          <w:sz w:val="28"/>
          <w:szCs w:val="28"/>
        </w:rPr>
      </w:pPr>
    </w:p>
    <w:p w14:paraId="31C20EE6" w14:textId="77777777" w:rsidR="006D40EC" w:rsidRDefault="006D40EC" w:rsidP="00213EEF">
      <w:pPr>
        <w:numPr>
          <w:ilvl w:val="12"/>
          <w:numId w:val="0"/>
        </w:numPr>
        <w:jc w:val="center"/>
        <w:rPr>
          <w:rFonts w:ascii="Arial" w:hAnsi="Arial" w:cs="Arial"/>
          <w:b/>
          <w:bCs/>
          <w:sz w:val="28"/>
          <w:szCs w:val="28"/>
        </w:rPr>
      </w:pPr>
    </w:p>
    <w:p w14:paraId="7CC248D2" w14:textId="77777777" w:rsidR="006D40EC" w:rsidRDefault="006D40EC" w:rsidP="00213EEF">
      <w:pPr>
        <w:numPr>
          <w:ilvl w:val="12"/>
          <w:numId w:val="0"/>
        </w:numPr>
        <w:jc w:val="center"/>
        <w:rPr>
          <w:rFonts w:ascii="Arial" w:hAnsi="Arial" w:cs="Arial"/>
          <w:b/>
          <w:bCs/>
          <w:sz w:val="28"/>
          <w:szCs w:val="28"/>
        </w:rPr>
      </w:pPr>
    </w:p>
    <w:p w14:paraId="44709421" w14:textId="77777777" w:rsidR="006D40EC" w:rsidRDefault="006D40EC" w:rsidP="00213EEF">
      <w:pPr>
        <w:numPr>
          <w:ilvl w:val="12"/>
          <w:numId w:val="0"/>
        </w:numPr>
        <w:jc w:val="center"/>
        <w:rPr>
          <w:rFonts w:ascii="Arial" w:hAnsi="Arial" w:cs="Arial"/>
          <w:b/>
          <w:bCs/>
          <w:sz w:val="28"/>
          <w:szCs w:val="28"/>
        </w:rPr>
      </w:pPr>
    </w:p>
    <w:p w14:paraId="2DEF88EF" w14:textId="77777777" w:rsidR="006D40EC" w:rsidRDefault="006D40EC" w:rsidP="00213EEF">
      <w:pPr>
        <w:numPr>
          <w:ilvl w:val="12"/>
          <w:numId w:val="0"/>
        </w:numPr>
        <w:jc w:val="center"/>
        <w:rPr>
          <w:rFonts w:ascii="Arial" w:hAnsi="Arial" w:cs="Arial"/>
          <w:b/>
          <w:bCs/>
          <w:sz w:val="28"/>
          <w:szCs w:val="28"/>
        </w:rPr>
      </w:pPr>
    </w:p>
    <w:p w14:paraId="59651596" w14:textId="77777777" w:rsidR="006D40EC" w:rsidRDefault="006D40EC" w:rsidP="00213EEF">
      <w:pPr>
        <w:numPr>
          <w:ilvl w:val="12"/>
          <w:numId w:val="0"/>
        </w:numPr>
        <w:jc w:val="center"/>
        <w:rPr>
          <w:rFonts w:ascii="Arial" w:hAnsi="Arial" w:cs="Arial"/>
          <w:b/>
          <w:bCs/>
          <w:sz w:val="28"/>
          <w:szCs w:val="28"/>
        </w:rPr>
      </w:pPr>
    </w:p>
    <w:p w14:paraId="15F9F064" w14:textId="77777777" w:rsidR="006D40EC" w:rsidRDefault="006D40EC" w:rsidP="00213EEF">
      <w:pPr>
        <w:numPr>
          <w:ilvl w:val="12"/>
          <w:numId w:val="0"/>
        </w:numPr>
        <w:jc w:val="center"/>
        <w:rPr>
          <w:rFonts w:ascii="Arial" w:hAnsi="Arial" w:cs="Arial"/>
          <w:b/>
          <w:bCs/>
          <w:sz w:val="28"/>
          <w:szCs w:val="28"/>
        </w:rPr>
      </w:pPr>
    </w:p>
    <w:p w14:paraId="3087D816" w14:textId="77777777" w:rsidR="006D40EC" w:rsidRDefault="006D40EC" w:rsidP="00213EEF">
      <w:pPr>
        <w:numPr>
          <w:ilvl w:val="12"/>
          <w:numId w:val="0"/>
        </w:numPr>
        <w:jc w:val="center"/>
        <w:rPr>
          <w:rFonts w:ascii="Arial" w:hAnsi="Arial" w:cs="Arial"/>
          <w:b/>
          <w:bCs/>
          <w:sz w:val="28"/>
          <w:szCs w:val="28"/>
        </w:rPr>
      </w:pPr>
    </w:p>
    <w:p w14:paraId="6679A0D4" w14:textId="77777777" w:rsidR="006D40EC" w:rsidRDefault="006D40EC" w:rsidP="00213EEF">
      <w:pPr>
        <w:numPr>
          <w:ilvl w:val="12"/>
          <w:numId w:val="0"/>
        </w:numPr>
        <w:jc w:val="center"/>
        <w:rPr>
          <w:rFonts w:ascii="Arial" w:hAnsi="Arial" w:cs="Arial"/>
          <w:b/>
          <w:bCs/>
          <w:sz w:val="28"/>
          <w:szCs w:val="28"/>
        </w:rPr>
      </w:pPr>
    </w:p>
    <w:p w14:paraId="631BC0E0" w14:textId="77777777" w:rsidR="006D40EC" w:rsidRDefault="006D40EC" w:rsidP="00213EEF">
      <w:pPr>
        <w:numPr>
          <w:ilvl w:val="12"/>
          <w:numId w:val="0"/>
        </w:numPr>
        <w:jc w:val="center"/>
        <w:rPr>
          <w:rFonts w:ascii="Arial" w:hAnsi="Arial" w:cs="Arial"/>
          <w:b/>
          <w:bCs/>
          <w:sz w:val="28"/>
          <w:szCs w:val="28"/>
        </w:rPr>
      </w:pPr>
    </w:p>
    <w:p w14:paraId="3AC345BD" w14:textId="77777777" w:rsidR="006D40EC" w:rsidRDefault="006D40EC" w:rsidP="00213EEF">
      <w:pPr>
        <w:numPr>
          <w:ilvl w:val="12"/>
          <w:numId w:val="0"/>
        </w:numPr>
        <w:jc w:val="center"/>
        <w:rPr>
          <w:rFonts w:ascii="Arial" w:hAnsi="Arial" w:cs="Arial"/>
          <w:b/>
          <w:bCs/>
          <w:sz w:val="28"/>
          <w:szCs w:val="28"/>
        </w:rPr>
      </w:pPr>
    </w:p>
    <w:p w14:paraId="181B79CB" w14:textId="77777777" w:rsidR="000720CB" w:rsidRDefault="000720CB" w:rsidP="000720CB">
      <w:pPr>
        <w:jc w:val="center"/>
        <w:rPr>
          <w:b/>
          <w:bCs/>
          <w:sz w:val="28"/>
          <w:szCs w:val="28"/>
        </w:rPr>
      </w:pPr>
    </w:p>
    <w:p w14:paraId="711C260D" w14:textId="77777777" w:rsidR="000720CB" w:rsidRDefault="000720CB" w:rsidP="000720CB">
      <w:pPr>
        <w:jc w:val="center"/>
        <w:rPr>
          <w:b/>
          <w:bCs/>
          <w:sz w:val="28"/>
          <w:szCs w:val="28"/>
        </w:rPr>
      </w:pPr>
    </w:p>
    <w:p w14:paraId="5FECC199" w14:textId="77777777" w:rsidR="000720CB" w:rsidRDefault="000720CB" w:rsidP="000720CB">
      <w:pPr>
        <w:jc w:val="center"/>
        <w:rPr>
          <w:b/>
          <w:bCs/>
          <w:sz w:val="28"/>
          <w:szCs w:val="28"/>
        </w:rPr>
      </w:pPr>
    </w:p>
    <w:p w14:paraId="18CBF49C" w14:textId="77777777" w:rsidR="000720CB" w:rsidRDefault="000720CB" w:rsidP="000720CB">
      <w:pPr>
        <w:jc w:val="center"/>
        <w:rPr>
          <w:b/>
          <w:bCs/>
          <w:sz w:val="28"/>
          <w:szCs w:val="28"/>
        </w:rPr>
      </w:pPr>
    </w:p>
    <w:p w14:paraId="2583AB31" w14:textId="16EB2C8F" w:rsidR="006D40EC" w:rsidRPr="000720CB" w:rsidRDefault="000720CB" w:rsidP="000720CB">
      <w:pPr>
        <w:jc w:val="center"/>
      </w:pPr>
      <w:r>
        <w:rPr>
          <w:b/>
          <w:bCs/>
          <w:sz w:val="28"/>
          <w:szCs w:val="28"/>
        </w:rPr>
        <w:lastRenderedPageBreak/>
        <w:t>LIST OF FIGURES</w:t>
      </w:r>
    </w:p>
    <w:sdt>
      <w:sdtPr>
        <w:rPr>
          <w:rFonts w:ascii="Times New Roman" w:eastAsia="Times New Roman" w:hAnsi="Times New Roman" w:cs="Times New Roman"/>
          <w:b w:val="0"/>
          <w:bCs w:val="0"/>
          <w:caps/>
          <w:color w:val="auto"/>
          <w:sz w:val="24"/>
          <w:szCs w:val="24"/>
        </w:rPr>
        <w:id w:val="-2147431037"/>
        <w:docPartObj>
          <w:docPartGallery w:val="Table of Contents"/>
          <w:docPartUnique/>
        </w:docPartObj>
      </w:sdtPr>
      <w:sdtEndPr>
        <w:rPr>
          <w:caps w:val="0"/>
          <w:noProof/>
        </w:rPr>
      </w:sdtEndPr>
      <w:sdtContent>
        <w:p w14:paraId="7B8D55A4" w14:textId="57193879" w:rsidR="001F6127" w:rsidRPr="001F6127" w:rsidRDefault="006D40EC" w:rsidP="000720CB">
          <w:pPr>
            <w:pStyle w:val="TOCHeading"/>
            <w:rPr>
              <w:rFonts w:asciiTheme="minorHAnsi" w:eastAsiaTheme="minorEastAsia" w:hAnsiTheme="minorHAnsi" w:cstheme="minorBidi"/>
              <w:noProof/>
              <w:sz w:val="22"/>
              <w:szCs w:val="22"/>
            </w:rPr>
          </w:pPr>
          <w:r w:rsidRPr="001F6127">
            <w:rPr>
              <w:b w:val="0"/>
              <w:bCs w:val="0"/>
            </w:rPr>
            <w:fldChar w:fldCharType="begin"/>
          </w:r>
          <w:r w:rsidRPr="001F6127">
            <w:instrText xml:space="preserve"> TOC \o "1-3" \h \z \u </w:instrText>
          </w:r>
          <w:r w:rsidRPr="001F6127">
            <w:rPr>
              <w:b w:val="0"/>
              <w:bCs w:val="0"/>
            </w:rPr>
            <w:fldChar w:fldCharType="separate"/>
          </w:r>
        </w:p>
        <w:p w14:paraId="1FF40922" w14:textId="77777777" w:rsidR="001F6127" w:rsidRDefault="001007F9" w:rsidP="000720CB">
          <w:pPr>
            <w:pStyle w:val="TOC3"/>
            <w:rPr>
              <w:rStyle w:val="Hyperlink"/>
              <w:caps w:val="0"/>
            </w:rPr>
          </w:pPr>
          <w:hyperlink w:anchor="_Toc466894851" w:history="1">
            <w:r w:rsidR="001F6127" w:rsidRPr="000720CB">
              <w:rPr>
                <w:rStyle w:val="Hyperlink"/>
                <w:b/>
                <w:caps w:val="0"/>
              </w:rPr>
              <w:t>Figure 2.1.</w:t>
            </w:r>
            <w:r w:rsidR="001F6127" w:rsidRPr="001F6127">
              <w:rPr>
                <w:rStyle w:val="Hyperlink"/>
                <w:caps w:val="0"/>
              </w:rPr>
              <w:t xml:space="preserve"> Large patch (</w:t>
            </w:r>
            <w:r w:rsidR="001F6127" w:rsidRPr="001F6127">
              <w:rPr>
                <w:rStyle w:val="Hyperlink"/>
                <w:i/>
                <w:caps w:val="0"/>
              </w:rPr>
              <w:t>Rhizoctonia solani</w:t>
            </w:r>
            <w:r w:rsidR="001F6127" w:rsidRPr="001F6127">
              <w:rPr>
                <w:rStyle w:val="Hyperlink"/>
                <w:caps w:val="0"/>
              </w:rPr>
              <w:t xml:space="preserve">) severity (a) and </w:t>
            </w:r>
            <w:r w:rsidR="001F6127" w:rsidRPr="001F6127">
              <w:rPr>
                <w:rStyle w:val="Hyperlink"/>
                <w:i/>
                <w:caps w:val="0"/>
              </w:rPr>
              <w:t>F</w:t>
            </w:r>
            <w:r w:rsidR="001F6127" w:rsidRPr="001F6127">
              <w:rPr>
                <w:rStyle w:val="Hyperlink"/>
                <w:i/>
                <w:caps w:val="0"/>
                <w:vertAlign w:val="subscript"/>
              </w:rPr>
              <w:t>v</w:t>
            </w:r>
            <w:r w:rsidR="001F6127" w:rsidRPr="001F6127">
              <w:rPr>
                <w:rStyle w:val="Hyperlink"/>
                <w:i/>
                <w:caps w:val="0"/>
              </w:rPr>
              <w:t>/F</w:t>
            </w:r>
            <w:r w:rsidR="001F6127" w:rsidRPr="001F6127">
              <w:rPr>
                <w:rStyle w:val="Hyperlink"/>
                <w:i/>
                <w:caps w:val="0"/>
                <w:vertAlign w:val="subscript"/>
              </w:rPr>
              <w:t>m</w:t>
            </w:r>
            <w:r w:rsidR="001F6127" w:rsidRPr="001F6127">
              <w:rPr>
                <w:rStyle w:val="Hyperlink"/>
                <w:caps w:val="0"/>
              </w:rPr>
              <w:t xml:space="preserve"> measurements (b) on Japanese lawngrass (</w:t>
            </w:r>
            <w:r w:rsidR="001F6127" w:rsidRPr="001F6127">
              <w:rPr>
                <w:rStyle w:val="Hyperlink"/>
                <w:i/>
                <w:caps w:val="0"/>
              </w:rPr>
              <w:t>Zosyia japonica</w:t>
            </w:r>
            <w:r w:rsidR="001F6127" w:rsidRPr="001F6127">
              <w:rPr>
                <w:rStyle w:val="Hyperlink"/>
                <w:caps w:val="0"/>
              </w:rPr>
              <w:t>) pooled across target site among fungicide applications during the 1</w:t>
            </w:r>
            <w:r w:rsidR="001F6127" w:rsidRPr="001F6127">
              <w:rPr>
                <w:rStyle w:val="Hyperlink"/>
                <w:caps w:val="0"/>
                <w:vertAlign w:val="superscript"/>
              </w:rPr>
              <w:t>st</w:t>
            </w:r>
            <w:r w:rsidR="001F6127" w:rsidRPr="001F6127">
              <w:rPr>
                <w:rStyle w:val="Hyperlink"/>
                <w:caps w:val="0"/>
              </w:rPr>
              <w:t xml:space="preserve"> experimental run. The experiment was conduction in a greenhouse located in Knoxville, TN, in 2015. Bars represent the standard error of the mean. Asterisks indicate significance levels at the </w:t>
            </w:r>
            <w:r w:rsidR="001F6127" w:rsidRPr="001F6127">
              <w:rPr>
                <w:rStyle w:val="Hyperlink"/>
                <w:rFonts w:eastAsia="Cambria"/>
                <w:caps w:val="0"/>
              </w:rPr>
              <w:t>p ≤ 0.05, 0.01, and 0.001 level, respectively.</w:t>
            </w:r>
            <w:r w:rsidR="001F6127" w:rsidRPr="001F6127">
              <w:rPr>
                <w:noProof/>
                <w:webHidden/>
              </w:rPr>
              <w:tab/>
            </w:r>
            <w:r w:rsidR="001F6127" w:rsidRPr="001F6127">
              <w:rPr>
                <w:noProof/>
                <w:webHidden/>
              </w:rPr>
              <w:fldChar w:fldCharType="begin"/>
            </w:r>
            <w:r w:rsidR="001F6127" w:rsidRPr="001F6127">
              <w:rPr>
                <w:noProof/>
                <w:webHidden/>
              </w:rPr>
              <w:instrText xml:space="preserve"> PAGEREF _Toc466894851 \h </w:instrText>
            </w:r>
            <w:r w:rsidR="001F6127" w:rsidRPr="001F6127">
              <w:rPr>
                <w:noProof/>
                <w:webHidden/>
              </w:rPr>
            </w:r>
            <w:r w:rsidR="001F6127" w:rsidRPr="001F6127">
              <w:rPr>
                <w:noProof/>
                <w:webHidden/>
              </w:rPr>
              <w:fldChar w:fldCharType="separate"/>
            </w:r>
            <w:r w:rsidR="00470DFB">
              <w:rPr>
                <w:noProof/>
                <w:webHidden/>
              </w:rPr>
              <w:t>37</w:t>
            </w:r>
            <w:r w:rsidR="001F6127" w:rsidRPr="001F6127">
              <w:rPr>
                <w:noProof/>
                <w:webHidden/>
              </w:rPr>
              <w:fldChar w:fldCharType="end"/>
            </w:r>
          </w:hyperlink>
        </w:p>
        <w:p w14:paraId="525CBF90" w14:textId="77777777" w:rsidR="000720CB" w:rsidRPr="000720CB" w:rsidRDefault="000720CB" w:rsidP="000720CB">
          <w:pPr>
            <w:rPr>
              <w:rFonts w:eastAsiaTheme="minorEastAsia"/>
              <w:noProof/>
            </w:rPr>
          </w:pPr>
        </w:p>
        <w:p w14:paraId="700F0F7A" w14:textId="77777777" w:rsidR="001F6127" w:rsidRDefault="001007F9" w:rsidP="000720CB">
          <w:pPr>
            <w:pStyle w:val="TOC3"/>
            <w:rPr>
              <w:rStyle w:val="Hyperlink"/>
              <w:caps w:val="0"/>
            </w:rPr>
          </w:pPr>
          <w:hyperlink w:anchor="_Toc466894852" w:history="1">
            <w:r w:rsidR="001F6127" w:rsidRPr="000720CB">
              <w:rPr>
                <w:rStyle w:val="Hyperlink"/>
                <w:rFonts w:cs="Times New Roman"/>
                <w:b/>
                <w:caps w:val="0"/>
              </w:rPr>
              <w:t>Figure 2.2.</w:t>
            </w:r>
            <w:r w:rsidR="001F6127" w:rsidRPr="001F6127">
              <w:rPr>
                <w:rStyle w:val="Hyperlink"/>
                <w:rFonts w:cs="Times New Roman"/>
                <w:caps w:val="0"/>
              </w:rPr>
              <w:t xml:space="preserve"> Final large patch (</w:t>
            </w:r>
            <w:r w:rsidR="001F6127" w:rsidRPr="001F6127">
              <w:rPr>
                <w:rStyle w:val="Hyperlink"/>
                <w:rFonts w:cs="Times New Roman"/>
                <w:i/>
                <w:caps w:val="0"/>
              </w:rPr>
              <w:t>Rhizoctonia solani</w:t>
            </w:r>
            <w:r w:rsidR="001F6127" w:rsidRPr="001F6127">
              <w:rPr>
                <w:rStyle w:val="Hyperlink"/>
                <w:rFonts w:cs="Times New Roman"/>
                <w:caps w:val="0"/>
              </w:rPr>
              <w:t xml:space="preserve">) severity and </w:t>
            </w:r>
            <w:r w:rsidR="001F6127" w:rsidRPr="001F6127">
              <w:rPr>
                <w:rStyle w:val="Hyperlink"/>
                <w:rFonts w:cs="Times New Roman"/>
                <w:i/>
                <w:caps w:val="0"/>
              </w:rPr>
              <w:t>F</w:t>
            </w:r>
            <w:r w:rsidR="001F6127" w:rsidRPr="001F6127">
              <w:rPr>
                <w:rStyle w:val="Hyperlink"/>
                <w:rFonts w:cs="Times New Roman"/>
                <w:i/>
                <w:caps w:val="0"/>
                <w:vertAlign w:val="subscript"/>
              </w:rPr>
              <w:t>v</w:t>
            </w:r>
            <w:r w:rsidR="001F6127" w:rsidRPr="001F6127">
              <w:rPr>
                <w:rStyle w:val="Hyperlink"/>
                <w:rFonts w:cs="Times New Roman"/>
                <w:i/>
                <w:caps w:val="0"/>
              </w:rPr>
              <w:t>/F</w:t>
            </w:r>
            <w:r w:rsidR="001F6127" w:rsidRPr="001F6127">
              <w:rPr>
                <w:rStyle w:val="Hyperlink"/>
                <w:rFonts w:cs="Times New Roman"/>
                <w:i/>
                <w:caps w:val="0"/>
                <w:vertAlign w:val="subscript"/>
              </w:rPr>
              <w:t>m</w:t>
            </w:r>
            <w:r w:rsidR="001F6127" w:rsidRPr="001F6127">
              <w:rPr>
                <w:rStyle w:val="Hyperlink"/>
                <w:rFonts w:cs="Times New Roman"/>
                <w:caps w:val="0"/>
              </w:rPr>
              <w:t xml:space="preserve"> measurements in response fungicide and target site of fungicide application for the 1</w:t>
            </w:r>
            <w:r w:rsidR="001F6127" w:rsidRPr="001F6127">
              <w:rPr>
                <w:rStyle w:val="Hyperlink"/>
                <w:rFonts w:cs="Times New Roman"/>
                <w:caps w:val="0"/>
                <w:vertAlign w:val="superscript"/>
              </w:rPr>
              <w:t xml:space="preserve">st </w:t>
            </w:r>
            <w:r w:rsidR="001F6127" w:rsidRPr="001F6127">
              <w:rPr>
                <w:rStyle w:val="Hyperlink"/>
                <w:rFonts w:cs="Times New Roman"/>
                <w:caps w:val="0"/>
              </w:rPr>
              <w:t>(a-b) and 2</w:t>
            </w:r>
            <w:r w:rsidR="001F6127" w:rsidRPr="001F6127">
              <w:rPr>
                <w:rStyle w:val="Hyperlink"/>
                <w:rFonts w:cs="Times New Roman"/>
                <w:caps w:val="0"/>
                <w:vertAlign w:val="superscript"/>
              </w:rPr>
              <w:t>nd</w:t>
            </w:r>
            <w:r w:rsidR="001F6127" w:rsidRPr="001F6127">
              <w:rPr>
                <w:rStyle w:val="Hyperlink"/>
                <w:rFonts w:cs="Times New Roman"/>
                <w:caps w:val="0"/>
              </w:rPr>
              <w:t xml:space="preserve"> (c-d) experimental run. Treatment means followed by same letter do not significantly differ according to Fisher’s LSD (p=0.05). Bars represent the standard error of the mean.</w:t>
            </w:r>
            <w:r w:rsidR="001F6127" w:rsidRPr="001F6127">
              <w:rPr>
                <w:noProof/>
                <w:webHidden/>
              </w:rPr>
              <w:tab/>
            </w:r>
            <w:r w:rsidR="001F6127" w:rsidRPr="001F6127">
              <w:rPr>
                <w:noProof/>
                <w:webHidden/>
              </w:rPr>
              <w:fldChar w:fldCharType="begin"/>
            </w:r>
            <w:r w:rsidR="001F6127" w:rsidRPr="001F6127">
              <w:rPr>
                <w:noProof/>
                <w:webHidden/>
              </w:rPr>
              <w:instrText xml:space="preserve"> PAGEREF _Toc466894852 \h </w:instrText>
            </w:r>
            <w:r w:rsidR="001F6127" w:rsidRPr="001F6127">
              <w:rPr>
                <w:noProof/>
                <w:webHidden/>
              </w:rPr>
            </w:r>
            <w:r w:rsidR="001F6127" w:rsidRPr="001F6127">
              <w:rPr>
                <w:noProof/>
                <w:webHidden/>
              </w:rPr>
              <w:fldChar w:fldCharType="separate"/>
            </w:r>
            <w:r w:rsidR="00470DFB">
              <w:rPr>
                <w:noProof/>
                <w:webHidden/>
              </w:rPr>
              <w:t>38</w:t>
            </w:r>
            <w:r w:rsidR="001F6127" w:rsidRPr="001F6127">
              <w:rPr>
                <w:noProof/>
                <w:webHidden/>
              </w:rPr>
              <w:fldChar w:fldCharType="end"/>
            </w:r>
          </w:hyperlink>
        </w:p>
        <w:p w14:paraId="4B2DE588" w14:textId="77777777" w:rsidR="000720CB" w:rsidRPr="000720CB" w:rsidRDefault="000720CB" w:rsidP="000720CB">
          <w:pPr>
            <w:rPr>
              <w:rFonts w:eastAsiaTheme="minorEastAsia"/>
              <w:noProof/>
            </w:rPr>
          </w:pPr>
        </w:p>
        <w:p w14:paraId="3F086D2C" w14:textId="77777777" w:rsidR="001F6127" w:rsidRDefault="001007F9" w:rsidP="000720CB">
          <w:pPr>
            <w:pStyle w:val="TOC3"/>
            <w:rPr>
              <w:rStyle w:val="Hyperlink"/>
              <w:caps w:val="0"/>
            </w:rPr>
          </w:pPr>
          <w:hyperlink w:anchor="_Toc466894884" w:history="1">
            <w:r w:rsidR="001F6127" w:rsidRPr="000720CB">
              <w:rPr>
                <w:rStyle w:val="Hyperlink"/>
                <w:rFonts w:cs="Times New Roman"/>
                <w:b/>
                <w:caps w:val="0"/>
              </w:rPr>
              <w:t xml:space="preserve">Figure 3.1. </w:t>
            </w:r>
            <w:r w:rsidR="001F6127" w:rsidRPr="001F6127">
              <w:rPr>
                <w:rStyle w:val="Hyperlink"/>
                <w:rFonts w:cs="Times New Roman"/>
                <w:caps w:val="0"/>
              </w:rPr>
              <w:t>Climate data for Dalton, GA, (a-b) and Knoxville, TN, (c-d) during the experimental period from fall 2015 (a-c) through spring 2016 (b-d). Data was collected from Weather Underground weather stations in Chatsworth, GA, and Alcoa, TN.</w:t>
            </w:r>
            <w:r w:rsidR="001F6127" w:rsidRPr="001F6127">
              <w:rPr>
                <w:noProof/>
                <w:webHidden/>
              </w:rPr>
              <w:tab/>
            </w:r>
            <w:r w:rsidR="001F6127" w:rsidRPr="001F6127">
              <w:rPr>
                <w:noProof/>
                <w:webHidden/>
              </w:rPr>
              <w:fldChar w:fldCharType="begin"/>
            </w:r>
            <w:r w:rsidR="001F6127" w:rsidRPr="001F6127">
              <w:rPr>
                <w:noProof/>
                <w:webHidden/>
              </w:rPr>
              <w:instrText xml:space="preserve"> PAGEREF _Toc466894884 \h </w:instrText>
            </w:r>
            <w:r w:rsidR="001F6127" w:rsidRPr="001F6127">
              <w:rPr>
                <w:noProof/>
                <w:webHidden/>
              </w:rPr>
            </w:r>
            <w:r w:rsidR="001F6127" w:rsidRPr="001F6127">
              <w:rPr>
                <w:noProof/>
                <w:webHidden/>
              </w:rPr>
              <w:fldChar w:fldCharType="separate"/>
            </w:r>
            <w:r w:rsidR="00470DFB">
              <w:rPr>
                <w:noProof/>
                <w:webHidden/>
              </w:rPr>
              <w:t>72</w:t>
            </w:r>
            <w:r w:rsidR="001F6127" w:rsidRPr="001F6127">
              <w:rPr>
                <w:noProof/>
                <w:webHidden/>
              </w:rPr>
              <w:fldChar w:fldCharType="end"/>
            </w:r>
          </w:hyperlink>
        </w:p>
        <w:p w14:paraId="3ACB73AA" w14:textId="77777777" w:rsidR="000720CB" w:rsidRPr="000720CB" w:rsidRDefault="000720CB" w:rsidP="000720CB">
          <w:pPr>
            <w:rPr>
              <w:rFonts w:eastAsiaTheme="minorEastAsia"/>
              <w:noProof/>
            </w:rPr>
          </w:pPr>
        </w:p>
        <w:p w14:paraId="415112C4" w14:textId="77777777" w:rsidR="001F6127" w:rsidRDefault="001007F9" w:rsidP="000720CB">
          <w:pPr>
            <w:pStyle w:val="TOC3"/>
            <w:rPr>
              <w:rStyle w:val="Hyperlink"/>
              <w:caps w:val="0"/>
            </w:rPr>
          </w:pPr>
          <w:hyperlink w:anchor="_Toc466894885" w:history="1">
            <w:r w:rsidR="001F6127" w:rsidRPr="000720CB">
              <w:rPr>
                <w:rStyle w:val="Hyperlink"/>
                <w:b/>
                <w:caps w:val="0"/>
              </w:rPr>
              <w:t>Figure 3.2.</w:t>
            </w:r>
            <w:r w:rsidR="001F6127" w:rsidRPr="001F6127">
              <w:rPr>
                <w:rStyle w:val="Hyperlink"/>
                <w:caps w:val="0"/>
              </w:rPr>
              <w:t xml:space="preserve"> Large patch (</w:t>
            </w:r>
            <w:r w:rsidR="001F6127" w:rsidRPr="001F6127">
              <w:rPr>
                <w:rStyle w:val="Hyperlink"/>
                <w:i/>
                <w:caps w:val="0"/>
              </w:rPr>
              <w:t>Rhizoctonia solani</w:t>
            </w:r>
            <w:r w:rsidR="001F6127" w:rsidRPr="001F6127">
              <w:rPr>
                <w:rStyle w:val="Hyperlink"/>
                <w:caps w:val="0"/>
              </w:rPr>
              <w:t>) severity in response to applications of azoxystrobin (0.61 kg ai ha</w:t>
            </w:r>
            <w:r w:rsidR="001F6127" w:rsidRPr="001F6127">
              <w:rPr>
                <w:rStyle w:val="Hyperlink"/>
                <w:caps w:val="0"/>
                <w:vertAlign w:val="superscript"/>
              </w:rPr>
              <w:t>-1</w:t>
            </w:r>
            <w:r w:rsidR="001F6127" w:rsidRPr="001F6127">
              <w:rPr>
                <w:rStyle w:val="Hyperlink"/>
                <w:caps w:val="0"/>
              </w:rPr>
              <w:t>) at various spray rate volumes in Dalton, GA (a), and Knoxville, TN (b). Treatments were initiated on 18 SEP and reapplied on 14 OCT and 11 APR in Knoxville, TN. At Dalton, GA, treatments were initiated on 1 OCT and reapplied on 29 OCT and 29 MAR. Asterisks indicate significance levels at the p ≤ 0.05, 0.01, and 0.001 level, respectively. Bars represent the standard error of the mean.</w:t>
            </w:r>
            <w:r w:rsidR="001F6127" w:rsidRPr="001F6127">
              <w:rPr>
                <w:noProof/>
                <w:webHidden/>
              </w:rPr>
              <w:tab/>
            </w:r>
            <w:r w:rsidR="001F6127" w:rsidRPr="001F6127">
              <w:rPr>
                <w:noProof/>
                <w:webHidden/>
              </w:rPr>
              <w:fldChar w:fldCharType="begin"/>
            </w:r>
            <w:r w:rsidR="001F6127" w:rsidRPr="001F6127">
              <w:rPr>
                <w:noProof/>
                <w:webHidden/>
              </w:rPr>
              <w:instrText xml:space="preserve"> PAGEREF _Toc466894885 \h </w:instrText>
            </w:r>
            <w:r w:rsidR="001F6127" w:rsidRPr="001F6127">
              <w:rPr>
                <w:noProof/>
                <w:webHidden/>
              </w:rPr>
            </w:r>
            <w:r w:rsidR="001F6127" w:rsidRPr="001F6127">
              <w:rPr>
                <w:noProof/>
                <w:webHidden/>
              </w:rPr>
              <w:fldChar w:fldCharType="separate"/>
            </w:r>
            <w:r w:rsidR="00470DFB">
              <w:rPr>
                <w:noProof/>
                <w:webHidden/>
              </w:rPr>
              <w:t>73</w:t>
            </w:r>
            <w:r w:rsidR="001F6127" w:rsidRPr="001F6127">
              <w:rPr>
                <w:noProof/>
                <w:webHidden/>
              </w:rPr>
              <w:fldChar w:fldCharType="end"/>
            </w:r>
          </w:hyperlink>
        </w:p>
        <w:p w14:paraId="2A2111C2" w14:textId="77777777" w:rsidR="000720CB" w:rsidRPr="000720CB" w:rsidRDefault="000720CB" w:rsidP="000720CB">
          <w:pPr>
            <w:rPr>
              <w:rFonts w:eastAsiaTheme="minorEastAsia"/>
              <w:noProof/>
            </w:rPr>
          </w:pPr>
        </w:p>
        <w:p w14:paraId="5E49C49D" w14:textId="77777777" w:rsidR="001F6127" w:rsidRDefault="001007F9" w:rsidP="000720CB">
          <w:pPr>
            <w:pStyle w:val="TOC3"/>
            <w:rPr>
              <w:rStyle w:val="Hyperlink"/>
              <w:caps w:val="0"/>
            </w:rPr>
          </w:pPr>
          <w:hyperlink w:anchor="_Toc466894886" w:history="1">
            <w:r w:rsidR="001F6127" w:rsidRPr="000720CB">
              <w:rPr>
                <w:rStyle w:val="Hyperlink"/>
                <w:b/>
                <w:caps w:val="0"/>
              </w:rPr>
              <w:t xml:space="preserve">Figure 3.3. </w:t>
            </w:r>
            <w:r w:rsidR="001F6127" w:rsidRPr="001F6127">
              <w:rPr>
                <w:rStyle w:val="Hyperlink"/>
                <w:caps w:val="0"/>
              </w:rPr>
              <w:t>Measurements of the Area Under the Disease Progress Curve (AUDPC) for large patch (</w:t>
            </w:r>
            <w:r w:rsidR="001F6127" w:rsidRPr="001F6127">
              <w:rPr>
                <w:rStyle w:val="Hyperlink"/>
                <w:i/>
                <w:caps w:val="0"/>
              </w:rPr>
              <w:t>Rhizoctonia solani</w:t>
            </w:r>
            <w:r w:rsidR="001F6127" w:rsidRPr="001F6127">
              <w:rPr>
                <w:rStyle w:val="Hyperlink"/>
                <w:caps w:val="0"/>
              </w:rPr>
              <w:t>) severity (pooled across locations) in response to applications of azoxystrobin (0.61 kg ai ha</w:t>
            </w:r>
            <w:r w:rsidR="001F6127" w:rsidRPr="001F6127">
              <w:rPr>
                <w:rStyle w:val="Hyperlink"/>
                <w:caps w:val="0"/>
                <w:vertAlign w:val="superscript"/>
              </w:rPr>
              <w:t>-1</w:t>
            </w:r>
            <w:r w:rsidR="001F6127" w:rsidRPr="001F6127">
              <w:rPr>
                <w:rStyle w:val="Hyperlink"/>
                <w:caps w:val="0"/>
              </w:rPr>
              <w:t>) applied at various spray rate volumes. Treatment means followed by same letter do not significantly differ according to Fisher’s LSD (p=0.05). Bars represent the standard error of the mean.</w:t>
            </w:r>
            <w:r w:rsidR="001F6127" w:rsidRPr="001F6127">
              <w:rPr>
                <w:noProof/>
                <w:webHidden/>
              </w:rPr>
              <w:tab/>
            </w:r>
            <w:r w:rsidR="001F6127" w:rsidRPr="001F6127">
              <w:rPr>
                <w:noProof/>
                <w:webHidden/>
              </w:rPr>
              <w:fldChar w:fldCharType="begin"/>
            </w:r>
            <w:r w:rsidR="001F6127" w:rsidRPr="001F6127">
              <w:rPr>
                <w:noProof/>
                <w:webHidden/>
              </w:rPr>
              <w:instrText xml:space="preserve"> PAGEREF _Toc466894886 \h </w:instrText>
            </w:r>
            <w:r w:rsidR="001F6127" w:rsidRPr="001F6127">
              <w:rPr>
                <w:noProof/>
                <w:webHidden/>
              </w:rPr>
            </w:r>
            <w:r w:rsidR="001F6127" w:rsidRPr="001F6127">
              <w:rPr>
                <w:noProof/>
                <w:webHidden/>
              </w:rPr>
              <w:fldChar w:fldCharType="separate"/>
            </w:r>
            <w:r w:rsidR="00470DFB">
              <w:rPr>
                <w:noProof/>
                <w:webHidden/>
              </w:rPr>
              <w:t>74</w:t>
            </w:r>
            <w:r w:rsidR="001F6127" w:rsidRPr="001F6127">
              <w:rPr>
                <w:noProof/>
                <w:webHidden/>
              </w:rPr>
              <w:fldChar w:fldCharType="end"/>
            </w:r>
          </w:hyperlink>
        </w:p>
        <w:p w14:paraId="51B30083" w14:textId="77777777" w:rsidR="000720CB" w:rsidRPr="000720CB" w:rsidRDefault="000720CB" w:rsidP="000720CB">
          <w:pPr>
            <w:rPr>
              <w:rFonts w:eastAsiaTheme="minorEastAsia"/>
              <w:noProof/>
            </w:rPr>
          </w:pPr>
        </w:p>
        <w:p w14:paraId="1AB97F38" w14:textId="77777777" w:rsidR="001F6127" w:rsidRDefault="001007F9" w:rsidP="000720CB">
          <w:pPr>
            <w:pStyle w:val="TOC3"/>
            <w:rPr>
              <w:rStyle w:val="Hyperlink"/>
              <w:caps w:val="0"/>
            </w:rPr>
          </w:pPr>
          <w:hyperlink w:anchor="_Toc466894888" w:history="1">
            <w:r w:rsidR="001F6127" w:rsidRPr="000720CB">
              <w:rPr>
                <w:rStyle w:val="Hyperlink"/>
                <w:b/>
                <w:caps w:val="0"/>
              </w:rPr>
              <w:t>Figure 3.4.</w:t>
            </w:r>
            <w:r w:rsidR="001F6127" w:rsidRPr="001F6127">
              <w:rPr>
                <w:rStyle w:val="Hyperlink"/>
                <w:caps w:val="0"/>
              </w:rPr>
              <w:t xml:space="preserve"> Large patch (</w:t>
            </w:r>
            <w:r w:rsidR="001F6127" w:rsidRPr="001F6127">
              <w:rPr>
                <w:rStyle w:val="Hyperlink"/>
                <w:i/>
                <w:caps w:val="0"/>
              </w:rPr>
              <w:t>Rhizoctonia solani</w:t>
            </w:r>
            <w:r w:rsidR="001F6127" w:rsidRPr="001F6127">
              <w:rPr>
                <w:rStyle w:val="Hyperlink"/>
                <w:caps w:val="0"/>
              </w:rPr>
              <w:t>) severity (pooled across fungicides and experimental runs) in response to various spray rate volumes under growth chamber conditions. The fungicides azoxystrobin, flutolanil, and tebuconazole were applied once at 0.46, 3.51, and 0.62 kg ai ha</w:t>
            </w:r>
            <w:r w:rsidR="001F6127" w:rsidRPr="001F6127">
              <w:rPr>
                <w:rStyle w:val="Hyperlink"/>
                <w:caps w:val="0"/>
                <w:vertAlign w:val="superscript"/>
              </w:rPr>
              <w:t>-1</w:t>
            </w:r>
            <w:r w:rsidR="001F6127" w:rsidRPr="001F6127">
              <w:rPr>
                <w:rStyle w:val="Hyperlink"/>
                <w:caps w:val="0"/>
              </w:rPr>
              <w:t>, respectively. Asterisks indicate significance levels at the p ≤ 0.05, 0.01, and 0.001 level, respectively. Bars represent the standard error of the mean.</w:t>
            </w:r>
            <w:r w:rsidR="001F6127" w:rsidRPr="001F6127">
              <w:rPr>
                <w:noProof/>
                <w:webHidden/>
              </w:rPr>
              <w:tab/>
            </w:r>
            <w:r w:rsidR="001F6127" w:rsidRPr="001F6127">
              <w:rPr>
                <w:noProof/>
                <w:webHidden/>
              </w:rPr>
              <w:fldChar w:fldCharType="begin"/>
            </w:r>
            <w:r w:rsidR="001F6127" w:rsidRPr="001F6127">
              <w:rPr>
                <w:noProof/>
                <w:webHidden/>
              </w:rPr>
              <w:instrText xml:space="preserve"> PAGEREF _Toc466894888 \h </w:instrText>
            </w:r>
            <w:r w:rsidR="001F6127" w:rsidRPr="001F6127">
              <w:rPr>
                <w:noProof/>
                <w:webHidden/>
              </w:rPr>
            </w:r>
            <w:r w:rsidR="001F6127" w:rsidRPr="001F6127">
              <w:rPr>
                <w:noProof/>
                <w:webHidden/>
              </w:rPr>
              <w:fldChar w:fldCharType="separate"/>
            </w:r>
            <w:r w:rsidR="00470DFB">
              <w:rPr>
                <w:noProof/>
                <w:webHidden/>
              </w:rPr>
              <w:t>75</w:t>
            </w:r>
            <w:r w:rsidR="001F6127" w:rsidRPr="001F6127">
              <w:rPr>
                <w:noProof/>
                <w:webHidden/>
              </w:rPr>
              <w:fldChar w:fldCharType="end"/>
            </w:r>
          </w:hyperlink>
        </w:p>
        <w:p w14:paraId="5B2794E7" w14:textId="77777777" w:rsidR="000720CB" w:rsidRPr="000720CB" w:rsidRDefault="000720CB" w:rsidP="000720CB">
          <w:pPr>
            <w:rPr>
              <w:rFonts w:eastAsiaTheme="minorEastAsia"/>
              <w:noProof/>
            </w:rPr>
          </w:pPr>
        </w:p>
        <w:p w14:paraId="59523712" w14:textId="77777777" w:rsidR="001F6127" w:rsidRDefault="001007F9" w:rsidP="000720CB">
          <w:pPr>
            <w:pStyle w:val="TOC3"/>
            <w:rPr>
              <w:rStyle w:val="Hyperlink"/>
              <w:caps w:val="0"/>
            </w:rPr>
          </w:pPr>
          <w:hyperlink w:anchor="_Toc466894889" w:history="1">
            <w:r w:rsidR="001F6127" w:rsidRPr="000720CB">
              <w:rPr>
                <w:rStyle w:val="Hyperlink"/>
                <w:b/>
                <w:caps w:val="0"/>
              </w:rPr>
              <w:t>Figure 3.5.</w:t>
            </w:r>
            <w:r w:rsidR="001F6127" w:rsidRPr="001F6127">
              <w:rPr>
                <w:rStyle w:val="Hyperlink"/>
                <w:caps w:val="0"/>
              </w:rPr>
              <w:t xml:space="preserve"> Large patch (</w:t>
            </w:r>
            <w:r w:rsidR="001F6127" w:rsidRPr="001F6127">
              <w:rPr>
                <w:rStyle w:val="Hyperlink"/>
                <w:i/>
                <w:caps w:val="0"/>
              </w:rPr>
              <w:t>Rhizoctonia solani</w:t>
            </w:r>
            <w:r w:rsidR="001F6127" w:rsidRPr="001F6127">
              <w:rPr>
                <w:rStyle w:val="Hyperlink"/>
                <w:caps w:val="0"/>
              </w:rPr>
              <w:t>) severity at 28 days after treatment (pooled across experimental runs) in response to fungicides applied at four spray rate volumes. Treatment means followed by same letter do not significantly differ according to Fisher’s LSD (p=0.05). Bars represent the standard error of the mean.</w:t>
            </w:r>
            <w:r w:rsidR="001F6127" w:rsidRPr="001F6127">
              <w:rPr>
                <w:noProof/>
                <w:webHidden/>
              </w:rPr>
              <w:tab/>
            </w:r>
            <w:r w:rsidR="001F6127" w:rsidRPr="001F6127">
              <w:rPr>
                <w:noProof/>
                <w:webHidden/>
              </w:rPr>
              <w:fldChar w:fldCharType="begin"/>
            </w:r>
            <w:r w:rsidR="001F6127" w:rsidRPr="001F6127">
              <w:rPr>
                <w:noProof/>
                <w:webHidden/>
              </w:rPr>
              <w:instrText xml:space="preserve"> PAGEREF _Toc466894889 \h </w:instrText>
            </w:r>
            <w:r w:rsidR="001F6127" w:rsidRPr="001F6127">
              <w:rPr>
                <w:noProof/>
                <w:webHidden/>
              </w:rPr>
            </w:r>
            <w:r w:rsidR="001F6127" w:rsidRPr="001F6127">
              <w:rPr>
                <w:noProof/>
                <w:webHidden/>
              </w:rPr>
              <w:fldChar w:fldCharType="separate"/>
            </w:r>
            <w:r w:rsidR="00470DFB">
              <w:rPr>
                <w:noProof/>
                <w:webHidden/>
              </w:rPr>
              <w:t>76</w:t>
            </w:r>
            <w:r w:rsidR="001F6127" w:rsidRPr="001F6127">
              <w:rPr>
                <w:noProof/>
                <w:webHidden/>
              </w:rPr>
              <w:fldChar w:fldCharType="end"/>
            </w:r>
          </w:hyperlink>
        </w:p>
        <w:p w14:paraId="188850AA" w14:textId="77777777" w:rsidR="000720CB" w:rsidRPr="000720CB" w:rsidRDefault="000720CB" w:rsidP="000720CB">
          <w:pPr>
            <w:rPr>
              <w:rFonts w:eastAsiaTheme="minorEastAsia"/>
              <w:noProof/>
            </w:rPr>
          </w:pPr>
        </w:p>
        <w:p w14:paraId="1FBF173A" w14:textId="77777777" w:rsidR="001F6127" w:rsidRDefault="001007F9" w:rsidP="000720CB">
          <w:pPr>
            <w:pStyle w:val="TOC3"/>
            <w:rPr>
              <w:rStyle w:val="Hyperlink"/>
              <w:caps w:val="0"/>
            </w:rPr>
          </w:pPr>
          <w:hyperlink w:anchor="_Toc466894891" w:history="1">
            <w:r w:rsidR="001F6127" w:rsidRPr="000720CB">
              <w:rPr>
                <w:rStyle w:val="Hyperlink"/>
                <w:rFonts w:cs="Times New Roman"/>
                <w:b/>
                <w:caps w:val="0"/>
              </w:rPr>
              <w:t>Figure 3.6.</w:t>
            </w:r>
            <w:r w:rsidR="001F6127" w:rsidRPr="001F6127">
              <w:rPr>
                <w:rStyle w:val="Hyperlink"/>
                <w:rFonts w:cs="Times New Roman"/>
                <w:caps w:val="0"/>
              </w:rPr>
              <w:t xml:space="preserve"> Measurements of the Area Under the Disease Progress Curve (AUDPC) for large patch (</w:t>
            </w:r>
            <w:r w:rsidR="001F6127" w:rsidRPr="001F6127">
              <w:rPr>
                <w:rStyle w:val="Hyperlink"/>
                <w:rFonts w:cs="Times New Roman"/>
                <w:i/>
                <w:caps w:val="0"/>
              </w:rPr>
              <w:t>Rhizoctonia solani</w:t>
            </w:r>
            <w:r w:rsidR="001F6127" w:rsidRPr="001F6127">
              <w:rPr>
                <w:rStyle w:val="Hyperlink"/>
                <w:rFonts w:cs="Times New Roman"/>
                <w:caps w:val="0"/>
              </w:rPr>
              <w:t>) severity (pooled across locations) in response to fungicides applied with or without an organosilicone surfactant (0.25% v/v). Treatment means followed by same letter do not significantly differ according to Fisher’s LSD (p=0.05). Bars represent the standard error of the mean.</w:t>
            </w:r>
            <w:r w:rsidR="001F6127" w:rsidRPr="001F6127">
              <w:rPr>
                <w:noProof/>
                <w:webHidden/>
              </w:rPr>
              <w:tab/>
            </w:r>
            <w:r w:rsidR="001F6127" w:rsidRPr="001F6127">
              <w:rPr>
                <w:noProof/>
                <w:webHidden/>
              </w:rPr>
              <w:fldChar w:fldCharType="begin"/>
            </w:r>
            <w:r w:rsidR="001F6127" w:rsidRPr="001F6127">
              <w:rPr>
                <w:noProof/>
                <w:webHidden/>
              </w:rPr>
              <w:instrText xml:space="preserve"> PAGEREF _Toc466894891 \h </w:instrText>
            </w:r>
            <w:r w:rsidR="001F6127" w:rsidRPr="001F6127">
              <w:rPr>
                <w:noProof/>
                <w:webHidden/>
              </w:rPr>
            </w:r>
            <w:r w:rsidR="001F6127" w:rsidRPr="001F6127">
              <w:rPr>
                <w:noProof/>
                <w:webHidden/>
              </w:rPr>
              <w:fldChar w:fldCharType="separate"/>
            </w:r>
            <w:r w:rsidR="00470DFB">
              <w:rPr>
                <w:noProof/>
                <w:webHidden/>
              </w:rPr>
              <w:t>77</w:t>
            </w:r>
            <w:r w:rsidR="001F6127" w:rsidRPr="001F6127">
              <w:rPr>
                <w:noProof/>
                <w:webHidden/>
              </w:rPr>
              <w:fldChar w:fldCharType="end"/>
            </w:r>
          </w:hyperlink>
        </w:p>
        <w:p w14:paraId="408B4F11" w14:textId="77777777" w:rsidR="000720CB" w:rsidRPr="000720CB" w:rsidRDefault="000720CB" w:rsidP="000720CB">
          <w:pPr>
            <w:rPr>
              <w:rFonts w:eastAsiaTheme="minorEastAsia"/>
              <w:noProof/>
            </w:rPr>
          </w:pPr>
        </w:p>
        <w:p w14:paraId="00EAC791" w14:textId="77777777" w:rsidR="001F6127" w:rsidRDefault="001007F9" w:rsidP="000720CB">
          <w:pPr>
            <w:pStyle w:val="TOC3"/>
            <w:rPr>
              <w:rStyle w:val="Hyperlink"/>
              <w:caps w:val="0"/>
            </w:rPr>
          </w:pPr>
          <w:hyperlink w:anchor="_Toc466894892" w:history="1">
            <w:r w:rsidR="001F6127" w:rsidRPr="000720CB">
              <w:rPr>
                <w:rStyle w:val="Hyperlink"/>
                <w:rFonts w:cs="Times New Roman"/>
                <w:b/>
                <w:caps w:val="0"/>
              </w:rPr>
              <w:t>Figure 3.7.</w:t>
            </w:r>
            <w:r w:rsidR="001F6127" w:rsidRPr="001F6127">
              <w:rPr>
                <w:rStyle w:val="Hyperlink"/>
                <w:rFonts w:cs="Times New Roman"/>
                <w:caps w:val="0"/>
              </w:rPr>
              <w:t xml:space="preserve"> Influence of adjuvants (pooled across fungicides and experimental runs) on large patch (</w:t>
            </w:r>
            <w:r w:rsidR="001F6127" w:rsidRPr="001F6127">
              <w:rPr>
                <w:rStyle w:val="Hyperlink"/>
                <w:rFonts w:cs="Times New Roman"/>
                <w:i/>
                <w:caps w:val="0"/>
              </w:rPr>
              <w:t>Rhizoctonia solani</w:t>
            </w:r>
            <w:r w:rsidR="001F6127" w:rsidRPr="001F6127">
              <w:rPr>
                <w:rStyle w:val="Hyperlink"/>
                <w:rFonts w:cs="Times New Roman"/>
                <w:caps w:val="0"/>
              </w:rPr>
              <w:t>) severity under growth chamber conditions. Each adjuvant was applied at 0.25% v/v and mixed with fungicides azoxystrobin, flutolanil, and tebuconazole at a spray rate volume of 748 L ha</w:t>
            </w:r>
            <w:r w:rsidR="001F6127" w:rsidRPr="001F6127">
              <w:rPr>
                <w:rStyle w:val="Hyperlink"/>
                <w:rFonts w:cs="Times New Roman"/>
                <w:caps w:val="0"/>
                <w:vertAlign w:val="superscript"/>
              </w:rPr>
              <w:t>-1</w:t>
            </w:r>
            <w:r w:rsidR="001F6127" w:rsidRPr="001F6127">
              <w:rPr>
                <w:rStyle w:val="Hyperlink"/>
                <w:rFonts w:cs="Times New Roman"/>
                <w:caps w:val="0"/>
              </w:rPr>
              <w:t>. Treatment means followed by same letter do not significantly differ according to Fisher’s LSD (p=0.05). Bars represent the standard error of the mean.</w:t>
            </w:r>
            <w:r w:rsidR="001F6127" w:rsidRPr="001F6127">
              <w:rPr>
                <w:noProof/>
                <w:webHidden/>
              </w:rPr>
              <w:tab/>
            </w:r>
            <w:r w:rsidR="001F6127" w:rsidRPr="001F6127">
              <w:rPr>
                <w:noProof/>
                <w:webHidden/>
              </w:rPr>
              <w:fldChar w:fldCharType="begin"/>
            </w:r>
            <w:r w:rsidR="001F6127" w:rsidRPr="001F6127">
              <w:rPr>
                <w:noProof/>
                <w:webHidden/>
              </w:rPr>
              <w:instrText xml:space="preserve"> PAGEREF _Toc466894892 \h </w:instrText>
            </w:r>
            <w:r w:rsidR="001F6127" w:rsidRPr="001F6127">
              <w:rPr>
                <w:noProof/>
                <w:webHidden/>
              </w:rPr>
            </w:r>
            <w:r w:rsidR="001F6127" w:rsidRPr="001F6127">
              <w:rPr>
                <w:noProof/>
                <w:webHidden/>
              </w:rPr>
              <w:fldChar w:fldCharType="separate"/>
            </w:r>
            <w:r w:rsidR="00470DFB">
              <w:rPr>
                <w:noProof/>
                <w:webHidden/>
              </w:rPr>
              <w:t>78</w:t>
            </w:r>
            <w:r w:rsidR="001F6127" w:rsidRPr="001F6127">
              <w:rPr>
                <w:noProof/>
                <w:webHidden/>
              </w:rPr>
              <w:fldChar w:fldCharType="end"/>
            </w:r>
          </w:hyperlink>
        </w:p>
        <w:p w14:paraId="3B6519B1" w14:textId="77777777" w:rsidR="000720CB" w:rsidRPr="000720CB" w:rsidRDefault="000720CB" w:rsidP="000720CB">
          <w:pPr>
            <w:rPr>
              <w:rFonts w:eastAsiaTheme="minorEastAsia"/>
              <w:noProof/>
            </w:rPr>
          </w:pPr>
        </w:p>
        <w:p w14:paraId="49F6C1B1" w14:textId="77777777" w:rsidR="001F6127" w:rsidRDefault="001007F9" w:rsidP="000720CB">
          <w:pPr>
            <w:pStyle w:val="TOC3"/>
            <w:rPr>
              <w:rStyle w:val="Hyperlink"/>
              <w:caps w:val="0"/>
            </w:rPr>
          </w:pPr>
          <w:hyperlink w:anchor="_Toc466894893" w:history="1">
            <w:r w:rsidR="001F6127" w:rsidRPr="000720CB">
              <w:rPr>
                <w:rStyle w:val="Hyperlink"/>
                <w:b/>
                <w:caps w:val="0"/>
              </w:rPr>
              <w:t>Figure 3.8.</w:t>
            </w:r>
            <w:r w:rsidR="001F6127" w:rsidRPr="001F6127">
              <w:rPr>
                <w:rStyle w:val="Hyperlink"/>
                <w:caps w:val="0"/>
              </w:rPr>
              <w:t xml:space="preserve"> Spray deposition measurements on Japanese lawngrass (Zoysia japonica) stems (a), sheaths (b), and leaf surfaces (c) in response to various spray rate volumes (pooled across surfactant additives and experimental runs). Treatment means followed by same letter do not significantly differ according to Fisher’s LSD (p=0.05). Bars represent the standard error of the mean.</w:t>
            </w:r>
            <w:r w:rsidR="001F6127" w:rsidRPr="001F6127">
              <w:rPr>
                <w:noProof/>
                <w:webHidden/>
              </w:rPr>
              <w:tab/>
            </w:r>
            <w:r w:rsidR="001F6127" w:rsidRPr="001F6127">
              <w:rPr>
                <w:noProof/>
                <w:webHidden/>
              </w:rPr>
              <w:fldChar w:fldCharType="begin"/>
            </w:r>
            <w:r w:rsidR="001F6127" w:rsidRPr="001F6127">
              <w:rPr>
                <w:noProof/>
                <w:webHidden/>
              </w:rPr>
              <w:instrText xml:space="preserve"> PAGEREF _Toc466894893 \h </w:instrText>
            </w:r>
            <w:r w:rsidR="001F6127" w:rsidRPr="001F6127">
              <w:rPr>
                <w:noProof/>
                <w:webHidden/>
              </w:rPr>
            </w:r>
            <w:r w:rsidR="001F6127" w:rsidRPr="001F6127">
              <w:rPr>
                <w:noProof/>
                <w:webHidden/>
              </w:rPr>
              <w:fldChar w:fldCharType="separate"/>
            </w:r>
            <w:r w:rsidR="00470DFB">
              <w:rPr>
                <w:noProof/>
                <w:webHidden/>
              </w:rPr>
              <w:t>79</w:t>
            </w:r>
            <w:r w:rsidR="001F6127" w:rsidRPr="001F6127">
              <w:rPr>
                <w:noProof/>
                <w:webHidden/>
              </w:rPr>
              <w:fldChar w:fldCharType="end"/>
            </w:r>
          </w:hyperlink>
        </w:p>
        <w:p w14:paraId="30975EF6" w14:textId="77777777" w:rsidR="000720CB" w:rsidRPr="000720CB" w:rsidRDefault="000720CB" w:rsidP="000720CB">
          <w:pPr>
            <w:rPr>
              <w:rFonts w:eastAsiaTheme="minorEastAsia"/>
              <w:noProof/>
            </w:rPr>
          </w:pPr>
        </w:p>
        <w:p w14:paraId="03EBFADC" w14:textId="41BD3EDE" w:rsidR="006D40EC" w:rsidRPr="001F6127" w:rsidRDefault="001007F9" w:rsidP="000720CB">
          <w:pPr>
            <w:pStyle w:val="TOC3"/>
            <w:rPr>
              <w:rFonts w:asciiTheme="minorHAnsi" w:eastAsiaTheme="minorEastAsia" w:hAnsiTheme="minorHAnsi" w:cstheme="minorBidi"/>
              <w:noProof/>
              <w:sz w:val="22"/>
              <w:szCs w:val="22"/>
            </w:rPr>
          </w:pPr>
          <w:hyperlink w:anchor="_Toc466894894" w:history="1">
            <w:r w:rsidR="001F6127" w:rsidRPr="000720CB">
              <w:rPr>
                <w:rStyle w:val="Hyperlink"/>
                <w:b/>
                <w:caps w:val="0"/>
              </w:rPr>
              <w:t>Figure 3.9.</w:t>
            </w:r>
            <w:r w:rsidR="001F6127" w:rsidRPr="001F6127">
              <w:rPr>
                <w:rStyle w:val="Hyperlink"/>
                <w:caps w:val="0"/>
              </w:rPr>
              <w:t xml:space="preserve"> Leaf surface deposition (pooled across experimental runs) in response to various spray rate volumes applied with or without an organosilicone surfactant (0.25% v/v). Treatment </w:t>
            </w:r>
            <w:r w:rsidR="001F6127" w:rsidRPr="001F6127">
              <w:rPr>
                <w:rStyle w:val="Hyperlink"/>
                <w:caps w:val="0"/>
              </w:rPr>
              <w:lastRenderedPageBreak/>
              <w:t>means followed by same letter do not significantly differ according to Fisher’s LSD (p=0.05). Bars represent the standard error of the mean.</w:t>
            </w:r>
            <w:r w:rsidR="001F6127" w:rsidRPr="001F6127">
              <w:rPr>
                <w:noProof/>
                <w:webHidden/>
              </w:rPr>
              <w:tab/>
            </w:r>
            <w:r w:rsidR="001F6127" w:rsidRPr="001F6127">
              <w:rPr>
                <w:noProof/>
                <w:webHidden/>
              </w:rPr>
              <w:fldChar w:fldCharType="begin"/>
            </w:r>
            <w:r w:rsidR="001F6127" w:rsidRPr="001F6127">
              <w:rPr>
                <w:noProof/>
                <w:webHidden/>
              </w:rPr>
              <w:instrText xml:space="preserve"> PAGEREF _Toc466894894 \h </w:instrText>
            </w:r>
            <w:r w:rsidR="001F6127" w:rsidRPr="001F6127">
              <w:rPr>
                <w:noProof/>
                <w:webHidden/>
              </w:rPr>
            </w:r>
            <w:r w:rsidR="001F6127" w:rsidRPr="001F6127">
              <w:rPr>
                <w:noProof/>
                <w:webHidden/>
              </w:rPr>
              <w:fldChar w:fldCharType="separate"/>
            </w:r>
            <w:r w:rsidR="00470DFB">
              <w:rPr>
                <w:noProof/>
                <w:webHidden/>
              </w:rPr>
              <w:t>80</w:t>
            </w:r>
            <w:r w:rsidR="001F6127" w:rsidRPr="001F6127">
              <w:rPr>
                <w:noProof/>
                <w:webHidden/>
              </w:rPr>
              <w:fldChar w:fldCharType="end"/>
            </w:r>
          </w:hyperlink>
          <w:r w:rsidR="006D40EC" w:rsidRPr="001F6127">
            <w:rPr>
              <w:b/>
              <w:bCs/>
              <w:noProof/>
            </w:rPr>
            <w:fldChar w:fldCharType="end"/>
          </w:r>
        </w:p>
      </w:sdtContent>
    </w:sdt>
    <w:p w14:paraId="474B30F2" w14:textId="77777777" w:rsidR="006D40EC" w:rsidRDefault="006D40EC" w:rsidP="00213EEF">
      <w:pPr>
        <w:numPr>
          <w:ilvl w:val="12"/>
          <w:numId w:val="0"/>
        </w:numPr>
        <w:jc w:val="center"/>
        <w:rPr>
          <w:rFonts w:ascii="Arial" w:hAnsi="Arial" w:cs="Arial"/>
          <w:b/>
          <w:bCs/>
          <w:sz w:val="28"/>
          <w:szCs w:val="28"/>
        </w:rPr>
      </w:pPr>
    </w:p>
    <w:p w14:paraId="2AA18BF5" w14:textId="77777777" w:rsidR="006D40EC" w:rsidRDefault="006D40EC" w:rsidP="00213EEF">
      <w:pPr>
        <w:numPr>
          <w:ilvl w:val="12"/>
          <w:numId w:val="0"/>
        </w:numPr>
        <w:jc w:val="center"/>
        <w:rPr>
          <w:rFonts w:ascii="Arial" w:hAnsi="Arial" w:cs="Arial"/>
          <w:b/>
          <w:bCs/>
          <w:sz w:val="28"/>
          <w:szCs w:val="28"/>
        </w:rPr>
      </w:pPr>
    </w:p>
    <w:p w14:paraId="1282F9E4" w14:textId="77777777" w:rsidR="006D40EC" w:rsidRDefault="006D40EC" w:rsidP="00213EEF">
      <w:pPr>
        <w:numPr>
          <w:ilvl w:val="12"/>
          <w:numId w:val="0"/>
        </w:numPr>
        <w:jc w:val="center"/>
        <w:rPr>
          <w:rFonts w:ascii="Arial" w:hAnsi="Arial" w:cs="Arial"/>
          <w:b/>
          <w:bCs/>
          <w:sz w:val="28"/>
          <w:szCs w:val="28"/>
        </w:rPr>
      </w:pPr>
    </w:p>
    <w:p w14:paraId="45B96908" w14:textId="77777777" w:rsidR="006D40EC" w:rsidRDefault="006D40EC" w:rsidP="00213EEF">
      <w:pPr>
        <w:numPr>
          <w:ilvl w:val="12"/>
          <w:numId w:val="0"/>
        </w:numPr>
        <w:jc w:val="center"/>
        <w:rPr>
          <w:rFonts w:ascii="Arial" w:hAnsi="Arial" w:cs="Arial"/>
          <w:b/>
          <w:bCs/>
          <w:sz w:val="28"/>
          <w:szCs w:val="28"/>
        </w:rPr>
      </w:pPr>
    </w:p>
    <w:p w14:paraId="74FF4380" w14:textId="77777777" w:rsidR="006D40EC" w:rsidRDefault="006D40EC" w:rsidP="00213EEF">
      <w:pPr>
        <w:numPr>
          <w:ilvl w:val="12"/>
          <w:numId w:val="0"/>
        </w:numPr>
        <w:jc w:val="center"/>
        <w:rPr>
          <w:rFonts w:ascii="Arial" w:hAnsi="Arial" w:cs="Arial"/>
          <w:b/>
          <w:bCs/>
          <w:sz w:val="28"/>
          <w:szCs w:val="28"/>
        </w:rPr>
      </w:pPr>
    </w:p>
    <w:p w14:paraId="7FCD7F68" w14:textId="77777777" w:rsidR="006D40EC" w:rsidRDefault="006D40EC" w:rsidP="00213EEF">
      <w:pPr>
        <w:numPr>
          <w:ilvl w:val="12"/>
          <w:numId w:val="0"/>
        </w:numPr>
        <w:jc w:val="center"/>
        <w:rPr>
          <w:rFonts w:ascii="Arial" w:hAnsi="Arial" w:cs="Arial"/>
          <w:b/>
          <w:bCs/>
          <w:sz w:val="28"/>
          <w:szCs w:val="28"/>
        </w:rPr>
      </w:pPr>
    </w:p>
    <w:p w14:paraId="099DA701" w14:textId="77777777" w:rsidR="006D40EC" w:rsidRDefault="006D40EC" w:rsidP="00213EEF">
      <w:pPr>
        <w:numPr>
          <w:ilvl w:val="12"/>
          <w:numId w:val="0"/>
        </w:numPr>
        <w:jc w:val="center"/>
        <w:rPr>
          <w:rFonts w:ascii="Arial" w:hAnsi="Arial" w:cs="Arial"/>
          <w:b/>
          <w:bCs/>
          <w:sz w:val="28"/>
          <w:szCs w:val="28"/>
        </w:rPr>
      </w:pPr>
    </w:p>
    <w:p w14:paraId="001C8C56" w14:textId="77777777" w:rsidR="006D40EC" w:rsidRDefault="006D40EC" w:rsidP="00213EEF">
      <w:pPr>
        <w:numPr>
          <w:ilvl w:val="12"/>
          <w:numId w:val="0"/>
        </w:numPr>
        <w:jc w:val="center"/>
        <w:rPr>
          <w:rFonts w:ascii="Arial" w:hAnsi="Arial" w:cs="Arial"/>
          <w:b/>
          <w:bCs/>
          <w:sz w:val="28"/>
          <w:szCs w:val="28"/>
        </w:rPr>
      </w:pPr>
    </w:p>
    <w:p w14:paraId="624070D8" w14:textId="77777777" w:rsidR="006D40EC" w:rsidRDefault="006D40EC" w:rsidP="00213EEF">
      <w:pPr>
        <w:numPr>
          <w:ilvl w:val="12"/>
          <w:numId w:val="0"/>
        </w:numPr>
        <w:jc w:val="center"/>
        <w:rPr>
          <w:rFonts w:ascii="Arial" w:hAnsi="Arial" w:cs="Arial"/>
          <w:b/>
          <w:bCs/>
          <w:sz w:val="28"/>
          <w:szCs w:val="28"/>
        </w:rPr>
      </w:pPr>
    </w:p>
    <w:p w14:paraId="5D35F1C0" w14:textId="77777777" w:rsidR="006D40EC" w:rsidRDefault="006D40EC" w:rsidP="00213EEF">
      <w:pPr>
        <w:numPr>
          <w:ilvl w:val="12"/>
          <w:numId w:val="0"/>
        </w:numPr>
        <w:jc w:val="center"/>
        <w:rPr>
          <w:rFonts w:ascii="Arial" w:hAnsi="Arial" w:cs="Arial"/>
          <w:b/>
          <w:bCs/>
          <w:sz w:val="28"/>
          <w:szCs w:val="28"/>
        </w:rPr>
      </w:pPr>
    </w:p>
    <w:p w14:paraId="79882E76" w14:textId="77777777" w:rsidR="006D40EC" w:rsidRDefault="006D40EC" w:rsidP="00213EEF">
      <w:pPr>
        <w:numPr>
          <w:ilvl w:val="12"/>
          <w:numId w:val="0"/>
        </w:numPr>
        <w:jc w:val="center"/>
        <w:rPr>
          <w:rFonts w:ascii="Arial" w:hAnsi="Arial" w:cs="Arial"/>
          <w:b/>
          <w:bCs/>
          <w:sz w:val="28"/>
          <w:szCs w:val="28"/>
        </w:rPr>
      </w:pPr>
    </w:p>
    <w:p w14:paraId="786B4B4B" w14:textId="77777777" w:rsidR="006D40EC" w:rsidRDefault="006D40EC" w:rsidP="00213EEF">
      <w:pPr>
        <w:numPr>
          <w:ilvl w:val="12"/>
          <w:numId w:val="0"/>
        </w:numPr>
        <w:jc w:val="center"/>
        <w:rPr>
          <w:rFonts w:ascii="Arial" w:hAnsi="Arial" w:cs="Arial"/>
          <w:b/>
          <w:bCs/>
          <w:sz w:val="28"/>
          <w:szCs w:val="28"/>
        </w:rPr>
      </w:pPr>
    </w:p>
    <w:p w14:paraId="473461C6" w14:textId="77777777" w:rsidR="006D40EC" w:rsidRDefault="006D40EC" w:rsidP="00213EEF">
      <w:pPr>
        <w:numPr>
          <w:ilvl w:val="12"/>
          <w:numId w:val="0"/>
        </w:numPr>
        <w:jc w:val="center"/>
        <w:rPr>
          <w:rFonts w:ascii="Arial" w:hAnsi="Arial" w:cs="Arial"/>
          <w:b/>
          <w:bCs/>
          <w:sz w:val="28"/>
          <w:szCs w:val="28"/>
        </w:rPr>
      </w:pPr>
    </w:p>
    <w:p w14:paraId="3F97C791" w14:textId="77777777" w:rsidR="006D40EC" w:rsidRDefault="006D40EC" w:rsidP="00213EEF">
      <w:pPr>
        <w:numPr>
          <w:ilvl w:val="12"/>
          <w:numId w:val="0"/>
        </w:numPr>
        <w:jc w:val="center"/>
        <w:rPr>
          <w:rFonts w:ascii="Arial" w:hAnsi="Arial" w:cs="Arial"/>
          <w:b/>
          <w:bCs/>
          <w:sz w:val="28"/>
          <w:szCs w:val="28"/>
        </w:rPr>
      </w:pPr>
    </w:p>
    <w:p w14:paraId="3CCFC8F6" w14:textId="77777777" w:rsidR="006D40EC" w:rsidRDefault="006D40EC" w:rsidP="00213EEF">
      <w:pPr>
        <w:numPr>
          <w:ilvl w:val="12"/>
          <w:numId w:val="0"/>
        </w:numPr>
        <w:jc w:val="center"/>
        <w:rPr>
          <w:rFonts w:ascii="Arial" w:hAnsi="Arial" w:cs="Arial"/>
          <w:b/>
          <w:bCs/>
          <w:sz w:val="28"/>
          <w:szCs w:val="28"/>
        </w:rPr>
      </w:pPr>
    </w:p>
    <w:p w14:paraId="0A5D638E" w14:textId="77777777" w:rsidR="006D40EC" w:rsidRDefault="006D40EC" w:rsidP="00213EEF">
      <w:pPr>
        <w:numPr>
          <w:ilvl w:val="12"/>
          <w:numId w:val="0"/>
        </w:numPr>
        <w:jc w:val="center"/>
        <w:rPr>
          <w:rFonts w:ascii="Arial" w:hAnsi="Arial" w:cs="Arial"/>
          <w:b/>
          <w:bCs/>
          <w:sz w:val="28"/>
          <w:szCs w:val="28"/>
        </w:rPr>
      </w:pPr>
    </w:p>
    <w:p w14:paraId="3BC0FE6D" w14:textId="77777777" w:rsidR="006D40EC" w:rsidRDefault="006D40EC" w:rsidP="00213EEF">
      <w:pPr>
        <w:numPr>
          <w:ilvl w:val="12"/>
          <w:numId w:val="0"/>
        </w:numPr>
        <w:jc w:val="center"/>
        <w:rPr>
          <w:rFonts w:ascii="Arial" w:hAnsi="Arial" w:cs="Arial"/>
          <w:b/>
          <w:bCs/>
          <w:sz w:val="28"/>
          <w:szCs w:val="28"/>
        </w:rPr>
      </w:pPr>
    </w:p>
    <w:p w14:paraId="75ED6C25" w14:textId="77777777" w:rsidR="006D40EC" w:rsidRDefault="006D40EC" w:rsidP="00213EEF">
      <w:pPr>
        <w:numPr>
          <w:ilvl w:val="12"/>
          <w:numId w:val="0"/>
        </w:numPr>
        <w:jc w:val="center"/>
        <w:rPr>
          <w:rFonts w:ascii="Arial" w:hAnsi="Arial" w:cs="Arial"/>
          <w:b/>
          <w:bCs/>
          <w:sz w:val="28"/>
          <w:szCs w:val="28"/>
        </w:rPr>
      </w:pPr>
    </w:p>
    <w:p w14:paraId="305AAB66" w14:textId="77777777" w:rsidR="006D40EC" w:rsidRDefault="006D40EC" w:rsidP="00213EEF">
      <w:pPr>
        <w:numPr>
          <w:ilvl w:val="12"/>
          <w:numId w:val="0"/>
        </w:numPr>
        <w:jc w:val="center"/>
        <w:rPr>
          <w:rFonts w:ascii="Arial" w:hAnsi="Arial" w:cs="Arial"/>
          <w:b/>
          <w:bCs/>
          <w:sz w:val="28"/>
          <w:szCs w:val="28"/>
        </w:rPr>
      </w:pPr>
    </w:p>
    <w:p w14:paraId="216E2785" w14:textId="77777777" w:rsidR="006D40EC" w:rsidRDefault="006D40EC" w:rsidP="00213EEF">
      <w:pPr>
        <w:numPr>
          <w:ilvl w:val="12"/>
          <w:numId w:val="0"/>
        </w:numPr>
        <w:jc w:val="center"/>
        <w:rPr>
          <w:rFonts w:ascii="Arial" w:hAnsi="Arial" w:cs="Arial"/>
          <w:b/>
          <w:bCs/>
          <w:sz w:val="28"/>
          <w:szCs w:val="28"/>
        </w:rPr>
      </w:pPr>
    </w:p>
    <w:p w14:paraId="19EEED63" w14:textId="77777777" w:rsidR="006D40EC" w:rsidRDefault="006D40EC" w:rsidP="00213EEF">
      <w:pPr>
        <w:numPr>
          <w:ilvl w:val="12"/>
          <w:numId w:val="0"/>
        </w:numPr>
        <w:jc w:val="center"/>
        <w:rPr>
          <w:rFonts w:ascii="Arial" w:hAnsi="Arial" w:cs="Arial"/>
          <w:b/>
          <w:bCs/>
          <w:sz w:val="28"/>
          <w:szCs w:val="28"/>
        </w:rPr>
      </w:pPr>
    </w:p>
    <w:p w14:paraId="7E15C128" w14:textId="77777777" w:rsidR="006D40EC" w:rsidRDefault="006D40EC" w:rsidP="00213EEF">
      <w:pPr>
        <w:numPr>
          <w:ilvl w:val="12"/>
          <w:numId w:val="0"/>
        </w:numPr>
        <w:jc w:val="center"/>
        <w:rPr>
          <w:rFonts w:ascii="Arial" w:hAnsi="Arial" w:cs="Arial"/>
          <w:b/>
          <w:bCs/>
          <w:sz w:val="28"/>
          <w:szCs w:val="28"/>
        </w:rPr>
      </w:pPr>
    </w:p>
    <w:p w14:paraId="23A025B3" w14:textId="77777777" w:rsidR="006D40EC" w:rsidRDefault="006D40EC" w:rsidP="00213EEF">
      <w:pPr>
        <w:numPr>
          <w:ilvl w:val="12"/>
          <w:numId w:val="0"/>
        </w:numPr>
        <w:jc w:val="center"/>
        <w:rPr>
          <w:rFonts w:ascii="Arial" w:hAnsi="Arial" w:cs="Arial"/>
          <w:b/>
          <w:bCs/>
          <w:sz w:val="28"/>
          <w:szCs w:val="28"/>
        </w:rPr>
      </w:pPr>
    </w:p>
    <w:p w14:paraId="7634BFAB" w14:textId="77777777" w:rsidR="00151012" w:rsidRDefault="00151012" w:rsidP="00213EEF">
      <w:pPr>
        <w:sectPr w:rsidR="00151012" w:rsidSect="00FC7A09">
          <w:footerReference w:type="default" r:id="rId7"/>
          <w:pgSz w:w="12240" w:h="15840"/>
          <w:pgMar w:top="1440" w:right="1440" w:bottom="1440" w:left="1440" w:header="720" w:footer="1440" w:gutter="0"/>
          <w:pgNumType w:fmt="lowerRoman"/>
          <w:cols w:space="720"/>
          <w:titlePg/>
          <w:docGrid w:linePitch="326"/>
        </w:sectPr>
      </w:pPr>
    </w:p>
    <w:p w14:paraId="60A9F0AB" w14:textId="77777777" w:rsidR="007F4ACA" w:rsidRDefault="007F4ACA" w:rsidP="00213EEF"/>
    <w:p w14:paraId="7282B01A" w14:textId="77777777" w:rsidR="007F4ACA" w:rsidRDefault="007F4ACA" w:rsidP="00213EEF"/>
    <w:p w14:paraId="1AAAC970" w14:textId="77777777" w:rsidR="007F4ACA" w:rsidRDefault="007F4ACA" w:rsidP="00213EEF"/>
    <w:p w14:paraId="24FE880F" w14:textId="77777777" w:rsidR="007F4ACA" w:rsidRDefault="007F4ACA" w:rsidP="00213EEF"/>
    <w:p w14:paraId="53B66E08" w14:textId="77777777" w:rsidR="007F4ACA" w:rsidRDefault="007F4ACA" w:rsidP="00213EEF"/>
    <w:p w14:paraId="18A806CB" w14:textId="77777777" w:rsidR="007F4ACA" w:rsidRDefault="007F4ACA" w:rsidP="00213EEF"/>
    <w:p w14:paraId="01196414" w14:textId="77777777" w:rsidR="007F4ACA" w:rsidRDefault="007F4ACA" w:rsidP="00213EEF"/>
    <w:p w14:paraId="46210DEF" w14:textId="77777777" w:rsidR="007F4ACA" w:rsidRDefault="007F4ACA" w:rsidP="00213EEF"/>
    <w:p w14:paraId="7D206C47" w14:textId="77777777" w:rsidR="007F4ACA" w:rsidRDefault="007F4ACA" w:rsidP="00213EEF"/>
    <w:p w14:paraId="5FE6DF05" w14:textId="77777777" w:rsidR="007F4ACA" w:rsidRDefault="007F4ACA" w:rsidP="00213EEF"/>
    <w:p w14:paraId="3706AD24" w14:textId="77777777" w:rsidR="007F4ACA" w:rsidRDefault="007F4ACA" w:rsidP="00213EEF"/>
    <w:p w14:paraId="162D0E41" w14:textId="77777777" w:rsidR="007F4ACA" w:rsidRDefault="007F4ACA" w:rsidP="00213EEF"/>
    <w:p w14:paraId="598894BA" w14:textId="77777777" w:rsidR="007F4ACA" w:rsidRDefault="007F4ACA" w:rsidP="00213EEF"/>
    <w:p w14:paraId="67BE777D" w14:textId="77777777" w:rsidR="007F4ACA" w:rsidRDefault="007F4ACA" w:rsidP="007F4ACA">
      <w:pPr>
        <w:pStyle w:val="Heading1"/>
      </w:pPr>
      <w:bookmarkStart w:id="0" w:name="_Toc353890870"/>
      <w:bookmarkStart w:id="1" w:name="_Toc353873519"/>
    </w:p>
    <w:p w14:paraId="0355EDFE" w14:textId="77777777" w:rsidR="008C6C27" w:rsidRDefault="008C6C27" w:rsidP="00F75CEE">
      <w:pPr>
        <w:pStyle w:val="Heading1"/>
      </w:pPr>
      <w:bookmarkStart w:id="2" w:name="_Toc466885880"/>
      <w:bookmarkStart w:id="3" w:name="_Toc466890509"/>
      <w:bookmarkStart w:id="4" w:name="_Toc466891144"/>
      <w:bookmarkStart w:id="5" w:name="_Toc466894824"/>
    </w:p>
    <w:p w14:paraId="0397DBF5" w14:textId="57EB74EF" w:rsidR="007F4ACA" w:rsidRDefault="007F4ACA" w:rsidP="00F75CEE">
      <w:pPr>
        <w:pStyle w:val="Heading1"/>
      </w:pPr>
      <w:r>
        <w:t>CHAPTER I</w:t>
      </w:r>
      <w:bookmarkStart w:id="6" w:name="_Toc353892612"/>
      <w:bookmarkStart w:id="7" w:name="_Toc353890871"/>
      <w:bookmarkStart w:id="8" w:name="_Toc353875000"/>
      <w:bookmarkStart w:id="9" w:name="_Toc353873520"/>
      <w:bookmarkEnd w:id="0"/>
      <w:bookmarkEnd w:id="1"/>
      <w:r w:rsidR="00F75CEE">
        <w:br/>
      </w:r>
      <w:r w:rsidR="00F75CEE">
        <w:br/>
      </w:r>
      <w:r>
        <w:t>LITERATURE REVIEW</w:t>
      </w:r>
      <w:bookmarkEnd w:id="2"/>
      <w:bookmarkEnd w:id="3"/>
      <w:bookmarkEnd w:id="4"/>
      <w:bookmarkEnd w:id="5"/>
      <w:bookmarkEnd w:id="6"/>
      <w:bookmarkEnd w:id="7"/>
      <w:bookmarkEnd w:id="8"/>
      <w:bookmarkEnd w:id="9"/>
    </w:p>
    <w:p w14:paraId="73DDF6A1" w14:textId="77777777" w:rsidR="007F4ACA" w:rsidRDefault="007F4ACA" w:rsidP="007F4ACA">
      <w:pPr>
        <w:numPr>
          <w:ilvl w:val="12"/>
          <w:numId w:val="0"/>
        </w:numPr>
        <w:jc w:val="center"/>
        <w:rPr>
          <w:rFonts w:ascii="Arial" w:hAnsi="Arial" w:cs="Arial"/>
          <w:sz w:val="32"/>
          <w:szCs w:val="32"/>
        </w:rPr>
      </w:pPr>
    </w:p>
    <w:p w14:paraId="254B7A46" w14:textId="77777777" w:rsidR="007F4ACA" w:rsidRDefault="007F4ACA" w:rsidP="007F4ACA">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14:paraId="5B9E859A" w14:textId="77777777" w:rsidR="007F4ACA" w:rsidRDefault="007F4ACA" w:rsidP="007F4ACA">
      <w:pPr>
        <w:pStyle w:val="Caption"/>
        <w:jc w:val="center"/>
        <w:rPr>
          <w:rFonts w:ascii="Arial" w:hAnsi="Arial" w:cs="Arial"/>
          <w:sz w:val="24"/>
        </w:rPr>
      </w:pPr>
    </w:p>
    <w:p w14:paraId="6B784B4C" w14:textId="77777777" w:rsidR="007F4ACA" w:rsidRPr="00551527" w:rsidRDefault="007F4ACA" w:rsidP="00DB4B20">
      <w:pPr>
        <w:pStyle w:val="Heading2"/>
        <w:spacing w:line="480" w:lineRule="auto"/>
      </w:pPr>
      <w:r>
        <w:br w:type="page"/>
      </w:r>
      <w:bookmarkStart w:id="10" w:name="_Toc466885881"/>
      <w:bookmarkStart w:id="11" w:name="_Toc466890510"/>
      <w:bookmarkStart w:id="12" w:name="_Toc466891145"/>
      <w:bookmarkStart w:id="13" w:name="_Toc466894825"/>
      <w:r w:rsidRPr="00551527">
        <w:lastRenderedPageBreak/>
        <w:t>Japanese lawngrass</w:t>
      </w:r>
      <w:bookmarkEnd w:id="10"/>
      <w:bookmarkEnd w:id="11"/>
      <w:bookmarkEnd w:id="12"/>
      <w:bookmarkEnd w:id="13"/>
    </w:p>
    <w:p w14:paraId="00ED8119" w14:textId="74E59EDC" w:rsidR="007F4ACA" w:rsidRDefault="007F4ACA" w:rsidP="00DB4B20">
      <w:pPr>
        <w:spacing w:before="100" w:beforeAutospacing="1" w:after="100" w:afterAutospacing="1" w:line="480" w:lineRule="auto"/>
        <w:ind w:firstLine="720"/>
        <w:rPr>
          <w:rFonts w:eastAsia="MS Mincho"/>
        </w:rPr>
      </w:pPr>
      <w:r>
        <w:rPr>
          <w:rFonts w:eastAsia="MS Mincho"/>
        </w:rPr>
        <w:t xml:space="preserve">Japanese lawngrass (JLG; </w:t>
      </w:r>
      <w:r>
        <w:rPr>
          <w:rFonts w:eastAsia="MS Mincho"/>
          <w:i/>
        </w:rPr>
        <w:t>Zoysia japonica</w:t>
      </w:r>
      <w:r>
        <w:rPr>
          <w:rFonts w:eastAsia="MS Mincho"/>
        </w:rPr>
        <w:t xml:space="preserve"> Steud.) is a C</w:t>
      </w:r>
      <w:r>
        <w:rPr>
          <w:rFonts w:eastAsia="MS Mincho"/>
          <w:vertAlign w:val="subscript"/>
        </w:rPr>
        <w:t>4</w:t>
      </w:r>
      <w:r>
        <w:rPr>
          <w:rFonts w:eastAsia="MS Mincho"/>
        </w:rPr>
        <w:t xml:space="preserve"> turfgrass belonging to the Family Poaceae, Subfamily Chloridoideae, and</w:t>
      </w:r>
      <w:r w:rsidR="00703579">
        <w:rPr>
          <w:rFonts w:eastAsia="MS Mincho"/>
        </w:rPr>
        <w:t xml:space="preserve"> Tribe Zoysieae (Beard, 2002). </w:t>
      </w:r>
      <w:r>
        <w:rPr>
          <w:rFonts w:eastAsia="MS Mincho"/>
        </w:rPr>
        <w:t xml:space="preserve">This species is commonly established vegetatively as a perennial amenity or recreational surface </w:t>
      </w:r>
      <w:r>
        <w:t>(Turgeon, 2008)</w:t>
      </w:r>
      <w:r>
        <w:rPr>
          <w:rFonts w:eastAsia="MS Mincho"/>
        </w:rPr>
        <w:t>. Native to the Pacific Rim countries, JLG is best adapted to regions of the world that endure warm summers and mild winters. Japanese lawngrass is beco</w:t>
      </w:r>
      <w:r w:rsidR="006742ED">
        <w:rPr>
          <w:rFonts w:eastAsia="MS Mincho"/>
        </w:rPr>
        <w:t>ming increasingly popular in areas of the United States that experience hot summer temperatures and freezing winter temperatures, such as the</w:t>
      </w:r>
      <w:r>
        <w:rPr>
          <w:rFonts w:eastAsia="MS Mincho"/>
        </w:rPr>
        <w:t xml:space="preserve"> transition zone</w:t>
      </w:r>
      <w:r w:rsidR="006742ED">
        <w:rPr>
          <w:rFonts w:eastAsia="MS Mincho"/>
        </w:rPr>
        <w:t>,</w:t>
      </w:r>
      <w:r>
        <w:rPr>
          <w:rFonts w:eastAsia="MS Mincho"/>
        </w:rPr>
        <w:t xml:space="preserve"> due to its greater cold hardiness compared to the bermudagrasses (</w:t>
      </w:r>
      <w:r>
        <w:rPr>
          <w:rFonts w:eastAsia="MS Mincho"/>
          <w:i/>
        </w:rPr>
        <w:t>Cynodon</w:t>
      </w:r>
      <w:r>
        <w:rPr>
          <w:rFonts w:eastAsia="MS Mincho"/>
        </w:rPr>
        <w:t xml:space="preserve"> spp.) and greater heat and drought tolerance compared to the bentgrasses (</w:t>
      </w:r>
      <w:r>
        <w:rPr>
          <w:rFonts w:eastAsia="MS Mincho"/>
          <w:i/>
        </w:rPr>
        <w:t xml:space="preserve">Agrostis </w:t>
      </w:r>
      <w:r>
        <w:rPr>
          <w:rFonts w:eastAsia="MS Mincho"/>
        </w:rPr>
        <w:t>spp.) and fescues (</w:t>
      </w:r>
      <w:r>
        <w:rPr>
          <w:rFonts w:eastAsia="MS Mincho"/>
          <w:i/>
        </w:rPr>
        <w:t>Schedonorus</w:t>
      </w:r>
      <w:r>
        <w:rPr>
          <w:rFonts w:eastAsia="MS Mincho"/>
        </w:rPr>
        <w:t xml:space="preserve"> spp.)</w:t>
      </w:r>
      <w:r>
        <w:t xml:space="preserve"> (Tisserat et al., 1994; Bucher and Wilkinson, 2007; Lyman et al., 2007; Patton and Reicher, 2007)</w:t>
      </w:r>
      <w:r>
        <w:rPr>
          <w:rFonts w:eastAsia="MS Mincho"/>
        </w:rPr>
        <w:t xml:space="preserve">. </w:t>
      </w:r>
    </w:p>
    <w:p w14:paraId="327E5182" w14:textId="41390259" w:rsidR="007F4ACA" w:rsidRDefault="007F4ACA" w:rsidP="00686C39">
      <w:pPr>
        <w:spacing w:before="100" w:beforeAutospacing="1" w:after="100" w:afterAutospacing="1" w:line="480" w:lineRule="auto"/>
        <w:ind w:firstLine="720"/>
        <w:rPr>
          <w:rFonts w:eastAsia="MS Mincho"/>
        </w:rPr>
      </w:pPr>
      <w:r>
        <w:rPr>
          <w:rFonts w:eastAsia="MS Mincho"/>
        </w:rPr>
        <w:t xml:space="preserve">Golf course fairway surfaces in the transition zone are commonly established with JLG due to its dense canopy, low nitrogen fertility requirements, and reduced growth potential compared to bermudagrass (Beard, 1973). Most cultivars of </w:t>
      </w:r>
      <w:r w:rsidR="00703579">
        <w:rPr>
          <w:rFonts w:eastAsia="MS Mincho"/>
        </w:rPr>
        <w:t>JLG</w:t>
      </w:r>
      <w:r w:rsidR="006742ED">
        <w:rPr>
          <w:rFonts w:eastAsia="MS Mincho"/>
        </w:rPr>
        <w:t xml:space="preserve"> produce medium-to-coa</w:t>
      </w:r>
      <w:r>
        <w:rPr>
          <w:rFonts w:eastAsia="MS Mincho"/>
        </w:rPr>
        <w:t>rse leaf blades and are adapted to a wide range of mowing heights greater than 3 mm. Other Zoysiagrasses, such as Manila grass (</w:t>
      </w:r>
      <w:r>
        <w:rPr>
          <w:rFonts w:eastAsia="MS Mincho"/>
          <w:i/>
        </w:rPr>
        <w:t>Zoysia matrella</w:t>
      </w:r>
      <w:r>
        <w:rPr>
          <w:rFonts w:eastAsia="MS Mincho"/>
        </w:rPr>
        <w:t xml:space="preserve"> L.) can tolerate a lower height of cut less than 3mm and are suitable for putting green surfaces in addition to roughs and fairways</w:t>
      </w:r>
      <w:r w:rsidR="00703579">
        <w:rPr>
          <w:rFonts w:eastAsia="MS Mincho"/>
        </w:rPr>
        <w:t xml:space="preserve"> (Beard, 2002)</w:t>
      </w:r>
      <w:r>
        <w:rPr>
          <w:rFonts w:eastAsia="MS Mincho"/>
        </w:rPr>
        <w:t xml:space="preserve">. </w:t>
      </w:r>
    </w:p>
    <w:p w14:paraId="3309AF43" w14:textId="77777777" w:rsidR="007F4ACA" w:rsidRDefault="007F4ACA" w:rsidP="00686C39">
      <w:pPr>
        <w:spacing w:before="100" w:beforeAutospacing="1" w:after="100" w:afterAutospacing="1" w:line="480" w:lineRule="auto"/>
        <w:ind w:firstLine="720"/>
        <w:rPr>
          <w:rFonts w:eastAsia="MS Mincho"/>
        </w:rPr>
      </w:pPr>
      <w:r>
        <w:rPr>
          <w:rFonts w:eastAsia="MS Mincho"/>
        </w:rPr>
        <w:t>Japanese lawngrass su</w:t>
      </w:r>
      <w:r w:rsidR="00703579">
        <w:rPr>
          <w:rFonts w:eastAsia="MS Mincho"/>
        </w:rPr>
        <w:t xml:space="preserve">ffers from few pests and diseases </w:t>
      </w:r>
      <w:r>
        <w:rPr>
          <w:rFonts w:eastAsia="MS Mincho"/>
        </w:rPr>
        <w:t xml:space="preserve">during summer months as long as temperatures and sunlight remain favorable for turfgrass growth. However, as temperatures and day length diminish during spring and fall, JLG becomes increasingly vulnerable to a number of </w:t>
      </w:r>
      <w:r>
        <w:rPr>
          <w:rFonts w:eastAsia="MS Mincho"/>
        </w:rPr>
        <w:lastRenderedPageBreak/>
        <w:t xml:space="preserve">plant pathogens. Among those, JLG is particularly susceptible to infection by </w:t>
      </w:r>
      <w:r>
        <w:rPr>
          <w:rFonts w:eastAsia="MS Mincho"/>
          <w:i/>
        </w:rPr>
        <w:t>Rhizoctonia solani</w:t>
      </w:r>
      <w:r>
        <w:rPr>
          <w:rFonts w:eastAsia="MS Mincho"/>
        </w:rPr>
        <w:t xml:space="preserve"> Kühn anastomosis group (AG) 2-2LP (Green et al., 1993). </w:t>
      </w:r>
    </w:p>
    <w:p w14:paraId="159563D0" w14:textId="77777777" w:rsidR="007F4ACA" w:rsidRPr="00491825" w:rsidRDefault="007F4ACA" w:rsidP="00686C39">
      <w:pPr>
        <w:pStyle w:val="Heading2"/>
        <w:spacing w:line="480" w:lineRule="auto"/>
      </w:pPr>
      <w:bookmarkStart w:id="14" w:name="_Toc466885882"/>
      <w:bookmarkStart w:id="15" w:name="_Toc466890511"/>
      <w:bookmarkStart w:id="16" w:name="_Toc466891146"/>
      <w:bookmarkStart w:id="17" w:name="_Toc466894826"/>
      <w:r w:rsidRPr="00491825">
        <w:t>Rhizoctonia solani</w:t>
      </w:r>
      <w:bookmarkEnd w:id="14"/>
      <w:bookmarkEnd w:id="15"/>
      <w:bookmarkEnd w:id="16"/>
      <w:bookmarkEnd w:id="17"/>
    </w:p>
    <w:p w14:paraId="1F22E2D1" w14:textId="1E0BD62D" w:rsidR="007F4ACA" w:rsidRDefault="007F4ACA" w:rsidP="00686C39">
      <w:pPr>
        <w:spacing w:before="100" w:beforeAutospacing="1" w:after="100" w:afterAutospacing="1" w:line="480" w:lineRule="auto"/>
        <w:ind w:firstLine="720"/>
        <w:rPr>
          <w:rFonts w:eastAsia="MS Mincho"/>
        </w:rPr>
      </w:pPr>
      <w:r>
        <w:rPr>
          <w:b/>
          <w:sz w:val="28"/>
          <w:szCs w:val="28"/>
        </w:rPr>
        <w:t xml:space="preserve"> </w:t>
      </w:r>
      <w:r>
        <w:rPr>
          <w:rFonts w:eastAsia="MS Mincho"/>
          <w:i/>
        </w:rPr>
        <w:t>Rhizoctonia solani</w:t>
      </w:r>
      <w:r>
        <w:rPr>
          <w:rFonts w:eastAsia="MS Mincho"/>
        </w:rPr>
        <w:t xml:space="preserve"> is a soilborne plant pathogen belonging to a group of anamorphic fungi that do not produce asexual spores, but form hyphae and sclerotia to spread and overwinter. </w:t>
      </w:r>
      <w:r>
        <w:rPr>
          <w:rFonts w:eastAsia="MS Mincho"/>
          <w:i/>
        </w:rPr>
        <w:t>R</w:t>
      </w:r>
      <w:r w:rsidR="007A115A">
        <w:rPr>
          <w:rFonts w:eastAsia="MS Mincho"/>
          <w:i/>
        </w:rPr>
        <w:t>hizoctonia</w:t>
      </w:r>
      <w:r>
        <w:rPr>
          <w:rFonts w:eastAsia="MS Mincho"/>
          <w:i/>
        </w:rPr>
        <w:t xml:space="preserve"> solani</w:t>
      </w:r>
      <w:r>
        <w:rPr>
          <w:rFonts w:eastAsia="MS Mincho"/>
        </w:rPr>
        <w:t xml:space="preserve"> is perhaps the most widely recognized plant-pathogenic species across the world, and incites disease on a diverse host range including agricultural crops, forest trees, ornamental plants, and turfgrasses (Baker, 1970). </w:t>
      </w:r>
      <w:r>
        <w:rPr>
          <w:rFonts w:eastAsia="MS Mincho"/>
          <w:i/>
        </w:rPr>
        <w:t>R. solani</w:t>
      </w:r>
      <w:r>
        <w:rPr>
          <w:rFonts w:eastAsia="MS Mincho"/>
        </w:rPr>
        <w:t xml:space="preserve"> infects the plant roots, stems, and foliage depending on the host and environmental conditions.  </w:t>
      </w:r>
    </w:p>
    <w:p w14:paraId="6C5AB4E9" w14:textId="422AFA91" w:rsidR="00686C39" w:rsidRDefault="007F4ACA" w:rsidP="00686C39">
      <w:pPr>
        <w:spacing w:before="100" w:beforeAutospacing="1" w:after="100" w:afterAutospacing="1" w:line="480" w:lineRule="auto"/>
        <w:ind w:firstLine="720"/>
        <w:rPr>
          <w:rFonts w:eastAsia="MS Mincho"/>
        </w:rPr>
      </w:pPr>
      <w:r>
        <w:rPr>
          <w:rFonts w:eastAsia="MS Mincho"/>
          <w:i/>
        </w:rPr>
        <w:t>R. solani</w:t>
      </w:r>
      <w:r>
        <w:rPr>
          <w:rFonts w:eastAsia="MS Mincho"/>
        </w:rPr>
        <w:t xml:space="preserve"> can be differentiated from other fungi by several morphological characteristics including 90° branching of hyphae near the septa, constriction of hyphal branching at the septa, and the observation of monilioid cells (Ogoshi, 1975). Isolates of </w:t>
      </w:r>
      <w:r>
        <w:rPr>
          <w:rFonts w:eastAsia="MS Mincho"/>
          <w:i/>
        </w:rPr>
        <w:t>R. solani</w:t>
      </w:r>
      <w:r>
        <w:rPr>
          <w:rFonts w:eastAsia="MS Mincho"/>
        </w:rPr>
        <w:t xml:space="preserve"> differ in morphological characteristics and host specificity. Laboratory techniques have been developed to better characterize the diversity among these heterogeneous isolates. One of the most common techniques to identify and differentiate </w:t>
      </w:r>
      <w:r>
        <w:rPr>
          <w:rFonts w:eastAsia="MS Mincho"/>
          <w:i/>
        </w:rPr>
        <w:t xml:space="preserve">R. solani </w:t>
      </w:r>
      <w:r>
        <w:rPr>
          <w:rFonts w:eastAsia="MS Mincho"/>
        </w:rPr>
        <w:t xml:space="preserve">isolates is through hyphal anastomosis reactions. </w:t>
      </w:r>
    </w:p>
    <w:p w14:paraId="558F8315" w14:textId="77777777" w:rsidR="007F4ACA" w:rsidRDefault="007F4ACA" w:rsidP="00686C39">
      <w:pPr>
        <w:pStyle w:val="Heading2"/>
        <w:spacing w:line="480" w:lineRule="auto"/>
        <w:rPr>
          <w:rFonts w:eastAsia="MS Mincho"/>
        </w:rPr>
      </w:pPr>
      <w:bookmarkStart w:id="18" w:name="_Toc466885883"/>
      <w:bookmarkStart w:id="19" w:name="_Toc466890512"/>
      <w:bookmarkStart w:id="20" w:name="_Toc466891147"/>
      <w:bookmarkStart w:id="21" w:name="_Toc466894827"/>
      <w:r>
        <w:rPr>
          <w:rFonts w:eastAsia="MS Mincho"/>
        </w:rPr>
        <w:t>Hyphal anastomosis reactions</w:t>
      </w:r>
      <w:bookmarkEnd w:id="18"/>
      <w:bookmarkEnd w:id="19"/>
      <w:bookmarkEnd w:id="20"/>
      <w:bookmarkEnd w:id="21"/>
    </w:p>
    <w:p w14:paraId="7DA4A45D" w14:textId="409D8F16" w:rsidR="007F4ACA" w:rsidRDefault="00017412" w:rsidP="007F4ACA">
      <w:pPr>
        <w:spacing w:before="100" w:beforeAutospacing="1" w:after="100" w:afterAutospacing="1" w:line="480" w:lineRule="auto"/>
        <w:ind w:firstLine="720"/>
        <w:rPr>
          <w:rFonts w:eastAsia="MS Mincho"/>
        </w:rPr>
      </w:pPr>
      <w:r>
        <w:rPr>
          <w:rFonts w:eastAsia="MS Mincho"/>
        </w:rPr>
        <w:t xml:space="preserve">Hyphal anastomosis reactions are performed to identify </w:t>
      </w:r>
      <w:r w:rsidRPr="00017412">
        <w:rPr>
          <w:rFonts w:eastAsia="MS Mincho"/>
          <w:i/>
        </w:rPr>
        <w:t>R. solani</w:t>
      </w:r>
      <w:r>
        <w:rPr>
          <w:rFonts w:eastAsia="MS Mincho"/>
        </w:rPr>
        <w:t xml:space="preserve"> relatedness. </w:t>
      </w:r>
      <w:r w:rsidR="007F4ACA">
        <w:rPr>
          <w:rFonts w:eastAsia="MS Mincho"/>
        </w:rPr>
        <w:t xml:space="preserve">Hyphal anastomosis reactions are performed by the placement of two isolates onto a single growing </w:t>
      </w:r>
      <w:r w:rsidR="007F4ACA">
        <w:rPr>
          <w:rFonts w:eastAsia="MS Mincho"/>
        </w:rPr>
        <w:lastRenderedPageBreak/>
        <w:t xml:space="preserve">medium and observing their affinity to anastomose with each another. The site where the two isolates converge is referred to as the zone of confrontation. </w:t>
      </w:r>
    </w:p>
    <w:p w14:paraId="47CDF4BC" w14:textId="77777777" w:rsidR="00DB4B20" w:rsidRDefault="007F4ACA" w:rsidP="00DB4B20">
      <w:pPr>
        <w:spacing w:before="100" w:beforeAutospacing="1" w:after="100" w:afterAutospacing="1" w:line="480" w:lineRule="auto"/>
        <w:ind w:firstLine="720"/>
        <w:rPr>
          <w:rFonts w:eastAsia="MS Mincho"/>
        </w:rPr>
      </w:pPr>
      <w:r>
        <w:rPr>
          <w:rFonts w:eastAsia="MS Mincho"/>
        </w:rPr>
        <w:t xml:space="preserve">Terminologies used to characterize hyphal anastomosis reactions have evolved in the literature over the past 80 years. Parmeter et al. (1969) reported the following hyphal anastomosis reactions: 0 = no anastomosis, 1 = hyphal contact with neither fusion nor cell death, 2 (Imperfect) = Cell well fusion but no hyphal fusion followed by cell death, and 2 (Perfect) = cell wall and hyphal fusion followed by cell death. Based on these reactions, </w:t>
      </w:r>
      <w:r>
        <w:rPr>
          <w:rFonts w:eastAsia="MS Mincho"/>
          <w:i/>
        </w:rPr>
        <w:t>R. solani</w:t>
      </w:r>
      <w:r>
        <w:rPr>
          <w:rFonts w:eastAsia="MS Mincho"/>
        </w:rPr>
        <w:t xml:space="preserve"> isolates </w:t>
      </w:r>
      <w:r w:rsidR="00017412">
        <w:rPr>
          <w:rFonts w:eastAsia="MS Mincho"/>
        </w:rPr>
        <w:t xml:space="preserve">were </w:t>
      </w:r>
      <w:r w:rsidR="006D5A7A">
        <w:rPr>
          <w:rFonts w:eastAsia="MS Mincho"/>
        </w:rPr>
        <w:t xml:space="preserve">initially </w:t>
      </w:r>
      <w:r>
        <w:rPr>
          <w:rFonts w:eastAsia="MS Mincho"/>
        </w:rPr>
        <w:t xml:space="preserve">categorized in one of four anastomosis groups (AG-1, AG-2, AG-3, or AG-4). Carling et al., (1998) modified the hyphal anastomosis reactions proposed by Parmeter et al. (1969) into a system of four </w:t>
      </w:r>
      <w:r w:rsidR="00C950E0">
        <w:rPr>
          <w:rFonts w:eastAsia="MS Mincho"/>
        </w:rPr>
        <w:t xml:space="preserve">categorical reactions </w:t>
      </w:r>
      <w:r>
        <w:rPr>
          <w:rFonts w:eastAsia="MS Mincho"/>
        </w:rPr>
        <w:t xml:space="preserve">(C-3, C-2, C-1, and C-0). C-3 reactions are closely related, in the same vegetatively compatible population (VCP), and placed in the same AG. C-2 reactions are related, are not in the same VCP, and placed in the same AG. C-1 reactions are distantly related, are not in the same VCP, and may or may not be placed in the same AG. C-0 reactions are not related, are not in the same VCP, and are not placed in the same AG. Presently, 12 AGs have been characterized, and the number of AGs is expected to increase with continued investigations. Further research has identified subgroups within the same AG (Ogoshi, 1987). Subgroups are based on colony morphology, pathogenicity, DNA-DNA complementarity, and zymogram patterns. Anastomosis group AG-2 is the most heterogeneous group with seven subgroups characterized to date (AG-2-1, AG-2-2 IIIB, AG-2-2 IV, AG-2-2 LP, AG-2-3, AG-2-4, and AG 2 BI). </w:t>
      </w:r>
    </w:p>
    <w:p w14:paraId="02B473E6" w14:textId="4332B6CD" w:rsidR="007F4ACA" w:rsidRDefault="007F4ACA" w:rsidP="00DB4B20">
      <w:pPr>
        <w:spacing w:before="100" w:beforeAutospacing="1" w:after="100" w:afterAutospacing="1" w:line="480" w:lineRule="auto"/>
        <w:ind w:firstLine="720"/>
        <w:rPr>
          <w:rFonts w:eastAsia="MS Mincho"/>
        </w:rPr>
      </w:pPr>
      <w:r>
        <w:rPr>
          <w:rFonts w:eastAsia="MS Mincho"/>
        </w:rPr>
        <w:lastRenderedPageBreak/>
        <w:t>Anastomosis group AG-2 has been identified to be the most damaging AG on turfgrass.</w:t>
      </w:r>
      <w:r w:rsidR="00B65B7E">
        <w:rPr>
          <w:rFonts w:eastAsia="MS Mincho"/>
        </w:rPr>
        <w:t xml:space="preserve"> This anastomosis group incites brown patch and large patch on cool and warm season turfgrasses, respectively.</w:t>
      </w:r>
      <w:r>
        <w:rPr>
          <w:rFonts w:eastAsia="MS Mincho"/>
        </w:rPr>
        <w:t xml:space="preserve"> AG-1, AG-4, and AG-5 have also been reported to </w:t>
      </w:r>
      <w:r w:rsidR="00B65B7E">
        <w:rPr>
          <w:rFonts w:eastAsia="MS Mincho"/>
        </w:rPr>
        <w:t xml:space="preserve">incite brown patch </w:t>
      </w:r>
      <w:r>
        <w:rPr>
          <w:rFonts w:eastAsia="MS Mincho"/>
        </w:rPr>
        <w:t xml:space="preserve">but are generally less severe (Burpee and Martin 1992, Aoyagi et al., 1998). </w:t>
      </w:r>
      <w:r w:rsidR="00910C37">
        <w:rPr>
          <w:rFonts w:eastAsia="MS Mincho"/>
        </w:rPr>
        <w:t>However, occurrences of</w:t>
      </w:r>
      <w:r w:rsidR="00FE607C">
        <w:rPr>
          <w:rFonts w:eastAsia="MS Mincho"/>
        </w:rPr>
        <w:t xml:space="preserve"> brown patch and large patch, incited</w:t>
      </w:r>
      <w:r w:rsidR="00910C37">
        <w:rPr>
          <w:rFonts w:eastAsia="MS Mincho"/>
        </w:rPr>
        <w:t xml:space="preserve"> </w:t>
      </w:r>
      <w:r w:rsidR="00910C37" w:rsidRPr="00FE607C">
        <w:rPr>
          <w:rFonts w:eastAsia="MS Mincho"/>
          <w:i/>
        </w:rPr>
        <w:t>R. solani</w:t>
      </w:r>
      <w:r w:rsidR="00FE607C">
        <w:rPr>
          <w:rFonts w:eastAsia="MS Mincho"/>
        </w:rPr>
        <w:t xml:space="preserve"> </w:t>
      </w:r>
      <w:r>
        <w:rPr>
          <w:rFonts w:eastAsia="MS Mincho"/>
        </w:rPr>
        <w:t>AG-2-2</w:t>
      </w:r>
      <w:r w:rsidR="00910C37">
        <w:rPr>
          <w:rFonts w:eastAsia="MS Mincho"/>
        </w:rPr>
        <w:t>IIIB and AG 2-2</w:t>
      </w:r>
      <w:r>
        <w:rPr>
          <w:rFonts w:eastAsia="MS Mincho"/>
        </w:rPr>
        <w:t xml:space="preserve"> LP</w:t>
      </w:r>
      <w:r w:rsidR="00FE607C">
        <w:rPr>
          <w:rFonts w:eastAsia="MS Mincho"/>
        </w:rPr>
        <w:t>, respectively,</w:t>
      </w:r>
      <w:r w:rsidR="00910C37">
        <w:rPr>
          <w:rFonts w:eastAsia="MS Mincho"/>
        </w:rPr>
        <w:t xml:space="preserve"> are among the most challenging diseases to manage in turfgrass landscapes. </w:t>
      </w:r>
      <w:r>
        <w:rPr>
          <w:rFonts w:eastAsia="MS Mincho"/>
        </w:rPr>
        <w:t xml:space="preserve"> </w:t>
      </w:r>
    </w:p>
    <w:p w14:paraId="5FCEFE3E" w14:textId="77777777" w:rsidR="007F4ACA" w:rsidRDefault="007F4ACA" w:rsidP="00DB4B20">
      <w:pPr>
        <w:pStyle w:val="Heading2"/>
        <w:spacing w:line="480" w:lineRule="auto"/>
        <w:rPr>
          <w:rFonts w:eastAsia="MS Mincho"/>
        </w:rPr>
      </w:pPr>
      <w:bookmarkStart w:id="22" w:name="_Toc466885884"/>
      <w:bookmarkStart w:id="23" w:name="_Toc466890513"/>
      <w:bookmarkStart w:id="24" w:name="_Toc466891148"/>
      <w:bookmarkStart w:id="25" w:name="_Toc466894828"/>
      <w:r>
        <w:rPr>
          <w:rFonts w:eastAsia="MS Mincho"/>
        </w:rPr>
        <w:t>Brown patch</w:t>
      </w:r>
      <w:bookmarkEnd w:id="22"/>
      <w:bookmarkEnd w:id="23"/>
      <w:bookmarkEnd w:id="24"/>
      <w:bookmarkEnd w:id="25"/>
    </w:p>
    <w:p w14:paraId="22FC7981" w14:textId="12646BEC" w:rsidR="007F4ACA" w:rsidRDefault="007F4ACA" w:rsidP="00DB4B20">
      <w:pPr>
        <w:spacing w:before="100" w:beforeAutospacing="1" w:after="100" w:afterAutospacing="1" w:line="480" w:lineRule="auto"/>
        <w:ind w:firstLine="720"/>
        <w:rPr>
          <w:rFonts w:eastAsia="MS Mincho"/>
        </w:rPr>
      </w:pPr>
      <w:r>
        <w:rPr>
          <w:rFonts w:eastAsia="MS Mincho"/>
        </w:rPr>
        <w:t>Brown patch (</w:t>
      </w:r>
      <w:r>
        <w:rPr>
          <w:rFonts w:eastAsia="MS Mincho"/>
          <w:i/>
        </w:rPr>
        <w:t>R. solani</w:t>
      </w:r>
      <w:r>
        <w:rPr>
          <w:rFonts w:eastAsia="MS Mincho"/>
        </w:rPr>
        <w:t xml:space="preserve"> AG-2-2 IIIB) is a severe disease of cool-season turfgrasses that was first reported in the early 1900’s (Piper and Oakley, 1917). Brown patch affects the foliage of turfgrass and does not affect roots or crowns. </w:t>
      </w:r>
      <w:r>
        <w:rPr>
          <w:rFonts w:eastAsia="MS Mincho"/>
          <w:i/>
        </w:rPr>
        <w:t>R. solani</w:t>
      </w:r>
      <w:r>
        <w:rPr>
          <w:rFonts w:eastAsia="MS Mincho"/>
        </w:rPr>
        <w:t xml:space="preserve"> AG-2-2 I</w:t>
      </w:r>
      <w:r w:rsidR="00910C37">
        <w:rPr>
          <w:rFonts w:eastAsia="MS Mincho"/>
        </w:rPr>
        <w:t>I</w:t>
      </w:r>
      <w:r>
        <w:rPr>
          <w:rFonts w:eastAsia="MS Mincho"/>
        </w:rPr>
        <w:t xml:space="preserve">IB infects the leaves through direct hyphal penetration with the aid of an infection cushion. Symptoms of brown patch are variable and often dependent on the turfgrass species and mowing height. Lesions on higher cut turfgrass (&gt; 5 cm) are irregularly shaped, silver-gray-to-brown in appearance, and exhibit a thin brown-to-purple border. On closely mown turfgrass, lesions may not be easily distinguishable. </w:t>
      </w:r>
      <w:r w:rsidR="00BC0060">
        <w:rPr>
          <w:rFonts w:eastAsia="MS Mincho"/>
        </w:rPr>
        <w:t xml:space="preserve">In many landscapes, </w:t>
      </w:r>
      <w:r>
        <w:rPr>
          <w:rFonts w:eastAsia="MS Mincho"/>
        </w:rPr>
        <w:t xml:space="preserve">a dark gray-to-purple ring of mycelium may be observed on the outer edge of the patch during early morning hours when the canopy is still wet (Smiley et al., 2005). As the disease progresses, foliar necrosis is observed resulting in circular patches of blighted turf. The patches can range in size from a few cm to &gt; 1 m in diameter (Burpee and Martin, 1992). </w:t>
      </w:r>
    </w:p>
    <w:p w14:paraId="4ACE0056" w14:textId="2ECA8B8D" w:rsidR="007F4ACA" w:rsidRDefault="007F4ACA" w:rsidP="007F4ACA">
      <w:pPr>
        <w:spacing w:before="100" w:beforeAutospacing="1" w:after="100" w:afterAutospacing="1" w:line="480" w:lineRule="auto"/>
        <w:ind w:firstLine="720"/>
        <w:rPr>
          <w:rFonts w:eastAsia="MS Mincho"/>
        </w:rPr>
      </w:pPr>
      <w:r>
        <w:rPr>
          <w:rFonts w:eastAsia="MS Mincho"/>
        </w:rPr>
        <w:t xml:space="preserve">Brown </w:t>
      </w:r>
      <w:r w:rsidR="006742ED">
        <w:rPr>
          <w:rFonts w:eastAsia="MS Mincho"/>
        </w:rPr>
        <w:t>patch development is favored by</w:t>
      </w:r>
      <w:r>
        <w:rPr>
          <w:rFonts w:eastAsia="MS Mincho"/>
        </w:rPr>
        <w:t xml:space="preserve"> warm </w:t>
      </w:r>
      <w:r w:rsidR="00F83754">
        <w:rPr>
          <w:rFonts w:eastAsia="MS Mincho"/>
        </w:rPr>
        <w:t xml:space="preserve">nighttime </w:t>
      </w:r>
      <w:r>
        <w:rPr>
          <w:rFonts w:eastAsia="MS Mincho"/>
        </w:rPr>
        <w:t xml:space="preserve">temperatures (&gt; 24ºC) and </w:t>
      </w:r>
      <w:r w:rsidR="00BC0060">
        <w:rPr>
          <w:rFonts w:eastAsia="MS Mincho"/>
        </w:rPr>
        <w:t>more than</w:t>
      </w:r>
      <w:r>
        <w:rPr>
          <w:rFonts w:eastAsia="MS Mincho"/>
        </w:rPr>
        <w:t xml:space="preserve"> </w:t>
      </w:r>
      <w:r w:rsidR="00F83754">
        <w:rPr>
          <w:rFonts w:eastAsia="MS Mincho"/>
        </w:rPr>
        <w:t>nine</w:t>
      </w:r>
      <w:r>
        <w:rPr>
          <w:rFonts w:eastAsia="MS Mincho"/>
        </w:rPr>
        <w:t xml:space="preserve"> </w:t>
      </w:r>
      <w:r w:rsidR="00BC0060">
        <w:rPr>
          <w:rFonts w:eastAsia="MS Mincho"/>
        </w:rPr>
        <w:t>hours</w:t>
      </w:r>
      <w:r>
        <w:rPr>
          <w:rFonts w:eastAsia="MS Mincho"/>
        </w:rPr>
        <w:t xml:space="preserve"> of continuous high humidity (&gt;90%) or leaf wetness (Fidanza et al., 1996; Gross et al., 1998). Numerous cultural practices can also trigger brown patch development. Dickinson </w:t>
      </w:r>
      <w:r>
        <w:rPr>
          <w:rFonts w:eastAsia="MS Mincho"/>
        </w:rPr>
        <w:lastRenderedPageBreak/>
        <w:t xml:space="preserve">(1930) observed increased brown patch severity when turfgrass was irrigated during evening and late morning hours, which extended leaf wetness duration. Excessive nitrogen fertilization can also promote brown patch development by increasing the succulence and density of the turfgrass canopy, thereby promoting faster leaf-to-leaf infection (Fidanza and Dernoeden, 1996; Giesler et al., 1996). </w:t>
      </w:r>
    </w:p>
    <w:p w14:paraId="5BEFBF1A" w14:textId="77777777" w:rsidR="007F4ACA" w:rsidRDefault="007F4ACA" w:rsidP="00DB4B20">
      <w:pPr>
        <w:pStyle w:val="Heading2"/>
        <w:spacing w:line="480" w:lineRule="auto"/>
        <w:rPr>
          <w:rFonts w:eastAsia="MS Mincho"/>
        </w:rPr>
      </w:pPr>
      <w:bookmarkStart w:id="26" w:name="_Toc466885885"/>
      <w:bookmarkStart w:id="27" w:name="_Toc466890514"/>
      <w:bookmarkStart w:id="28" w:name="_Toc466891149"/>
      <w:bookmarkStart w:id="29" w:name="_Toc466894829"/>
      <w:r>
        <w:rPr>
          <w:rFonts w:eastAsia="MS Mincho"/>
        </w:rPr>
        <w:t>Large patch</w:t>
      </w:r>
      <w:bookmarkEnd w:id="26"/>
      <w:bookmarkEnd w:id="27"/>
      <w:bookmarkEnd w:id="28"/>
      <w:bookmarkEnd w:id="29"/>
    </w:p>
    <w:p w14:paraId="17833CD0" w14:textId="32248212" w:rsidR="007F4ACA" w:rsidRDefault="007F4ACA" w:rsidP="00DB4B20">
      <w:pPr>
        <w:spacing w:before="100" w:beforeAutospacing="1" w:after="100" w:afterAutospacing="1" w:line="480" w:lineRule="auto"/>
        <w:ind w:firstLine="720"/>
        <w:rPr>
          <w:rFonts w:eastAsia="MS Mincho"/>
        </w:rPr>
      </w:pPr>
      <w:r>
        <w:rPr>
          <w:rFonts w:eastAsia="MS Mincho"/>
        </w:rPr>
        <w:t>Large patch (</w:t>
      </w:r>
      <w:r>
        <w:rPr>
          <w:rFonts w:eastAsia="MS Mincho"/>
          <w:i/>
        </w:rPr>
        <w:t xml:space="preserve">R. solani </w:t>
      </w:r>
      <w:r>
        <w:rPr>
          <w:rFonts w:eastAsia="MS Mincho"/>
        </w:rPr>
        <w:t>AG-2-2 LP) is a severe disease of several warm-season turfgrasses including the Zoysiagrasses and St. Augustine</w:t>
      </w:r>
      <w:r w:rsidR="00BE6904">
        <w:rPr>
          <w:rFonts w:eastAsia="MS Mincho"/>
        </w:rPr>
        <w:t xml:space="preserve"> </w:t>
      </w:r>
      <w:r>
        <w:rPr>
          <w:rFonts w:eastAsia="MS Mincho"/>
        </w:rPr>
        <w:t>grass (</w:t>
      </w:r>
      <w:r>
        <w:rPr>
          <w:rFonts w:eastAsia="MS Mincho"/>
          <w:i/>
        </w:rPr>
        <w:t>Stenotaphrum secundatum</w:t>
      </w:r>
      <w:r>
        <w:rPr>
          <w:rFonts w:eastAsia="MS Mincho"/>
        </w:rPr>
        <w:t xml:space="preserve"> Walt.)</w:t>
      </w:r>
      <w:r w:rsidR="00BC0060">
        <w:rPr>
          <w:rFonts w:eastAsia="MS Mincho"/>
        </w:rPr>
        <w:t xml:space="preserve"> among others</w:t>
      </w:r>
      <w:r>
        <w:rPr>
          <w:rFonts w:eastAsia="MS Mincho"/>
        </w:rPr>
        <w:t xml:space="preserve"> (Smiley et al., 2005). However, all warm-season turfgrasses are presumed susceptible. The pathogen infe</w:t>
      </w:r>
      <w:r w:rsidR="00FE607C">
        <w:rPr>
          <w:rFonts w:eastAsia="MS Mincho"/>
        </w:rPr>
        <w:t>cts the crown and leaf sheath</w:t>
      </w:r>
      <w:r>
        <w:rPr>
          <w:rFonts w:eastAsia="MS Mincho"/>
        </w:rPr>
        <w:t xml:space="preserve"> </w:t>
      </w:r>
      <w:r w:rsidR="0017003E">
        <w:rPr>
          <w:rFonts w:eastAsia="MS Mincho"/>
        </w:rPr>
        <w:t>during periods of cool-to-mild temperatures (20-25°</w:t>
      </w:r>
      <w:r w:rsidR="00F83754">
        <w:rPr>
          <w:rFonts w:eastAsia="MS Mincho"/>
        </w:rPr>
        <w:t>C</w:t>
      </w:r>
      <w:r w:rsidR="0017003E">
        <w:rPr>
          <w:rFonts w:eastAsia="MS Mincho"/>
        </w:rPr>
        <w:t>) with high relative humidity (Green et al., 1993)</w:t>
      </w:r>
      <w:r>
        <w:rPr>
          <w:rFonts w:eastAsia="MS Mincho"/>
        </w:rPr>
        <w:t xml:space="preserve">. </w:t>
      </w:r>
      <w:r w:rsidR="0017003E">
        <w:rPr>
          <w:rFonts w:eastAsia="MS Mincho"/>
        </w:rPr>
        <w:t>These environmental conditions are most often observed in the spring and fall months in the transition zone</w:t>
      </w:r>
      <w:r w:rsidR="004138AE">
        <w:rPr>
          <w:rFonts w:eastAsia="MS Mincho"/>
        </w:rPr>
        <w:t xml:space="preserve"> as the turfgrass is entering and breaking winter dormancy. </w:t>
      </w:r>
      <w:r>
        <w:rPr>
          <w:rFonts w:eastAsia="MS Mincho"/>
        </w:rPr>
        <w:t xml:space="preserve">However, </w:t>
      </w:r>
      <w:r w:rsidR="000370B4">
        <w:rPr>
          <w:rFonts w:eastAsia="MS Mincho"/>
        </w:rPr>
        <w:t xml:space="preserve">disease development </w:t>
      </w:r>
      <w:r>
        <w:rPr>
          <w:rFonts w:eastAsia="MS Mincho"/>
        </w:rPr>
        <w:t>may occur</w:t>
      </w:r>
      <w:r w:rsidR="00FE607C">
        <w:rPr>
          <w:rFonts w:eastAsia="MS Mincho"/>
        </w:rPr>
        <w:t xml:space="preserve"> any time of year</w:t>
      </w:r>
      <w:r>
        <w:rPr>
          <w:rFonts w:eastAsia="MS Mincho"/>
        </w:rPr>
        <w:t xml:space="preserve"> </w:t>
      </w:r>
      <w:r w:rsidR="004138AE">
        <w:rPr>
          <w:rFonts w:eastAsia="MS Mincho"/>
        </w:rPr>
        <w:t xml:space="preserve">during periods of persistent rainfall (Spurlock, 2009). </w:t>
      </w:r>
      <w:r>
        <w:rPr>
          <w:rFonts w:eastAsia="MS Mincho"/>
        </w:rPr>
        <w:t xml:space="preserve">After infection and during disease development, plants exhibit an orange discoloration and can be </w:t>
      </w:r>
      <w:r w:rsidR="00FE607C">
        <w:rPr>
          <w:rFonts w:eastAsia="MS Mincho"/>
        </w:rPr>
        <w:t>detached easily</w:t>
      </w:r>
      <w:r>
        <w:rPr>
          <w:rFonts w:eastAsia="MS Mincho"/>
        </w:rPr>
        <w:t xml:space="preserve"> at the crown (Aoyagi et al., 1998). If left untreated, patches can expand </w:t>
      </w:r>
      <w:r w:rsidR="00BC0060">
        <w:rPr>
          <w:rFonts w:eastAsia="MS Mincho"/>
        </w:rPr>
        <w:t>more than</w:t>
      </w:r>
      <w:r>
        <w:rPr>
          <w:rFonts w:eastAsia="MS Mincho"/>
        </w:rPr>
        <w:t xml:space="preserve"> </w:t>
      </w:r>
      <w:r w:rsidR="00BC0060">
        <w:rPr>
          <w:rFonts w:eastAsia="MS Mincho"/>
        </w:rPr>
        <w:t>6 m</w:t>
      </w:r>
      <w:r>
        <w:rPr>
          <w:rFonts w:eastAsia="MS Mincho"/>
        </w:rPr>
        <w:t xml:space="preserve"> in diameter. Patches often coalesce creating large irregularly shaped areas of blighted turf. The blighted areas often r</w:t>
      </w:r>
      <w:r w:rsidR="00FE607C">
        <w:rPr>
          <w:rFonts w:eastAsia="MS Mincho"/>
        </w:rPr>
        <w:t>eoccur in the same areas and become</w:t>
      </w:r>
      <w:r>
        <w:rPr>
          <w:rFonts w:eastAsia="MS Mincho"/>
        </w:rPr>
        <w:t xml:space="preserve"> progressively more severe (Spurlock, 2009). Recovery from infection is dependent on new plant growth during warmer weather (Green et al., 1994). </w:t>
      </w:r>
    </w:p>
    <w:p w14:paraId="20C0AE6A" w14:textId="24329207" w:rsidR="007F4ACA" w:rsidRDefault="00BC0060" w:rsidP="007F4ACA">
      <w:pPr>
        <w:spacing w:before="100" w:beforeAutospacing="1" w:after="100" w:afterAutospacing="1" w:line="480" w:lineRule="auto"/>
        <w:ind w:firstLine="720"/>
        <w:rPr>
          <w:rFonts w:eastAsia="MS Mincho"/>
        </w:rPr>
      </w:pPr>
      <w:r>
        <w:rPr>
          <w:rFonts w:eastAsia="MS Mincho"/>
        </w:rPr>
        <w:t>Large patch management</w:t>
      </w:r>
      <w:r w:rsidR="007F4ACA">
        <w:rPr>
          <w:rFonts w:eastAsia="MS Mincho"/>
        </w:rPr>
        <w:t xml:space="preserve"> is </w:t>
      </w:r>
      <w:r>
        <w:rPr>
          <w:rFonts w:eastAsia="MS Mincho"/>
        </w:rPr>
        <w:t>challenging</w:t>
      </w:r>
      <w:r w:rsidR="007F4ACA">
        <w:rPr>
          <w:rFonts w:eastAsia="MS Mincho"/>
        </w:rPr>
        <w:t xml:space="preserve"> because of the lack of identifiable cultural control options available. Increasing the mowing height from 1.2 to 4.5 cm can significantly </w:t>
      </w:r>
      <w:r w:rsidR="007F4ACA">
        <w:rPr>
          <w:rFonts w:eastAsia="MS Mincho"/>
        </w:rPr>
        <w:lastRenderedPageBreak/>
        <w:t xml:space="preserve">reduce large patch severity. However, this increase in mowing height is not feasible under golf course fairway management. Adjusting nitrogen fertilization programs may also not </w:t>
      </w:r>
      <w:r w:rsidR="000370B4">
        <w:rPr>
          <w:rFonts w:eastAsia="MS Mincho"/>
        </w:rPr>
        <w:t>influence large patch development</w:t>
      </w:r>
      <w:r w:rsidR="007F4ACA">
        <w:rPr>
          <w:rFonts w:eastAsia="MS Mincho"/>
        </w:rPr>
        <w:t xml:space="preserve">. Green et al. (1994) reported no benefit in reducing large patch severity by administering various nitrogen inputs during summer. Furthermore, Miller et al. (2016) reported that spring and fall nitrogen fertilization has minor effects on large patch severity. The lack of cultural control options is compounded by the current lack of resistant JLG germplasm available for commercial use (Obasa et al., 2012). Therefore, turfgrass practitioners who manage JLG generally rely on preventive fungicide sprays to prevent large patch development. </w:t>
      </w:r>
    </w:p>
    <w:p w14:paraId="1AEFCA7D" w14:textId="77777777" w:rsidR="007F4ACA" w:rsidRPr="00551527" w:rsidRDefault="007F4ACA" w:rsidP="00DB4B20">
      <w:pPr>
        <w:pStyle w:val="Heading2"/>
        <w:spacing w:line="480" w:lineRule="auto"/>
        <w:rPr>
          <w:rFonts w:eastAsia="MS Mincho"/>
        </w:rPr>
      </w:pPr>
      <w:bookmarkStart w:id="30" w:name="_Toc466885886"/>
      <w:bookmarkStart w:id="31" w:name="_Toc466890515"/>
      <w:bookmarkStart w:id="32" w:name="_Toc466891150"/>
      <w:bookmarkStart w:id="33" w:name="_Toc466894830"/>
      <w:r w:rsidRPr="00551527">
        <w:rPr>
          <w:rFonts w:eastAsia="MS Mincho"/>
        </w:rPr>
        <w:t>Fungicidal control of large patch</w:t>
      </w:r>
      <w:bookmarkEnd w:id="30"/>
      <w:bookmarkEnd w:id="31"/>
      <w:bookmarkEnd w:id="32"/>
      <w:bookmarkEnd w:id="33"/>
    </w:p>
    <w:p w14:paraId="26D0FD05" w14:textId="5FBD576F" w:rsidR="00C950E0" w:rsidRDefault="000749B7" w:rsidP="00DB4B20">
      <w:pPr>
        <w:spacing w:before="100" w:beforeAutospacing="1" w:after="100" w:afterAutospacing="1" w:line="480" w:lineRule="auto"/>
        <w:ind w:firstLine="720"/>
        <w:rPr>
          <w:rFonts w:eastAsia="MS Mincho"/>
        </w:rPr>
      </w:pPr>
      <w:r>
        <w:rPr>
          <w:rFonts w:eastAsia="MS Mincho"/>
        </w:rPr>
        <w:t xml:space="preserve">Numerous fungicides are labelled to control large patch preventively. However, </w:t>
      </w:r>
      <w:r w:rsidR="001D7F2F">
        <w:rPr>
          <w:rFonts w:eastAsia="MS Mincho"/>
        </w:rPr>
        <w:t xml:space="preserve">adherence to </w:t>
      </w:r>
      <w:r>
        <w:rPr>
          <w:rFonts w:eastAsia="MS Mincho"/>
        </w:rPr>
        <w:t xml:space="preserve">proper application procedures must be </w:t>
      </w:r>
      <w:r w:rsidR="001D7F2F">
        <w:rPr>
          <w:rFonts w:eastAsia="MS Mincho"/>
        </w:rPr>
        <w:t>practiced</w:t>
      </w:r>
      <w:r>
        <w:rPr>
          <w:rFonts w:eastAsia="MS Mincho"/>
        </w:rPr>
        <w:t xml:space="preserve"> t</w:t>
      </w:r>
      <w:r w:rsidR="001D7F2F">
        <w:rPr>
          <w:rFonts w:eastAsia="MS Mincho"/>
        </w:rPr>
        <w:t xml:space="preserve">o for effective disease control, i.e., </w:t>
      </w:r>
      <w:r>
        <w:rPr>
          <w:rFonts w:eastAsia="MS Mincho"/>
        </w:rPr>
        <w:t xml:space="preserve">fungicides must be applied in a manner than connects the active ingredient to the site of pathogen infection. This could be accomplished by </w:t>
      </w:r>
      <w:r w:rsidR="001D7F2F">
        <w:rPr>
          <w:rFonts w:eastAsia="MS Mincho"/>
        </w:rPr>
        <w:t xml:space="preserve">deposition of </w:t>
      </w:r>
      <w:r>
        <w:rPr>
          <w:rFonts w:eastAsia="MS Mincho"/>
        </w:rPr>
        <w:t>fungicides at the site of infection or</w:t>
      </w:r>
      <w:r w:rsidR="001D7F2F">
        <w:rPr>
          <w:rFonts w:eastAsia="MS Mincho"/>
        </w:rPr>
        <w:t xml:space="preserve"> translocation of</w:t>
      </w:r>
      <w:r>
        <w:rPr>
          <w:rFonts w:eastAsia="MS Mincho"/>
        </w:rPr>
        <w:t xml:space="preserve"> fungicide active ingredients being translocated to the site of infection. The goal </w:t>
      </w:r>
      <w:r w:rsidR="001D7F2F">
        <w:rPr>
          <w:rFonts w:eastAsia="MS Mincho"/>
        </w:rPr>
        <w:t>is to maintain</w:t>
      </w:r>
      <w:r>
        <w:rPr>
          <w:rFonts w:eastAsia="MS Mincho"/>
        </w:rPr>
        <w:t xml:space="preserve"> sufficient amounts of fungicide active ingredient in or on the plant tissue that prevents the growth of the pathogen</w:t>
      </w:r>
      <w:r w:rsidR="00C950E0">
        <w:rPr>
          <w:rFonts w:eastAsia="MS Mincho"/>
        </w:rPr>
        <w:t xml:space="preserve"> during times of large patch development. </w:t>
      </w:r>
    </w:p>
    <w:p w14:paraId="7C37D6CD" w14:textId="17045FB1" w:rsidR="007F4ACA" w:rsidRDefault="007F4ACA" w:rsidP="00C950E0">
      <w:pPr>
        <w:spacing w:before="100" w:beforeAutospacing="1" w:after="100" w:afterAutospacing="1" w:line="480" w:lineRule="auto"/>
        <w:ind w:firstLine="720"/>
        <w:rPr>
          <w:rFonts w:eastAsia="MS Mincho"/>
        </w:rPr>
      </w:pPr>
      <w:r>
        <w:rPr>
          <w:rFonts w:eastAsia="MS Mincho"/>
        </w:rPr>
        <w:t xml:space="preserve">Three fungicides that have shown promising results for large patch control in university led fungicide efficacy trials are azoxystrobin, flutolanil, and tebuconazole. Azoxystrobin is a member of the strobilurin [Fungicide Resistance Action Committee (FRAC) Code 11] class of fungicides, flutolanil belongs to the Succinate Dehydrogenase Inhibitors (SDHI; </w:t>
      </w:r>
      <w:r w:rsidR="001D7F2F">
        <w:rPr>
          <w:rFonts w:eastAsia="MS Mincho"/>
        </w:rPr>
        <w:t>FRAC Code 7] class</w:t>
      </w:r>
      <w:r>
        <w:rPr>
          <w:rFonts w:eastAsia="MS Mincho"/>
        </w:rPr>
        <w:t xml:space="preserve">, and tebuconazole belongs to the demethylation inhibitor (DMI; FRAC Code 3) class of </w:t>
      </w:r>
      <w:r>
        <w:rPr>
          <w:rFonts w:eastAsia="MS Mincho"/>
        </w:rPr>
        <w:lastRenderedPageBreak/>
        <w:t>fungicides. All three fungicides are considered acropetal penetrants as they have mobility through the xylem. Current fungicide label recommendations suggest that treatments should be applied preventively in the fall as soil temperatures fall below 23°C</w:t>
      </w:r>
      <w:r w:rsidR="001D7F2F">
        <w:rPr>
          <w:rFonts w:eastAsia="MS Mincho"/>
        </w:rPr>
        <w:t>,</w:t>
      </w:r>
      <w:r>
        <w:rPr>
          <w:rFonts w:eastAsia="MS Mincho"/>
        </w:rPr>
        <w:t xml:space="preserve"> and </w:t>
      </w:r>
      <w:r w:rsidR="001D7F2F">
        <w:rPr>
          <w:rFonts w:eastAsia="MS Mincho"/>
        </w:rPr>
        <w:t xml:space="preserve">should be </w:t>
      </w:r>
      <w:r>
        <w:rPr>
          <w:rFonts w:eastAsia="MS Mincho"/>
        </w:rPr>
        <w:t>reapplied 28 days later. A third application may also be warranted during early spring as the turf resumes growth. However, despite label recommendations, efforts to control large</w:t>
      </w:r>
      <w:r w:rsidR="000370B4">
        <w:rPr>
          <w:rFonts w:eastAsia="MS Mincho"/>
        </w:rPr>
        <w:t xml:space="preserve"> patch</w:t>
      </w:r>
      <w:r>
        <w:rPr>
          <w:rFonts w:eastAsia="MS Mincho"/>
        </w:rPr>
        <w:t xml:space="preserve"> with fungicide sprays have oft</w:t>
      </w:r>
      <w:r w:rsidR="001D7F2F">
        <w:rPr>
          <w:rFonts w:eastAsia="MS Mincho"/>
        </w:rPr>
        <w:t>en yielded inconsistent results</w:t>
      </w:r>
      <w:r>
        <w:rPr>
          <w:rFonts w:eastAsia="MS Mincho"/>
        </w:rPr>
        <w:t xml:space="preserve"> (</w:t>
      </w:r>
      <w:r w:rsidR="008B4D08">
        <w:rPr>
          <w:rFonts w:eastAsia="MS Mincho"/>
        </w:rPr>
        <w:t xml:space="preserve">B.J. </w:t>
      </w:r>
      <w:r>
        <w:rPr>
          <w:rFonts w:eastAsia="MS Mincho"/>
        </w:rPr>
        <w:t>Horvath, personal communication</w:t>
      </w:r>
      <w:r w:rsidR="008B4D08">
        <w:rPr>
          <w:rFonts w:eastAsia="MS Mincho"/>
        </w:rPr>
        <w:t>, 2016</w:t>
      </w:r>
      <w:r>
        <w:rPr>
          <w:rFonts w:eastAsia="MS Mincho"/>
        </w:rPr>
        <w:t>)</w:t>
      </w:r>
      <w:r w:rsidR="001D7F2F">
        <w:rPr>
          <w:rFonts w:eastAsia="MS Mincho"/>
        </w:rPr>
        <w:t>.</w:t>
      </w:r>
      <w:r>
        <w:rPr>
          <w:rFonts w:eastAsia="MS Mincho"/>
        </w:rPr>
        <w:t xml:space="preserve"> </w:t>
      </w:r>
    </w:p>
    <w:p w14:paraId="05387BED" w14:textId="0887946C" w:rsidR="007F4ACA" w:rsidRDefault="007F4ACA" w:rsidP="007F4ACA">
      <w:pPr>
        <w:spacing w:before="100" w:beforeAutospacing="1" w:after="100" w:afterAutospacing="1" w:line="480" w:lineRule="auto"/>
        <w:ind w:firstLine="720"/>
        <w:rPr>
          <w:rFonts w:eastAsia="MS Mincho"/>
        </w:rPr>
      </w:pPr>
      <w:r>
        <w:t>There are several possible reasons for control failure. Fungicide deposition factors (application rates, intervals, and surface coverage), disease pressure, and the residual efficacy of fungicides are among the most documented</w:t>
      </w:r>
      <w:r w:rsidR="008B4D08">
        <w:t xml:space="preserve"> </w:t>
      </w:r>
      <w:r w:rsidR="001D7F2F">
        <w:t xml:space="preserve">reasons </w:t>
      </w:r>
      <w:r w:rsidR="008B4D08">
        <w:t>(Latin, 2011)</w:t>
      </w:r>
      <w:r>
        <w:t>. Of these, surface coverage may be</w:t>
      </w:r>
      <w:r w:rsidR="001D7F2F">
        <w:t xml:space="preserve"> the</w:t>
      </w:r>
      <w:r>
        <w:t xml:space="preserve"> most influential to successful disease control</w:t>
      </w:r>
      <w:r w:rsidR="000370B4">
        <w:t xml:space="preserve"> depending on the pathosystem</w:t>
      </w:r>
      <w:r>
        <w:t>. Diseases such as dollar spot (</w:t>
      </w:r>
      <w:r>
        <w:rPr>
          <w:i/>
        </w:rPr>
        <w:t>Sclerotinia homoeocarpa</w:t>
      </w:r>
      <w:r>
        <w:t xml:space="preserve"> F.T. Bennett) of turfgrass are controlled more easily when application techniques are designed to steer fungicide deposition towards the site of lesion development on the leaf foliage (Kennelly and Wolf, 2009; Kaminski and Fidanza, 2009). Unlike other problematic turfgrass diseases, research on improving</w:t>
      </w:r>
      <w:r w:rsidR="00F83754">
        <w:t xml:space="preserve"> large patch control is limited</w:t>
      </w:r>
      <w:r>
        <w:t xml:space="preserve">. Most current large patch control recommendations are based on successful management strategies for a different </w:t>
      </w:r>
      <w:r>
        <w:rPr>
          <w:i/>
        </w:rPr>
        <w:t>R.</w:t>
      </w:r>
      <w:r w:rsidR="001D7F2F">
        <w:rPr>
          <w:i/>
        </w:rPr>
        <w:t xml:space="preserve"> </w:t>
      </w:r>
      <w:r>
        <w:rPr>
          <w:i/>
        </w:rPr>
        <w:t>solani</w:t>
      </w:r>
      <w:r>
        <w:t xml:space="preserve"> incited disease, brown patch. This related pathogen causes a disease of foliage on cool-season turfgrass, and unlike large patch, </w:t>
      </w:r>
      <w:r w:rsidR="000370B4">
        <w:t>rarely</w:t>
      </w:r>
      <w:r>
        <w:t xml:space="preserve"> affect</w:t>
      </w:r>
      <w:r w:rsidR="000370B4">
        <w:t>s</w:t>
      </w:r>
      <w:r>
        <w:t xml:space="preserve"> the stem or lo</w:t>
      </w:r>
      <w:r w:rsidR="001D7F2F">
        <w:t>wer leaf sheath. This is</w:t>
      </w:r>
      <w:r>
        <w:t xml:space="preserve"> a possible explanation for poor large patch control. Foliar fungicide applications that do not </w:t>
      </w:r>
      <w:r w:rsidR="005A38BC">
        <w:t xml:space="preserve">adequately </w:t>
      </w:r>
      <w:r>
        <w:t>penetrate into the lower leaf canopy</w:t>
      </w:r>
      <w:r w:rsidR="005A38BC">
        <w:t xml:space="preserve"> in sufficient amounts</w:t>
      </w:r>
      <w:r>
        <w:t xml:space="preserve">, where infection occurs, may not provide acceptable control of large patch. </w:t>
      </w:r>
    </w:p>
    <w:p w14:paraId="62F6D38A" w14:textId="78F19557" w:rsidR="007F4ACA" w:rsidRDefault="007F4ACA" w:rsidP="007F4ACA">
      <w:pPr>
        <w:spacing w:before="100" w:beforeAutospacing="1" w:after="100" w:afterAutospacing="1" w:line="480" w:lineRule="auto"/>
        <w:ind w:firstLine="720"/>
      </w:pPr>
      <w:r>
        <w:lastRenderedPageBreak/>
        <w:t xml:space="preserve">Large patch control of JLG landscapes using fungicide sprays could be enhanced if improved application strategies are designed </w:t>
      </w:r>
      <w:r w:rsidR="005A38BC">
        <w:t xml:space="preserve">such that the fungicide is present where the pathogen occurs in the plant. </w:t>
      </w:r>
      <w:r>
        <w:t xml:space="preserve">Identifying the most </w:t>
      </w:r>
      <w:r w:rsidR="005A38BC">
        <w:t xml:space="preserve">critical </w:t>
      </w:r>
      <w:r>
        <w:t>target site of fungicide application in JLG landscapes is warranted.</w:t>
      </w:r>
      <w:r w:rsidR="001D7F2F">
        <w:t xml:space="preserve"> Additionally, developing field-</w:t>
      </w:r>
      <w:r>
        <w:t xml:space="preserve">based application methods that deliver the fungicide to this target site could lead to improved large patch control. </w:t>
      </w:r>
    </w:p>
    <w:p w14:paraId="321E47ED" w14:textId="77777777" w:rsidR="007F4ACA" w:rsidRDefault="007F4ACA" w:rsidP="007F4ACA">
      <w:pPr>
        <w:spacing w:before="100" w:beforeAutospacing="1" w:after="100" w:afterAutospacing="1" w:line="480" w:lineRule="auto"/>
        <w:ind w:firstLine="720"/>
      </w:pPr>
    </w:p>
    <w:p w14:paraId="4EBA0D10" w14:textId="77777777" w:rsidR="007F4ACA" w:rsidRDefault="007F4ACA" w:rsidP="007F4ACA">
      <w:pPr>
        <w:spacing w:before="100" w:beforeAutospacing="1" w:after="100" w:afterAutospacing="1" w:line="480" w:lineRule="auto"/>
        <w:ind w:firstLine="720"/>
      </w:pPr>
    </w:p>
    <w:p w14:paraId="66C1DF42" w14:textId="77777777" w:rsidR="007F4ACA" w:rsidRDefault="007F4ACA" w:rsidP="007F4ACA">
      <w:pPr>
        <w:spacing w:before="100" w:beforeAutospacing="1" w:after="100" w:afterAutospacing="1" w:line="480" w:lineRule="auto"/>
      </w:pPr>
    </w:p>
    <w:p w14:paraId="725C1B19" w14:textId="77777777" w:rsidR="00F75CEE" w:rsidRDefault="00F75CEE" w:rsidP="007F4ACA">
      <w:pPr>
        <w:spacing w:after="120" w:line="480" w:lineRule="auto"/>
        <w:jc w:val="center"/>
        <w:rPr>
          <w:b/>
          <w:caps/>
        </w:rPr>
      </w:pPr>
    </w:p>
    <w:p w14:paraId="397A88F7" w14:textId="77777777" w:rsidR="00DB4B20" w:rsidRDefault="00DB4B20" w:rsidP="00551527">
      <w:pPr>
        <w:pStyle w:val="Heading2"/>
      </w:pPr>
      <w:bookmarkStart w:id="34" w:name="_Toc466885887"/>
      <w:bookmarkStart w:id="35" w:name="_Toc466890516"/>
      <w:bookmarkStart w:id="36" w:name="_Toc466891151"/>
      <w:bookmarkStart w:id="37" w:name="_Toc466894831"/>
    </w:p>
    <w:p w14:paraId="2CE53AC8" w14:textId="77777777" w:rsidR="00DB4B20" w:rsidRDefault="00DB4B20" w:rsidP="00551527">
      <w:pPr>
        <w:pStyle w:val="Heading2"/>
      </w:pPr>
    </w:p>
    <w:p w14:paraId="710CD655" w14:textId="77777777" w:rsidR="00DB4B20" w:rsidRDefault="00DB4B20" w:rsidP="00551527">
      <w:pPr>
        <w:pStyle w:val="Heading2"/>
      </w:pPr>
    </w:p>
    <w:p w14:paraId="14876641" w14:textId="77777777" w:rsidR="00DB4B20" w:rsidRDefault="00DB4B20" w:rsidP="00551527">
      <w:pPr>
        <w:pStyle w:val="Heading2"/>
      </w:pPr>
    </w:p>
    <w:p w14:paraId="7D1C1F27" w14:textId="77777777" w:rsidR="00DB4B20" w:rsidRDefault="00DB4B20" w:rsidP="00551527">
      <w:pPr>
        <w:pStyle w:val="Heading2"/>
      </w:pPr>
    </w:p>
    <w:p w14:paraId="3AE408DD" w14:textId="77777777" w:rsidR="00DB4B20" w:rsidRDefault="00DB4B20" w:rsidP="00DB4B20"/>
    <w:p w14:paraId="5934DD20" w14:textId="77777777" w:rsidR="00DB4B20" w:rsidRDefault="00DB4B20" w:rsidP="00DB4B20"/>
    <w:p w14:paraId="5C140278" w14:textId="77777777" w:rsidR="00DB4B20" w:rsidRDefault="00DB4B20" w:rsidP="00DB4B20"/>
    <w:p w14:paraId="06AF9A60" w14:textId="77777777" w:rsidR="00DB4B20" w:rsidRDefault="00DB4B20" w:rsidP="00DB4B20"/>
    <w:p w14:paraId="19C2141E" w14:textId="77777777" w:rsidR="00DB4B20" w:rsidRDefault="00DB4B20" w:rsidP="00DB4B20"/>
    <w:p w14:paraId="458A8210" w14:textId="77777777" w:rsidR="00DB4B20" w:rsidRDefault="00DB4B20" w:rsidP="00DB4B20"/>
    <w:p w14:paraId="6DAC7E5F" w14:textId="77777777" w:rsidR="00DB4B20" w:rsidRDefault="00DB4B20" w:rsidP="00DB4B20"/>
    <w:p w14:paraId="0D78E532" w14:textId="77777777" w:rsidR="00DB4B20" w:rsidRDefault="00DB4B20" w:rsidP="00DB4B20"/>
    <w:p w14:paraId="71FD6B2E" w14:textId="77777777" w:rsidR="00DB4B20" w:rsidRDefault="00DB4B20" w:rsidP="00DB4B20"/>
    <w:p w14:paraId="2205B082" w14:textId="77777777" w:rsidR="00DB4B20" w:rsidRPr="00DB4B20" w:rsidRDefault="00DB4B20" w:rsidP="00DB4B20"/>
    <w:p w14:paraId="2FA6C7FC" w14:textId="6C2B5BBD" w:rsidR="00F75CEE" w:rsidRDefault="007F4ACA" w:rsidP="00DB4B20">
      <w:pPr>
        <w:pStyle w:val="Heading2"/>
        <w:spacing w:line="480" w:lineRule="auto"/>
      </w:pPr>
      <w:r w:rsidRPr="00D76ACF">
        <w:lastRenderedPageBreak/>
        <w:t>Literature Cited</w:t>
      </w:r>
      <w:bookmarkEnd w:id="34"/>
      <w:bookmarkEnd w:id="35"/>
      <w:bookmarkEnd w:id="36"/>
      <w:bookmarkEnd w:id="37"/>
    </w:p>
    <w:p w14:paraId="566B4BFB" w14:textId="77777777" w:rsidR="00DB4B20" w:rsidRPr="00DB4B20" w:rsidRDefault="00DB4B20" w:rsidP="00DB4B20"/>
    <w:p w14:paraId="0668A04C" w14:textId="77777777" w:rsidR="007F4ACA" w:rsidRDefault="007F4ACA" w:rsidP="00DB4B20">
      <w:pPr>
        <w:spacing w:after="120" w:line="480" w:lineRule="auto"/>
        <w:ind w:left="810" w:hanging="810"/>
      </w:pPr>
      <w:r>
        <w:t xml:space="preserve">Aoyagi, T., K. Kageyama, and M. Hyakumachi. 1998. Characterization and survival of </w:t>
      </w:r>
      <w:r>
        <w:rPr>
          <w:i/>
        </w:rPr>
        <w:t>Rhizoctonia solani</w:t>
      </w:r>
      <w:r>
        <w:t xml:space="preserve"> AG 2-2LP associated with large patch disease of Zoysia grass. Plant Dis. 82:857-863. </w:t>
      </w:r>
    </w:p>
    <w:p w14:paraId="76DA2A1F" w14:textId="294E7C45" w:rsidR="007F4ACA" w:rsidRDefault="007F4ACA" w:rsidP="007F4ACA">
      <w:pPr>
        <w:spacing w:after="120" w:line="480" w:lineRule="auto"/>
        <w:ind w:left="720" w:hanging="720"/>
      </w:pPr>
      <w:r>
        <w:t xml:space="preserve">Baker, K.F. 1970. Types of </w:t>
      </w:r>
      <w:r>
        <w:rPr>
          <w:i/>
        </w:rPr>
        <w:t>Rhizoctonia</w:t>
      </w:r>
      <w:r>
        <w:t xml:space="preserve"> diseases and their occurrence.</w:t>
      </w:r>
      <w:r w:rsidR="008E1E31">
        <w:t xml:space="preserve"> Pages 125-148 in:</w:t>
      </w:r>
      <w:r>
        <w:t xml:space="preserve"> </w:t>
      </w:r>
      <w:r>
        <w:rPr>
          <w:i/>
        </w:rPr>
        <w:t>Rhizoctonia</w:t>
      </w:r>
      <w:r>
        <w:t xml:space="preserve"> </w:t>
      </w:r>
      <w:r w:rsidRPr="008E1E31">
        <w:rPr>
          <w:i/>
        </w:rPr>
        <w:t>solani</w:t>
      </w:r>
      <w:r>
        <w:t xml:space="preserve">, biology and pathology. University of California Press, Berkeley, CA. </w:t>
      </w:r>
    </w:p>
    <w:p w14:paraId="2A8ECF0A" w14:textId="77777777" w:rsidR="007F4ACA" w:rsidRDefault="007F4ACA" w:rsidP="007F4ACA">
      <w:pPr>
        <w:spacing w:after="120" w:line="480" w:lineRule="auto"/>
        <w:ind w:left="540" w:hanging="540"/>
      </w:pPr>
      <w:r>
        <w:t xml:space="preserve">Beard, J.B. 1973. Turfgrass: Science and culture. Prentice Hall, Englewood Cliffs, NJ. </w:t>
      </w:r>
    </w:p>
    <w:p w14:paraId="43A97C23" w14:textId="77777777" w:rsidR="007F4ACA" w:rsidRDefault="007F4ACA" w:rsidP="007F4ACA">
      <w:pPr>
        <w:spacing w:after="120" w:line="480" w:lineRule="auto"/>
        <w:ind w:left="720" w:hanging="720"/>
      </w:pPr>
      <w:r>
        <w:t>Beard, J.B. 2002. Turfgrass management for golf courses. Ann Arbor Press, Chelsea, MI.</w:t>
      </w:r>
    </w:p>
    <w:p w14:paraId="580C2BD2" w14:textId="4B47307E" w:rsidR="007F4ACA" w:rsidRDefault="007F4ACA" w:rsidP="007F4ACA">
      <w:pPr>
        <w:spacing w:after="120" w:line="480" w:lineRule="auto"/>
        <w:ind w:left="540" w:hanging="540"/>
      </w:pPr>
      <w:r>
        <w:t xml:space="preserve">Bucher, E.S., and H.T. Wilkinson. 2007. The pathogenicity of </w:t>
      </w:r>
      <w:r w:rsidRPr="00E04049">
        <w:rPr>
          <w:i/>
        </w:rPr>
        <w:t>Gaeumannomyces incrustans</w:t>
      </w:r>
      <w:r>
        <w:t xml:space="preserve"> on turfgrass </w:t>
      </w:r>
      <w:r w:rsidRPr="00E04049">
        <w:rPr>
          <w:i/>
        </w:rPr>
        <w:t>Zoysia japonica</w:t>
      </w:r>
      <w:r>
        <w:t>. Can. J. Plant Pathol. 29:56-62. Doi:10.1</w:t>
      </w:r>
      <w:r w:rsidR="001D7F2F">
        <w:t>b</w:t>
      </w:r>
      <w:r>
        <w:t>080/07060660709507437</w:t>
      </w:r>
      <w:r w:rsidR="008E1E31">
        <w:t>.</w:t>
      </w:r>
    </w:p>
    <w:p w14:paraId="65FA00B6" w14:textId="77777777" w:rsidR="007F4ACA" w:rsidRDefault="007F4ACA" w:rsidP="007F4ACA">
      <w:pPr>
        <w:spacing w:after="120" w:line="480" w:lineRule="auto"/>
        <w:ind w:left="720" w:hanging="720"/>
      </w:pPr>
      <w:r>
        <w:t xml:space="preserve">Burpee, L., and B. Martin. 1992. Biology of </w:t>
      </w:r>
      <w:r>
        <w:rPr>
          <w:i/>
        </w:rPr>
        <w:t>Rhizoctonia</w:t>
      </w:r>
      <w:r>
        <w:t xml:space="preserve"> species associated with turfgrasses. Plant Dis. 76:112-117. </w:t>
      </w:r>
    </w:p>
    <w:p w14:paraId="42FA35C3" w14:textId="27231F93" w:rsidR="007F4ACA" w:rsidRDefault="007F4ACA" w:rsidP="007F4ACA">
      <w:pPr>
        <w:spacing w:after="120" w:line="480" w:lineRule="auto"/>
        <w:ind w:left="720" w:hanging="720"/>
      </w:pPr>
      <w:r>
        <w:t xml:space="preserve">Dickinson, L.S. 1930. The effect of air temperatures on the pathogenicity of </w:t>
      </w:r>
      <w:r w:rsidRPr="00E04049">
        <w:rPr>
          <w:i/>
        </w:rPr>
        <w:t>Rhizoctonia solani</w:t>
      </w:r>
      <w:r>
        <w:t xml:space="preserve"> parasitizing grasses on pu</w:t>
      </w:r>
      <w:r w:rsidR="00E04049">
        <w:t>tting-green turf. Phytopath</w:t>
      </w:r>
      <w:r w:rsidR="00592BA0">
        <w:t>ol</w:t>
      </w:r>
      <w:r w:rsidR="008E1E31">
        <w:t>ogy</w:t>
      </w:r>
      <w:r w:rsidR="00E04049">
        <w:t>.</w:t>
      </w:r>
      <w:r>
        <w:t xml:space="preserve"> 20:597-608.  </w:t>
      </w:r>
    </w:p>
    <w:p w14:paraId="13ED460C" w14:textId="77777777" w:rsidR="007F4ACA" w:rsidRDefault="007F4ACA" w:rsidP="007F4ACA">
      <w:pPr>
        <w:spacing w:after="120" w:line="480" w:lineRule="auto"/>
        <w:ind w:left="720" w:hanging="720"/>
      </w:pPr>
      <w:r>
        <w:t xml:space="preserve">Fidanza, M.A., and P.H. Dernoeden. 1996. Interaction of nitrogen source, application timing, and fungicide on </w:t>
      </w:r>
      <w:r>
        <w:rPr>
          <w:i/>
        </w:rPr>
        <w:t>Rhizoctonia</w:t>
      </w:r>
      <w:r w:rsidR="00E04049">
        <w:t xml:space="preserve"> blight in ryegrass. HortSci.</w:t>
      </w:r>
      <w:r>
        <w:t xml:space="preserve"> 31:389-392</w:t>
      </w:r>
      <w:r w:rsidR="00E04049">
        <w:t>.</w:t>
      </w:r>
    </w:p>
    <w:p w14:paraId="10A4E36C" w14:textId="140DDD9C" w:rsidR="007F4ACA" w:rsidRDefault="007F4ACA" w:rsidP="007F4ACA">
      <w:pPr>
        <w:spacing w:after="120" w:line="480" w:lineRule="auto"/>
        <w:ind w:left="720" w:hanging="720"/>
      </w:pPr>
      <w:r>
        <w:t>Fidanza, M.A., P.H. Dernoeden, and A.P. Grybauskas. 1996. Development and field validation of a brown patch warning model for perennial ryegrass turf. Phytopa</w:t>
      </w:r>
      <w:r w:rsidR="00E04049">
        <w:t>th</w:t>
      </w:r>
      <w:r w:rsidR="00592BA0">
        <w:t>ol</w:t>
      </w:r>
      <w:r w:rsidR="008E1E31">
        <w:t>ogy</w:t>
      </w:r>
      <w:r w:rsidR="00E04049">
        <w:t>.</w:t>
      </w:r>
      <w:r>
        <w:t xml:space="preserve"> 86:385-390. </w:t>
      </w:r>
    </w:p>
    <w:p w14:paraId="20B56E64" w14:textId="77777777" w:rsidR="007F4ACA" w:rsidRDefault="007F4ACA" w:rsidP="007F4ACA">
      <w:pPr>
        <w:spacing w:after="120" w:line="480" w:lineRule="auto"/>
        <w:ind w:left="540" w:hanging="540"/>
      </w:pPr>
      <w:r>
        <w:lastRenderedPageBreak/>
        <w:t xml:space="preserve">Green, D.E., J.D. Fry, J.C. Pair, and N.A. Tisserat. 1993. </w:t>
      </w:r>
      <w:r w:rsidR="00E04049">
        <w:t>Pathogenicity</w:t>
      </w:r>
      <w:r>
        <w:t xml:space="preserve"> of </w:t>
      </w:r>
      <w:r w:rsidRPr="00E04049">
        <w:rPr>
          <w:i/>
        </w:rPr>
        <w:t>Rhizoctonia solani</w:t>
      </w:r>
      <w:r>
        <w:t xml:space="preserve"> AG-2-2 and </w:t>
      </w:r>
      <w:r w:rsidRPr="00E04049">
        <w:rPr>
          <w:i/>
        </w:rPr>
        <w:t>Ophiosphaerella herpotricha</w:t>
      </w:r>
      <w:r>
        <w:t xml:space="preserve"> on zoysiagrass. Plant Dis. 77:1040-1044. </w:t>
      </w:r>
    </w:p>
    <w:p w14:paraId="6B58C918" w14:textId="77777777" w:rsidR="007F4ACA" w:rsidRDefault="007F4ACA" w:rsidP="007F4ACA">
      <w:pPr>
        <w:spacing w:after="120" w:line="480" w:lineRule="auto"/>
        <w:ind w:left="720" w:hanging="720"/>
      </w:pPr>
      <w:r>
        <w:t xml:space="preserve">Green, D.E., J.D. Fry, and J.C. Pair. 1994. Influence of management practices on </w:t>
      </w:r>
      <w:r>
        <w:rPr>
          <w:i/>
        </w:rPr>
        <w:t>Rhizoctonia</w:t>
      </w:r>
      <w:r>
        <w:t xml:space="preserve"> large patch dis</w:t>
      </w:r>
      <w:r w:rsidR="00E04049">
        <w:t>ease in zoysiagrass. HortSci.</w:t>
      </w:r>
      <w:r>
        <w:t xml:space="preserve"> 29: 186-188. </w:t>
      </w:r>
    </w:p>
    <w:p w14:paraId="48278498" w14:textId="77777777" w:rsidR="007F4ACA" w:rsidRDefault="007F4ACA" w:rsidP="007F4ACA">
      <w:pPr>
        <w:spacing w:after="120" w:line="480" w:lineRule="auto"/>
        <w:ind w:left="720" w:hanging="720"/>
      </w:pPr>
      <w:r>
        <w:t xml:space="preserve">Giesler, L. J., G.Y. Yuen, and G.L. Horst. 1996. The microclimate in tall fescue turf as affected by canopy density and its influence on brown patch disease. Plant Dis. 80:389-394. </w:t>
      </w:r>
    </w:p>
    <w:p w14:paraId="2F16A432" w14:textId="77777777" w:rsidR="007F4ACA" w:rsidRDefault="007F4ACA" w:rsidP="007F4ACA">
      <w:pPr>
        <w:spacing w:after="120" w:line="480" w:lineRule="auto"/>
        <w:ind w:left="720" w:hanging="720"/>
      </w:pPr>
      <w:r>
        <w:t xml:space="preserve">Gross, M.K., J.B. Santini, I. Tikhonova, and Latin. R. 1998. The influence of temperature and leaf wetness duration on infection of perennial ryegrass by </w:t>
      </w:r>
      <w:r>
        <w:rPr>
          <w:i/>
        </w:rPr>
        <w:t>Rhizoctonia solani</w:t>
      </w:r>
      <w:r w:rsidR="00E04049">
        <w:t>. Plant Dis</w:t>
      </w:r>
      <w:r>
        <w:t xml:space="preserve">. 82:1012-1016. </w:t>
      </w:r>
    </w:p>
    <w:p w14:paraId="12A5D800" w14:textId="77777777" w:rsidR="007F4ACA" w:rsidRDefault="007F4ACA" w:rsidP="007F4ACA">
      <w:pPr>
        <w:spacing w:after="120" w:line="480" w:lineRule="auto"/>
        <w:ind w:left="540" w:hanging="540"/>
      </w:pPr>
      <w:r>
        <w:t>Kaminski, J.E., and M.A. Fidanza. 2009. Dollar spot severity as influenced by fungicide mode of activi</w:t>
      </w:r>
      <w:r w:rsidR="00E04049">
        <w:t>ty and spray nozzle. HortSci</w:t>
      </w:r>
      <w:r>
        <w:t xml:space="preserve">. 44:1762-1766. </w:t>
      </w:r>
    </w:p>
    <w:p w14:paraId="7F5C3690" w14:textId="77777777" w:rsidR="007F4ACA" w:rsidRDefault="007F4ACA" w:rsidP="007F4ACA">
      <w:pPr>
        <w:spacing w:after="120" w:line="480" w:lineRule="auto"/>
        <w:ind w:left="720" w:hanging="720"/>
      </w:pPr>
      <w:r>
        <w:t>Kennelly, M.M., and R.E. Wolf. 2009. Effect of nozzle type and water volume on dollar spot control in greens-height creeping bentgrass. Appl</w:t>
      </w:r>
      <w:r w:rsidR="001C20DB">
        <w:t>.</w:t>
      </w:r>
      <w:r>
        <w:t xml:space="preserve"> Turf</w:t>
      </w:r>
      <w:r w:rsidR="001C20DB">
        <w:t>. Sci</w:t>
      </w:r>
      <w:r>
        <w:t>.</w:t>
      </w:r>
      <w:r w:rsidR="001C20DB">
        <w:t xml:space="preserve"> </w:t>
      </w:r>
      <w:r>
        <w:t>Online. doi:10.1094/ATS-2009-0921-01-RS.</w:t>
      </w:r>
    </w:p>
    <w:p w14:paraId="0FA625DB" w14:textId="77777777" w:rsidR="007F4ACA" w:rsidRDefault="007F4ACA" w:rsidP="007F4ACA">
      <w:pPr>
        <w:spacing w:after="120" w:line="480" w:lineRule="auto"/>
        <w:ind w:left="720" w:hanging="720"/>
      </w:pPr>
      <w:r>
        <w:t>Lyman, G. T., C.S., Throssell, M.E. Johnson, G.A. Stacey, and C. D. Brown. 2007. Golf course profile describes turfgrass, landscape and environmental stewa</w:t>
      </w:r>
      <w:r w:rsidR="001C20DB">
        <w:t>rdship features. Online. Appl.</w:t>
      </w:r>
      <w:r>
        <w:t xml:space="preserve"> T</w:t>
      </w:r>
      <w:r w:rsidR="001C20DB">
        <w:t>urf. Sci.</w:t>
      </w:r>
      <w:r>
        <w:t xml:space="preserve"> doi:10.1094/ATS-2007-1107-01-RS.</w:t>
      </w:r>
    </w:p>
    <w:p w14:paraId="4AA382BC" w14:textId="77777777" w:rsidR="007F4ACA" w:rsidRDefault="007F4ACA" w:rsidP="007F4ACA">
      <w:pPr>
        <w:spacing w:after="120" w:line="480" w:lineRule="auto"/>
        <w:ind w:left="720" w:hanging="720"/>
      </w:pPr>
      <w:r>
        <w:t>Miller, G.L., D.T. Earlywine, R. Braun, J.D. Fry, and M.M. Kennelly. 2016. Influence of nitrogen source and application timing on large pa</w:t>
      </w:r>
      <w:r w:rsidR="001C20DB">
        <w:t>tch of zoysiagrass. Crop, For. Turf. Manage</w:t>
      </w:r>
      <w:r>
        <w:t>. Doi:10.2134/cftm2015.0189</w:t>
      </w:r>
    </w:p>
    <w:p w14:paraId="7DDB39D7" w14:textId="77777777" w:rsidR="007F4ACA" w:rsidRDefault="007F4ACA" w:rsidP="007F4ACA">
      <w:pPr>
        <w:spacing w:after="120" w:line="480" w:lineRule="auto"/>
        <w:ind w:left="720" w:hanging="720"/>
      </w:pPr>
      <w:r>
        <w:lastRenderedPageBreak/>
        <w:t xml:space="preserve">Obasa, K., J. Fry, and M. Kennelly. 2012. Susceptibility of zoysiagrass germplasm to large patch caused by </w:t>
      </w:r>
      <w:r>
        <w:rPr>
          <w:i/>
        </w:rPr>
        <w:t>Rhizoctonia solani</w:t>
      </w:r>
      <w:r w:rsidR="001C20DB">
        <w:t>. HortSci.</w:t>
      </w:r>
      <w:r>
        <w:t xml:space="preserve"> 47:1252-1256. </w:t>
      </w:r>
    </w:p>
    <w:p w14:paraId="5E46DB40" w14:textId="77777777" w:rsidR="007F4ACA" w:rsidRDefault="001C20DB" w:rsidP="007F4ACA">
      <w:pPr>
        <w:spacing w:after="120" w:line="480" w:lineRule="auto"/>
        <w:ind w:left="720" w:hanging="720"/>
      </w:pPr>
      <w:r>
        <w:t>Ogoshi, A. 1975.</w:t>
      </w:r>
      <w:r w:rsidR="007F4ACA">
        <w:t xml:space="preserve"> Grouping of </w:t>
      </w:r>
      <w:r w:rsidR="007F4ACA" w:rsidRPr="008E1E31">
        <w:rPr>
          <w:i/>
        </w:rPr>
        <w:t>Rhizoctonia solani</w:t>
      </w:r>
      <w:r w:rsidR="007F4ACA">
        <w:t xml:space="preserve"> Kühn and their perfect stages. Rev. Plant. Protect. Res. 8, 93-103.</w:t>
      </w:r>
    </w:p>
    <w:p w14:paraId="5F5600B0" w14:textId="456BE094" w:rsidR="007F4ACA" w:rsidRDefault="007F4ACA" w:rsidP="007F4ACA">
      <w:pPr>
        <w:spacing w:after="120" w:line="480" w:lineRule="auto"/>
        <w:ind w:left="720" w:hanging="720"/>
      </w:pPr>
      <w:r>
        <w:t>Ogoshi, A. 1987. Ecology and pathogenicity of anastomosis and intraspecific groups of </w:t>
      </w:r>
      <w:r>
        <w:rPr>
          <w:i/>
          <w:iCs/>
        </w:rPr>
        <w:t>Rhizoctonia solani</w:t>
      </w:r>
      <w:r>
        <w:t> Kühn. Ann. Rev. Phytopathol</w:t>
      </w:r>
      <w:r w:rsidR="008E1E31">
        <w:t>ogy</w:t>
      </w:r>
      <w:r>
        <w:t>. 25:125-143.</w:t>
      </w:r>
    </w:p>
    <w:p w14:paraId="016542FF" w14:textId="1858D0A8" w:rsidR="007F4ACA" w:rsidRDefault="007F4ACA" w:rsidP="007F4ACA">
      <w:pPr>
        <w:spacing w:after="120" w:line="480" w:lineRule="auto"/>
        <w:ind w:left="720" w:hanging="720"/>
      </w:pPr>
      <w:r>
        <w:t>Parme</w:t>
      </w:r>
      <w:r w:rsidR="00592BA0">
        <w:t>ter, J. R. J., R.T. Sherwood, and W.D. Platt. 1969.</w:t>
      </w:r>
      <w:r>
        <w:t xml:space="preserve"> Anastomosis grouping among isolates of </w:t>
      </w:r>
      <w:r w:rsidRPr="00592BA0">
        <w:rPr>
          <w:i/>
        </w:rPr>
        <w:t>Thanate</w:t>
      </w:r>
      <w:r w:rsidR="00592BA0" w:rsidRPr="00592BA0">
        <w:rPr>
          <w:i/>
        </w:rPr>
        <w:t>phorus cucumeris</w:t>
      </w:r>
      <w:r w:rsidR="00592BA0">
        <w:t>. Phytopathol</w:t>
      </w:r>
      <w:r w:rsidR="008E1E31">
        <w:t>ogy</w:t>
      </w:r>
      <w:r w:rsidR="00592BA0">
        <w:t>. 59:</w:t>
      </w:r>
      <w:r>
        <w:t xml:space="preserve"> 1270-1278.</w:t>
      </w:r>
    </w:p>
    <w:p w14:paraId="24C7E90F" w14:textId="77777777" w:rsidR="007F4ACA" w:rsidRDefault="007F4ACA" w:rsidP="007F4ACA">
      <w:pPr>
        <w:spacing w:after="120" w:line="480" w:lineRule="auto"/>
        <w:ind w:left="720" w:hanging="720"/>
      </w:pPr>
      <w:r>
        <w:t xml:space="preserve">Patton, A.J., and Z.J. Reicher. 2007. Zoysiagrass species and genotypes differ in their winter injury and freeze tolerance. Crop Sci. 47:1619-1627. </w:t>
      </w:r>
    </w:p>
    <w:p w14:paraId="2444B5AD" w14:textId="77777777" w:rsidR="007F4ACA" w:rsidRDefault="007F4ACA" w:rsidP="007F4ACA">
      <w:pPr>
        <w:spacing w:after="120" w:line="480" w:lineRule="auto"/>
        <w:ind w:left="720" w:hanging="720"/>
      </w:pPr>
      <w:r>
        <w:t xml:space="preserve">Piper, C.V. and R.A. Oakley. 1917. Golf Illustrated. P. 1-3. </w:t>
      </w:r>
    </w:p>
    <w:p w14:paraId="7AFA68ED" w14:textId="77777777" w:rsidR="007F4ACA" w:rsidRDefault="007F4ACA" w:rsidP="007F4ACA">
      <w:pPr>
        <w:spacing w:after="120" w:line="480" w:lineRule="auto"/>
        <w:ind w:left="720" w:hanging="720"/>
      </w:pPr>
      <w:r>
        <w:t>Smiley, R.W., P.H. Dernoeden, and B.B. Clarke. 2005. Compendium of turfgrass diseases. 3</w:t>
      </w:r>
      <w:r>
        <w:rPr>
          <w:vertAlign w:val="superscript"/>
        </w:rPr>
        <w:t>rd</w:t>
      </w:r>
      <w:r>
        <w:t xml:space="preserve"> ed. American Phytopathological Society, St. Paul, MN. </w:t>
      </w:r>
    </w:p>
    <w:p w14:paraId="739841B2" w14:textId="77777777" w:rsidR="007F4ACA" w:rsidRDefault="007F4ACA" w:rsidP="007F4ACA">
      <w:pPr>
        <w:spacing w:after="120" w:line="480" w:lineRule="auto"/>
        <w:ind w:left="540" w:hanging="540"/>
      </w:pPr>
      <w:r>
        <w:t xml:space="preserve">Spurlock, T.N. 2009. Epidemiology and etiology of zoysiagrass diseases in Northwest Arkansas. M.S. thesis. Univ. of Arkansas, Fayetteville. </w:t>
      </w:r>
    </w:p>
    <w:p w14:paraId="331D39FC" w14:textId="77777777" w:rsidR="007F4ACA" w:rsidRDefault="007F4ACA" w:rsidP="007F4ACA">
      <w:pPr>
        <w:spacing w:after="120" w:line="480" w:lineRule="auto"/>
        <w:ind w:left="540" w:hanging="540"/>
      </w:pPr>
      <w:r>
        <w:t xml:space="preserve">Tisserat, N.A., J. Fry, and D. Green. 1994. Managing </w:t>
      </w:r>
      <w:r>
        <w:rPr>
          <w:i/>
        </w:rPr>
        <w:t xml:space="preserve">Rhizoctonia </w:t>
      </w:r>
      <w:r>
        <w:t xml:space="preserve">large patch. Golf Course Manage. 62:58-61. </w:t>
      </w:r>
    </w:p>
    <w:p w14:paraId="034636D1" w14:textId="77777777" w:rsidR="007F4ACA" w:rsidRDefault="007F4ACA" w:rsidP="007F4ACA">
      <w:pPr>
        <w:spacing w:after="120" w:line="480" w:lineRule="auto"/>
        <w:ind w:left="540" w:hanging="540"/>
      </w:pPr>
      <w:r>
        <w:t>Turgeon, A.J. 2008. Turfgrass management. 8</w:t>
      </w:r>
      <w:r>
        <w:rPr>
          <w:vertAlign w:val="superscript"/>
        </w:rPr>
        <w:t>th</w:t>
      </w:r>
      <w:r>
        <w:t xml:space="preserve"> ed. Prentice Hall, Upper Saddle River, NJ. </w:t>
      </w:r>
    </w:p>
    <w:p w14:paraId="37B1A13B" w14:textId="77777777" w:rsidR="007F4ACA" w:rsidRDefault="007F4ACA" w:rsidP="00551527">
      <w:pPr>
        <w:pStyle w:val="Heading2"/>
        <w:rPr>
          <w:rFonts w:eastAsia="Calibri"/>
        </w:rPr>
      </w:pPr>
    </w:p>
    <w:p w14:paraId="34831BD8" w14:textId="77777777" w:rsidR="007F4ACA" w:rsidRDefault="007F4ACA" w:rsidP="007F4ACA">
      <w:pPr>
        <w:spacing w:after="200" w:line="276" w:lineRule="auto"/>
        <w:jc w:val="center"/>
        <w:rPr>
          <w:rFonts w:eastAsia="Calibri"/>
        </w:rPr>
      </w:pPr>
    </w:p>
    <w:p w14:paraId="1F3C02A6" w14:textId="77777777" w:rsidR="007F4ACA" w:rsidRDefault="007F4ACA" w:rsidP="007F4ACA">
      <w:pPr>
        <w:pStyle w:val="Heading1"/>
        <w:rPr>
          <w:rFonts w:eastAsia="Calibri"/>
          <w:b w:val="0"/>
          <w:bCs w:val="0"/>
          <w:caps w:val="0"/>
          <w:sz w:val="24"/>
        </w:rPr>
      </w:pPr>
      <w:bookmarkStart w:id="38" w:name="_Toc353890881"/>
    </w:p>
    <w:p w14:paraId="704A88DA" w14:textId="77777777" w:rsidR="00DB4B20" w:rsidRDefault="00DB4B20" w:rsidP="00DB4B20"/>
    <w:p w14:paraId="76711232" w14:textId="77777777" w:rsidR="00DB4B20" w:rsidRPr="00DB4B20" w:rsidRDefault="00DB4B20" w:rsidP="00DB4B20"/>
    <w:p w14:paraId="5C3E5B57" w14:textId="77777777" w:rsidR="007F4ACA" w:rsidRDefault="007F4ACA" w:rsidP="007F4ACA">
      <w:pPr>
        <w:pStyle w:val="Heading1"/>
      </w:pPr>
    </w:p>
    <w:p w14:paraId="5F430BEB" w14:textId="77777777" w:rsidR="007F4ACA" w:rsidRDefault="007F4ACA" w:rsidP="007F4ACA">
      <w:pPr>
        <w:pStyle w:val="Heading1"/>
      </w:pPr>
    </w:p>
    <w:p w14:paraId="2A2D251E" w14:textId="77777777" w:rsidR="007F4ACA" w:rsidRDefault="007F4ACA" w:rsidP="007F4ACA">
      <w:pPr>
        <w:pStyle w:val="Heading1"/>
      </w:pPr>
    </w:p>
    <w:p w14:paraId="20F5B536" w14:textId="77777777" w:rsidR="007F4ACA" w:rsidRDefault="007F4ACA" w:rsidP="007F4ACA">
      <w:pPr>
        <w:pStyle w:val="Heading1"/>
      </w:pPr>
    </w:p>
    <w:p w14:paraId="0D358CC5" w14:textId="77777777" w:rsidR="007F4ACA" w:rsidRDefault="007F4ACA" w:rsidP="007F4ACA">
      <w:pPr>
        <w:pStyle w:val="Heading1"/>
      </w:pPr>
    </w:p>
    <w:p w14:paraId="5A66253A" w14:textId="77777777" w:rsidR="007F4ACA" w:rsidRDefault="007F4ACA" w:rsidP="007F4ACA">
      <w:pPr>
        <w:pStyle w:val="Heading1"/>
      </w:pPr>
    </w:p>
    <w:p w14:paraId="04AB01D0" w14:textId="77777777" w:rsidR="00522DF6" w:rsidRDefault="00522DF6" w:rsidP="00257569">
      <w:pPr>
        <w:pStyle w:val="Heading1"/>
      </w:pPr>
      <w:bookmarkStart w:id="39" w:name="_Toc466885888"/>
      <w:bookmarkStart w:id="40" w:name="_Toc466890517"/>
      <w:bookmarkStart w:id="41" w:name="_Toc466891152"/>
      <w:bookmarkStart w:id="42" w:name="_Toc466894832"/>
    </w:p>
    <w:p w14:paraId="2F714ACD" w14:textId="77777777" w:rsidR="00522DF6" w:rsidRDefault="00522DF6" w:rsidP="00257569">
      <w:pPr>
        <w:pStyle w:val="Heading1"/>
      </w:pPr>
    </w:p>
    <w:p w14:paraId="284F63D4" w14:textId="77777777" w:rsidR="00522DF6" w:rsidRDefault="00522DF6" w:rsidP="00257569">
      <w:pPr>
        <w:pStyle w:val="Heading1"/>
      </w:pPr>
    </w:p>
    <w:p w14:paraId="08B58F31" w14:textId="77777777" w:rsidR="00522DF6" w:rsidRDefault="00522DF6" w:rsidP="00257569">
      <w:pPr>
        <w:pStyle w:val="Heading1"/>
      </w:pPr>
    </w:p>
    <w:p w14:paraId="3842EFBE" w14:textId="77777777" w:rsidR="00522DF6" w:rsidRDefault="00522DF6" w:rsidP="00257569">
      <w:pPr>
        <w:pStyle w:val="Heading1"/>
      </w:pPr>
    </w:p>
    <w:p w14:paraId="7F10E89C" w14:textId="5EE4CF3B" w:rsidR="007F4ACA" w:rsidRPr="00257569" w:rsidRDefault="007F4ACA" w:rsidP="00257569">
      <w:pPr>
        <w:pStyle w:val="Heading1"/>
        <w:rPr>
          <w:rFonts w:eastAsia="?????? Pro W3"/>
        </w:rPr>
      </w:pPr>
      <w:r w:rsidRPr="00257569">
        <w:t>CHAPTER II</w:t>
      </w:r>
      <w:bookmarkEnd w:id="38"/>
      <w:r w:rsidR="00257569" w:rsidRPr="00257569">
        <w:br/>
      </w:r>
      <w:r w:rsidR="00257569" w:rsidRPr="00257569">
        <w:br/>
      </w:r>
      <w:r w:rsidR="00257569" w:rsidRPr="00257569">
        <w:rPr>
          <w:rFonts w:eastAsia="?????? Pro W3"/>
        </w:rPr>
        <w:t>large patch (Rhizoctonia solani) development on japanese lawngrass (zoysia japonica) affected by fungicide mode of action and target site of application</w:t>
      </w:r>
      <w:bookmarkEnd w:id="39"/>
      <w:bookmarkEnd w:id="40"/>
      <w:bookmarkEnd w:id="41"/>
      <w:bookmarkEnd w:id="42"/>
    </w:p>
    <w:p w14:paraId="46B8A162" w14:textId="77777777" w:rsidR="007F4ACA" w:rsidRDefault="007F4ACA" w:rsidP="007F4ACA">
      <w:pPr>
        <w:spacing w:after="200" w:line="480" w:lineRule="auto"/>
        <w:jc w:val="center"/>
        <w:rPr>
          <w:b/>
        </w:rPr>
      </w:pPr>
    </w:p>
    <w:p w14:paraId="3413F80E" w14:textId="77777777" w:rsidR="007F4ACA" w:rsidRDefault="007F4ACA" w:rsidP="007F4ACA">
      <w:pPr>
        <w:spacing w:after="200" w:line="480" w:lineRule="auto"/>
        <w:jc w:val="center"/>
        <w:rPr>
          <w:b/>
        </w:rPr>
      </w:pPr>
    </w:p>
    <w:p w14:paraId="7D20078D" w14:textId="77777777" w:rsidR="007F4ACA" w:rsidRDefault="007F4ACA" w:rsidP="007F4ACA">
      <w:pPr>
        <w:spacing w:after="200" w:line="480" w:lineRule="auto"/>
        <w:jc w:val="center"/>
        <w:rPr>
          <w:b/>
        </w:rPr>
      </w:pPr>
    </w:p>
    <w:p w14:paraId="50CE9D97" w14:textId="77777777" w:rsidR="007F4ACA" w:rsidRDefault="007F4ACA" w:rsidP="007F4ACA">
      <w:pPr>
        <w:spacing w:after="200" w:line="480" w:lineRule="auto"/>
        <w:jc w:val="center"/>
        <w:rPr>
          <w:b/>
        </w:rPr>
      </w:pPr>
    </w:p>
    <w:p w14:paraId="21807CF4" w14:textId="77777777" w:rsidR="007F4ACA" w:rsidRDefault="007F4ACA" w:rsidP="007F4ACA">
      <w:pPr>
        <w:spacing w:after="200" w:line="480" w:lineRule="auto"/>
        <w:jc w:val="center"/>
        <w:rPr>
          <w:b/>
        </w:rPr>
      </w:pPr>
    </w:p>
    <w:p w14:paraId="594660F9" w14:textId="77777777" w:rsidR="007F4ACA" w:rsidRDefault="007F4ACA" w:rsidP="007F4ACA">
      <w:pPr>
        <w:autoSpaceDE w:val="0"/>
        <w:autoSpaceDN w:val="0"/>
        <w:adjustRightInd w:val="0"/>
        <w:spacing w:line="480" w:lineRule="auto"/>
        <w:jc w:val="center"/>
      </w:pPr>
    </w:p>
    <w:p w14:paraId="7C032378" w14:textId="77777777" w:rsidR="007F4ACA" w:rsidRDefault="007F4ACA" w:rsidP="007F4ACA">
      <w:pPr>
        <w:autoSpaceDE w:val="0"/>
        <w:autoSpaceDN w:val="0"/>
        <w:adjustRightInd w:val="0"/>
        <w:spacing w:line="480" w:lineRule="auto"/>
        <w:jc w:val="center"/>
      </w:pPr>
    </w:p>
    <w:p w14:paraId="1F74ABD4" w14:textId="77777777" w:rsidR="007F4ACA" w:rsidRDefault="007F4ACA" w:rsidP="007F4ACA">
      <w:pPr>
        <w:autoSpaceDE w:val="0"/>
        <w:autoSpaceDN w:val="0"/>
        <w:adjustRightInd w:val="0"/>
        <w:spacing w:line="480" w:lineRule="auto"/>
        <w:jc w:val="center"/>
      </w:pPr>
    </w:p>
    <w:p w14:paraId="59F0B9F5" w14:textId="77777777" w:rsidR="007F4ACA" w:rsidRDefault="007F4ACA" w:rsidP="007F4ACA">
      <w:pPr>
        <w:autoSpaceDE w:val="0"/>
        <w:autoSpaceDN w:val="0"/>
        <w:adjustRightInd w:val="0"/>
        <w:spacing w:line="480" w:lineRule="auto"/>
        <w:jc w:val="center"/>
      </w:pPr>
      <w:r>
        <w:lastRenderedPageBreak/>
        <w:t>The intent of this manuscript is to publish articles in the peer-reviewed literature. This work is based on contributions by Jesse Benelli, Brandon Horvath, Bonnie Ownley, Alan Windham, and Alvin Womac.</w:t>
      </w:r>
    </w:p>
    <w:p w14:paraId="031AD2F6" w14:textId="77777777" w:rsidR="007F4ACA" w:rsidRDefault="007F4ACA" w:rsidP="007F4ACA">
      <w:pPr>
        <w:autoSpaceDE w:val="0"/>
        <w:autoSpaceDN w:val="0"/>
        <w:adjustRightInd w:val="0"/>
        <w:spacing w:line="480" w:lineRule="auto"/>
        <w:jc w:val="center"/>
      </w:pPr>
    </w:p>
    <w:p w14:paraId="371BCA82" w14:textId="77777777" w:rsidR="007F4ACA" w:rsidRDefault="007F4ACA" w:rsidP="007F4ACA">
      <w:pPr>
        <w:autoSpaceDE w:val="0"/>
        <w:autoSpaceDN w:val="0"/>
        <w:adjustRightInd w:val="0"/>
        <w:spacing w:line="480" w:lineRule="auto"/>
        <w:jc w:val="center"/>
      </w:pPr>
      <w:r>
        <w:t>My primary contributions to this paper include (i) designing and conducting the experiments, (ii) analyzing and interpreting data, (iii) reading literature, and (iv) writing the manuscript.</w:t>
      </w:r>
    </w:p>
    <w:p w14:paraId="4034BE56" w14:textId="77777777" w:rsidR="007F4ACA" w:rsidRDefault="007F4ACA" w:rsidP="007F4ACA">
      <w:pPr>
        <w:autoSpaceDE w:val="0"/>
        <w:autoSpaceDN w:val="0"/>
        <w:adjustRightInd w:val="0"/>
        <w:spacing w:line="480" w:lineRule="auto"/>
        <w:jc w:val="center"/>
      </w:pPr>
    </w:p>
    <w:p w14:paraId="612F6DE9" w14:textId="156D358C" w:rsidR="007F4ACA" w:rsidRDefault="007F4ACA" w:rsidP="00DB4B20">
      <w:pPr>
        <w:pStyle w:val="Heading2"/>
        <w:spacing w:line="480" w:lineRule="auto"/>
      </w:pPr>
      <w:bookmarkStart w:id="43" w:name="_Toc353890886"/>
      <w:bookmarkStart w:id="44" w:name="_Toc466885889"/>
      <w:bookmarkStart w:id="45" w:name="_Toc466890518"/>
      <w:bookmarkStart w:id="46" w:name="_Toc466891153"/>
      <w:bookmarkStart w:id="47" w:name="_Toc466894833"/>
      <w:r w:rsidRPr="00551527">
        <w:t>ABSTRACT</w:t>
      </w:r>
      <w:bookmarkEnd w:id="43"/>
      <w:bookmarkEnd w:id="44"/>
      <w:bookmarkEnd w:id="45"/>
      <w:bookmarkEnd w:id="46"/>
      <w:bookmarkEnd w:id="47"/>
    </w:p>
    <w:p w14:paraId="73987708" w14:textId="481D3200" w:rsidR="007F4ACA" w:rsidRDefault="007F4ACA" w:rsidP="00DB4B20">
      <w:pPr>
        <w:spacing w:line="480" w:lineRule="auto"/>
        <w:rPr>
          <w:color w:val="000000"/>
        </w:rPr>
      </w:pPr>
      <w:r>
        <w:rPr>
          <w:color w:val="000000"/>
        </w:rPr>
        <w:t>Large patch (</w:t>
      </w:r>
      <w:r>
        <w:rPr>
          <w:i/>
          <w:color w:val="000000"/>
        </w:rPr>
        <w:t>Rhizoctonia solani</w:t>
      </w:r>
      <w:r>
        <w:rPr>
          <w:color w:val="000000"/>
        </w:rPr>
        <w:t xml:space="preserve"> AG 2-2LP) affects the sheaths and ste</w:t>
      </w:r>
      <w:r w:rsidR="00004C05">
        <w:rPr>
          <w:color w:val="000000"/>
        </w:rPr>
        <w:t xml:space="preserve">ms of Japanese lawngrass (JLG; </w:t>
      </w:r>
      <w:r>
        <w:rPr>
          <w:i/>
          <w:color w:val="000000"/>
        </w:rPr>
        <w:t>Zoysia japonica</w:t>
      </w:r>
      <w:r>
        <w:rPr>
          <w:color w:val="000000"/>
        </w:rPr>
        <w:t xml:space="preserve">) in the transition zone. Large patch is difficult to control using traditional fungicide sprays because much of the applied fungicide solution remains on the leaf and away from the site of pathogen infection. Our objective was to determine the amount of protection provided by fungicides deposited on the leaf, sheath, or stem of JLG. Repeated </w:t>
      </w:r>
      <w:r w:rsidR="00004C05">
        <w:rPr>
          <w:color w:val="000000"/>
        </w:rPr>
        <w:t>growth chamber</w:t>
      </w:r>
      <w:r>
        <w:rPr>
          <w:color w:val="000000"/>
        </w:rPr>
        <w:t xml:space="preserve"> experiments were conducted in 2015 in Knoxville, TN, to evaluate large patch control using fungicides deposited on three target sites of JLG (leaf, sheath, and stem). Azoxystrobin, flutolanil, tebuconazole, and chlorothalonil were applied using a pipette as 2.5</w:t>
      </w:r>
      <w:r w:rsidR="008E1E31">
        <w:rPr>
          <w:color w:val="000000"/>
        </w:rPr>
        <w:t xml:space="preserve"> </w:t>
      </w:r>
      <w:r>
        <w:rPr>
          <w:color w:val="000000"/>
        </w:rPr>
        <w:t xml:space="preserve">µl droplets that were dispensed singly on the leaf, sheath, or stem. Plants were inoculated with </w:t>
      </w:r>
      <w:r>
        <w:rPr>
          <w:i/>
          <w:color w:val="000000"/>
        </w:rPr>
        <w:t>R. solani</w:t>
      </w:r>
      <w:r>
        <w:rPr>
          <w:color w:val="000000"/>
        </w:rPr>
        <w:t xml:space="preserve"> and kept in a growth chamber under high humidity. Measurements of visual disease severity and photochemical efficiency (</w:t>
      </w:r>
      <w:r>
        <w:rPr>
          <w:i/>
          <w:color w:val="000000"/>
        </w:rPr>
        <w:t>F</w:t>
      </w:r>
      <w:r>
        <w:rPr>
          <w:i/>
          <w:color w:val="000000"/>
          <w:vertAlign w:val="subscript"/>
        </w:rPr>
        <w:t>v</w:t>
      </w:r>
      <w:r>
        <w:rPr>
          <w:i/>
          <w:color w:val="000000"/>
        </w:rPr>
        <w:t>/F</w:t>
      </w:r>
      <w:r>
        <w:rPr>
          <w:i/>
          <w:color w:val="000000"/>
          <w:vertAlign w:val="subscript"/>
        </w:rPr>
        <w:t>m</w:t>
      </w:r>
      <w:r w:rsidR="00624B29">
        <w:rPr>
          <w:color w:val="000000"/>
        </w:rPr>
        <w:t>) were collected every seven</w:t>
      </w:r>
      <w:r>
        <w:rPr>
          <w:color w:val="000000"/>
        </w:rPr>
        <w:t xml:space="preserve"> days.  In both experimental runs, JLG treated with fungicides applied on the sheath or stem exhibited significantly lower large patch severity and higher </w:t>
      </w:r>
      <w:r>
        <w:rPr>
          <w:i/>
          <w:color w:val="000000"/>
        </w:rPr>
        <w:t>F</w:t>
      </w:r>
      <w:r>
        <w:rPr>
          <w:i/>
          <w:color w:val="000000"/>
          <w:vertAlign w:val="subscript"/>
        </w:rPr>
        <w:t>v</w:t>
      </w:r>
      <w:r>
        <w:rPr>
          <w:i/>
          <w:color w:val="000000"/>
        </w:rPr>
        <w:t>/F</w:t>
      </w:r>
      <w:r>
        <w:rPr>
          <w:i/>
          <w:color w:val="000000"/>
          <w:vertAlign w:val="subscript"/>
        </w:rPr>
        <w:t>m</w:t>
      </w:r>
      <w:r>
        <w:rPr>
          <w:color w:val="000000"/>
        </w:rPr>
        <w:t xml:space="preserve"> values compared to JLG receiving leaf applications on most rating dates. Azoxystrobin, flutolanil, and tebuconazole applied on the leaf resulted in a range of </w:t>
      </w:r>
      <w:r>
        <w:rPr>
          <w:color w:val="000000"/>
        </w:rPr>
        <w:lastRenderedPageBreak/>
        <w:t xml:space="preserve">35-75% large patch severity between the two experimental runs. When these fungicides were applied on the stem and sheath, large patch severity ranged from 2-30%. Chlorothalonil, a contact fungicide, was least affected by the target site of application on most rating dates. </w:t>
      </w:r>
      <w:r w:rsidR="005A38BC">
        <w:rPr>
          <w:color w:val="000000"/>
        </w:rPr>
        <w:t>This experiment demonstrated that the target site of fu</w:t>
      </w:r>
      <w:r w:rsidR="00624B29">
        <w:rPr>
          <w:color w:val="000000"/>
        </w:rPr>
        <w:t>ngicide application was</w:t>
      </w:r>
      <w:r w:rsidR="005A38BC">
        <w:rPr>
          <w:color w:val="000000"/>
        </w:rPr>
        <w:t xml:space="preserve"> critical in managing large patch. </w:t>
      </w:r>
      <w:r>
        <w:rPr>
          <w:color w:val="000000"/>
        </w:rPr>
        <w:t xml:space="preserve">Developing novel spray strategies that result in greater penetration of the fungicide solution being deposited </w:t>
      </w:r>
      <w:r w:rsidR="005A38BC">
        <w:rPr>
          <w:color w:val="000000"/>
        </w:rPr>
        <w:t>closer to the site of infection</w:t>
      </w:r>
      <w:r>
        <w:rPr>
          <w:color w:val="000000"/>
        </w:rPr>
        <w:t xml:space="preserve"> is warranted. </w:t>
      </w:r>
    </w:p>
    <w:p w14:paraId="3B1B639F" w14:textId="77777777" w:rsidR="007F4ACA" w:rsidRDefault="007F4ACA" w:rsidP="007F4ACA">
      <w:pPr>
        <w:tabs>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192"/>
          <w:tab w:val="left" w:pos="6336"/>
          <w:tab w:val="left" w:pos="6480"/>
          <w:tab w:val="left" w:pos="6624"/>
          <w:tab w:val="left" w:pos="6768"/>
          <w:tab w:val="left" w:pos="6912"/>
          <w:tab w:val="left" w:pos="7056"/>
          <w:tab w:val="left" w:pos="7200"/>
          <w:tab w:val="left" w:pos="7344"/>
          <w:tab w:val="left" w:pos="7488"/>
          <w:tab w:val="left" w:pos="7632"/>
          <w:tab w:val="left" w:pos="7776"/>
          <w:tab w:val="left" w:pos="7920"/>
          <w:tab w:val="left" w:pos="8064"/>
          <w:tab w:val="left" w:pos="8208"/>
          <w:tab w:val="left" w:pos="8352"/>
          <w:tab w:val="left" w:pos="8496"/>
          <w:tab w:val="left" w:pos="8640"/>
          <w:tab w:val="left" w:pos="8784"/>
        </w:tabs>
        <w:spacing w:after="200" w:line="480" w:lineRule="auto"/>
        <w:rPr>
          <w:color w:val="000000"/>
        </w:rPr>
      </w:pPr>
    </w:p>
    <w:p w14:paraId="24C98C07" w14:textId="77777777" w:rsidR="007F4ACA" w:rsidRDefault="007F4ACA" w:rsidP="007F4ACA">
      <w:pPr>
        <w:tabs>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192"/>
          <w:tab w:val="left" w:pos="6336"/>
          <w:tab w:val="left" w:pos="6480"/>
          <w:tab w:val="left" w:pos="6624"/>
          <w:tab w:val="left" w:pos="6768"/>
          <w:tab w:val="left" w:pos="6912"/>
          <w:tab w:val="left" w:pos="7056"/>
          <w:tab w:val="left" w:pos="7200"/>
          <w:tab w:val="left" w:pos="7344"/>
          <w:tab w:val="left" w:pos="7488"/>
          <w:tab w:val="left" w:pos="7632"/>
          <w:tab w:val="left" w:pos="7776"/>
          <w:tab w:val="left" w:pos="7920"/>
          <w:tab w:val="left" w:pos="8064"/>
          <w:tab w:val="left" w:pos="8208"/>
          <w:tab w:val="left" w:pos="8352"/>
          <w:tab w:val="left" w:pos="8496"/>
          <w:tab w:val="left" w:pos="8640"/>
          <w:tab w:val="left" w:pos="8784"/>
        </w:tabs>
        <w:spacing w:after="200" w:line="480" w:lineRule="auto"/>
        <w:rPr>
          <w:color w:val="000000"/>
        </w:rPr>
      </w:pPr>
    </w:p>
    <w:p w14:paraId="630DA409" w14:textId="77777777" w:rsidR="007F4ACA" w:rsidRDefault="007F4ACA" w:rsidP="007F4ACA">
      <w:pPr>
        <w:tabs>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192"/>
          <w:tab w:val="left" w:pos="6336"/>
          <w:tab w:val="left" w:pos="6480"/>
          <w:tab w:val="left" w:pos="6624"/>
          <w:tab w:val="left" w:pos="6768"/>
          <w:tab w:val="left" w:pos="6912"/>
          <w:tab w:val="left" w:pos="7056"/>
          <w:tab w:val="left" w:pos="7200"/>
          <w:tab w:val="left" w:pos="7344"/>
          <w:tab w:val="left" w:pos="7488"/>
          <w:tab w:val="left" w:pos="7632"/>
          <w:tab w:val="left" w:pos="7776"/>
          <w:tab w:val="left" w:pos="7920"/>
          <w:tab w:val="left" w:pos="8064"/>
          <w:tab w:val="left" w:pos="8208"/>
          <w:tab w:val="left" w:pos="8352"/>
          <w:tab w:val="left" w:pos="8496"/>
          <w:tab w:val="left" w:pos="8640"/>
          <w:tab w:val="left" w:pos="8784"/>
        </w:tabs>
        <w:spacing w:after="200" w:line="480" w:lineRule="auto"/>
        <w:rPr>
          <w:color w:val="000000"/>
        </w:rPr>
      </w:pPr>
    </w:p>
    <w:p w14:paraId="1D5ACFA7" w14:textId="77777777" w:rsidR="007F4ACA" w:rsidRDefault="007F4ACA" w:rsidP="007F4ACA">
      <w:pPr>
        <w:tabs>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192"/>
          <w:tab w:val="left" w:pos="6336"/>
          <w:tab w:val="left" w:pos="6480"/>
          <w:tab w:val="left" w:pos="6624"/>
          <w:tab w:val="left" w:pos="6768"/>
          <w:tab w:val="left" w:pos="6912"/>
          <w:tab w:val="left" w:pos="7056"/>
          <w:tab w:val="left" w:pos="7200"/>
          <w:tab w:val="left" w:pos="7344"/>
          <w:tab w:val="left" w:pos="7488"/>
          <w:tab w:val="left" w:pos="7632"/>
          <w:tab w:val="left" w:pos="7776"/>
          <w:tab w:val="left" w:pos="7920"/>
          <w:tab w:val="left" w:pos="8064"/>
          <w:tab w:val="left" w:pos="8208"/>
          <w:tab w:val="left" w:pos="8352"/>
          <w:tab w:val="left" w:pos="8496"/>
          <w:tab w:val="left" w:pos="8640"/>
          <w:tab w:val="left" w:pos="8784"/>
        </w:tabs>
        <w:spacing w:after="200" w:line="480" w:lineRule="auto"/>
        <w:rPr>
          <w:color w:val="000000"/>
        </w:rPr>
      </w:pPr>
    </w:p>
    <w:p w14:paraId="3FDD001A" w14:textId="77777777" w:rsidR="007F4ACA" w:rsidRDefault="007F4ACA" w:rsidP="007F4ACA">
      <w:pPr>
        <w:tabs>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192"/>
          <w:tab w:val="left" w:pos="6336"/>
          <w:tab w:val="left" w:pos="6480"/>
          <w:tab w:val="left" w:pos="6624"/>
          <w:tab w:val="left" w:pos="6768"/>
          <w:tab w:val="left" w:pos="6912"/>
          <w:tab w:val="left" w:pos="7056"/>
          <w:tab w:val="left" w:pos="7200"/>
          <w:tab w:val="left" w:pos="7344"/>
          <w:tab w:val="left" w:pos="7488"/>
          <w:tab w:val="left" w:pos="7632"/>
          <w:tab w:val="left" w:pos="7776"/>
          <w:tab w:val="left" w:pos="7920"/>
          <w:tab w:val="left" w:pos="8064"/>
          <w:tab w:val="left" w:pos="8208"/>
          <w:tab w:val="left" w:pos="8352"/>
          <w:tab w:val="left" w:pos="8496"/>
          <w:tab w:val="left" w:pos="8640"/>
          <w:tab w:val="left" w:pos="8784"/>
        </w:tabs>
        <w:spacing w:after="200" w:line="480" w:lineRule="auto"/>
        <w:rPr>
          <w:color w:val="000000"/>
        </w:rPr>
      </w:pPr>
    </w:p>
    <w:p w14:paraId="1C59B565" w14:textId="77777777" w:rsidR="007F4ACA" w:rsidRDefault="007F4ACA" w:rsidP="007F4ACA">
      <w:pPr>
        <w:tabs>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192"/>
          <w:tab w:val="left" w:pos="6336"/>
          <w:tab w:val="left" w:pos="6480"/>
          <w:tab w:val="left" w:pos="6624"/>
          <w:tab w:val="left" w:pos="6768"/>
          <w:tab w:val="left" w:pos="6912"/>
          <w:tab w:val="left" w:pos="7056"/>
          <w:tab w:val="left" w:pos="7200"/>
          <w:tab w:val="left" w:pos="7344"/>
          <w:tab w:val="left" w:pos="7488"/>
          <w:tab w:val="left" w:pos="7632"/>
          <w:tab w:val="left" w:pos="7776"/>
          <w:tab w:val="left" w:pos="7920"/>
          <w:tab w:val="left" w:pos="8064"/>
          <w:tab w:val="left" w:pos="8208"/>
          <w:tab w:val="left" w:pos="8352"/>
          <w:tab w:val="left" w:pos="8496"/>
          <w:tab w:val="left" w:pos="8640"/>
          <w:tab w:val="left" w:pos="8784"/>
        </w:tabs>
        <w:spacing w:after="200" w:line="480" w:lineRule="auto"/>
        <w:rPr>
          <w:color w:val="000000"/>
        </w:rPr>
      </w:pPr>
    </w:p>
    <w:p w14:paraId="3890B643" w14:textId="77777777" w:rsidR="007F4ACA" w:rsidRDefault="007F4ACA" w:rsidP="007F4ACA">
      <w:pPr>
        <w:tabs>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192"/>
          <w:tab w:val="left" w:pos="6336"/>
          <w:tab w:val="left" w:pos="6480"/>
          <w:tab w:val="left" w:pos="6624"/>
          <w:tab w:val="left" w:pos="6768"/>
          <w:tab w:val="left" w:pos="6912"/>
          <w:tab w:val="left" w:pos="7056"/>
          <w:tab w:val="left" w:pos="7200"/>
          <w:tab w:val="left" w:pos="7344"/>
          <w:tab w:val="left" w:pos="7488"/>
          <w:tab w:val="left" w:pos="7632"/>
          <w:tab w:val="left" w:pos="7776"/>
          <w:tab w:val="left" w:pos="7920"/>
          <w:tab w:val="left" w:pos="8064"/>
          <w:tab w:val="left" w:pos="8208"/>
          <w:tab w:val="left" w:pos="8352"/>
          <w:tab w:val="left" w:pos="8496"/>
          <w:tab w:val="left" w:pos="8640"/>
          <w:tab w:val="left" w:pos="8784"/>
        </w:tabs>
        <w:spacing w:after="200" w:line="480" w:lineRule="auto"/>
        <w:rPr>
          <w:color w:val="000000"/>
        </w:rPr>
      </w:pPr>
    </w:p>
    <w:p w14:paraId="22AD08A0" w14:textId="77777777" w:rsidR="007F4ACA" w:rsidRDefault="007F4ACA" w:rsidP="007F4ACA">
      <w:pPr>
        <w:tabs>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192"/>
          <w:tab w:val="left" w:pos="6336"/>
          <w:tab w:val="left" w:pos="6480"/>
          <w:tab w:val="left" w:pos="6624"/>
          <w:tab w:val="left" w:pos="6768"/>
          <w:tab w:val="left" w:pos="6912"/>
          <w:tab w:val="left" w:pos="7056"/>
          <w:tab w:val="left" w:pos="7200"/>
          <w:tab w:val="left" w:pos="7344"/>
          <w:tab w:val="left" w:pos="7488"/>
          <w:tab w:val="left" w:pos="7632"/>
          <w:tab w:val="left" w:pos="7776"/>
          <w:tab w:val="left" w:pos="7920"/>
          <w:tab w:val="left" w:pos="8064"/>
          <w:tab w:val="left" w:pos="8208"/>
          <w:tab w:val="left" w:pos="8352"/>
          <w:tab w:val="left" w:pos="8496"/>
          <w:tab w:val="left" w:pos="8640"/>
          <w:tab w:val="left" w:pos="8784"/>
        </w:tabs>
        <w:spacing w:after="200" w:line="480" w:lineRule="auto"/>
        <w:rPr>
          <w:color w:val="000000"/>
        </w:rPr>
      </w:pPr>
    </w:p>
    <w:p w14:paraId="6330A542" w14:textId="77777777" w:rsidR="007F4ACA" w:rsidRDefault="007F4ACA" w:rsidP="007F4ACA">
      <w:pPr>
        <w:tabs>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192"/>
          <w:tab w:val="left" w:pos="6336"/>
          <w:tab w:val="left" w:pos="6480"/>
          <w:tab w:val="left" w:pos="6624"/>
          <w:tab w:val="left" w:pos="6768"/>
          <w:tab w:val="left" w:pos="6912"/>
          <w:tab w:val="left" w:pos="7056"/>
          <w:tab w:val="left" w:pos="7200"/>
          <w:tab w:val="left" w:pos="7344"/>
          <w:tab w:val="left" w:pos="7488"/>
          <w:tab w:val="left" w:pos="7632"/>
          <w:tab w:val="left" w:pos="7776"/>
          <w:tab w:val="left" w:pos="7920"/>
          <w:tab w:val="left" w:pos="8064"/>
          <w:tab w:val="left" w:pos="8208"/>
          <w:tab w:val="left" w:pos="8352"/>
          <w:tab w:val="left" w:pos="8496"/>
          <w:tab w:val="left" w:pos="8640"/>
          <w:tab w:val="left" w:pos="8784"/>
        </w:tabs>
        <w:spacing w:after="200" w:line="480" w:lineRule="auto"/>
        <w:rPr>
          <w:color w:val="000000"/>
        </w:rPr>
      </w:pPr>
    </w:p>
    <w:p w14:paraId="653E93C1" w14:textId="77777777" w:rsidR="00DB4B20" w:rsidRDefault="00DB4B20" w:rsidP="00DB4B20">
      <w:pPr>
        <w:pStyle w:val="Heading2"/>
        <w:spacing w:before="0" w:line="480" w:lineRule="auto"/>
        <w:jc w:val="left"/>
      </w:pPr>
      <w:bookmarkStart w:id="48" w:name="_Toc466885890"/>
      <w:bookmarkStart w:id="49" w:name="_Toc466890519"/>
      <w:bookmarkStart w:id="50" w:name="_Toc466891154"/>
      <w:bookmarkStart w:id="51" w:name="_Toc466894834"/>
    </w:p>
    <w:p w14:paraId="2CB74E86" w14:textId="77777777" w:rsidR="00DB4B20" w:rsidRPr="00DB4B20" w:rsidRDefault="00DB4B20" w:rsidP="00DB4B20"/>
    <w:p w14:paraId="7AF4148D" w14:textId="28B66063" w:rsidR="00522DF6" w:rsidRPr="00522DF6" w:rsidRDefault="007F4ACA" w:rsidP="00DB4B20">
      <w:pPr>
        <w:pStyle w:val="Heading2"/>
        <w:spacing w:before="0" w:line="480" w:lineRule="auto"/>
      </w:pPr>
      <w:r>
        <w:lastRenderedPageBreak/>
        <w:t>Introduction</w:t>
      </w:r>
      <w:bookmarkEnd w:id="48"/>
      <w:bookmarkEnd w:id="49"/>
      <w:bookmarkEnd w:id="50"/>
      <w:bookmarkEnd w:id="51"/>
    </w:p>
    <w:p w14:paraId="723BF1FC" w14:textId="6973DC25" w:rsidR="007F4ACA" w:rsidRDefault="007F4ACA" w:rsidP="00DB4B20">
      <w:pPr>
        <w:spacing w:line="480" w:lineRule="auto"/>
        <w:ind w:firstLine="720"/>
      </w:pPr>
      <w:r>
        <w:t xml:space="preserve">Japanese lawngrass (JLG; </w:t>
      </w:r>
      <w:r>
        <w:rPr>
          <w:i/>
        </w:rPr>
        <w:t>Zoysia japonica</w:t>
      </w:r>
      <w:r>
        <w:t xml:space="preserve"> Steud.) is typically established vegetatively as a perennial warm-season turf grown in temperate regions of the world such as the transition zone </w:t>
      </w:r>
      <w:r w:rsidR="008E1E31">
        <w:t xml:space="preserve">in the United States </w:t>
      </w:r>
      <w:r>
        <w:t xml:space="preserve">(Turgeon, 2008). In the transition zone, </w:t>
      </w:r>
      <w:r w:rsidR="00624B29">
        <w:t xml:space="preserve">where both hot and freezing temperatures are endured in the summer and winter, respectively, </w:t>
      </w:r>
      <w:r>
        <w:t xml:space="preserve">JLG is primarily maintained as residential landscapes and recreational playing surfaces such as golf course fairways and roughs. Native to the Pacific Rim countries, JLG is best adapted to regions with warm summers and mild winters. The advantages of establishing JLG in the transition zone is its adaptation to variable soil conditions and pHs, tolerance to a wide range of mowing heights, and low fertilization requirements (Beard, 1973; Duncan and Shuman, 1993). Japanese lawngrass also exhibits greater cold hardiness compared to hybrid bermudagrass and </w:t>
      </w:r>
      <w:r w:rsidR="005A38BC">
        <w:t xml:space="preserve">is less susceptible </w:t>
      </w:r>
      <w:r>
        <w:t xml:space="preserve">to disease in the summer months compared to cool-season turfgrasses (Bucher and Wilkinson, 2007; Tisserat et al., 1994). However, during cool-wet weather, JLG can be significantly damaged by several diseases that affect the persistence and quality of the turf. </w:t>
      </w:r>
    </w:p>
    <w:p w14:paraId="00BF3B8C" w14:textId="208A3844" w:rsidR="007F4ACA" w:rsidRDefault="007F4ACA" w:rsidP="007F4ACA">
      <w:pPr>
        <w:spacing w:line="480" w:lineRule="auto"/>
        <w:ind w:firstLine="720"/>
      </w:pPr>
      <w:r>
        <w:t xml:space="preserve">Large patch, </w:t>
      </w:r>
      <w:r>
        <w:rPr>
          <w:i/>
        </w:rPr>
        <w:t>Rhizoctonia solani</w:t>
      </w:r>
      <w:r>
        <w:t xml:space="preserve"> Kühn AG-2-2LP, is the most severe disease of JLG in the transition zone </w:t>
      </w:r>
      <w:r w:rsidR="008E1E31">
        <w:t xml:space="preserve">of the United States </w:t>
      </w:r>
      <w:r>
        <w:t>and other humid-temperate regions of the world (Green et al., 1993; Hyakumachi et al., 1998). Large patch development is favored by cool-to-mild air temperatures (20-25</w:t>
      </w:r>
      <w:r>
        <w:sym w:font="Symbol" w:char="F0B0"/>
      </w:r>
      <w:r>
        <w:t>C) and high relative humidity (</w:t>
      </w:r>
      <w:r w:rsidR="00624B29">
        <w:t xml:space="preserve">&gt;90%; </w:t>
      </w:r>
      <w:r>
        <w:t>Green et al., 1993). Typically, large patch epidemics occur when the growth of JLG is slow during the fall and spring months as the turf enters and exits winter dormancy. Symptoms of large patch include the presence of a black</w:t>
      </w:r>
      <w:r w:rsidR="008E1E31">
        <w:t>,</w:t>
      </w:r>
      <w:r>
        <w:t xml:space="preserve"> water-soaked lesion</w:t>
      </w:r>
      <w:r w:rsidR="008E1E31">
        <w:t>s</w:t>
      </w:r>
      <w:r>
        <w:t xml:space="preserve"> located on the stem or sheath. The foliage exhibits an orange discoloration that is evident at the margin of expanding patches. Damage from large patch often persists until </w:t>
      </w:r>
      <w:r>
        <w:lastRenderedPageBreak/>
        <w:t xml:space="preserve">the onset of warmer temperatures that are more favorable for JLG growth. Control of this disease is warranted because, once established, large patch often returns in the same location each year and </w:t>
      </w:r>
      <w:r w:rsidR="008E1E31">
        <w:t>becomes</w:t>
      </w:r>
      <w:r>
        <w:t xml:space="preserve"> progressively more severe (Spurlock, 1999).  </w:t>
      </w:r>
    </w:p>
    <w:p w14:paraId="435C2C05" w14:textId="7CFE0BAC" w:rsidR="007F4ACA" w:rsidRDefault="007F4ACA" w:rsidP="007F4ACA">
      <w:pPr>
        <w:spacing w:line="480" w:lineRule="auto"/>
        <w:ind w:firstLine="720"/>
      </w:pPr>
      <w:r>
        <w:t xml:space="preserve">Few cultural management strategies have been identified as a reliable means to control large patch. Green et al. (1994) observed that large patch severity was reduced </w:t>
      </w:r>
      <w:r w:rsidR="008E1E31">
        <w:t>by</w:t>
      </w:r>
      <w:r>
        <w:t xml:space="preserve"> raising the m</w:t>
      </w:r>
      <w:r w:rsidR="00624B29">
        <w:t>owing height from 1.2 to 4.5</w:t>
      </w:r>
      <w:r>
        <w:t xml:space="preserve"> cm. However, raising the mowing height by this margin may not be feasible on a golf course fairway</w:t>
      </w:r>
      <w:r w:rsidR="00624B29">
        <w:t xml:space="preserve"> due to golfer expectations</w:t>
      </w:r>
      <w:r>
        <w:t>. In the same study, the authors found that various nitrogen fertilizer sources or rates applied during summer had no influence on large patch severity. This study was corroborated by researchers in Missouri and Kansas, who observed that while various spring, summer, or fall nitrogen fertilization programs may not enhance large patch epidemics, these fertilization programs had limited success in reducing large patch severity (Miller et al., 2016). Cultivation practices</w:t>
      </w:r>
      <w:r w:rsidR="006F4BFB">
        <w:t>,</w:t>
      </w:r>
      <w:r>
        <w:t xml:space="preserve"> such as core aeration, verticutting, and sand topdressing</w:t>
      </w:r>
      <w:r w:rsidR="006F4BFB">
        <w:t>,</w:t>
      </w:r>
      <w:r>
        <w:t xml:space="preserve"> </w:t>
      </w:r>
      <w:r w:rsidR="006F4BFB">
        <w:t>have</w:t>
      </w:r>
      <w:r>
        <w:t xml:space="preserve"> shown limited ability to control large patch</w:t>
      </w:r>
      <w:r w:rsidR="001D2DF0">
        <w:t xml:space="preserve"> (Obasa et al., 2013). Furthermore, core aeration may help spread the pathogen during times of large patch development (Spurlock, 2009). </w:t>
      </w:r>
      <w:r>
        <w:t>The absence of identifiable cultural control options is compounded by the lack of genetic resistance to large patch among screened JLG genotypes (Obasa et al., 2012). Therefore, most turfgrass managers implement chemical control to suppress this disease.</w:t>
      </w:r>
    </w:p>
    <w:p w14:paraId="4211A491" w14:textId="44692230" w:rsidR="007F4ACA" w:rsidRDefault="007F4ACA" w:rsidP="007F4ACA">
      <w:pPr>
        <w:spacing w:line="480" w:lineRule="auto"/>
        <w:ind w:firstLine="720"/>
      </w:pPr>
      <w:r>
        <w:t xml:space="preserve">Large patch is primarily managed with fungicide </w:t>
      </w:r>
      <w:r w:rsidR="001D2DF0">
        <w:t>applications on</w:t>
      </w:r>
      <w:r>
        <w:t xml:space="preserve"> golf cours</w:t>
      </w:r>
      <w:r w:rsidR="00624B29">
        <w:t>es, sod farms, and other public</w:t>
      </w:r>
      <w:r>
        <w:t xml:space="preserve"> landscapes. Sites with a prior history of large patch may require </w:t>
      </w:r>
      <w:r w:rsidR="006F4BFB">
        <w:t>two-to-three</w:t>
      </w:r>
      <w:r>
        <w:t xml:space="preserve"> fungicide sprays during the spring and fall to limit the spread of this disease. However, turfgrass managers have observed variable and often poor large patch control using fungicides </w:t>
      </w:r>
      <w:r w:rsidR="001D2DF0">
        <w:t xml:space="preserve">that have </w:t>
      </w:r>
      <w:r w:rsidR="001D2DF0">
        <w:lastRenderedPageBreak/>
        <w:t xml:space="preserve">demonstrated effectiveness </w:t>
      </w:r>
      <w:r w:rsidR="006E2CC1">
        <w:t xml:space="preserve">in field trials by university researchers </w:t>
      </w:r>
      <w:r>
        <w:t xml:space="preserve">(B.J. Horvath, personal communication, 2016). Difficulties in managing large patch with fungicides have also been documented in industry press (Benelli, 2015; Carson, 2010). The failure of fungicide applications to control large patch not only results in overall poor quality turf, but also a substantial monetary cost to the turfgrass facility or manager. </w:t>
      </w:r>
    </w:p>
    <w:p w14:paraId="39E3316F" w14:textId="3934356D" w:rsidR="007F4ACA" w:rsidRDefault="007F4ACA" w:rsidP="007F4ACA">
      <w:pPr>
        <w:spacing w:line="480" w:lineRule="auto"/>
        <w:ind w:firstLine="720"/>
      </w:pPr>
      <w:r>
        <w:t xml:space="preserve">There are several possible reasons for </w:t>
      </w:r>
      <w:r w:rsidR="006F4BFB">
        <w:t>failure of fungicide control</w:t>
      </w:r>
      <w:r>
        <w:t xml:space="preserve">. </w:t>
      </w:r>
      <w:r w:rsidR="00CD0545">
        <w:t>Spray application</w:t>
      </w:r>
      <w:r>
        <w:t xml:space="preserve"> facto</w:t>
      </w:r>
      <w:r w:rsidR="00CD0545">
        <w:t>rs (application rates, deposition</w:t>
      </w:r>
      <w:r>
        <w:t>, surface coverage, and nozzle pressure), disease pressure, environmental factors, and the residual efficacy of fungicides are among the most documented (Couch, 1984; Kennelly and Wolf, 2009; Latin, 2005; McDonald et al., 2006; Vincelli and Dixon, 2007). In cropping systems, adequate fungicide deposition near pathogen infection sites is also critical in managing plant disease. Csinos (1989) reported that targeting fungicide applications to the main stems of peanut (</w:t>
      </w:r>
      <w:r>
        <w:rPr>
          <w:i/>
        </w:rPr>
        <w:t>Arachis hypogaea</w:t>
      </w:r>
      <w:r>
        <w:t xml:space="preserve"> L) using a narrow band width application resulted in significantly lower southern stem rot (</w:t>
      </w:r>
      <w:r>
        <w:rPr>
          <w:i/>
        </w:rPr>
        <w:t>Sclerotium rolfsii</w:t>
      </w:r>
      <w:r w:rsidR="00CD0545">
        <w:t xml:space="preserve"> Sacc.) compared to a wide</w:t>
      </w:r>
      <w:r>
        <w:t xml:space="preserve"> band </w:t>
      </w:r>
      <w:r w:rsidR="00CD0545">
        <w:t>spray</w:t>
      </w:r>
      <w:r>
        <w:t xml:space="preserve"> application. Similarly, Butzler et al. (1998) observed increased disease control of </w:t>
      </w:r>
      <w:r>
        <w:rPr>
          <w:i/>
        </w:rPr>
        <w:t>Sclerotinia</w:t>
      </w:r>
      <w:r>
        <w:t xml:space="preserve"> blight (</w:t>
      </w:r>
      <w:r>
        <w:rPr>
          <w:i/>
        </w:rPr>
        <w:t>Sclerotinia minor</w:t>
      </w:r>
      <w:r>
        <w:t xml:space="preserve"> Jagger) in peanut when mechanical pruning was administered prior to a fungicide application. The authors suggested that pruning had allowed more fungicide deposition to the site of initial infection. Additional researchers have also shown that the penetration of the fungicide solution in the lower plant canopy, where infection occurs, have resulted in greater </w:t>
      </w:r>
      <w:r w:rsidR="00203654">
        <w:t>stem rot (</w:t>
      </w:r>
      <w:r w:rsidR="00203654" w:rsidRPr="00203654">
        <w:rPr>
          <w:i/>
        </w:rPr>
        <w:t>Sclerotium</w:t>
      </w:r>
      <w:r w:rsidR="00203654">
        <w:rPr>
          <w:i/>
        </w:rPr>
        <w:t xml:space="preserve"> rolfsii</w:t>
      </w:r>
      <w:r w:rsidR="00203654" w:rsidRPr="00203654">
        <w:rPr>
          <w:i/>
        </w:rPr>
        <w:t xml:space="preserve"> </w:t>
      </w:r>
      <w:r w:rsidR="00203654">
        <w:t xml:space="preserve">Sacc.) </w:t>
      </w:r>
      <w:r>
        <w:t>control and yield</w:t>
      </w:r>
      <w:r w:rsidR="00203654">
        <w:t xml:space="preserve"> in peanut</w:t>
      </w:r>
      <w:r>
        <w:t xml:space="preserve"> (Augusto et al., 2010).  </w:t>
      </w:r>
    </w:p>
    <w:p w14:paraId="0F500982" w14:textId="771C4B77" w:rsidR="007F4ACA" w:rsidRDefault="007F4ACA" w:rsidP="00DB4B20">
      <w:pPr>
        <w:spacing w:line="480" w:lineRule="auto"/>
        <w:ind w:firstLine="720"/>
      </w:pPr>
      <w:r>
        <w:rPr>
          <w:i/>
        </w:rPr>
        <w:t>Rhizoctonia solani</w:t>
      </w:r>
      <w:r>
        <w:t xml:space="preserve"> AG 2-2LP colonizes and infects the sheaths and stems of JLP plants (Aoyagi et al., 1998). Quality fungicide deposition should target the lower canopy depending on </w:t>
      </w:r>
      <w:r>
        <w:lastRenderedPageBreak/>
        <w:t xml:space="preserve">the </w:t>
      </w:r>
      <w:r w:rsidR="00CD0545">
        <w:t>physical and chemical</w:t>
      </w:r>
      <w:r>
        <w:t xml:space="preserve"> properties of</w:t>
      </w:r>
      <w:r w:rsidR="00CD0545">
        <w:t xml:space="preserve"> the fungicide</w:t>
      </w:r>
      <w:r>
        <w:t xml:space="preserve">. Most fungicides are either xylem mobile, localized </w:t>
      </w:r>
      <w:r w:rsidR="00203654">
        <w:t>penetrant</w:t>
      </w:r>
      <w:r>
        <w:t xml:space="preserve"> or contact. For </w:t>
      </w:r>
      <w:r w:rsidR="00CD0545">
        <w:t xml:space="preserve">most </w:t>
      </w:r>
      <w:r>
        <w:t xml:space="preserve">fungicides to be effective, the active ingredient </w:t>
      </w:r>
      <w:r w:rsidR="00492BF3">
        <w:t>must be deposited in close proximity to the infection site or</w:t>
      </w:r>
      <w:r w:rsidR="006F4BFB">
        <w:t xml:space="preserve"> be</w:t>
      </w:r>
      <w:r w:rsidR="00492BF3">
        <w:t xml:space="preserve"> able to translocate towards the infection site.  </w:t>
      </w:r>
      <w:r>
        <w:t>Fungicide solution that is deposited on the upper leaf canopy may not provide sufficient protection against large patch. T</w:t>
      </w:r>
      <w:r w:rsidR="00CD0545">
        <w:t>he objective of this research was</w:t>
      </w:r>
      <w:r>
        <w:t xml:space="preserve"> to evaluate </w:t>
      </w:r>
      <w:r w:rsidR="00492BF3">
        <w:t>large patch development in response to</w:t>
      </w:r>
      <w:r>
        <w:t xml:space="preserve"> fungicides applied on either the upper or lower plant canopy of JLG.</w:t>
      </w:r>
      <w:r w:rsidR="00DB4B20">
        <w:t xml:space="preserve">  </w:t>
      </w:r>
    </w:p>
    <w:p w14:paraId="5B4AC9B5" w14:textId="7544C70B" w:rsidR="00080DBE" w:rsidRPr="00080DBE" w:rsidRDefault="007F4ACA" w:rsidP="00DB4B20">
      <w:pPr>
        <w:pStyle w:val="Heading2"/>
        <w:spacing w:line="480" w:lineRule="auto"/>
      </w:pPr>
      <w:bookmarkStart w:id="52" w:name="_Toc466885891"/>
      <w:bookmarkStart w:id="53" w:name="_Toc466890520"/>
      <w:bookmarkStart w:id="54" w:name="_Toc466891155"/>
      <w:bookmarkStart w:id="55" w:name="_Toc466894835"/>
      <w:r>
        <w:t>Materials and Methods</w:t>
      </w:r>
      <w:bookmarkEnd w:id="52"/>
      <w:bookmarkEnd w:id="53"/>
      <w:bookmarkEnd w:id="54"/>
      <w:bookmarkEnd w:id="55"/>
    </w:p>
    <w:p w14:paraId="0F599B61" w14:textId="34BC9794" w:rsidR="007F4ACA" w:rsidRDefault="00D77C80" w:rsidP="00DB4B20">
      <w:pPr>
        <w:spacing w:line="480" w:lineRule="auto"/>
        <w:rPr>
          <w:b/>
          <w:caps/>
        </w:rPr>
      </w:pPr>
      <w:r>
        <w:rPr>
          <w:b/>
          <w:color w:val="000000" w:themeColor="text1"/>
        </w:rPr>
        <w:t>Plant culture.</w:t>
      </w:r>
      <w:r w:rsidR="00CD0545" w:rsidRPr="00551527">
        <w:rPr>
          <w:b/>
          <w:color w:val="000000" w:themeColor="text1"/>
        </w:rPr>
        <w:t xml:space="preserve"> </w:t>
      </w:r>
      <w:r w:rsidR="005224AD">
        <w:t>Cup cutter sized plugs, 10 cm in diameter,</w:t>
      </w:r>
      <w:r w:rsidR="00CD0545">
        <w:t xml:space="preserve"> of JLG (c.v. ‘Meyer’)</w:t>
      </w:r>
      <w:r w:rsidR="007F4ACA">
        <w:t xml:space="preserve"> were collected in July of 2014 from a fairway surface at the East Tennessee Education and Research Center in Knoxville, TN. The plugs were washed using a pressurized washer to remove soil and other contaminants.  Individual stolons were separated by hand and rinsed three times with tap water. Stolons were then si</w:t>
      </w:r>
      <w:r w:rsidR="006F4BFB">
        <w:t>ngly propagated in potting medium</w:t>
      </w:r>
      <w:r w:rsidR="007F4ACA">
        <w:t xml:space="preserve"> (Fafard Professional Potting Mix, Sun Gro Horticultur</w:t>
      </w:r>
      <w:r w:rsidR="006F4BFB">
        <w:t>e, Agawam, MA) contained in 3.8-</w:t>
      </w:r>
      <w:r w:rsidR="007F4ACA">
        <w:t>cm diameter ‘conetainers’ (Steuwe and Sons, Tangent, OR). The racks of conetainers were maintained in a greenhouse at 28</w:t>
      </w:r>
      <w:r w:rsidR="007F4ACA">
        <w:sym w:font="Symbol" w:char="F0B0"/>
      </w:r>
      <w:r w:rsidR="007F4ACA">
        <w:t xml:space="preserve">C. </w:t>
      </w:r>
    </w:p>
    <w:p w14:paraId="7BAA8112" w14:textId="1FD24E66" w:rsidR="007F4ACA" w:rsidRDefault="007F4ACA" w:rsidP="007F4ACA">
      <w:pPr>
        <w:spacing w:line="480" w:lineRule="auto"/>
        <w:ind w:firstLine="720"/>
      </w:pPr>
      <w:r>
        <w:t xml:space="preserve">Plants were allowed to grow for 10 weeks. During establishment, plants were trimmed to a height of </w:t>
      </w:r>
      <w:r w:rsidR="005224AD">
        <w:t>3</w:t>
      </w:r>
      <w:r>
        <w:t xml:space="preserve"> cm using scissors</w:t>
      </w:r>
      <w:r w:rsidR="006F4BFB">
        <w:t>,</w:t>
      </w:r>
      <w:r>
        <w:t xml:space="preserve"> and irrigated twice daily with an overhead </w:t>
      </w:r>
      <w:r w:rsidR="003C4BD7">
        <w:t xml:space="preserve">irrigation </w:t>
      </w:r>
      <w:r>
        <w:t>system. Fertilizer was applied every 14 days at a rate of 49 kg N ha</w:t>
      </w:r>
      <w:r w:rsidRPr="005224AD">
        <w:rPr>
          <w:vertAlign w:val="superscript"/>
        </w:rPr>
        <w:t>-1</w:t>
      </w:r>
      <w:r>
        <w:t xml:space="preserve"> with a complete 24-8-16 fertilizer (All Purpose Plant Food, The Scotts Company, Marysville, OH). After the 10 week establishment period, the JLG plants were trimmed to two individual tillers per conetainer. </w:t>
      </w:r>
      <w:r w:rsidR="00E62714">
        <w:t xml:space="preserve">Both of </w:t>
      </w:r>
      <w:r>
        <w:t xml:space="preserve">the remaining tillers in each conetainer were of similar size and maturity. </w:t>
      </w:r>
    </w:p>
    <w:p w14:paraId="57268F84" w14:textId="77777777" w:rsidR="007F4ACA" w:rsidRDefault="007F4ACA" w:rsidP="007F4ACA">
      <w:pPr>
        <w:spacing w:line="480" w:lineRule="auto"/>
        <w:ind w:firstLine="720"/>
      </w:pPr>
    </w:p>
    <w:p w14:paraId="7D5C9E14" w14:textId="69157B26" w:rsidR="007F4ACA" w:rsidRDefault="00D77C80" w:rsidP="007F4ACA">
      <w:pPr>
        <w:spacing w:line="480" w:lineRule="auto"/>
        <w:rPr>
          <w:i/>
        </w:rPr>
      </w:pPr>
      <w:r>
        <w:rPr>
          <w:rFonts w:eastAsiaTheme="majorEastAsia"/>
          <w:b/>
        </w:rPr>
        <w:lastRenderedPageBreak/>
        <w:t>Treatments.</w:t>
      </w:r>
      <w:r w:rsidR="00522DF6" w:rsidRPr="00080DBE">
        <w:rPr>
          <w:color w:val="000000" w:themeColor="text1"/>
        </w:rPr>
        <w:t xml:space="preserve"> </w:t>
      </w:r>
      <w:r w:rsidR="007F4ACA">
        <w:t xml:space="preserve">Treatments were arranged as a 4 x 3 factorial in a randomized complete block design with five replications. The fungicides evaluated </w:t>
      </w:r>
      <w:r w:rsidR="00E62714">
        <w:t xml:space="preserve">were </w:t>
      </w:r>
      <w:r w:rsidR="007F4ACA">
        <w:t>three systemic fungicides (azoxystrobin, tebuconazole, and flutolanil) and one cont</w:t>
      </w:r>
      <w:r w:rsidR="00B655D7">
        <w:t xml:space="preserve">act fungicide (chlorothalonil; </w:t>
      </w:r>
      <w:r w:rsidR="007F4ACA">
        <w:t xml:space="preserve">Table </w:t>
      </w:r>
      <w:r w:rsidR="00B655D7">
        <w:t>2.</w:t>
      </w:r>
      <w:r w:rsidR="007F4ACA">
        <w:t xml:space="preserve">1). These fungicides were chosen because they are </w:t>
      </w:r>
      <w:r w:rsidR="00E62714">
        <w:t>frequently used in the turfgrass industry to control large patch.</w:t>
      </w:r>
      <w:r w:rsidR="007F4ACA">
        <w:t xml:space="preserve"> </w:t>
      </w:r>
      <w:r w:rsidR="00E62714">
        <w:t xml:space="preserve">Two nontreated control treatments </w:t>
      </w:r>
      <w:r w:rsidR="006F4BFB">
        <w:t xml:space="preserve">were added </w:t>
      </w:r>
      <w:r w:rsidR="00801370">
        <w:t>but were not included in the statistical analysis.</w:t>
      </w:r>
      <w:r w:rsidR="00E62714">
        <w:t xml:space="preserve"> One</w:t>
      </w:r>
      <w:r w:rsidR="006F4BFB">
        <w:t xml:space="preserve"> of the</w:t>
      </w:r>
      <w:r w:rsidR="00E62714">
        <w:t xml:space="preserve"> nontreated control</w:t>
      </w:r>
      <w:r w:rsidR="006F4BFB">
        <w:t>s</w:t>
      </w:r>
      <w:r w:rsidR="00E62714">
        <w:t xml:space="preserve"> was inoculated and the</w:t>
      </w:r>
      <w:r w:rsidR="006F4BFB">
        <w:t xml:space="preserve"> other was not</w:t>
      </w:r>
      <w:r w:rsidR="00E62714">
        <w:t xml:space="preserve">. The nontreated control treatments were added to reference large patch development </w:t>
      </w:r>
      <w:r w:rsidR="00801370">
        <w:t>when no fungicide was applied</w:t>
      </w:r>
      <w:r w:rsidR="00E62714">
        <w:t xml:space="preserve"> and to </w:t>
      </w:r>
      <w:r w:rsidR="00801370">
        <w:t xml:space="preserve">monitor </w:t>
      </w:r>
      <w:r w:rsidR="00E62714">
        <w:t xml:space="preserve">the </w:t>
      </w:r>
      <w:r w:rsidR="00801370">
        <w:t xml:space="preserve">experimental environment on turfgrass health. </w:t>
      </w:r>
    </w:p>
    <w:p w14:paraId="65297161" w14:textId="5E20162F" w:rsidR="007F4ACA" w:rsidRDefault="007F4ACA" w:rsidP="007F4ACA">
      <w:pPr>
        <w:spacing w:line="480" w:lineRule="auto"/>
        <w:ind w:firstLine="720"/>
      </w:pPr>
      <w:r>
        <w:t>The fungicides were applied onto three application target sites of JLG. Azoxystrobin, tebuconazole, flutolanil and chlo</w:t>
      </w:r>
      <w:r w:rsidR="005224AD">
        <w:t>rothalonil were applied at a concentration</w:t>
      </w:r>
      <w:r>
        <w:t xml:space="preserve"> of 0.76, 1.03, 5.81, and 9.98 g ai L</w:t>
      </w:r>
      <w:r>
        <w:rPr>
          <w:vertAlign w:val="superscript"/>
        </w:rPr>
        <w:t>-1</w:t>
      </w:r>
      <w:r>
        <w:t>, respectively, using a pipette that delivered a 2.5</w:t>
      </w:r>
      <w:r w:rsidR="006F4BFB">
        <w:t>-</w:t>
      </w:r>
      <w:r>
        <w:t>µl droplet</w:t>
      </w:r>
      <w:r w:rsidR="005224AD">
        <w:t xml:space="preserve"> (1684 microns in diameter)</w:t>
      </w:r>
      <w:r>
        <w:t xml:space="preserve"> of fungicide solution that was dispensed singly on the leaf, sheath, or stem. </w:t>
      </w:r>
      <w:r w:rsidR="005224AD">
        <w:t>This application mimics an ultra-coarse spray droplet landing on leaf, sheath, or stem from a spray mixture containing the high-labeled fungicide rate applied from a spray rate volume of 815 L ha</w:t>
      </w:r>
      <w:r w:rsidR="005224AD" w:rsidRPr="005224AD">
        <w:rPr>
          <w:vertAlign w:val="superscript"/>
        </w:rPr>
        <w:t>-1</w:t>
      </w:r>
      <w:r w:rsidR="005224AD">
        <w:t xml:space="preserve">. Conetainers were discarded and replaced if fungicide run-off was observed. </w:t>
      </w:r>
      <w:r>
        <w:t xml:space="preserve">Both tillers in each conetainer received similar applications. The fungicide droplets were allowed to dry on the plant for 24 hr before inoculation. </w:t>
      </w:r>
    </w:p>
    <w:p w14:paraId="01EF89DB" w14:textId="77777777" w:rsidR="007F4ACA" w:rsidRDefault="007F4ACA" w:rsidP="007F4ACA">
      <w:pPr>
        <w:spacing w:line="480" w:lineRule="auto"/>
        <w:ind w:firstLine="720"/>
      </w:pPr>
    </w:p>
    <w:p w14:paraId="5D885473" w14:textId="77EB14F3" w:rsidR="007F4ACA" w:rsidRDefault="00D77C80" w:rsidP="007F4ACA">
      <w:pPr>
        <w:spacing w:line="480" w:lineRule="auto"/>
      </w:pPr>
      <w:r>
        <w:rPr>
          <w:rFonts w:eastAsiaTheme="majorEastAsia"/>
          <w:b/>
        </w:rPr>
        <w:t>Pathogen inoculation.</w:t>
      </w:r>
      <w:r w:rsidR="00522DF6" w:rsidRPr="00080DBE">
        <w:rPr>
          <w:i/>
          <w:color w:val="000000" w:themeColor="text1"/>
        </w:rPr>
        <w:t xml:space="preserve"> </w:t>
      </w:r>
      <w:r w:rsidR="007F4ACA">
        <w:t xml:space="preserve">Recovery and isolation of </w:t>
      </w:r>
      <w:r w:rsidR="007F4ACA">
        <w:rPr>
          <w:i/>
        </w:rPr>
        <w:t>R. solani</w:t>
      </w:r>
      <w:r w:rsidR="007F4ACA">
        <w:t xml:space="preserve"> were similar to the methods </w:t>
      </w:r>
      <w:r w:rsidR="00B747D9">
        <w:t xml:space="preserve">of </w:t>
      </w:r>
      <w:r w:rsidR="007F4ACA">
        <w:t xml:space="preserve">Obasa et al., 2012. In brief, an isolate of </w:t>
      </w:r>
      <w:r w:rsidR="007F4ACA">
        <w:rPr>
          <w:i/>
        </w:rPr>
        <w:t>Rhizoctonia solani</w:t>
      </w:r>
      <w:r w:rsidR="007F4ACA">
        <w:t xml:space="preserve"> AG 2-2LP was recovered from a JLG fairway at Gettysvue Golf and Polo Club in Knoxville, TN, in April 2014. Affected samples, which exhibited characteristic black water-soaked lesions at the plant stem, were collected from </w:t>
      </w:r>
      <w:r w:rsidR="007F4ACA">
        <w:lastRenderedPageBreak/>
        <w:t>the margin of large patch. Plant material was rinsed w</w:t>
      </w:r>
      <w:r w:rsidR="006F4BFB">
        <w:t>ith tap water and cut into &lt;1.0-</w:t>
      </w:r>
      <w:r w:rsidR="007F4ACA">
        <w:t>cm sections. Portions of the leaf sheath were surface sterilized with 0.5% NaOC</w:t>
      </w:r>
      <w:r w:rsidR="006F4BFB">
        <w:t>l</w:t>
      </w:r>
      <w:r w:rsidR="007124D7">
        <w:t xml:space="preserve"> for 1 min</w:t>
      </w:r>
      <w:r w:rsidR="006F4BFB">
        <w:t>, and placed onto</w:t>
      </w:r>
      <w:r w:rsidR="007124D7">
        <w:t xml:space="preserve"> ¼-</w:t>
      </w:r>
      <w:r w:rsidR="007F4ACA">
        <w:t xml:space="preserve">strength potato dextrose agar </w:t>
      </w:r>
      <w:r w:rsidR="006F4BFB">
        <w:t>(PDA)</w:t>
      </w:r>
      <w:r w:rsidR="007F4ACA">
        <w:t xml:space="preserve"> amended with tetracycline (5 mg L</w:t>
      </w:r>
      <w:r w:rsidR="007F4ACA">
        <w:rPr>
          <w:vertAlign w:val="superscript"/>
        </w:rPr>
        <w:t>–1</w:t>
      </w:r>
      <w:r w:rsidR="007F4ACA">
        <w:t>) and streptomycin (10 mg L</w:t>
      </w:r>
      <w:r w:rsidR="007F4ACA">
        <w:rPr>
          <w:vertAlign w:val="superscript"/>
        </w:rPr>
        <w:t>–1</w:t>
      </w:r>
      <w:r w:rsidR="007F4ACA">
        <w:t xml:space="preserve">). After 24 hr, the tips of mycelial fragments growing from the plug were transferred to new amended ¼ strength PDA culture plates. After 3 days of colony growth, 5 plugs of </w:t>
      </w:r>
      <w:r w:rsidR="007F4ACA">
        <w:rPr>
          <w:i/>
        </w:rPr>
        <w:t>R. solani</w:t>
      </w:r>
      <w:r w:rsidR="007F4ACA">
        <w:t xml:space="preserve"> were placed in a 1000 ml glass flask containing 300 g of autoclaved oat (</w:t>
      </w:r>
      <w:r w:rsidR="007F4ACA">
        <w:rPr>
          <w:i/>
        </w:rPr>
        <w:t>Avena sativa</w:t>
      </w:r>
      <w:r w:rsidR="007F4ACA">
        <w:t xml:space="preserve"> L.) </w:t>
      </w:r>
      <w:r w:rsidR="00D64BE8">
        <w:t>kernels</w:t>
      </w:r>
      <w:r w:rsidR="007F4ACA">
        <w:t>. Flasks were stored at room temperature and periodically shaken to ensure even distribution of inoculum. After 20 and 14 days of incubation, in the 1</w:t>
      </w:r>
      <w:r w:rsidR="007F4ACA">
        <w:rPr>
          <w:vertAlign w:val="superscript"/>
        </w:rPr>
        <w:t>st</w:t>
      </w:r>
      <w:r w:rsidR="007F4ACA">
        <w:t xml:space="preserve"> and 2</w:t>
      </w:r>
      <w:r w:rsidR="007F4ACA">
        <w:rPr>
          <w:vertAlign w:val="superscript"/>
        </w:rPr>
        <w:t>nd</w:t>
      </w:r>
      <w:r w:rsidR="007F4ACA">
        <w:t xml:space="preserve"> experimental run, respectively, </w:t>
      </w:r>
      <w:r w:rsidR="007124D7">
        <w:t>approximately six</w:t>
      </w:r>
      <w:r w:rsidR="007F4ACA">
        <w:t xml:space="preserve"> infested </w:t>
      </w:r>
      <w:r w:rsidR="0052352E">
        <w:t>kernels</w:t>
      </w:r>
      <w:r w:rsidR="007F4ACA">
        <w:t xml:space="preserve"> were placed in each conetainer. The inoculated conetainers were placed inside a large plastic tub with a transparent lid. Moistened paper was placed throug</w:t>
      </w:r>
      <w:r w:rsidR="007124D7">
        <w:t xml:space="preserve">hout the plastic tub to ensure approximately </w:t>
      </w:r>
      <w:r w:rsidR="007F4ACA">
        <w:t>100% relative humidity. The plastic tub was placed in a growth chamber (Conviron Adaptis, Controlled Environment Ltd., Winnipeg, Canada) maintained at 24</w:t>
      </w:r>
      <w:r w:rsidR="007F4ACA">
        <w:sym w:font="Symbol" w:char="F0B0"/>
      </w:r>
      <w:r w:rsidR="007F4ACA">
        <w:t>C (day) and 20</w:t>
      </w:r>
      <w:r w:rsidR="007F4ACA">
        <w:sym w:font="Symbol" w:char="F0B0"/>
      </w:r>
      <w:r w:rsidR="006F4BFB">
        <w:t>C (night) with a 12-</w:t>
      </w:r>
      <w:r w:rsidR="007F4ACA">
        <w:t xml:space="preserve">hr photoperiod.  </w:t>
      </w:r>
    </w:p>
    <w:p w14:paraId="521C9AF7" w14:textId="77777777" w:rsidR="007F4ACA" w:rsidRDefault="007F4ACA" w:rsidP="007F4ACA">
      <w:pPr>
        <w:spacing w:line="480" w:lineRule="auto"/>
        <w:rPr>
          <w:i/>
        </w:rPr>
      </w:pPr>
    </w:p>
    <w:p w14:paraId="2E71E8BF" w14:textId="733C7565" w:rsidR="007F4ACA" w:rsidRDefault="00D77C80" w:rsidP="007F4ACA">
      <w:pPr>
        <w:spacing w:line="480" w:lineRule="auto"/>
      </w:pPr>
      <w:r>
        <w:rPr>
          <w:rStyle w:val="Heading3Char"/>
          <w:rFonts w:asciiTheme="minorHAnsi" w:hAnsiTheme="minorHAnsi" w:cstheme="minorHAnsi"/>
          <w:color w:val="000000" w:themeColor="text1"/>
        </w:rPr>
        <w:t>Measurements of disease severity.</w:t>
      </w:r>
      <w:r w:rsidR="00522DF6" w:rsidRPr="00080DBE">
        <w:rPr>
          <w:color w:val="000000" w:themeColor="text1"/>
        </w:rPr>
        <w:t xml:space="preserve"> </w:t>
      </w:r>
      <w:r w:rsidR="007F4ACA">
        <w:t>Large patch severity was assessed visually using a modified nearest percent estimate (NPE) method. The following were the indices of the NPE used: 0, 2, 5, 10, 20, 30, 40, 50, 60, 70, 80, 90, and 100%. This rating method was chosen to provide equal interval assessments between 10 and 100%. Other, more categorical estimates (similar to the Horsfall-Barratt scale) have recently been shown to be a less reliable measure of disease severity compared to NPE measurements and may result in a higher probability of a type II error.  (Bardsley and Ngugi, 2012; Bock et al., 2009a, 2009b, 2013). In the first experimental run, measurements of large patch severity were collected</w:t>
      </w:r>
      <w:r w:rsidR="006F4BFB">
        <w:t xml:space="preserve"> at</w:t>
      </w:r>
      <w:r w:rsidR="007F4ACA">
        <w:t xml:space="preserve"> 7, 14, 21, and 28 days after initial </w:t>
      </w:r>
      <w:r w:rsidR="007F4ACA">
        <w:lastRenderedPageBreak/>
        <w:t xml:space="preserve">treatment (DAIT). In the second experimental run, large patch severity measurements were collected </w:t>
      </w:r>
      <w:r w:rsidR="006F4BFB">
        <w:t xml:space="preserve">at </w:t>
      </w:r>
      <w:r w:rsidR="007F4ACA">
        <w:t>7 and 14 DAIT. The 2</w:t>
      </w:r>
      <w:r w:rsidR="007F4ACA">
        <w:rPr>
          <w:vertAlign w:val="superscript"/>
        </w:rPr>
        <w:t>nd</w:t>
      </w:r>
      <w:r w:rsidR="007F4ACA">
        <w:t xml:space="preserve"> experimental run was terminated after 14 DAIT due to a substantial decline among the nontreated</w:t>
      </w:r>
      <w:r w:rsidR="006F4BFB">
        <w:t>,</w:t>
      </w:r>
      <w:r w:rsidR="007F4ACA">
        <w:t xml:space="preserve"> non-inoculated JLG conetainers </w:t>
      </w:r>
      <w:r w:rsidR="00435BB3">
        <w:t xml:space="preserve">at </w:t>
      </w:r>
      <w:r w:rsidR="007F4ACA">
        <w:t xml:space="preserve">21 DAIT.  </w:t>
      </w:r>
    </w:p>
    <w:p w14:paraId="62FABA41" w14:textId="77777777" w:rsidR="007F4ACA" w:rsidRDefault="007F4ACA" w:rsidP="007F4ACA">
      <w:pPr>
        <w:spacing w:line="480" w:lineRule="auto"/>
      </w:pPr>
    </w:p>
    <w:p w14:paraId="47C84BC5" w14:textId="655FD027" w:rsidR="007F4ACA" w:rsidRDefault="00D77C80" w:rsidP="007F4ACA">
      <w:pPr>
        <w:spacing w:line="480" w:lineRule="auto"/>
      </w:pPr>
      <w:r w:rsidRPr="00D77C80">
        <w:rPr>
          <w:b/>
        </w:rPr>
        <w:t>Measurements of photochemical efficiency (</w:t>
      </w:r>
      <w:r w:rsidRPr="00D77C80">
        <w:rPr>
          <w:b/>
          <w:i/>
        </w:rPr>
        <w:t>Fv/Fm</w:t>
      </w:r>
      <w:r w:rsidRPr="00D77C80">
        <w:rPr>
          <w:b/>
        </w:rPr>
        <w:t>).</w:t>
      </w:r>
      <w:r>
        <w:t xml:space="preserve"> Measurements of the</w:t>
      </w:r>
      <w:r w:rsidR="007F4ACA">
        <w:t xml:space="preserve"> maximum photosynthetic yield (</w:t>
      </w:r>
      <w:r w:rsidR="007F4ACA">
        <w:rPr>
          <w:i/>
        </w:rPr>
        <w:t>F</w:t>
      </w:r>
      <w:r w:rsidR="007F4ACA">
        <w:rPr>
          <w:i/>
          <w:vertAlign w:val="subscript"/>
        </w:rPr>
        <w:t>v</w:t>
      </w:r>
      <w:r w:rsidR="007F4ACA">
        <w:rPr>
          <w:i/>
        </w:rPr>
        <w:t>/F</w:t>
      </w:r>
      <w:r w:rsidR="007F4ACA">
        <w:rPr>
          <w:i/>
          <w:vertAlign w:val="subscript"/>
        </w:rPr>
        <w:t>m</w:t>
      </w:r>
      <w:r w:rsidR="006F4BFB">
        <w:t>) of</w:t>
      </w:r>
      <w:r w:rsidR="007F4ACA">
        <w:t xml:space="preserve"> photosystem II were assessed to supplement visual disease severity ratings. </w:t>
      </w:r>
      <w:r w:rsidR="007F4ACA">
        <w:rPr>
          <w:i/>
        </w:rPr>
        <w:t>F</w:t>
      </w:r>
      <w:r w:rsidR="007F4ACA">
        <w:rPr>
          <w:i/>
          <w:vertAlign w:val="subscript"/>
        </w:rPr>
        <w:t>v</w:t>
      </w:r>
      <w:r w:rsidR="007F4ACA">
        <w:rPr>
          <w:i/>
        </w:rPr>
        <w:t>/F</w:t>
      </w:r>
      <w:r w:rsidR="007F4ACA">
        <w:rPr>
          <w:i/>
          <w:vertAlign w:val="subscript"/>
        </w:rPr>
        <w:t>m</w:t>
      </w:r>
      <w:r w:rsidR="007F4ACA">
        <w:t xml:space="preserve"> is calculated using the following equation:</w:t>
      </w:r>
      <m:oMath>
        <m:r>
          <w:rPr>
            <w:rFonts w:ascii="Cambria Math" w:hAnsi="Cambria Math"/>
          </w:rPr>
          <m:t xml:space="preserve"> </m:t>
        </m:r>
        <m:f>
          <m:fPr>
            <m:ctrlPr>
              <w:rPr>
                <w:rFonts w:ascii="Cambria Math" w:hAnsi="Cambria Math"/>
              </w:rPr>
            </m:ctrlPr>
          </m:fPr>
          <m:num>
            <m:r>
              <m:rPr>
                <m:sty m:val="p"/>
              </m:rPr>
              <w:rPr>
                <w:rFonts w:ascii="Cambria Math" w:hAnsi="Cambria Math"/>
              </w:rPr>
              <m:t>F</m:t>
            </m:r>
            <m:d>
              <m:dPr>
                <m:ctrlPr>
                  <w:rPr>
                    <w:rFonts w:ascii="Cambria Math" w:hAnsi="Cambria Math"/>
                  </w:rPr>
                </m:ctrlPr>
              </m:dPr>
              <m:e>
                <m:r>
                  <m:rPr>
                    <m:sty m:val="p"/>
                  </m:rPr>
                  <w:rPr>
                    <w:rFonts w:ascii="Cambria Math" w:hAnsi="Cambria Math"/>
                  </w:rPr>
                  <m:t>maximum fluorescence</m:t>
                </m:r>
              </m:e>
            </m:d>
            <m:r>
              <m:rPr>
                <m:sty m:val="p"/>
              </m:rPr>
              <w:rPr>
                <w:rFonts w:ascii="Cambria Math" w:hAnsi="Cambria Math"/>
              </w:rPr>
              <m:t>-Fo(minimum fluorescence)</m:t>
            </m:r>
          </m:num>
          <m:den>
            <m:r>
              <m:rPr>
                <m:sty m:val="p"/>
              </m:rPr>
              <w:rPr>
                <w:rFonts w:ascii="Cambria Math" w:hAnsi="Cambria Math"/>
              </w:rPr>
              <m:t>F (maximum fluroescence)</m:t>
            </m:r>
          </m:den>
        </m:f>
      </m:oMath>
      <w:r w:rsidR="007F4ACA">
        <w:rPr>
          <w:rFonts w:eastAsiaTheme="minorEastAsia"/>
        </w:rPr>
        <w:t xml:space="preserve"> .</w:t>
      </w:r>
      <w:r w:rsidR="007F4ACA">
        <w:t xml:space="preserve"> Recent research has shown that repeated measurements of </w:t>
      </w:r>
      <w:r w:rsidR="007F4ACA">
        <w:rPr>
          <w:i/>
        </w:rPr>
        <w:t>F</w:t>
      </w:r>
      <w:r w:rsidR="007F4ACA">
        <w:rPr>
          <w:i/>
          <w:vertAlign w:val="subscript"/>
        </w:rPr>
        <w:t>v</w:t>
      </w:r>
      <w:r w:rsidR="007F4ACA">
        <w:rPr>
          <w:i/>
        </w:rPr>
        <w:t>/F</w:t>
      </w:r>
      <w:r w:rsidR="007F4ACA">
        <w:rPr>
          <w:i/>
          <w:vertAlign w:val="subscript"/>
        </w:rPr>
        <w:t>m</w:t>
      </w:r>
      <w:r w:rsidR="007F4ACA">
        <w:t xml:space="preserve"> over time can be a useful indicator of changes in plant disease severity (Chang et al., 2015; Dallagnol et al., 2015; Ren et al., 2015). </w:t>
      </w:r>
      <w:r w:rsidR="007F4ACA">
        <w:rPr>
          <w:i/>
        </w:rPr>
        <w:t>F</w:t>
      </w:r>
      <w:r w:rsidR="007F4ACA">
        <w:rPr>
          <w:i/>
          <w:vertAlign w:val="subscript"/>
        </w:rPr>
        <w:t>v</w:t>
      </w:r>
      <w:r w:rsidR="007F4ACA">
        <w:rPr>
          <w:i/>
        </w:rPr>
        <w:t>/F</w:t>
      </w:r>
      <w:r w:rsidR="007F4ACA">
        <w:rPr>
          <w:i/>
          <w:vertAlign w:val="subscript"/>
        </w:rPr>
        <w:t>m</w:t>
      </w:r>
      <w:r w:rsidR="007124D7">
        <w:t xml:space="preserve"> was collected using a pulse-</w:t>
      </w:r>
      <w:r w:rsidR="007F4ACA">
        <w:t>modulated chlorophyll fluorometer (Chlorophyll Fluorometer Model Os30p, Opti-Sciences, Inc. Hudson, NH). Two measurements of each JL</w:t>
      </w:r>
      <w:r w:rsidR="007124D7">
        <w:t xml:space="preserve">G tiller were collected after 8 to </w:t>
      </w:r>
      <w:r w:rsidR="007F4ACA">
        <w:t xml:space="preserve">10 hours of dark adaptation. Measurements of </w:t>
      </w:r>
      <w:r w:rsidR="007F4ACA">
        <w:rPr>
          <w:i/>
        </w:rPr>
        <w:t>F</w:t>
      </w:r>
      <w:r w:rsidR="007F4ACA">
        <w:rPr>
          <w:i/>
          <w:vertAlign w:val="subscript"/>
        </w:rPr>
        <w:t>v</w:t>
      </w:r>
      <w:r w:rsidR="007F4ACA">
        <w:rPr>
          <w:i/>
        </w:rPr>
        <w:t>/F</w:t>
      </w:r>
      <w:r w:rsidR="007F4ACA">
        <w:rPr>
          <w:i/>
          <w:vertAlign w:val="subscript"/>
        </w:rPr>
        <w:t>m</w:t>
      </w:r>
      <w:r w:rsidR="007F4ACA">
        <w:t xml:space="preserve"> were collected on the same DAIT as disease severity. </w:t>
      </w:r>
    </w:p>
    <w:p w14:paraId="6A0F9D94" w14:textId="77777777" w:rsidR="007F4ACA" w:rsidRDefault="007F4ACA" w:rsidP="007F4ACA">
      <w:pPr>
        <w:spacing w:line="480" w:lineRule="auto"/>
        <w:rPr>
          <w:b/>
        </w:rPr>
      </w:pPr>
    </w:p>
    <w:p w14:paraId="1E9C27BC" w14:textId="0641DC26" w:rsidR="007F4ACA" w:rsidRPr="00DB4B20" w:rsidRDefault="00D77C80" w:rsidP="00DB4B20">
      <w:pPr>
        <w:spacing w:line="480" w:lineRule="auto"/>
      </w:pPr>
      <w:r w:rsidRPr="00D77C80">
        <w:rPr>
          <w:rFonts w:eastAsiaTheme="majorEastAsia"/>
          <w:b/>
        </w:rPr>
        <w:t>Statistical analysis.</w:t>
      </w:r>
      <w:r w:rsidR="00522DF6">
        <w:rPr>
          <w:b/>
        </w:rPr>
        <w:t xml:space="preserve"> </w:t>
      </w:r>
      <w:r w:rsidR="007F4ACA">
        <w:t xml:space="preserve">Data were subjected to ANOVA using PROC MIXED with code generated by the DANDA macro in SAS (Statistical Analysis Software, Inc., Cary, NC) (Saxton, 2010).  Due to the large difference in the number of rating assessments between runs, each run was analyzed and presented separately. Large patch severity and </w:t>
      </w:r>
      <w:r w:rsidR="007F4ACA">
        <w:rPr>
          <w:i/>
        </w:rPr>
        <w:t>F</w:t>
      </w:r>
      <w:r w:rsidR="007F4ACA">
        <w:rPr>
          <w:i/>
          <w:vertAlign w:val="subscript"/>
        </w:rPr>
        <w:t>v</w:t>
      </w:r>
      <w:r w:rsidR="007F4ACA">
        <w:rPr>
          <w:i/>
        </w:rPr>
        <w:t>/F</w:t>
      </w:r>
      <w:r w:rsidR="007F4ACA">
        <w:rPr>
          <w:i/>
          <w:vertAlign w:val="subscript"/>
        </w:rPr>
        <w:t>m</w:t>
      </w:r>
      <w:r w:rsidR="007F4ACA">
        <w:t xml:space="preserve"> measurements collected from both JLG tillers in each conetainer were averaged to determine a mean value for each experimental unit before statistical analysis. The nontreated control was not included in the </w:t>
      </w:r>
      <w:r w:rsidR="007F4ACA">
        <w:lastRenderedPageBreak/>
        <w:t xml:space="preserve">statistical analysis but results are shown for comparative purposes. Response variable means were separated using Fisher’s protected least significant difference (LSD) test at α = 0.05. </w:t>
      </w:r>
    </w:p>
    <w:p w14:paraId="07E9BB41" w14:textId="07CE7A88" w:rsidR="00080DBE" w:rsidRPr="00080DBE" w:rsidRDefault="007F4ACA" w:rsidP="00DB4B20">
      <w:pPr>
        <w:pStyle w:val="Heading2"/>
        <w:spacing w:line="480" w:lineRule="auto"/>
      </w:pPr>
      <w:bookmarkStart w:id="56" w:name="_Toc466885898"/>
      <w:bookmarkStart w:id="57" w:name="_Toc466890527"/>
      <w:bookmarkStart w:id="58" w:name="_Toc466891162"/>
      <w:bookmarkStart w:id="59" w:name="_Toc466894842"/>
      <w:r>
        <w:t>Results</w:t>
      </w:r>
      <w:bookmarkEnd w:id="56"/>
      <w:bookmarkEnd w:id="57"/>
      <w:bookmarkEnd w:id="58"/>
      <w:bookmarkEnd w:id="59"/>
    </w:p>
    <w:p w14:paraId="77ECF849" w14:textId="1EF53009" w:rsidR="007F4ACA" w:rsidRDefault="00D77C80" w:rsidP="00DB4B20">
      <w:pPr>
        <w:spacing w:line="480" w:lineRule="auto"/>
        <w:rPr>
          <w:b/>
        </w:rPr>
      </w:pPr>
      <w:r w:rsidRPr="00D77C80">
        <w:rPr>
          <w:rFonts w:eastAsiaTheme="majorEastAsia"/>
          <w:b/>
        </w:rPr>
        <w:t>Disease severity.</w:t>
      </w:r>
      <w:r w:rsidR="00522DF6" w:rsidRPr="00080DBE">
        <w:rPr>
          <w:b/>
          <w:color w:val="000000" w:themeColor="text1"/>
        </w:rPr>
        <w:t xml:space="preserve"> </w:t>
      </w:r>
      <w:r w:rsidR="007F4ACA">
        <w:t>Symptom</w:t>
      </w:r>
      <w:r w:rsidR="004257D4">
        <w:t>s of large patch were apparent seven</w:t>
      </w:r>
      <w:r w:rsidR="007F4ACA">
        <w:t xml:space="preserve"> days after inoculation in each experimental run. In the first experimental run, significant differences in the target site of application (pooled across fungicides) and the interaction of target site by fungicide we</w:t>
      </w:r>
      <w:r w:rsidR="001F227A">
        <w:t>re detected 14 days after treatm</w:t>
      </w:r>
      <w:r w:rsidR="007F4ACA">
        <w:t xml:space="preserve">ent and continued until trial termination (Table </w:t>
      </w:r>
      <w:r w:rsidR="00224442">
        <w:t>2.</w:t>
      </w:r>
      <w:r w:rsidR="007F4ACA">
        <w:t xml:space="preserve">2).  </w:t>
      </w:r>
      <w:r w:rsidR="001F227A">
        <w:t xml:space="preserve">At </w:t>
      </w:r>
      <w:r w:rsidR="007F4ACA">
        <w:t>14, 21, and 28 DAIT, applications made to the sheath or stem exhibited significantly lower large patch severity compared to applica</w:t>
      </w:r>
      <w:r w:rsidR="00224442">
        <w:t>tions made on the leaf (Figure 2.1</w:t>
      </w:r>
      <w:r w:rsidR="007F4ACA">
        <w:t xml:space="preserve">). On the final disease severity rating date, treatments applied on the sheath and stem plant parts exhibited 14 and 13% disease severity, respectively, and were significantly different from treatments applied on the leaf (Figure </w:t>
      </w:r>
      <w:r w:rsidR="00224442">
        <w:t>2.</w:t>
      </w:r>
      <w:r w:rsidR="007F4ACA">
        <w:t>1). Applications of azoxystrobin and flutolanil were most affected by target site of application in the first experimental run. On 28 DAIT, a</w:t>
      </w:r>
      <w:r w:rsidR="00973A6A">
        <w:t xml:space="preserve">pplications of azoxystrobin </w:t>
      </w:r>
      <w:r w:rsidR="007F4ACA">
        <w:t xml:space="preserve">made to the sheath or stem exhibited only trace </w:t>
      </w:r>
      <w:r w:rsidR="00E47827">
        <w:t>(</w:t>
      </w:r>
      <w:r w:rsidR="007F4ACA">
        <w:t>&lt; 3%</w:t>
      </w:r>
      <w:r w:rsidR="00E47827">
        <w:t>)</w:t>
      </w:r>
      <w:r w:rsidR="007F4ACA">
        <w:t xml:space="preserve"> disease severity, whereas applications made to the leaf exceeded 70% disease severity (Figure </w:t>
      </w:r>
      <w:r w:rsidR="00224442">
        <w:t>2.</w:t>
      </w:r>
      <w:r w:rsidR="007F4ACA">
        <w:t xml:space="preserve">2). Applications of flutolanil made onto the sheath or stem plant parts resulted in 4% and 10% disease severity, respectively, and were also significantly different from applications to </w:t>
      </w:r>
      <w:r w:rsidR="00224442">
        <w:t xml:space="preserve">the leaf (43% disease severity; </w:t>
      </w:r>
      <w:r w:rsidR="007F4ACA">
        <w:t xml:space="preserve">Figure </w:t>
      </w:r>
      <w:r w:rsidR="00224442">
        <w:t>2.</w:t>
      </w:r>
      <w:r w:rsidR="007F4ACA">
        <w:t xml:space="preserve">2).  </w:t>
      </w:r>
    </w:p>
    <w:p w14:paraId="58FDEF18" w14:textId="4E5B02A2" w:rsidR="007F4ACA" w:rsidRDefault="007F4ACA" w:rsidP="007F4ACA">
      <w:pPr>
        <w:spacing w:line="480" w:lineRule="auto"/>
        <w:ind w:firstLine="720"/>
      </w:pPr>
      <w:r>
        <w:t>Similar responses in the target site of application and the interaction of target site by fungicide were observed in the 2</w:t>
      </w:r>
      <w:r>
        <w:rPr>
          <w:vertAlign w:val="superscript"/>
        </w:rPr>
        <w:t>nd</w:t>
      </w:r>
      <w:r>
        <w:t xml:space="preserve"> experimental run. Pooled across fungicides, applications made to the sheath and stem exhibited significantly lower large patch severity on 7 and 14 DAIT compared to applications to the leaf (Figure </w:t>
      </w:r>
      <w:r w:rsidR="00224442">
        <w:t>2.</w:t>
      </w:r>
      <w:r>
        <w:t>3). All three xylem mobile fungicides tested in this experiment</w:t>
      </w:r>
      <w:r w:rsidR="00E47827">
        <w:t>,</w:t>
      </w:r>
      <w:r>
        <w:t xml:space="preserve"> applied on the sheath or stem</w:t>
      </w:r>
      <w:r w:rsidR="00E47827">
        <w:t>,</w:t>
      </w:r>
      <w:r>
        <w:t xml:space="preserve"> resulted in significantly lower large patch severity </w:t>
      </w:r>
      <w:r>
        <w:lastRenderedPageBreak/>
        <w:t xml:space="preserve">compared to leaf applications (Figure </w:t>
      </w:r>
      <w:r w:rsidR="00224442">
        <w:t>2.</w:t>
      </w:r>
      <w:r>
        <w:t xml:space="preserve">2). No significant differences between sheath and stem applications were detected </w:t>
      </w:r>
      <w:r w:rsidR="00247721">
        <w:t xml:space="preserve">among </w:t>
      </w:r>
      <w:r>
        <w:t xml:space="preserve">these fungicides. Chlorothalonil, a contact fungicide, applied to the stem exhibited significantly higher large patch severity (58%) compared to applications on the sheath (26%) and was statistically similar to </w:t>
      </w:r>
      <w:r w:rsidR="00224442">
        <w:t>applications on the leaf (64%; Figure 2.2</w:t>
      </w:r>
      <w:r>
        <w:t xml:space="preserve">). </w:t>
      </w:r>
    </w:p>
    <w:p w14:paraId="20CA5F2F" w14:textId="77777777" w:rsidR="007F4ACA" w:rsidRDefault="007F4ACA" w:rsidP="007F4ACA">
      <w:pPr>
        <w:spacing w:line="480" w:lineRule="auto"/>
        <w:ind w:firstLine="720"/>
      </w:pPr>
    </w:p>
    <w:p w14:paraId="0EB26465" w14:textId="5DDDC51E" w:rsidR="007F4ACA" w:rsidRDefault="004467F0" w:rsidP="007F4ACA">
      <w:pPr>
        <w:spacing w:line="480" w:lineRule="auto"/>
        <w:rPr>
          <w:b/>
        </w:rPr>
      </w:pPr>
      <w:r w:rsidRPr="004467F0">
        <w:rPr>
          <w:rStyle w:val="Heading3Char"/>
          <w:rFonts w:asciiTheme="minorHAnsi" w:hAnsiTheme="minorHAnsi" w:cstheme="minorHAnsi"/>
          <w:i/>
          <w:color w:val="000000" w:themeColor="text1"/>
        </w:rPr>
        <w:t>Fv/Fm</w:t>
      </w:r>
      <w:r>
        <w:rPr>
          <w:rStyle w:val="Heading3Char"/>
          <w:rFonts w:asciiTheme="minorHAnsi" w:hAnsiTheme="minorHAnsi" w:cstheme="minorHAnsi"/>
          <w:color w:val="000000" w:themeColor="text1"/>
        </w:rPr>
        <w:t xml:space="preserve"> measurements.</w:t>
      </w:r>
      <w:r w:rsidR="00522DF6">
        <w:rPr>
          <w:b/>
          <w:color w:val="000000" w:themeColor="text1"/>
        </w:rPr>
        <w:t xml:space="preserve"> </w:t>
      </w:r>
      <w:r w:rsidR="007F4ACA">
        <w:rPr>
          <w:i/>
        </w:rPr>
        <w:t>F</w:t>
      </w:r>
      <w:r w:rsidR="007F4ACA">
        <w:rPr>
          <w:i/>
          <w:vertAlign w:val="subscript"/>
        </w:rPr>
        <w:t>v</w:t>
      </w:r>
      <w:r w:rsidR="007F4ACA">
        <w:rPr>
          <w:i/>
        </w:rPr>
        <w:t>/F</w:t>
      </w:r>
      <w:r w:rsidR="007F4ACA">
        <w:rPr>
          <w:i/>
          <w:vertAlign w:val="subscript"/>
        </w:rPr>
        <w:t>m</w:t>
      </w:r>
      <w:r w:rsidR="007F4ACA">
        <w:t xml:space="preserve"> measurements gradually declined on each successive rating date throughout the trial duration (Figure </w:t>
      </w:r>
      <w:r w:rsidR="00224442">
        <w:t>2.</w:t>
      </w:r>
      <w:r w:rsidR="007F4ACA">
        <w:t>1). In the 1</w:t>
      </w:r>
      <w:r w:rsidR="007F4ACA">
        <w:rPr>
          <w:vertAlign w:val="superscript"/>
        </w:rPr>
        <w:t>st</w:t>
      </w:r>
      <w:r w:rsidR="007F4ACA">
        <w:t xml:space="preserve"> experimental run, significant differences were detected 14, 21, and 28 DAIT for target site of application and the interaction among target site by fungicide treatment (Table </w:t>
      </w:r>
      <w:r w:rsidR="00224442">
        <w:t>2.</w:t>
      </w:r>
      <w:r w:rsidR="007F4ACA">
        <w:t xml:space="preserve">2). Pooled across fungicides, applications applied to the sheath and stem exhibited significantly higher </w:t>
      </w:r>
      <w:r w:rsidR="007F4ACA" w:rsidRPr="00224442">
        <w:rPr>
          <w:i/>
        </w:rPr>
        <w:t>F</w:t>
      </w:r>
      <w:r w:rsidR="007F4ACA" w:rsidRPr="00224442">
        <w:rPr>
          <w:i/>
          <w:vertAlign w:val="subscript"/>
        </w:rPr>
        <w:t>v</w:t>
      </w:r>
      <w:r w:rsidR="007F4ACA" w:rsidRPr="00224442">
        <w:rPr>
          <w:i/>
        </w:rPr>
        <w:t>/F</w:t>
      </w:r>
      <w:r w:rsidR="007F4ACA" w:rsidRPr="00224442">
        <w:rPr>
          <w:i/>
          <w:vertAlign w:val="subscript"/>
        </w:rPr>
        <w:t>m</w:t>
      </w:r>
      <w:r w:rsidR="007F4ACA">
        <w:t xml:space="preserve"> values compared to leaf applications on 14, 21, and 28 DAIT after treatment. On the final rating date, fungicides applied on the sheath and stem exhibited </w:t>
      </w:r>
      <w:r w:rsidR="00224442" w:rsidRPr="00224442">
        <w:rPr>
          <w:i/>
        </w:rPr>
        <w:t>F</w:t>
      </w:r>
      <w:r w:rsidR="00224442" w:rsidRPr="00224442">
        <w:rPr>
          <w:i/>
          <w:vertAlign w:val="subscript"/>
        </w:rPr>
        <w:t>v</w:t>
      </w:r>
      <w:r w:rsidR="00224442" w:rsidRPr="00224442">
        <w:rPr>
          <w:i/>
        </w:rPr>
        <w:t>/F</w:t>
      </w:r>
      <w:r w:rsidR="00224442" w:rsidRPr="00224442">
        <w:rPr>
          <w:i/>
          <w:vertAlign w:val="subscript"/>
        </w:rPr>
        <w:t>m</w:t>
      </w:r>
      <w:r w:rsidR="00224442">
        <w:t xml:space="preserve"> </w:t>
      </w:r>
      <w:r w:rsidR="007F4ACA">
        <w:t xml:space="preserve">values of 649.1 and 660.3, respectively, and were significantly higher </w:t>
      </w:r>
      <w:r w:rsidR="000026F4">
        <w:t xml:space="preserve">than leaf applications (391.8; </w:t>
      </w:r>
      <w:r w:rsidR="007F4ACA">
        <w:t xml:space="preserve">Figure </w:t>
      </w:r>
      <w:r w:rsidR="000026F4">
        <w:t>2.</w:t>
      </w:r>
      <w:r w:rsidR="007F4ACA">
        <w:t xml:space="preserve">1). Applications of azoxystrobin were most affected by target site of application on the final rating date. Sheath and stem applications of azoxystrobin resulted in </w:t>
      </w:r>
      <w:r w:rsidR="000026F4" w:rsidRPr="00224442">
        <w:rPr>
          <w:i/>
        </w:rPr>
        <w:t>F</w:t>
      </w:r>
      <w:r w:rsidR="000026F4" w:rsidRPr="00224442">
        <w:rPr>
          <w:i/>
          <w:vertAlign w:val="subscript"/>
        </w:rPr>
        <w:t>v</w:t>
      </w:r>
      <w:r w:rsidR="000026F4" w:rsidRPr="00224442">
        <w:rPr>
          <w:i/>
        </w:rPr>
        <w:t>/F</w:t>
      </w:r>
      <w:r w:rsidR="000026F4" w:rsidRPr="00224442">
        <w:rPr>
          <w:i/>
          <w:vertAlign w:val="subscript"/>
        </w:rPr>
        <w:t>m</w:t>
      </w:r>
      <w:r w:rsidR="000026F4">
        <w:t xml:space="preserve"> </w:t>
      </w:r>
      <w:r w:rsidR="007F4ACA">
        <w:t>values of 721.4 and 740.8, respectively, whereas applications on the leaf were significant</w:t>
      </w:r>
      <w:r w:rsidR="000026F4">
        <w:t xml:space="preserve">ly lower (210.2; </w:t>
      </w:r>
      <w:r w:rsidR="007F4ACA">
        <w:t xml:space="preserve">Figure </w:t>
      </w:r>
      <w:r w:rsidR="000026F4">
        <w:t>2.</w:t>
      </w:r>
      <w:r w:rsidR="007F4ACA">
        <w:t xml:space="preserve">2). Applications of flutolanil on the sheath and stem also resulted in significantly higher </w:t>
      </w:r>
      <w:r w:rsidR="007F4ACA">
        <w:rPr>
          <w:i/>
        </w:rPr>
        <w:t>F</w:t>
      </w:r>
      <w:r w:rsidR="007F4ACA">
        <w:rPr>
          <w:i/>
          <w:vertAlign w:val="subscript"/>
        </w:rPr>
        <w:t>v</w:t>
      </w:r>
      <w:r w:rsidR="007F4ACA">
        <w:rPr>
          <w:i/>
        </w:rPr>
        <w:t>/F</w:t>
      </w:r>
      <w:r w:rsidR="007F4ACA">
        <w:rPr>
          <w:i/>
          <w:vertAlign w:val="subscript"/>
        </w:rPr>
        <w:t>m</w:t>
      </w:r>
      <w:r w:rsidR="007F4ACA">
        <w:t xml:space="preserve"> values compared to leaf applications. However, this </w:t>
      </w:r>
      <w:r w:rsidR="00E0751E">
        <w:t xml:space="preserve">effect </w:t>
      </w:r>
      <w:r w:rsidR="007F4ACA">
        <w:t xml:space="preserve">was not observed with applications of tebuconazole or chlorothalonil (Figure </w:t>
      </w:r>
      <w:r w:rsidR="000026F4">
        <w:t>2.</w:t>
      </w:r>
      <w:r w:rsidR="007F4ACA">
        <w:t xml:space="preserve">2). </w:t>
      </w:r>
    </w:p>
    <w:p w14:paraId="714874BD" w14:textId="6F3394AE" w:rsidR="007F4ACA" w:rsidRDefault="007F4ACA" w:rsidP="00DB4B20">
      <w:pPr>
        <w:spacing w:line="480" w:lineRule="auto"/>
        <w:ind w:firstLine="720"/>
      </w:pPr>
      <w:r>
        <w:t>In the 2</w:t>
      </w:r>
      <w:r>
        <w:rPr>
          <w:vertAlign w:val="superscript"/>
        </w:rPr>
        <w:t>nd</w:t>
      </w:r>
      <w:r>
        <w:t xml:space="preserve"> experimental run, significant differences in </w:t>
      </w:r>
      <w:r>
        <w:rPr>
          <w:i/>
        </w:rPr>
        <w:t>F</w:t>
      </w:r>
      <w:r>
        <w:rPr>
          <w:i/>
          <w:vertAlign w:val="subscript"/>
        </w:rPr>
        <w:t>v</w:t>
      </w:r>
      <w:r>
        <w:rPr>
          <w:i/>
        </w:rPr>
        <w:t>/F</w:t>
      </w:r>
      <w:r>
        <w:rPr>
          <w:i/>
          <w:vertAlign w:val="subscript"/>
        </w:rPr>
        <w:t>m</w:t>
      </w:r>
      <w:r>
        <w:t xml:space="preserve"> measurements for application target site and fungicide were observed on t</w:t>
      </w:r>
      <w:r w:rsidR="000026F4">
        <w:t>he final rating date (14 DAIT; Table 2.1</w:t>
      </w:r>
      <w:r>
        <w:t>). Similar to the 1</w:t>
      </w:r>
      <w:r>
        <w:rPr>
          <w:vertAlign w:val="superscript"/>
        </w:rPr>
        <w:t>st</w:t>
      </w:r>
      <w:r>
        <w:t xml:space="preserve"> experimental run, </w:t>
      </w:r>
      <w:r>
        <w:rPr>
          <w:i/>
        </w:rPr>
        <w:t>F</w:t>
      </w:r>
      <w:r>
        <w:rPr>
          <w:i/>
          <w:vertAlign w:val="subscript"/>
        </w:rPr>
        <w:t>v</w:t>
      </w:r>
      <w:r>
        <w:rPr>
          <w:i/>
        </w:rPr>
        <w:t>/F</w:t>
      </w:r>
      <w:r>
        <w:rPr>
          <w:i/>
          <w:vertAlign w:val="subscript"/>
        </w:rPr>
        <w:t>m</w:t>
      </w:r>
      <w:r>
        <w:t xml:space="preserve"> values were significantly higher for sheath and stem applications compared to leaf applications when pooled across fungicides (Figure </w:t>
      </w:r>
      <w:r w:rsidR="000026F4">
        <w:t>2.</w:t>
      </w:r>
      <w:r>
        <w:t xml:space="preserve">3). Applications of </w:t>
      </w:r>
      <w:r>
        <w:lastRenderedPageBreak/>
        <w:t xml:space="preserve">azoxystrobin, tebuconazole, and flutolanil made onto the stem all exhibited significantly higher </w:t>
      </w:r>
      <w:r>
        <w:rPr>
          <w:i/>
        </w:rPr>
        <w:t>F</w:t>
      </w:r>
      <w:r>
        <w:rPr>
          <w:i/>
          <w:vertAlign w:val="subscript"/>
        </w:rPr>
        <w:t>v</w:t>
      </w:r>
      <w:r>
        <w:rPr>
          <w:i/>
        </w:rPr>
        <w:t>/F</w:t>
      </w:r>
      <w:r>
        <w:rPr>
          <w:i/>
          <w:vertAlign w:val="subscript"/>
        </w:rPr>
        <w:t>m</w:t>
      </w:r>
      <w:r>
        <w:t xml:space="preserve"> values compared to leaf applications (Figure </w:t>
      </w:r>
      <w:r w:rsidR="000026F4">
        <w:t>2.</w:t>
      </w:r>
      <w:r>
        <w:t>2). However, applications of azoxystrobin onto the sheath (458.4) were not significantly different compared to azoxystr</w:t>
      </w:r>
      <w:r w:rsidR="000026F4">
        <w:t xml:space="preserve">obin applied to the leaf (321.4; </w:t>
      </w:r>
      <w:r>
        <w:t xml:space="preserve">Figure </w:t>
      </w:r>
      <w:r w:rsidR="000026F4">
        <w:t>2.</w:t>
      </w:r>
      <w:r w:rsidR="00DB4B20">
        <w:t xml:space="preserve">2). </w:t>
      </w:r>
    </w:p>
    <w:p w14:paraId="45435EBA" w14:textId="28DBCB5A" w:rsidR="00080DBE" w:rsidRPr="00080DBE" w:rsidRDefault="007F4ACA" w:rsidP="00DB4B20">
      <w:pPr>
        <w:pStyle w:val="Heading2"/>
        <w:spacing w:line="480" w:lineRule="auto"/>
      </w:pPr>
      <w:bookmarkStart w:id="60" w:name="_Toc466885901"/>
      <w:bookmarkStart w:id="61" w:name="_Toc466890530"/>
      <w:bookmarkStart w:id="62" w:name="_Toc466891165"/>
      <w:bookmarkStart w:id="63" w:name="_Toc466894845"/>
      <w:r>
        <w:t>Discussion</w:t>
      </w:r>
      <w:bookmarkEnd w:id="60"/>
      <w:bookmarkEnd w:id="61"/>
      <w:bookmarkEnd w:id="62"/>
      <w:bookmarkEnd w:id="63"/>
    </w:p>
    <w:p w14:paraId="12888037" w14:textId="77777777" w:rsidR="007F4ACA" w:rsidRDefault="007F4ACA" w:rsidP="00DB4B20">
      <w:pPr>
        <w:spacing w:line="480" w:lineRule="auto"/>
        <w:ind w:firstLine="720"/>
      </w:pPr>
      <w:r>
        <w:t xml:space="preserve">Results of this experiment suggest that improved large patch control could be achieved when fungicide treatments are deposited in the lower plant canopy of JLG. In this experiment, all xylem mobile fungicides resulted in a significant reduction of large patch severity and increased photochemical efficacy when applied on the sheath or stem compared to applications on the leaf. In some instances, fungicides applied on the leaf were comparable to the nontreated control. Expectedly, improving large patch control also resulted in the ability of JLG plants to maintain higher photochemical efficiency as measured by </w:t>
      </w:r>
      <w:r>
        <w:rPr>
          <w:i/>
        </w:rPr>
        <w:t>F</w:t>
      </w:r>
      <w:r>
        <w:rPr>
          <w:i/>
          <w:vertAlign w:val="subscript"/>
        </w:rPr>
        <w:t>v</w:t>
      </w:r>
      <w:r>
        <w:rPr>
          <w:i/>
        </w:rPr>
        <w:t>/F</w:t>
      </w:r>
      <w:r>
        <w:rPr>
          <w:i/>
          <w:vertAlign w:val="subscript"/>
        </w:rPr>
        <w:t>m</w:t>
      </w:r>
      <w:r>
        <w:t xml:space="preserve">. In this experiment, a strong correlation was observed between large patch severity and resultant </w:t>
      </w:r>
      <w:r>
        <w:rPr>
          <w:i/>
        </w:rPr>
        <w:t>F</w:t>
      </w:r>
      <w:r>
        <w:rPr>
          <w:i/>
          <w:vertAlign w:val="subscript"/>
        </w:rPr>
        <w:t>v</w:t>
      </w:r>
      <w:r>
        <w:rPr>
          <w:i/>
        </w:rPr>
        <w:t>/F</w:t>
      </w:r>
      <w:r>
        <w:rPr>
          <w:i/>
          <w:vertAlign w:val="subscript"/>
        </w:rPr>
        <w:t>m</w:t>
      </w:r>
      <w:r>
        <w:t xml:space="preserve"> values (correlation coefficient of 0.86 and 0.91 in the 1</w:t>
      </w:r>
      <w:r>
        <w:rPr>
          <w:vertAlign w:val="superscript"/>
        </w:rPr>
        <w:t>st</w:t>
      </w:r>
      <w:r>
        <w:t xml:space="preserve"> and 2</w:t>
      </w:r>
      <w:r>
        <w:rPr>
          <w:vertAlign w:val="superscript"/>
        </w:rPr>
        <w:t>nd</w:t>
      </w:r>
      <w:r>
        <w:t xml:space="preserve"> experimental run, respectively). An increased photochemical efficiency may result in hastened recovery post infection. </w:t>
      </w:r>
    </w:p>
    <w:p w14:paraId="19AB6BB0" w14:textId="3C8C8418" w:rsidR="007F4ACA" w:rsidRDefault="007F4ACA" w:rsidP="007F4ACA">
      <w:pPr>
        <w:spacing w:line="480" w:lineRule="auto"/>
        <w:ind w:firstLine="720"/>
      </w:pPr>
      <w:r>
        <w:rPr>
          <w:i/>
        </w:rPr>
        <w:t>Rhizoctonia solani</w:t>
      </w:r>
      <w:r>
        <w:t xml:space="preserve"> 2-2LP is almost exclusively found and isolated in the lower plant parts of JLG (Aoyagi et al., 1998). Thus, it is presumed the sheath and stem area is where infection and lesion development primarily occurs. This contrasts with brown patch</w:t>
      </w:r>
      <w:r w:rsidR="006510B0">
        <w:t xml:space="preserve"> </w:t>
      </w:r>
      <w:r>
        <w:t xml:space="preserve">development observed on cool-season turfgrass. Brown patch primarily blights the foliage of turf where lesion development occurs. This suggests that fungicide applications strategies that result in quality brown patch control may not provide </w:t>
      </w:r>
      <w:r w:rsidR="004257D4">
        <w:t>quality</w:t>
      </w:r>
      <w:r>
        <w:t xml:space="preserve"> large patch control.  </w:t>
      </w:r>
    </w:p>
    <w:p w14:paraId="604F1122" w14:textId="4D6C0F45" w:rsidR="007F4ACA" w:rsidRDefault="007F4ACA" w:rsidP="007F4ACA">
      <w:pPr>
        <w:spacing w:line="480" w:lineRule="auto"/>
        <w:ind w:firstLine="720"/>
      </w:pPr>
      <w:r>
        <w:lastRenderedPageBreak/>
        <w:t xml:space="preserve">Fungicide mobility and deposition have significant consequences on large patch control. Our findings support </w:t>
      </w:r>
      <w:r w:rsidR="0044089B">
        <w:t>reports</w:t>
      </w:r>
      <w:r>
        <w:t xml:space="preserve"> in agronomic crops </w:t>
      </w:r>
      <w:r w:rsidR="0044089B">
        <w:t>where</w:t>
      </w:r>
      <w:r>
        <w:t xml:space="preserve"> xylem mobile fungicides must be deposited at or below the initial site of infection to be most effective (Augusto et al., 2010; Butzler et al., 1998; Csinos, 1989). Most fungicides, with few exceptions, are either contact (no uptake or translocation), local penetrant (uptake with limited xylem mobility), or systemic (uptake with xylem mobility). However, the mechanisms of xenobiotic uptake and translocation are not fully understood. Fungicides that do become translocated through the xylem could have either positive or negative effects on large patch control. In this study, fungicides applied on the leaf resulted in poor large patch control. The xylem mobile fungicides tested in this experiment, particularly azoxystrobin, may have translocated even further away from the site of pathogen infection when deposited on the leaf. Conversely, xylem mobile fungicides applied lower in the plant canopy may have provided protection across the entire matrix of the plant. </w:t>
      </w:r>
    </w:p>
    <w:p w14:paraId="54512928" w14:textId="5BA133F8" w:rsidR="007F4ACA" w:rsidRDefault="007F4ACA" w:rsidP="007F4ACA">
      <w:pPr>
        <w:spacing w:line="480" w:lineRule="auto"/>
        <w:ind w:firstLine="720"/>
      </w:pPr>
      <w:r>
        <w:t xml:space="preserve">Some researchers have reported varying levels of disease control that occurred </w:t>
      </w:r>
      <w:r w:rsidR="0044089B">
        <w:t>basipetally</w:t>
      </w:r>
      <w:r>
        <w:t xml:space="preserve"> from initial fungicide deposition when using xylem mobile fungicides such as the pre-mixture of prothioconazole and tebuconazole (Augusto and Brenneman, 2012). However, the protection provided to the leaves basipetal from the fungicide deposition only occurred in the field and not in the greenhouse. The authors suggested that rain or irrigation could have washed surface residues to the lower canopy. The authors also suggested that prothioconazole may have the physicochemical properties necessary (pK</w:t>
      </w:r>
      <w:r>
        <w:rPr>
          <w:vertAlign w:val="subscript"/>
        </w:rPr>
        <w:t>a</w:t>
      </w:r>
      <w:r>
        <w:t xml:space="preserve"> value of 6.9 and a log K</w:t>
      </w:r>
      <w:r>
        <w:rPr>
          <w:vertAlign w:val="subscript"/>
        </w:rPr>
        <w:t>ow</w:t>
      </w:r>
      <w:r>
        <w:t xml:space="preserve"> of 3.82) to have phloem mobility (Brudenell, et al., 1995). In our study, all xylem mobile fungicides applied on the leaf exhibited the greatest large patch severity. Still, large patch severity was lower at times with leaf-applied fungicides when compared to the nontreated control. The reason for this </w:t>
      </w:r>
      <w:r>
        <w:lastRenderedPageBreak/>
        <w:t xml:space="preserve">apparent reduction in large patch severity is unclear. It may be possible that aerial mycelia fragments during colonization may have come in contact with the fungicide treated leaves causing fungal retardation. Another possibility is dew formation within the incubation chamber, which could have redistributed a small portion of the fungicide to the base of the plant. </w:t>
      </w:r>
    </w:p>
    <w:p w14:paraId="48A4BB46" w14:textId="1847D32C" w:rsidR="007F4ACA" w:rsidRDefault="007F4ACA" w:rsidP="007F4ACA">
      <w:pPr>
        <w:spacing w:line="480" w:lineRule="auto"/>
        <w:ind w:firstLine="720"/>
      </w:pPr>
      <w:r>
        <w:t>Spray application strategies need to be developed that improve the penetration of fungicides into the lower canopy of JLG for enhanced large patch control. Spray rate volume, nozzle selection, operating pressure, environmental conditions, canopy morphology, and adjuvants are just several influences that affect the penetration, deposition, and fungicidal control of xenobiotics. (Augusto et al., 2010). Numerous studies have been conducted on the effect of increasing the spray rate volume or nozzle droplet size of fungicide mixtures in turfgrass landscapes (Latin, 2011). However, most of this research was conducted on the control of dollar spot (</w:t>
      </w:r>
      <w:r>
        <w:rPr>
          <w:i/>
        </w:rPr>
        <w:t>Sclerotinia homoeocarpa</w:t>
      </w:r>
      <w:r>
        <w:t xml:space="preserve"> F.T. Bennett) (Kaminski and Fidanza, 2009; Kennelly and Wolf, 2009; McDonald et al., 2006; Vincelli and Dixon, 2007). In cropping systems, increasing the spray rate volume or nozzle droplet size has resulted in greater canopy penetration of spray mixtures </w:t>
      </w:r>
      <w:r w:rsidR="004257D4">
        <w:t xml:space="preserve">in ambient wind conditions </w:t>
      </w:r>
      <w:r>
        <w:t xml:space="preserve">(Armstrong-Cho et al., 2008; Wolf and Daggupati, 2009). Large patch control in JLG landscapes may be improved by using higher spray rate volumes that allow for greater canopy penetration. </w:t>
      </w:r>
    </w:p>
    <w:p w14:paraId="1429CA87" w14:textId="4ACE21A3" w:rsidR="007F4ACA" w:rsidRDefault="007F4ACA" w:rsidP="00DB4B20">
      <w:pPr>
        <w:spacing w:line="480" w:lineRule="auto"/>
        <w:ind w:firstLine="720"/>
      </w:pPr>
      <w:r>
        <w:t xml:space="preserve">Redistribution of fungicide mixtures into the lower plant canopy without the use of increasing spray rate volume should also be considered for managing large patch. Post-application rainfall or irrigation may displace fungicide residues off the leaves and down towards the base of the plant (Elliott et al., 1993; Fife and Nokes, 2002). Another possibility to increase the redistribution of the fungicide solution lower in the plant canopy is the incorporation of </w:t>
      </w:r>
      <w:r>
        <w:lastRenderedPageBreak/>
        <w:t xml:space="preserve">super-spreading surfactants in the spray mixture. Surfactants are frequently used in agronomic crops for disease, weed, and insect control. In turfgrass, surfactants are most often used for weed control and soil-targeted applications. However, little research has been done on the effects of surfactant technology on turfgrass disease control. Future research is warranted to determine the benefits of post-application irrigation or the inclusion of surfactant technology in spray mixtures on large patch control in JLG landscapes. </w:t>
      </w:r>
    </w:p>
    <w:p w14:paraId="4495DB4A" w14:textId="60ED5656" w:rsidR="00080DBE" w:rsidRPr="00080DBE" w:rsidRDefault="007F4ACA" w:rsidP="00DB4B20">
      <w:pPr>
        <w:pStyle w:val="Heading2"/>
        <w:spacing w:line="480" w:lineRule="auto"/>
      </w:pPr>
      <w:bookmarkStart w:id="64" w:name="_Toc466885902"/>
      <w:bookmarkStart w:id="65" w:name="_Toc466890531"/>
      <w:bookmarkStart w:id="66" w:name="_Toc466891166"/>
      <w:bookmarkStart w:id="67" w:name="_Toc466894846"/>
      <w:r>
        <w:t>Acknowledgements</w:t>
      </w:r>
      <w:bookmarkEnd w:id="64"/>
      <w:bookmarkEnd w:id="65"/>
      <w:bookmarkEnd w:id="66"/>
      <w:bookmarkEnd w:id="67"/>
    </w:p>
    <w:p w14:paraId="40CF73CC" w14:textId="77777777" w:rsidR="007F4ACA" w:rsidRDefault="007F4ACA" w:rsidP="007F4ACA">
      <w:pPr>
        <w:spacing w:line="480" w:lineRule="auto"/>
      </w:pPr>
      <w:r>
        <w:t xml:space="preserve">The authors would like to thank the United States Golf Association [grant no. 2015-05-520] for partial funding of this experiment. </w:t>
      </w:r>
    </w:p>
    <w:p w14:paraId="719A2276" w14:textId="77777777" w:rsidR="007F4ACA" w:rsidRDefault="007F4ACA" w:rsidP="007F4ACA">
      <w:pPr>
        <w:spacing w:line="480" w:lineRule="auto"/>
        <w:rPr>
          <w:b/>
        </w:rPr>
      </w:pPr>
    </w:p>
    <w:p w14:paraId="41290267" w14:textId="77777777" w:rsidR="00B154C7" w:rsidRDefault="00B154C7" w:rsidP="007F4ACA">
      <w:pPr>
        <w:spacing w:line="480" w:lineRule="auto"/>
        <w:jc w:val="center"/>
        <w:rPr>
          <w:b/>
        </w:rPr>
      </w:pPr>
    </w:p>
    <w:p w14:paraId="5D4DF4DF" w14:textId="77777777" w:rsidR="00B154C7" w:rsidRDefault="00B154C7" w:rsidP="007F4ACA">
      <w:pPr>
        <w:spacing w:line="480" w:lineRule="auto"/>
        <w:jc w:val="center"/>
        <w:rPr>
          <w:b/>
        </w:rPr>
      </w:pPr>
    </w:p>
    <w:p w14:paraId="4E9504AD" w14:textId="77777777" w:rsidR="00B154C7" w:rsidRDefault="00B154C7" w:rsidP="00522DF6">
      <w:pPr>
        <w:spacing w:line="480" w:lineRule="auto"/>
        <w:rPr>
          <w:b/>
        </w:rPr>
      </w:pPr>
    </w:p>
    <w:p w14:paraId="0C15FF35" w14:textId="77777777" w:rsidR="00DB4B20" w:rsidRDefault="00DB4B20" w:rsidP="00522DF6">
      <w:pPr>
        <w:spacing w:line="480" w:lineRule="auto"/>
        <w:rPr>
          <w:b/>
        </w:rPr>
      </w:pPr>
    </w:p>
    <w:p w14:paraId="42EC3F30" w14:textId="77777777" w:rsidR="00DB4B20" w:rsidRDefault="00DB4B20" w:rsidP="00522DF6">
      <w:pPr>
        <w:spacing w:line="480" w:lineRule="auto"/>
        <w:rPr>
          <w:b/>
        </w:rPr>
      </w:pPr>
    </w:p>
    <w:p w14:paraId="7C40F158" w14:textId="77777777" w:rsidR="00DB4B20" w:rsidRDefault="00DB4B20" w:rsidP="00522DF6">
      <w:pPr>
        <w:spacing w:line="480" w:lineRule="auto"/>
        <w:rPr>
          <w:b/>
        </w:rPr>
      </w:pPr>
    </w:p>
    <w:p w14:paraId="6277C629" w14:textId="77777777" w:rsidR="00DB4B20" w:rsidRDefault="00DB4B20" w:rsidP="00522DF6">
      <w:pPr>
        <w:spacing w:line="480" w:lineRule="auto"/>
        <w:rPr>
          <w:b/>
        </w:rPr>
      </w:pPr>
    </w:p>
    <w:p w14:paraId="27FA0337" w14:textId="77777777" w:rsidR="00DB4B20" w:rsidRDefault="00DB4B20" w:rsidP="00522DF6">
      <w:pPr>
        <w:spacing w:line="480" w:lineRule="auto"/>
        <w:rPr>
          <w:b/>
        </w:rPr>
      </w:pPr>
    </w:p>
    <w:p w14:paraId="3D5A132C" w14:textId="77777777" w:rsidR="00DB4B20" w:rsidRDefault="00DB4B20" w:rsidP="00522DF6">
      <w:pPr>
        <w:spacing w:line="480" w:lineRule="auto"/>
        <w:rPr>
          <w:b/>
        </w:rPr>
      </w:pPr>
    </w:p>
    <w:p w14:paraId="439E4FAF" w14:textId="77777777" w:rsidR="00DB4B20" w:rsidRDefault="00DB4B20" w:rsidP="00522DF6">
      <w:pPr>
        <w:spacing w:line="480" w:lineRule="auto"/>
        <w:rPr>
          <w:b/>
        </w:rPr>
      </w:pPr>
    </w:p>
    <w:p w14:paraId="2B63B81B" w14:textId="77777777" w:rsidR="00DB4B20" w:rsidRDefault="00DB4B20" w:rsidP="00522DF6">
      <w:pPr>
        <w:spacing w:line="480" w:lineRule="auto"/>
        <w:rPr>
          <w:b/>
        </w:rPr>
      </w:pPr>
    </w:p>
    <w:p w14:paraId="45E14E2B" w14:textId="77777777" w:rsidR="007F4ACA" w:rsidRDefault="007F4ACA" w:rsidP="00080DBE">
      <w:pPr>
        <w:pStyle w:val="Heading2"/>
      </w:pPr>
      <w:bookmarkStart w:id="68" w:name="_Toc466885903"/>
      <w:bookmarkStart w:id="69" w:name="_Toc466890532"/>
      <w:bookmarkStart w:id="70" w:name="_Toc466891167"/>
      <w:bookmarkStart w:id="71" w:name="_Toc466894847"/>
      <w:r>
        <w:lastRenderedPageBreak/>
        <w:t>LITERATURE CITED</w:t>
      </w:r>
      <w:bookmarkEnd w:id="68"/>
      <w:bookmarkEnd w:id="69"/>
      <w:bookmarkEnd w:id="70"/>
      <w:bookmarkEnd w:id="71"/>
    </w:p>
    <w:p w14:paraId="1DCA6580" w14:textId="77777777" w:rsidR="00080DBE" w:rsidRPr="00080DBE" w:rsidRDefault="00080DBE" w:rsidP="00080DBE"/>
    <w:p w14:paraId="6F80A1FB" w14:textId="77777777" w:rsidR="007F4ACA" w:rsidRDefault="007F4ACA" w:rsidP="007F4ACA">
      <w:pPr>
        <w:spacing w:line="480" w:lineRule="auto"/>
        <w:ind w:left="540" w:hanging="540"/>
      </w:pPr>
      <w:r>
        <w:t xml:space="preserve">Aoyagi, T., K. Kageyama, and M. Hyakumachi. 1998. Characterization and survival of </w:t>
      </w:r>
      <w:r>
        <w:rPr>
          <w:i/>
        </w:rPr>
        <w:t>Rhizoctonia solani</w:t>
      </w:r>
      <w:r>
        <w:t xml:space="preserve"> AG 2-2LP associated with large patch disease of Zoysia grass. Plant Dis. 82:857-863. </w:t>
      </w:r>
    </w:p>
    <w:p w14:paraId="34D31CA2" w14:textId="77777777" w:rsidR="007F4ACA" w:rsidRDefault="007F4ACA" w:rsidP="007F4ACA">
      <w:pPr>
        <w:spacing w:line="480" w:lineRule="auto"/>
        <w:ind w:left="540" w:hanging="540"/>
      </w:pPr>
      <w:r>
        <w:t xml:space="preserve">Armstrong-Cho, C., T. Wolf, G. Chongo, Y. Gan, T. Hogg, G. Lafond, E. Johnson, and S. Banniza. 2008. The effect of carrier volume on </w:t>
      </w:r>
      <w:r>
        <w:rPr>
          <w:i/>
        </w:rPr>
        <w:t>Ascochyta</w:t>
      </w:r>
      <w:r>
        <w:t xml:space="preserve"> blight (</w:t>
      </w:r>
      <w:r>
        <w:rPr>
          <w:i/>
        </w:rPr>
        <w:t>Ascochyta rabiei</w:t>
      </w:r>
      <w:r>
        <w:t>) control in chickpea. Crop Prot. 27:1020-1030.</w:t>
      </w:r>
    </w:p>
    <w:p w14:paraId="21FE55D6" w14:textId="77777777" w:rsidR="007F4ACA" w:rsidRDefault="007F4ACA" w:rsidP="007F4ACA">
      <w:pPr>
        <w:spacing w:line="480" w:lineRule="auto"/>
        <w:ind w:left="540" w:hanging="540"/>
      </w:pPr>
      <w:r>
        <w:t>Augusto, J., T.B. Brenneman, A.K. Culbreath, and P. Sumner. 2010. Night spraying peanut fungicide II. Application timings and spray deposition in the lower canopy. Plant Dis. 94:683-689.</w:t>
      </w:r>
    </w:p>
    <w:p w14:paraId="352FA432" w14:textId="77777777" w:rsidR="007F4ACA" w:rsidRDefault="007F4ACA" w:rsidP="007F4ACA">
      <w:pPr>
        <w:spacing w:line="480" w:lineRule="auto"/>
        <w:ind w:left="540" w:hanging="540"/>
      </w:pPr>
      <w:r>
        <w:t xml:space="preserve">Augusto, J., and T.B. Brenneman. 2012. Assessing systemicity of peanut fungicides through bioassay of plant tissues with </w:t>
      </w:r>
      <w:r>
        <w:rPr>
          <w:i/>
        </w:rPr>
        <w:t>Sclerotium rolfsii</w:t>
      </w:r>
      <w:r>
        <w:t xml:space="preserve">. Plant Dis. 96:330-337. </w:t>
      </w:r>
    </w:p>
    <w:p w14:paraId="7FBAE781" w14:textId="32A231D9" w:rsidR="007F4ACA" w:rsidRDefault="007F4ACA" w:rsidP="007F4ACA">
      <w:pPr>
        <w:spacing w:line="480" w:lineRule="auto"/>
        <w:ind w:left="540" w:hanging="540"/>
      </w:pPr>
      <w:r>
        <w:t>Bardsley, S.J., and H.K. Ngugi. 2012. Reliability and accuracy of visual methods used to quantify severity of foliar bacterial spot symptoms on peach and nectarine. Plant Pathol. Online publication. Doi:10.111/j.1365-3059.2012.02651.x</w:t>
      </w:r>
      <w:r w:rsidR="0044089B">
        <w:t>.</w:t>
      </w:r>
    </w:p>
    <w:p w14:paraId="40503BCC" w14:textId="77777777" w:rsidR="007F4ACA" w:rsidRDefault="007F4ACA" w:rsidP="007F4ACA">
      <w:pPr>
        <w:spacing w:line="480" w:lineRule="auto"/>
        <w:ind w:left="540" w:hanging="540"/>
      </w:pPr>
      <w:r>
        <w:t xml:space="preserve">Beard, J.B. 1973. Turfgrass: Science and culture. Prentice Hall, Englewood Cliffs, NJ. </w:t>
      </w:r>
    </w:p>
    <w:p w14:paraId="6112C55E" w14:textId="242E6F66" w:rsidR="007F4ACA" w:rsidRDefault="007F4ACA" w:rsidP="007F4ACA">
      <w:pPr>
        <w:spacing w:line="480" w:lineRule="auto"/>
        <w:ind w:left="540" w:hanging="540"/>
      </w:pPr>
      <w:r>
        <w:t>Benelli, J.J. 2015. Why large patch is so difficult to control. Tennessee Turfgrass. August/September 2015:18-21</w:t>
      </w:r>
      <w:r w:rsidR="0044089B">
        <w:t>.</w:t>
      </w:r>
    </w:p>
    <w:p w14:paraId="282A9332" w14:textId="77777777" w:rsidR="007F4ACA" w:rsidRDefault="007F4ACA" w:rsidP="007F4ACA">
      <w:pPr>
        <w:spacing w:line="480" w:lineRule="auto"/>
        <w:ind w:left="540" w:hanging="540"/>
      </w:pPr>
      <w:r>
        <w:t xml:space="preserve">Brudenell, A.J.P., D.A. Baker, and B.T. Grayson. 1995. Phloem mobility of xenobiotics: tabular review of physiochemical properties governing the output of the Kleier model. Plant Growth Regul. 16:215-231. </w:t>
      </w:r>
    </w:p>
    <w:p w14:paraId="045DBC29" w14:textId="4A587C75" w:rsidR="007F4ACA" w:rsidRDefault="007F4ACA" w:rsidP="007F4ACA">
      <w:pPr>
        <w:spacing w:line="480" w:lineRule="auto"/>
        <w:ind w:left="540" w:hanging="540"/>
      </w:pPr>
      <w:r>
        <w:lastRenderedPageBreak/>
        <w:t xml:space="preserve">Bucher, E.S., and H.T. Wilkinson. 2007. The pathogenicity of </w:t>
      </w:r>
      <w:r w:rsidRPr="006C09AA">
        <w:rPr>
          <w:i/>
        </w:rPr>
        <w:t>Gaeumannomyces incrustans</w:t>
      </w:r>
      <w:r>
        <w:t xml:space="preserve"> on turfgrass </w:t>
      </w:r>
      <w:r w:rsidRPr="006C09AA">
        <w:rPr>
          <w:i/>
        </w:rPr>
        <w:t>Zoysia japonica</w:t>
      </w:r>
      <w:r>
        <w:t>. Can. J. Plant Pathol. 29:56-62. Doi:10.1080/07060660709507437</w:t>
      </w:r>
      <w:r w:rsidR="0044089B">
        <w:t>.</w:t>
      </w:r>
    </w:p>
    <w:p w14:paraId="1B081FF4" w14:textId="77777777" w:rsidR="007F4ACA" w:rsidRDefault="007F4ACA" w:rsidP="007F4ACA">
      <w:pPr>
        <w:spacing w:line="480" w:lineRule="auto"/>
        <w:ind w:left="540" w:hanging="540"/>
      </w:pPr>
      <w:r>
        <w:t xml:space="preserve">Butzler, T.M., J. Bailey, and M.K. Beute. 1998. Integrated management of </w:t>
      </w:r>
      <w:r>
        <w:rPr>
          <w:i/>
        </w:rPr>
        <w:t>Sclerotinia</w:t>
      </w:r>
      <w:r>
        <w:t xml:space="preserve"> blight in peanut: utilizing canopy morphology, mechanical pruning, and fungicide timing. </w:t>
      </w:r>
      <w:r w:rsidR="006C09AA">
        <w:t xml:space="preserve">Plant Dis. 82:1312-1318. </w:t>
      </w:r>
    </w:p>
    <w:p w14:paraId="21BE89D1" w14:textId="77777777" w:rsidR="007F4ACA" w:rsidRDefault="007F4ACA" w:rsidP="007F4ACA">
      <w:pPr>
        <w:spacing w:line="480" w:lineRule="auto"/>
        <w:ind w:left="540" w:hanging="540"/>
      </w:pPr>
      <w:r>
        <w:t xml:space="preserve">Bock, C.H., T.R. Gottwald, P.E. Parker, A.Z. Cook, F. Ferrandino, S. Parnell, and F. van den Bosch. 2009a. The Horsfall-Barratt scale and severity estimates of citrus canker. Euro. J. Plant Path. 125:23-38. </w:t>
      </w:r>
    </w:p>
    <w:p w14:paraId="25B9D6EB" w14:textId="77777777" w:rsidR="007F4ACA" w:rsidRDefault="007F4ACA" w:rsidP="007F4ACA">
      <w:pPr>
        <w:spacing w:line="480" w:lineRule="auto"/>
        <w:ind w:left="540" w:hanging="540"/>
      </w:pPr>
      <w:r>
        <w:t>Bock, C.H., T.R. Gottwald, P.E. Parker, F. Ferrandino, S. Welham, F. van den Bosch, and S. Parnell. 2009b. Some consequences of using the Horsfall-Barratt scale for estimating disease severity compared to near percent estimation. In: Proc. Of the 10th Int. Workshop Plant Dis. Epid., University of Cornell, Geneva, NY. Pp 20-22.</w:t>
      </w:r>
    </w:p>
    <w:p w14:paraId="6576AD7E" w14:textId="77777777" w:rsidR="007F4ACA" w:rsidRDefault="007F4ACA" w:rsidP="007F4ACA">
      <w:pPr>
        <w:spacing w:line="480" w:lineRule="auto"/>
        <w:ind w:left="540" w:hanging="540"/>
      </w:pPr>
      <w:r>
        <w:t>Bock, C.H., B.W. Wood, F. VD.  Bosch, S. Parnell, and T.R. Gottwald. 2013. The effect of Horsfall-Barratt catergory size on the accuracy and reliability of estimates of pecan scab severity. Plant Dis. 797-806.</w:t>
      </w:r>
    </w:p>
    <w:p w14:paraId="14EA967D" w14:textId="7CFF6773" w:rsidR="007F4ACA" w:rsidRDefault="007F4ACA" w:rsidP="007F4ACA">
      <w:pPr>
        <w:spacing w:line="480" w:lineRule="auto"/>
        <w:ind w:left="540" w:hanging="540"/>
      </w:pPr>
      <w:r>
        <w:t>Carson, T. 2010. Large patch in zoysiagrass. Golf Course Manage. 9:38</w:t>
      </w:r>
      <w:r w:rsidR="0044089B">
        <w:t>.</w:t>
      </w:r>
    </w:p>
    <w:p w14:paraId="069BF97A" w14:textId="77777777" w:rsidR="007F4ACA" w:rsidRDefault="007F4ACA" w:rsidP="007F4ACA">
      <w:pPr>
        <w:spacing w:line="480" w:lineRule="auto"/>
        <w:ind w:left="540" w:hanging="540"/>
      </w:pPr>
      <w:r>
        <w:t xml:space="preserve">Chang, R.K., Y.H. Wang, X.T. Zhang, G.C. Tang, and Y. Wei. 2015. The research on disease detection method of greenhouse cucumber leaf based on chlorophyll fluorescence analysis. Univ. Journ. of Agric. Res. 3:76-80. </w:t>
      </w:r>
    </w:p>
    <w:p w14:paraId="28BE7C69" w14:textId="77777777" w:rsidR="007F4ACA" w:rsidRDefault="007F4ACA" w:rsidP="007F4ACA">
      <w:pPr>
        <w:spacing w:line="480" w:lineRule="auto"/>
        <w:ind w:left="540" w:hanging="540"/>
      </w:pPr>
      <w:r>
        <w:t xml:space="preserve">Csinos, A.S. 1989. Targeting fungicides for control of southern stem rot on peanut. Plant Dis. 73:723-726. </w:t>
      </w:r>
    </w:p>
    <w:p w14:paraId="2EB79FBD" w14:textId="77777777" w:rsidR="007F4ACA" w:rsidRDefault="007F4ACA" w:rsidP="007F4ACA">
      <w:pPr>
        <w:spacing w:line="480" w:lineRule="auto"/>
        <w:ind w:left="540" w:hanging="540"/>
      </w:pPr>
      <w:r>
        <w:lastRenderedPageBreak/>
        <w:t xml:space="preserve">Couch, H.B. 1984. Turfgrass fungicides. Part II. Dilution rates, nozzle size, nozzle pressure and disease control. Golf Course Manage. 52:73-80. </w:t>
      </w:r>
    </w:p>
    <w:p w14:paraId="5577D619" w14:textId="77777777" w:rsidR="007F4ACA" w:rsidRDefault="007F4ACA" w:rsidP="007F4ACA">
      <w:pPr>
        <w:spacing w:line="480" w:lineRule="auto"/>
        <w:ind w:left="540" w:hanging="540"/>
      </w:pPr>
      <w:r>
        <w:t>Dallagnol, L.J., S.C.V. Martins, F.M. DaMatta, and F.A. Rodrigues. 2015. Brown spot negatively affects gas exchange and chlorophyll a fluorescence in rice leaves. Trop. Plant Path. 4: 275-278.</w:t>
      </w:r>
    </w:p>
    <w:p w14:paraId="715D5F03" w14:textId="77777777" w:rsidR="007F4ACA" w:rsidRDefault="007F4ACA" w:rsidP="007F4ACA">
      <w:pPr>
        <w:spacing w:line="480" w:lineRule="auto"/>
        <w:ind w:left="540" w:hanging="540"/>
      </w:pPr>
      <w:r>
        <w:t xml:space="preserve">Daniels, J.P, and R. Latin. 2013. Residual efficacy of fungicides for controlling brown patch of creeping bentgrass fairways. Plant Dis. 97:1620-1625. </w:t>
      </w:r>
    </w:p>
    <w:p w14:paraId="2612DF71" w14:textId="77777777" w:rsidR="007F4ACA" w:rsidRDefault="007F4ACA" w:rsidP="007F4ACA">
      <w:pPr>
        <w:spacing w:line="480" w:lineRule="auto"/>
        <w:ind w:left="540" w:hanging="540"/>
      </w:pPr>
      <w:r>
        <w:t xml:space="preserve">Duncan, R.R., and L.M. Shuman. 1993. Acid soil stress response of zoysiagrass. Int. Turfgrass Soc. Res. J. 7:805-811. </w:t>
      </w:r>
    </w:p>
    <w:p w14:paraId="3D12B483" w14:textId="77777777" w:rsidR="007F4ACA" w:rsidRDefault="007F4ACA" w:rsidP="007F4ACA">
      <w:pPr>
        <w:spacing w:line="480" w:lineRule="auto"/>
        <w:ind w:left="540" w:hanging="540"/>
      </w:pPr>
      <w:r>
        <w:t xml:space="preserve">Elliott, V.J., and H.W. Spurr. 1993. Temporal dynamics of chlorothalonil residues on peanut foliage and the influence of weather factors and plant growth. Plant Dis. 77:455-460. </w:t>
      </w:r>
    </w:p>
    <w:p w14:paraId="11A3E3DA" w14:textId="77777777" w:rsidR="007F4ACA" w:rsidRDefault="007F4ACA" w:rsidP="007F4ACA">
      <w:pPr>
        <w:spacing w:line="480" w:lineRule="auto"/>
        <w:ind w:left="540" w:hanging="540"/>
      </w:pPr>
      <w:r>
        <w:t xml:space="preserve">Fife, J.P., and S. Nokes. 2002. Evaluation of the effect of rainfall intensity and duration on the persistence of chlorothalonil on processing tomato foliage. Crop Prot. 21:733-740.  </w:t>
      </w:r>
    </w:p>
    <w:p w14:paraId="5768E900" w14:textId="77777777" w:rsidR="007F4ACA" w:rsidRDefault="007F4ACA" w:rsidP="007F4ACA">
      <w:pPr>
        <w:spacing w:line="480" w:lineRule="auto"/>
        <w:ind w:left="540" w:hanging="540"/>
      </w:pPr>
      <w:r>
        <w:t xml:space="preserve">Green, D.E., J.D. Fry, J.C. Pair, and N.A. Tisserat. 1993. </w:t>
      </w:r>
      <w:r w:rsidR="0072085F">
        <w:t>Pathogenicity</w:t>
      </w:r>
      <w:r>
        <w:t xml:space="preserve"> of </w:t>
      </w:r>
      <w:r w:rsidRPr="0072085F">
        <w:rPr>
          <w:i/>
        </w:rPr>
        <w:t>Rhizoctonia solani</w:t>
      </w:r>
      <w:r>
        <w:t xml:space="preserve"> AG-2-2 and </w:t>
      </w:r>
      <w:r w:rsidRPr="0072085F">
        <w:rPr>
          <w:i/>
        </w:rPr>
        <w:t>Ophiosphaerella herpotricha</w:t>
      </w:r>
      <w:r>
        <w:t xml:space="preserve"> on zoysiagrass. Plant Dis. 77:1040-1044. </w:t>
      </w:r>
    </w:p>
    <w:p w14:paraId="6EBF97CA" w14:textId="77777777" w:rsidR="007F4ACA" w:rsidRDefault="007F4ACA" w:rsidP="007F4ACA">
      <w:pPr>
        <w:spacing w:line="480" w:lineRule="auto"/>
        <w:ind w:left="540" w:hanging="540"/>
      </w:pPr>
      <w:r>
        <w:t xml:space="preserve">Green, D.E., J.D. Fry, J.C. Pair, and N.A. Tisserat. 1994. Influence of management practices on </w:t>
      </w:r>
      <w:r>
        <w:rPr>
          <w:i/>
        </w:rPr>
        <w:t>Rhizoctonia</w:t>
      </w:r>
      <w:r>
        <w:t xml:space="preserve"> large patch dis</w:t>
      </w:r>
      <w:r w:rsidR="0072085F">
        <w:t>ease in zoysiagrass. HortSci.</w:t>
      </w:r>
      <w:r>
        <w:t xml:space="preserve"> 29:186-188. </w:t>
      </w:r>
    </w:p>
    <w:p w14:paraId="472F04B6" w14:textId="77777777" w:rsidR="007F4ACA" w:rsidRDefault="007F4ACA" w:rsidP="007F4ACA">
      <w:pPr>
        <w:spacing w:line="480" w:lineRule="auto"/>
        <w:ind w:left="540" w:hanging="540"/>
      </w:pPr>
      <w:r>
        <w:t xml:space="preserve">Hyakumachi, M., T. Mushika, Y. Ogiso, T. Toda, K. Kageyama, and T. Tsuge. 1998. Characterization of a new cultural type LP of </w:t>
      </w:r>
      <w:r>
        <w:rPr>
          <w:i/>
        </w:rPr>
        <w:t>Rhizoctonia solani</w:t>
      </w:r>
      <w:r>
        <w:t xml:space="preserve"> AG 2-2 isolated from warm-season turfgrasses, and its genetic differentiation from other cultural types. Plant Path. 47:1-9. </w:t>
      </w:r>
    </w:p>
    <w:p w14:paraId="71D49C58" w14:textId="77777777" w:rsidR="007F4ACA" w:rsidRDefault="007F4ACA" w:rsidP="007F4ACA">
      <w:pPr>
        <w:spacing w:line="480" w:lineRule="auto"/>
        <w:ind w:left="540" w:hanging="540"/>
      </w:pPr>
      <w:r>
        <w:lastRenderedPageBreak/>
        <w:t>Kaminski, J.E., and M.A. Fidanza. 2009. Dollar spot severity as influenced by fungicide mode of activity an</w:t>
      </w:r>
      <w:r w:rsidR="0072085F">
        <w:t>d spray nozzle. HortSci</w:t>
      </w:r>
      <w:r>
        <w:t xml:space="preserve">. 44:1762-1766. </w:t>
      </w:r>
    </w:p>
    <w:p w14:paraId="047EE132" w14:textId="77777777" w:rsidR="007F4ACA" w:rsidRDefault="007F4ACA" w:rsidP="007F4ACA">
      <w:pPr>
        <w:spacing w:line="480" w:lineRule="auto"/>
        <w:ind w:left="540" w:hanging="540"/>
      </w:pPr>
      <w:r>
        <w:t xml:space="preserve">Kennelly, M.M., and R.E. Wolf. 2009. Effect of nozzle type and water volume on dollar spot control in greens-height creeping bentgrass. Appl. Turfgrass Sci. doi:10.1094/ATS-2009-0921-01-RS. </w:t>
      </w:r>
    </w:p>
    <w:p w14:paraId="1291ED25" w14:textId="77777777" w:rsidR="007F4ACA" w:rsidRDefault="007F4ACA" w:rsidP="007F4ACA">
      <w:pPr>
        <w:spacing w:line="480" w:lineRule="auto"/>
        <w:ind w:left="540" w:hanging="540"/>
      </w:pPr>
      <w:r>
        <w:t xml:space="preserve">Latin, R. 2005. Residual efficacy of fungicides for control of dollar spot on creeping bentgrass. Plant Dis. 90:571-575. </w:t>
      </w:r>
    </w:p>
    <w:p w14:paraId="03435DD7" w14:textId="72201BCE" w:rsidR="007F4ACA" w:rsidRDefault="007F4ACA" w:rsidP="007F4ACA">
      <w:pPr>
        <w:spacing w:line="480" w:lineRule="auto"/>
        <w:ind w:left="540" w:hanging="540"/>
      </w:pPr>
      <w:r>
        <w:t>Latin, R. 2011. A practical gui</w:t>
      </w:r>
      <w:r w:rsidR="0044089B">
        <w:t xml:space="preserve">de to turfgrass fungicides. </w:t>
      </w:r>
      <w:r>
        <w:t xml:space="preserve">American Phytopathological Society, St. Paul, MN. </w:t>
      </w:r>
    </w:p>
    <w:p w14:paraId="4A73B9D3" w14:textId="77777777" w:rsidR="007F4ACA" w:rsidRDefault="007F4ACA" w:rsidP="007F4ACA">
      <w:pPr>
        <w:spacing w:line="480" w:lineRule="auto"/>
        <w:ind w:left="540" w:hanging="540"/>
      </w:pPr>
      <w:r>
        <w:t xml:space="preserve">McDonald, S.J., P.H. Dernoeden, and C.A. Bigelow. 2006. Dollar spot control in creeping bentgrass as influenced by spray volume and application timing. Appl. Turfgrass Sci. doi:10.1094/ATS-2006-0531-01-RS. </w:t>
      </w:r>
    </w:p>
    <w:p w14:paraId="54ACC0C0" w14:textId="6A62E8EC" w:rsidR="007F4ACA" w:rsidRDefault="007F4ACA" w:rsidP="007F4ACA">
      <w:pPr>
        <w:spacing w:line="480" w:lineRule="auto"/>
        <w:ind w:left="540" w:hanging="540"/>
      </w:pPr>
      <w:r>
        <w:t>Miller, G.L., D.T. Earlywine, R. Braun, J.D. Fry, and M.M. Kennelly. 2016. Influence of nitrogen source and application timing on large pa</w:t>
      </w:r>
      <w:r w:rsidR="0044089B">
        <w:t>tch of zoysiagrass. Crop</w:t>
      </w:r>
      <w:r w:rsidR="0072085F">
        <w:t xml:space="preserve"> For. </w:t>
      </w:r>
      <w:r w:rsidR="0044089B">
        <w:t xml:space="preserve">Turf. </w:t>
      </w:r>
      <w:r w:rsidR="0072085F">
        <w:t>Manage</w:t>
      </w:r>
      <w:r>
        <w:t>. Doi:10.2134/cftm2015.0189</w:t>
      </w:r>
      <w:r>
        <w:tab/>
      </w:r>
    </w:p>
    <w:p w14:paraId="026B6237" w14:textId="77777777" w:rsidR="007F4ACA" w:rsidRDefault="007F4ACA" w:rsidP="007F4ACA">
      <w:pPr>
        <w:spacing w:line="480" w:lineRule="auto"/>
        <w:ind w:left="540" w:hanging="540"/>
      </w:pPr>
      <w:r>
        <w:t xml:space="preserve">Obasa, K., J.Fry, and M. Kennelly. 2012. Susceptibility of zoysiagrass germplasm to large patch caused by </w:t>
      </w:r>
      <w:r>
        <w:rPr>
          <w:i/>
        </w:rPr>
        <w:t>Rhizoctonia solani</w:t>
      </w:r>
      <w:r w:rsidR="0072085F">
        <w:t>. HortSci.</w:t>
      </w:r>
      <w:r>
        <w:t xml:space="preserve"> 47:1252-1256. </w:t>
      </w:r>
    </w:p>
    <w:p w14:paraId="6CA39100" w14:textId="77777777" w:rsidR="007F4ACA" w:rsidRDefault="007F4ACA" w:rsidP="007F4ACA">
      <w:pPr>
        <w:spacing w:line="480" w:lineRule="auto"/>
        <w:ind w:left="540" w:hanging="540"/>
      </w:pPr>
      <w:r>
        <w:t>Obasa, K., J.Fry, D. Bremer, R.S. John, and M. Kennelly. 2013. Effect of cultivation and timing of nitrogen fertilization on large patch disease of zoysiagrass. Plant Dis. 97:1075-1081</w:t>
      </w:r>
    </w:p>
    <w:p w14:paraId="59FE8F9B" w14:textId="1027451B" w:rsidR="007F4ACA" w:rsidRDefault="007F4ACA" w:rsidP="007F4ACA">
      <w:pPr>
        <w:spacing w:line="480" w:lineRule="auto"/>
        <w:ind w:left="540" w:hanging="540"/>
      </w:pPr>
      <w:r>
        <w:t xml:space="preserve">Ren, R., X. Yang, and R.V. Ray. 2015. Comparative aggressiveness of </w:t>
      </w:r>
      <w:r>
        <w:rPr>
          <w:i/>
        </w:rPr>
        <w:t>Microdochium nivale</w:t>
      </w:r>
      <w:r>
        <w:t xml:space="preserve"> and </w:t>
      </w:r>
      <w:r>
        <w:rPr>
          <w:i/>
        </w:rPr>
        <w:t>M. majus</w:t>
      </w:r>
      <w:r>
        <w:t xml:space="preserve"> and evaluation of screening methods for </w:t>
      </w:r>
      <w:r>
        <w:rPr>
          <w:i/>
        </w:rPr>
        <w:t>Fusarium</w:t>
      </w:r>
      <w:r>
        <w:t xml:space="preserve"> seeding blight resistance in </w:t>
      </w:r>
      <w:r w:rsidR="0044089B">
        <w:t>wheat cultivars. Euro. Journ.</w:t>
      </w:r>
      <w:r>
        <w:t xml:space="preserve"> Plant Path. 141: 281-294. </w:t>
      </w:r>
    </w:p>
    <w:p w14:paraId="15D81FBA" w14:textId="77777777" w:rsidR="007F4ACA" w:rsidRDefault="007F4ACA" w:rsidP="007F4ACA">
      <w:pPr>
        <w:spacing w:line="480" w:lineRule="auto"/>
        <w:ind w:left="540" w:hanging="540"/>
      </w:pPr>
      <w:r>
        <w:lastRenderedPageBreak/>
        <w:t>Saxton, A.M. 2010. Design and Analysis Web Guide. DAWG Web site. Available online: http://dawg.utk.edu/ (accessed on 16 July 2016).</w:t>
      </w:r>
    </w:p>
    <w:p w14:paraId="1F45E40F" w14:textId="77777777" w:rsidR="007F4ACA" w:rsidRDefault="007F4ACA" w:rsidP="007F4ACA">
      <w:pPr>
        <w:spacing w:line="480" w:lineRule="auto"/>
        <w:ind w:left="540" w:hanging="540"/>
      </w:pPr>
      <w:r>
        <w:t xml:space="preserve">Spurlock, T.N. 2009. Epidemiology and etiology of zoysiagrass diseases in Northwest Arkansas. M.S. thesis. Univ. of Arkansas, Fayetteville. </w:t>
      </w:r>
    </w:p>
    <w:p w14:paraId="574AE3D9" w14:textId="77777777" w:rsidR="007F4ACA" w:rsidRDefault="007F4ACA" w:rsidP="007F4ACA">
      <w:pPr>
        <w:spacing w:line="480" w:lineRule="auto"/>
        <w:ind w:left="540" w:hanging="540"/>
      </w:pPr>
      <w:r>
        <w:t xml:space="preserve">Tisserat, N.A., J. Fry, and D. Green. 1994. Managing </w:t>
      </w:r>
      <w:r>
        <w:rPr>
          <w:i/>
        </w:rPr>
        <w:t xml:space="preserve">Rhizoctonia </w:t>
      </w:r>
      <w:r>
        <w:t xml:space="preserve">large patch. Golf Course Manage. 62:58-61. </w:t>
      </w:r>
    </w:p>
    <w:p w14:paraId="6F13D1D9" w14:textId="77777777" w:rsidR="007F4ACA" w:rsidRDefault="007F4ACA" w:rsidP="007F4ACA">
      <w:pPr>
        <w:spacing w:line="480" w:lineRule="auto"/>
        <w:ind w:left="540" w:hanging="540"/>
      </w:pPr>
      <w:r>
        <w:t>Turgeon, A.J. 2008. Turfgrass management. 8</w:t>
      </w:r>
      <w:r>
        <w:rPr>
          <w:vertAlign w:val="superscript"/>
        </w:rPr>
        <w:t>th</w:t>
      </w:r>
      <w:r>
        <w:t xml:space="preserve"> ed. Prentice Hall, Upper Saddle River, NJ. </w:t>
      </w:r>
    </w:p>
    <w:p w14:paraId="66665FC0" w14:textId="77777777" w:rsidR="007F4ACA" w:rsidRDefault="007F4ACA" w:rsidP="007F4ACA">
      <w:pPr>
        <w:spacing w:line="480" w:lineRule="auto"/>
        <w:ind w:left="540" w:hanging="540"/>
      </w:pPr>
      <w:r>
        <w:t xml:space="preserve">Vincelli, P. and E. Dixon. 2007. Does spray coverage influence fungicide efficacy against dollar spot? Appl. Turfgrass Sci. doi:10.1094/ATS-2007-1218-01-RS. </w:t>
      </w:r>
    </w:p>
    <w:p w14:paraId="00743493" w14:textId="0A2A06A5" w:rsidR="007F4ACA" w:rsidRDefault="007F4ACA" w:rsidP="007F4ACA">
      <w:pPr>
        <w:spacing w:line="480" w:lineRule="auto"/>
        <w:ind w:left="540" w:hanging="540"/>
      </w:pPr>
      <w:r>
        <w:t>Wolf, R.E, and N.P. Daggupati. 2009. Nozzle type on soy</w:t>
      </w:r>
      <w:r w:rsidR="0044089B">
        <w:t xml:space="preserve">bean canopy penetration. Appl. Engin. Agric. </w:t>
      </w:r>
      <w:r>
        <w:t xml:space="preserve">25:23-30. </w:t>
      </w:r>
    </w:p>
    <w:p w14:paraId="0511AD7E" w14:textId="77777777" w:rsidR="007F4ACA" w:rsidRDefault="007F4ACA" w:rsidP="007F4ACA"/>
    <w:p w14:paraId="12397632" w14:textId="77777777" w:rsidR="007F4ACA" w:rsidRDefault="007F4ACA" w:rsidP="007F4ACA"/>
    <w:p w14:paraId="41781CB6" w14:textId="77777777" w:rsidR="007F4ACA" w:rsidRDefault="007F4ACA" w:rsidP="007F4ACA"/>
    <w:p w14:paraId="37F243B2" w14:textId="77777777" w:rsidR="007F4ACA" w:rsidRDefault="007F4ACA" w:rsidP="007F4ACA">
      <w:pPr>
        <w:jc w:val="center"/>
        <w:rPr>
          <w:b/>
          <w:bCs/>
          <w:sz w:val="28"/>
          <w:szCs w:val="28"/>
        </w:rPr>
      </w:pPr>
    </w:p>
    <w:p w14:paraId="641BDDF3" w14:textId="77777777" w:rsidR="007F4ACA" w:rsidRDefault="007F4ACA" w:rsidP="007F4ACA">
      <w:pPr>
        <w:jc w:val="center"/>
        <w:rPr>
          <w:b/>
          <w:bCs/>
          <w:sz w:val="28"/>
          <w:szCs w:val="28"/>
        </w:rPr>
      </w:pPr>
    </w:p>
    <w:p w14:paraId="1C1EAEC3" w14:textId="77777777" w:rsidR="007F4ACA" w:rsidRDefault="007F4ACA" w:rsidP="007F4ACA">
      <w:pPr>
        <w:jc w:val="center"/>
        <w:rPr>
          <w:b/>
          <w:bCs/>
          <w:sz w:val="28"/>
          <w:szCs w:val="28"/>
        </w:rPr>
      </w:pPr>
    </w:p>
    <w:p w14:paraId="60232F80" w14:textId="77777777" w:rsidR="007F4ACA" w:rsidRDefault="007F4ACA" w:rsidP="007F4ACA">
      <w:pPr>
        <w:jc w:val="center"/>
        <w:rPr>
          <w:b/>
          <w:bCs/>
          <w:sz w:val="28"/>
          <w:szCs w:val="28"/>
        </w:rPr>
      </w:pPr>
    </w:p>
    <w:p w14:paraId="40E23856" w14:textId="77777777" w:rsidR="007F4ACA" w:rsidRDefault="007F4ACA" w:rsidP="007F4ACA">
      <w:pPr>
        <w:jc w:val="center"/>
        <w:rPr>
          <w:b/>
          <w:bCs/>
          <w:sz w:val="28"/>
          <w:szCs w:val="28"/>
        </w:rPr>
      </w:pPr>
    </w:p>
    <w:p w14:paraId="4198183A" w14:textId="77777777" w:rsidR="007F4ACA" w:rsidRDefault="007F4ACA" w:rsidP="007F4ACA">
      <w:pPr>
        <w:jc w:val="center"/>
        <w:rPr>
          <w:b/>
          <w:bCs/>
          <w:sz w:val="28"/>
          <w:szCs w:val="28"/>
        </w:rPr>
      </w:pPr>
    </w:p>
    <w:p w14:paraId="02E652E0" w14:textId="77777777" w:rsidR="007F4ACA" w:rsidRDefault="007F4ACA" w:rsidP="007F4ACA">
      <w:pPr>
        <w:jc w:val="center"/>
        <w:rPr>
          <w:b/>
          <w:bCs/>
          <w:sz w:val="28"/>
          <w:szCs w:val="28"/>
        </w:rPr>
      </w:pPr>
    </w:p>
    <w:p w14:paraId="5905FAC5" w14:textId="77777777" w:rsidR="007F4ACA" w:rsidRDefault="007F4ACA" w:rsidP="007F4ACA">
      <w:pPr>
        <w:jc w:val="center"/>
        <w:rPr>
          <w:b/>
          <w:bCs/>
          <w:sz w:val="28"/>
          <w:szCs w:val="28"/>
        </w:rPr>
      </w:pPr>
    </w:p>
    <w:p w14:paraId="55723587" w14:textId="77777777" w:rsidR="007F4ACA" w:rsidRDefault="007F4ACA" w:rsidP="007F4ACA">
      <w:pPr>
        <w:jc w:val="center"/>
        <w:rPr>
          <w:b/>
          <w:bCs/>
          <w:sz w:val="28"/>
          <w:szCs w:val="28"/>
        </w:rPr>
      </w:pPr>
    </w:p>
    <w:p w14:paraId="197C6459" w14:textId="77777777" w:rsidR="007F4ACA" w:rsidRDefault="007F4ACA" w:rsidP="007F4ACA">
      <w:pPr>
        <w:jc w:val="center"/>
        <w:rPr>
          <w:b/>
          <w:bCs/>
          <w:sz w:val="28"/>
          <w:szCs w:val="28"/>
        </w:rPr>
      </w:pPr>
    </w:p>
    <w:p w14:paraId="542257D0" w14:textId="77777777" w:rsidR="007F4ACA" w:rsidRDefault="007F4ACA" w:rsidP="007F4ACA">
      <w:pPr>
        <w:jc w:val="center"/>
        <w:rPr>
          <w:b/>
          <w:bCs/>
          <w:sz w:val="28"/>
          <w:szCs w:val="28"/>
        </w:rPr>
      </w:pPr>
    </w:p>
    <w:p w14:paraId="448FAA38" w14:textId="77777777" w:rsidR="007F4ACA" w:rsidRDefault="007F4ACA" w:rsidP="007F4ACA">
      <w:pPr>
        <w:jc w:val="center"/>
        <w:rPr>
          <w:b/>
          <w:bCs/>
          <w:sz w:val="28"/>
          <w:szCs w:val="28"/>
        </w:rPr>
      </w:pPr>
    </w:p>
    <w:p w14:paraId="5681F026" w14:textId="77777777" w:rsidR="007F4ACA" w:rsidRDefault="007F4ACA" w:rsidP="00F208EB">
      <w:pPr>
        <w:rPr>
          <w:b/>
          <w:bCs/>
          <w:sz w:val="28"/>
          <w:szCs w:val="28"/>
        </w:rPr>
      </w:pPr>
    </w:p>
    <w:p w14:paraId="51E6B86C" w14:textId="77777777" w:rsidR="007F4ACA" w:rsidRDefault="007F4ACA" w:rsidP="007F4ACA">
      <w:pPr>
        <w:jc w:val="center"/>
        <w:rPr>
          <w:b/>
          <w:bCs/>
          <w:sz w:val="28"/>
          <w:szCs w:val="28"/>
        </w:rPr>
      </w:pPr>
    </w:p>
    <w:p w14:paraId="1B3DE02D" w14:textId="77777777" w:rsidR="007F4ACA" w:rsidRDefault="007F4ACA" w:rsidP="007F4ACA">
      <w:pPr>
        <w:jc w:val="center"/>
        <w:rPr>
          <w:b/>
          <w:bCs/>
          <w:sz w:val="28"/>
          <w:szCs w:val="28"/>
        </w:rPr>
      </w:pPr>
    </w:p>
    <w:p w14:paraId="2FCDE921" w14:textId="77777777" w:rsidR="0003520C" w:rsidRDefault="0003520C" w:rsidP="00551527">
      <w:pPr>
        <w:pStyle w:val="Heading2"/>
      </w:pPr>
      <w:bookmarkStart w:id="72" w:name="_Toc353890892"/>
    </w:p>
    <w:p w14:paraId="0975551C" w14:textId="77777777" w:rsidR="0003520C" w:rsidRDefault="0003520C" w:rsidP="00551527">
      <w:pPr>
        <w:pStyle w:val="Heading2"/>
      </w:pPr>
    </w:p>
    <w:p w14:paraId="4773E85F" w14:textId="77777777" w:rsidR="00080DBE" w:rsidRDefault="00080DBE" w:rsidP="00080DBE"/>
    <w:p w14:paraId="44A66492" w14:textId="77777777" w:rsidR="00080DBE" w:rsidRDefault="00080DBE" w:rsidP="00080DBE"/>
    <w:p w14:paraId="3E6D09A2" w14:textId="77777777" w:rsidR="00080DBE" w:rsidRDefault="00080DBE" w:rsidP="00080DBE"/>
    <w:p w14:paraId="3A8E78CD" w14:textId="77777777" w:rsidR="00080DBE" w:rsidRPr="00080DBE" w:rsidRDefault="00080DBE" w:rsidP="00080DBE"/>
    <w:p w14:paraId="2B9A9AE2" w14:textId="77777777" w:rsidR="00DB4B20" w:rsidRDefault="00DB4B20" w:rsidP="00551527">
      <w:pPr>
        <w:pStyle w:val="Heading2"/>
      </w:pPr>
      <w:bookmarkStart w:id="73" w:name="_Toc466885904"/>
      <w:bookmarkStart w:id="74" w:name="_Toc466890533"/>
      <w:bookmarkStart w:id="75" w:name="_Toc466891168"/>
      <w:bookmarkStart w:id="76" w:name="_Toc466894848"/>
    </w:p>
    <w:p w14:paraId="653496FB" w14:textId="77777777" w:rsidR="00DB4B20" w:rsidRDefault="00DB4B20" w:rsidP="00551527">
      <w:pPr>
        <w:pStyle w:val="Heading2"/>
      </w:pPr>
    </w:p>
    <w:p w14:paraId="2D9114F2" w14:textId="77777777" w:rsidR="00DB4B20" w:rsidRDefault="00DB4B20" w:rsidP="00551527">
      <w:pPr>
        <w:pStyle w:val="Heading2"/>
      </w:pPr>
    </w:p>
    <w:p w14:paraId="31DD41C3" w14:textId="77777777" w:rsidR="00DB4B20" w:rsidRDefault="00DB4B20" w:rsidP="00551527">
      <w:pPr>
        <w:pStyle w:val="Heading2"/>
      </w:pPr>
    </w:p>
    <w:p w14:paraId="10309203" w14:textId="77777777" w:rsidR="00DB4B20" w:rsidRDefault="00DB4B20" w:rsidP="00551527">
      <w:pPr>
        <w:pStyle w:val="Heading2"/>
      </w:pPr>
    </w:p>
    <w:p w14:paraId="67BD9BC8" w14:textId="199EE89F" w:rsidR="007F4ACA" w:rsidRPr="00D76ACF" w:rsidRDefault="007F4ACA" w:rsidP="00551527">
      <w:pPr>
        <w:pStyle w:val="Heading2"/>
      </w:pPr>
      <w:r w:rsidRPr="00D76ACF">
        <w:t>APPENDIX</w:t>
      </w:r>
      <w:bookmarkStart w:id="77" w:name="_Toc353890893"/>
      <w:bookmarkEnd w:id="72"/>
      <w:r w:rsidR="00080DBE">
        <w:br/>
      </w:r>
      <w:r w:rsidR="00080DBE">
        <w:br/>
      </w:r>
      <w:r w:rsidRPr="00D76ACF">
        <w:t>TABLES AND FIGURES</w:t>
      </w:r>
      <w:bookmarkEnd w:id="73"/>
      <w:bookmarkEnd w:id="74"/>
      <w:bookmarkEnd w:id="75"/>
      <w:bookmarkEnd w:id="76"/>
      <w:bookmarkEnd w:id="77"/>
    </w:p>
    <w:p w14:paraId="700E24CA" w14:textId="77777777" w:rsidR="007F4ACA" w:rsidRDefault="007F4ACA" w:rsidP="007F4ACA"/>
    <w:p w14:paraId="69A6511E" w14:textId="77777777" w:rsidR="007F4ACA" w:rsidRDefault="007F4ACA" w:rsidP="007F4ACA"/>
    <w:p w14:paraId="2C82CFEE" w14:textId="77777777" w:rsidR="007F4ACA" w:rsidRDefault="007F4ACA" w:rsidP="007F4ACA"/>
    <w:p w14:paraId="316FA3BF" w14:textId="77777777" w:rsidR="007F4ACA" w:rsidRDefault="007F4ACA" w:rsidP="007F4ACA"/>
    <w:p w14:paraId="22E99867" w14:textId="77777777" w:rsidR="007F4ACA" w:rsidRDefault="007F4ACA" w:rsidP="007F4ACA"/>
    <w:p w14:paraId="76885BDD" w14:textId="77777777" w:rsidR="007F4ACA" w:rsidRDefault="007F4ACA" w:rsidP="007F4ACA"/>
    <w:p w14:paraId="6839332E" w14:textId="77777777" w:rsidR="007F4ACA" w:rsidRDefault="007F4ACA" w:rsidP="007F4ACA"/>
    <w:p w14:paraId="756D5C53" w14:textId="77777777" w:rsidR="007F4ACA" w:rsidRDefault="007F4ACA" w:rsidP="007F4ACA"/>
    <w:p w14:paraId="7F7BDC93" w14:textId="77777777" w:rsidR="007F4ACA" w:rsidRDefault="007F4ACA" w:rsidP="007F4ACA"/>
    <w:p w14:paraId="4DCA007E" w14:textId="77777777" w:rsidR="007F4ACA" w:rsidRDefault="007F4ACA" w:rsidP="007F4ACA"/>
    <w:p w14:paraId="5981BCCF" w14:textId="77777777" w:rsidR="007F4ACA" w:rsidRDefault="007F4ACA" w:rsidP="007F4ACA"/>
    <w:p w14:paraId="613545A3" w14:textId="77777777" w:rsidR="007F4ACA" w:rsidRDefault="007F4ACA" w:rsidP="007F4ACA"/>
    <w:p w14:paraId="53BD6265" w14:textId="77777777" w:rsidR="007F4ACA" w:rsidRDefault="007F4ACA" w:rsidP="007F4ACA"/>
    <w:p w14:paraId="68581FDA" w14:textId="77777777" w:rsidR="007F4ACA" w:rsidRDefault="007F4ACA" w:rsidP="007F4ACA">
      <w:pPr>
        <w:sectPr w:rsidR="007F4ACA" w:rsidSect="00686C39">
          <w:pgSz w:w="12240" w:h="15840"/>
          <w:pgMar w:top="1440" w:right="1440" w:bottom="1440" w:left="1440" w:header="720" w:footer="1440" w:gutter="0"/>
          <w:pgNumType w:start="1"/>
          <w:cols w:space="720"/>
          <w:docGrid w:linePitch="326"/>
        </w:sectPr>
      </w:pPr>
    </w:p>
    <w:p w14:paraId="31986CA6" w14:textId="20875072" w:rsidR="00AF4618" w:rsidRPr="001F55F1" w:rsidRDefault="00913CFD" w:rsidP="001F55F1">
      <w:pPr>
        <w:pStyle w:val="Heading3"/>
        <w:rPr>
          <w:rFonts w:ascii="Times New Roman" w:hAnsi="Times New Roman" w:cs="Times New Roman"/>
          <w:color w:val="000000" w:themeColor="text1"/>
        </w:rPr>
      </w:pPr>
      <w:bookmarkStart w:id="78" w:name="_Toc466891169"/>
      <w:bookmarkStart w:id="79" w:name="_Toc466894849"/>
      <w:r w:rsidRPr="001F55F1">
        <w:rPr>
          <w:rFonts w:ascii="Times New Roman" w:hAnsi="Times New Roman" w:cs="Times New Roman"/>
          <w:color w:val="000000" w:themeColor="text1"/>
        </w:rPr>
        <w:lastRenderedPageBreak/>
        <w:t xml:space="preserve">Table 2.1. </w:t>
      </w:r>
      <w:r w:rsidRPr="00BD04A5">
        <w:rPr>
          <w:rFonts w:ascii="Times New Roman" w:hAnsi="Times New Roman" w:cs="Times New Roman"/>
          <w:b w:val="0"/>
          <w:color w:val="000000" w:themeColor="text1"/>
        </w:rPr>
        <w:t>Fungicide treatments evaluated for large patch (Rhizoctonia solani) control.</w:t>
      </w:r>
      <w:bookmarkEnd w:id="78"/>
      <w:bookmarkEnd w:id="79"/>
      <w:r w:rsidRPr="001F55F1">
        <w:rPr>
          <w:rFonts w:ascii="Times New Roman" w:hAnsi="Times New Roman" w:cs="Times New Roman"/>
          <w:color w:val="000000" w:themeColor="text1"/>
        </w:rPr>
        <w:t xml:space="preserve"> </w:t>
      </w:r>
    </w:p>
    <w:tbl>
      <w:tblPr>
        <w:tblW w:w="13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6"/>
        <w:gridCol w:w="2248"/>
        <w:gridCol w:w="2717"/>
        <w:gridCol w:w="2717"/>
        <w:gridCol w:w="1704"/>
        <w:gridCol w:w="1704"/>
      </w:tblGrid>
      <w:tr w:rsidR="007F4ACA" w14:paraId="2CA34765" w14:textId="77777777" w:rsidTr="007F4ACA">
        <w:trPr>
          <w:trHeight w:val="695"/>
          <w:jc w:val="center"/>
        </w:trPr>
        <w:tc>
          <w:tcPr>
            <w:tcW w:w="2056" w:type="dxa"/>
            <w:tcBorders>
              <w:top w:val="single" w:sz="4" w:space="0" w:color="auto"/>
              <w:left w:val="nil"/>
              <w:bottom w:val="single" w:sz="4" w:space="0" w:color="auto"/>
              <w:right w:val="nil"/>
            </w:tcBorders>
            <w:vAlign w:val="center"/>
            <w:hideMark/>
          </w:tcPr>
          <w:p w14:paraId="386C8135" w14:textId="77777777" w:rsidR="007F4ACA" w:rsidRDefault="007F4ACA">
            <w:pPr>
              <w:jc w:val="center"/>
              <w:rPr>
                <w:rFonts w:eastAsia="Calibri"/>
              </w:rPr>
            </w:pPr>
            <w:r>
              <w:rPr>
                <w:rFonts w:eastAsia="Calibri"/>
              </w:rPr>
              <w:t>Active ingredient</w:t>
            </w:r>
          </w:p>
        </w:tc>
        <w:tc>
          <w:tcPr>
            <w:tcW w:w="2248" w:type="dxa"/>
            <w:tcBorders>
              <w:top w:val="single" w:sz="4" w:space="0" w:color="auto"/>
              <w:left w:val="nil"/>
              <w:bottom w:val="single" w:sz="4" w:space="0" w:color="auto"/>
              <w:right w:val="nil"/>
            </w:tcBorders>
            <w:vAlign w:val="center"/>
            <w:hideMark/>
          </w:tcPr>
          <w:p w14:paraId="35A5AD90" w14:textId="77777777" w:rsidR="007F4ACA" w:rsidRDefault="007F4ACA">
            <w:pPr>
              <w:jc w:val="center"/>
              <w:rPr>
                <w:rFonts w:eastAsia="Calibri"/>
              </w:rPr>
            </w:pPr>
            <w:r>
              <w:rPr>
                <w:rFonts w:eastAsia="Calibri"/>
              </w:rPr>
              <w:t>Trade name</w:t>
            </w:r>
          </w:p>
        </w:tc>
        <w:tc>
          <w:tcPr>
            <w:tcW w:w="2717" w:type="dxa"/>
            <w:tcBorders>
              <w:top w:val="single" w:sz="4" w:space="0" w:color="auto"/>
              <w:left w:val="nil"/>
              <w:bottom w:val="single" w:sz="4" w:space="0" w:color="auto"/>
              <w:right w:val="nil"/>
            </w:tcBorders>
            <w:vAlign w:val="center"/>
            <w:hideMark/>
          </w:tcPr>
          <w:p w14:paraId="300048F3" w14:textId="77777777" w:rsidR="007F4ACA" w:rsidRDefault="007F4ACA">
            <w:pPr>
              <w:jc w:val="center"/>
              <w:rPr>
                <w:rFonts w:eastAsia="Calibri"/>
              </w:rPr>
            </w:pPr>
            <w:r>
              <w:rPr>
                <w:rFonts w:eastAsia="Calibri"/>
              </w:rPr>
              <w:t>Manufacturer</w:t>
            </w:r>
          </w:p>
        </w:tc>
        <w:tc>
          <w:tcPr>
            <w:tcW w:w="2717" w:type="dxa"/>
            <w:tcBorders>
              <w:top w:val="single" w:sz="4" w:space="0" w:color="auto"/>
              <w:left w:val="nil"/>
              <w:bottom w:val="single" w:sz="4" w:space="0" w:color="auto"/>
              <w:right w:val="nil"/>
            </w:tcBorders>
            <w:vAlign w:val="center"/>
            <w:hideMark/>
          </w:tcPr>
          <w:p w14:paraId="15FB71BD" w14:textId="77777777" w:rsidR="007F4ACA" w:rsidRDefault="007F4ACA">
            <w:pPr>
              <w:jc w:val="center"/>
              <w:rPr>
                <w:rFonts w:eastAsia="Calibri"/>
              </w:rPr>
            </w:pPr>
            <w:r>
              <w:rPr>
                <w:rFonts w:eastAsia="Calibri"/>
              </w:rPr>
              <w:t>Fungicide class</w:t>
            </w:r>
          </w:p>
        </w:tc>
        <w:tc>
          <w:tcPr>
            <w:tcW w:w="1704" w:type="dxa"/>
            <w:tcBorders>
              <w:top w:val="single" w:sz="4" w:space="0" w:color="auto"/>
              <w:left w:val="nil"/>
              <w:bottom w:val="single" w:sz="4" w:space="0" w:color="auto"/>
              <w:right w:val="nil"/>
            </w:tcBorders>
            <w:vAlign w:val="center"/>
            <w:hideMark/>
          </w:tcPr>
          <w:p w14:paraId="6A4722DE" w14:textId="77777777" w:rsidR="007F4ACA" w:rsidRDefault="007F4ACA">
            <w:pPr>
              <w:jc w:val="center"/>
              <w:rPr>
                <w:rFonts w:eastAsia="Calibri"/>
              </w:rPr>
            </w:pPr>
            <w:r>
              <w:rPr>
                <w:rFonts w:eastAsia="Calibri"/>
              </w:rPr>
              <w:t>Phytomobility</w:t>
            </w:r>
            <w:r>
              <w:rPr>
                <w:rFonts w:eastAsia="Calibri"/>
                <w:vertAlign w:val="superscript"/>
              </w:rPr>
              <w:t>a</w:t>
            </w:r>
          </w:p>
        </w:tc>
        <w:tc>
          <w:tcPr>
            <w:tcW w:w="1704" w:type="dxa"/>
            <w:tcBorders>
              <w:top w:val="single" w:sz="4" w:space="0" w:color="auto"/>
              <w:left w:val="nil"/>
              <w:bottom w:val="single" w:sz="4" w:space="0" w:color="auto"/>
              <w:right w:val="nil"/>
            </w:tcBorders>
            <w:vAlign w:val="center"/>
            <w:hideMark/>
          </w:tcPr>
          <w:p w14:paraId="46119C3A" w14:textId="23DB3D3A" w:rsidR="007F4ACA" w:rsidRDefault="004257D4">
            <w:pPr>
              <w:jc w:val="center"/>
              <w:rPr>
                <w:rFonts w:eastAsia="Calibri"/>
              </w:rPr>
            </w:pPr>
            <w:r>
              <w:rPr>
                <w:rFonts w:eastAsia="Calibri"/>
              </w:rPr>
              <w:t>Concentration (g a.i.</w:t>
            </w:r>
            <w:r w:rsidR="007F4ACA">
              <w:rPr>
                <w:rFonts w:eastAsia="Calibri"/>
              </w:rPr>
              <w:t xml:space="preserve"> L</w:t>
            </w:r>
            <w:r w:rsidR="007F4ACA">
              <w:rPr>
                <w:rFonts w:eastAsia="Calibri"/>
                <w:vertAlign w:val="superscript"/>
              </w:rPr>
              <w:t>-1</w:t>
            </w:r>
            <w:r w:rsidR="007F4ACA">
              <w:rPr>
                <w:rFonts w:eastAsia="Calibri"/>
              </w:rPr>
              <w:t>)</w:t>
            </w:r>
            <w:r w:rsidR="007F4ACA">
              <w:rPr>
                <w:rFonts w:eastAsia="Calibri"/>
                <w:vertAlign w:val="superscript"/>
              </w:rPr>
              <w:t>b</w:t>
            </w:r>
          </w:p>
        </w:tc>
      </w:tr>
      <w:tr w:rsidR="007F4ACA" w14:paraId="283E309B" w14:textId="77777777" w:rsidTr="007F4ACA">
        <w:trPr>
          <w:trHeight w:val="655"/>
          <w:jc w:val="center"/>
        </w:trPr>
        <w:tc>
          <w:tcPr>
            <w:tcW w:w="2056" w:type="dxa"/>
            <w:tcBorders>
              <w:top w:val="single" w:sz="4" w:space="0" w:color="auto"/>
              <w:left w:val="nil"/>
              <w:bottom w:val="nil"/>
              <w:right w:val="nil"/>
            </w:tcBorders>
            <w:vAlign w:val="center"/>
            <w:hideMark/>
          </w:tcPr>
          <w:p w14:paraId="0EF6BDDE" w14:textId="77777777" w:rsidR="007F4ACA" w:rsidRDefault="007F4ACA">
            <w:pPr>
              <w:jc w:val="center"/>
              <w:rPr>
                <w:rFonts w:eastAsia="Calibri"/>
              </w:rPr>
            </w:pPr>
            <w:r>
              <w:rPr>
                <w:rFonts w:eastAsia="Calibri"/>
              </w:rPr>
              <w:t>Azoxystrobin</w:t>
            </w:r>
          </w:p>
        </w:tc>
        <w:tc>
          <w:tcPr>
            <w:tcW w:w="2248" w:type="dxa"/>
            <w:tcBorders>
              <w:top w:val="single" w:sz="4" w:space="0" w:color="auto"/>
              <w:left w:val="nil"/>
              <w:bottom w:val="nil"/>
              <w:right w:val="nil"/>
            </w:tcBorders>
            <w:vAlign w:val="center"/>
            <w:hideMark/>
          </w:tcPr>
          <w:p w14:paraId="2ADEAEC3" w14:textId="77777777" w:rsidR="007F4ACA" w:rsidRDefault="007F4ACA">
            <w:pPr>
              <w:jc w:val="center"/>
              <w:rPr>
                <w:rFonts w:eastAsia="Calibri"/>
              </w:rPr>
            </w:pPr>
            <w:r>
              <w:rPr>
                <w:rFonts w:eastAsia="Calibri"/>
              </w:rPr>
              <w:t>Heritage</w:t>
            </w:r>
          </w:p>
        </w:tc>
        <w:tc>
          <w:tcPr>
            <w:tcW w:w="2717" w:type="dxa"/>
            <w:tcBorders>
              <w:top w:val="nil"/>
              <w:left w:val="nil"/>
              <w:bottom w:val="nil"/>
              <w:right w:val="nil"/>
            </w:tcBorders>
            <w:vAlign w:val="center"/>
            <w:hideMark/>
          </w:tcPr>
          <w:p w14:paraId="3BE342C3" w14:textId="77777777" w:rsidR="007F4ACA" w:rsidRDefault="007F4ACA">
            <w:pPr>
              <w:jc w:val="center"/>
              <w:rPr>
                <w:rFonts w:eastAsia="Calibri"/>
              </w:rPr>
            </w:pPr>
            <w:r>
              <w:rPr>
                <w:rFonts w:eastAsia="Calibri"/>
              </w:rPr>
              <w:t>Syngenta Crop Protection LLC., Greensboro, NC</w:t>
            </w:r>
          </w:p>
        </w:tc>
        <w:tc>
          <w:tcPr>
            <w:tcW w:w="2717" w:type="dxa"/>
            <w:tcBorders>
              <w:top w:val="single" w:sz="4" w:space="0" w:color="auto"/>
              <w:left w:val="nil"/>
              <w:bottom w:val="nil"/>
              <w:right w:val="nil"/>
            </w:tcBorders>
            <w:vAlign w:val="center"/>
            <w:hideMark/>
          </w:tcPr>
          <w:p w14:paraId="1884F71A" w14:textId="77777777" w:rsidR="007F4ACA" w:rsidRDefault="007F4ACA">
            <w:pPr>
              <w:jc w:val="center"/>
              <w:rPr>
                <w:rFonts w:eastAsia="Calibri"/>
              </w:rPr>
            </w:pPr>
            <w:r>
              <w:rPr>
                <w:rFonts w:eastAsia="Calibri"/>
              </w:rPr>
              <w:t>Quinone outside inhibitor</w:t>
            </w:r>
          </w:p>
        </w:tc>
        <w:tc>
          <w:tcPr>
            <w:tcW w:w="1704" w:type="dxa"/>
            <w:tcBorders>
              <w:top w:val="single" w:sz="4" w:space="0" w:color="auto"/>
              <w:left w:val="nil"/>
              <w:bottom w:val="nil"/>
              <w:right w:val="nil"/>
            </w:tcBorders>
            <w:vAlign w:val="center"/>
            <w:hideMark/>
          </w:tcPr>
          <w:p w14:paraId="40086621" w14:textId="77777777" w:rsidR="007F4ACA" w:rsidRDefault="007F4ACA">
            <w:pPr>
              <w:jc w:val="center"/>
              <w:rPr>
                <w:rFonts w:eastAsia="Calibri"/>
              </w:rPr>
            </w:pPr>
            <w:r>
              <w:rPr>
                <w:rFonts w:eastAsia="Calibri"/>
              </w:rPr>
              <w:t>Xylem systemicity</w:t>
            </w:r>
          </w:p>
        </w:tc>
        <w:tc>
          <w:tcPr>
            <w:tcW w:w="1704" w:type="dxa"/>
            <w:tcBorders>
              <w:top w:val="single" w:sz="4" w:space="0" w:color="auto"/>
              <w:left w:val="nil"/>
              <w:bottom w:val="nil"/>
              <w:right w:val="nil"/>
            </w:tcBorders>
            <w:vAlign w:val="center"/>
            <w:hideMark/>
          </w:tcPr>
          <w:p w14:paraId="1D42D6FC" w14:textId="77777777" w:rsidR="007F4ACA" w:rsidRDefault="007F4ACA">
            <w:pPr>
              <w:jc w:val="center"/>
              <w:rPr>
                <w:rFonts w:eastAsia="Calibri"/>
              </w:rPr>
            </w:pPr>
            <w:r>
              <w:rPr>
                <w:rFonts w:eastAsia="Calibri"/>
              </w:rPr>
              <w:t>0.76</w:t>
            </w:r>
          </w:p>
        </w:tc>
      </w:tr>
      <w:tr w:rsidR="007F4ACA" w14:paraId="6F9908F4" w14:textId="77777777" w:rsidTr="007F4ACA">
        <w:trPr>
          <w:trHeight w:val="695"/>
          <w:jc w:val="center"/>
        </w:trPr>
        <w:tc>
          <w:tcPr>
            <w:tcW w:w="2056" w:type="dxa"/>
            <w:tcBorders>
              <w:top w:val="nil"/>
              <w:left w:val="nil"/>
              <w:bottom w:val="nil"/>
              <w:right w:val="nil"/>
            </w:tcBorders>
            <w:vAlign w:val="center"/>
            <w:hideMark/>
          </w:tcPr>
          <w:p w14:paraId="74DB607B" w14:textId="77777777" w:rsidR="007F4ACA" w:rsidRDefault="007F4ACA">
            <w:pPr>
              <w:jc w:val="center"/>
              <w:rPr>
                <w:rFonts w:eastAsia="Calibri"/>
              </w:rPr>
            </w:pPr>
            <w:r>
              <w:rPr>
                <w:rFonts w:eastAsia="Calibri"/>
              </w:rPr>
              <w:t>Tebuconazole</w:t>
            </w:r>
          </w:p>
        </w:tc>
        <w:tc>
          <w:tcPr>
            <w:tcW w:w="2248" w:type="dxa"/>
            <w:tcBorders>
              <w:top w:val="nil"/>
              <w:left w:val="nil"/>
              <w:bottom w:val="nil"/>
              <w:right w:val="nil"/>
            </w:tcBorders>
            <w:vAlign w:val="center"/>
            <w:hideMark/>
          </w:tcPr>
          <w:p w14:paraId="1F11350A" w14:textId="77777777" w:rsidR="007F4ACA" w:rsidRDefault="007F4ACA">
            <w:pPr>
              <w:jc w:val="center"/>
              <w:rPr>
                <w:rFonts w:eastAsia="Calibri"/>
              </w:rPr>
            </w:pPr>
            <w:r>
              <w:rPr>
                <w:rFonts w:eastAsia="Calibri"/>
              </w:rPr>
              <w:t>Torque</w:t>
            </w:r>
          </w:p>
        </w:tc>
        <w:tc>
          <w:tcPr>
            <w:tcW w:w="2717" w:type="dxa"/>
            <w:tcBorders>
              <w:top w:val="nil"/>
              <w:left w:val="nil"/>
              <w:bottom w:val="nil"/>
              <w:right w:val="nil"/>
            </w:tcBorders>
            <w:vAlign w:val="center"/>
            <w:hideMark/>
          </w:tcPr>
          <w:p w14:paraId="722C78E7" w14:textId="77777777" w:rsidR="007F4ACA" w:rsidRDefault="007F4ACA">
            <w:pPr>
              <w:jc w:val="center"/>
              <w:rPr>
                <w:rFonts w:eastAsia="Calibri"/>
              </w:rPr>
            </w:pPr>
            <w:r>
              <w:rPr>
                <w:rFonts w:eastAsia="Calibri"/>
              </w:rPr>
              <w:t>Nufarm Americas Inc., Burr Ridge, IL</w:t>
            </w:r>
          </w:p>
        </w:tc>
        <w:tc>
          <w:tcPr>
            <w:tcW w:w="2717" w:type="dxa"/>
            <w:tcBorders>
              <w:top w:val="nil"/>
              <w:left w:val="nil"/>
              <w:bottom w:val="nil"/>
              <w:right w:val="nil"/>
            </w:tcBorders>
            <w:vAlign w:val="center"/>
            <w:hideMark/>
          </w:tcPr>
          <w:p w14:paraId="2F271F91" w14:textId="77777777" w:rsidR="007F4ACA" w:rsidRDefault="007F4ACA">
            <w:pPr>
              <w:jc w:val="center"/>
              <w:rPr>
                <w:rFonts w:eastAsia="Calibri"/>
              </w:rPr>
            </w:pPr>
            <w:r>
              <w:rPr>
                <w:rFonts w:eastAsia="Calibri"/>
              </w:rPr>
              <w:t>Demethylation inhibitor</w:t>
            </w:r>
          </w:p>
        </w:tc>
        <w:tc>
          <w:tcPr>
            <w:tcW w:w="1704" w:type="dxa"/>
            <w:tcBorders>
              <w:top w:val="nil"/>
              <w:left w:val="nil"/>
              <w:bottom w:val="nil"/>
              <w:right w:val="nil"/>
            </w:tcBorders>
            <w:vAlign w:val="center"/>
            <w:hideMark/>
          </w:tcPr>
          <w:p w14:paraId="0AF2DC04" w14:textId="77777777" w:rsidR="007F4ACA" w:rsidRDefault="007F4ACA">
            <w:pPr>
              <w:jc w:val="center"/>
              <w:rPr>
                <w:rFonts w:eastAsia="Calibri"/>
              </w:rPr>
            </w:pPr>
            <w:r>
              <w:rPr>
                <w:rFonts w:eastAsia="Calibri"/>
              </w:rPr>
              <w:t>Xylem systemicity</w:t>
            </w:r>
          </w:p>
        </w:tc>
        <w:tc>
          <w:tcPr>
            <w:tcW w:w="1704" w:type="dxa"/>
            <w:tcBorders>
              <w:top w:val="nil"/>
              <w:left w:val="nil"/>
              <w:bottom w:val="nil"/>
              <w:right w:val="nil"/>
            </w:tcBorders>
            <w:vAlign w:val="center"/>
            <w:hideMark/>
          </w:tcPr>
          <w:p w14:paraId="21EF2CDE" w14:textId="77777777" w:rsidR="007F4ACA" w:rsidRDefault="007F4ACA">
            <w:pPr>
              <w:jc w:val="center"/>
              <w:rPr>
                <w:rFonts w:eastAsia="Calibri"/>
              </w:rPr>
            </w:pPr>
            <w:r>
              <w:rPr>
                <w:rFonts w:eastAsia="Calibri"/>
              </w:rPr>
              <w:t>1.03</w:t>
            </w:r>
          </w:p>
        </w:tc>
      </w:tr>
      <w:tr w:rsidR="007F4ACA" w14:paraId="67D7DCA7" w14:textId="77777777" w:rsidTr="007F4ACA">
        <w:trPr>
          <w:trHeight w:val="695"/>
          <w:jc w:val="center"/>
        </w:trPr>
        <w:tc>
          <w:tcPr>
            <w:tcW w:w="2056" w:type="dxa"/>
            <w:tcBorders>
              <w:top w:val="nil"/>
              <w:left w:val="nil"/>
              <w:bottom w:val="nil"/>
              <w:right w:val="nil"/>
            </w:tcBorders>
            <w:vAlign w:val="center"/>
            <w:hideMark/>
          </w:tcPr>
          <w:p w14:paraId="5CF95D58" w14:textId="77777777" w:rsidR="007F4ACA" w:rsidRDefault="007F4ACA">
            <w:pPr>
              <w:jc w:val="center"/>
              <w:rPr>
                <w:rFonts w:eastAsia="Calibri"/>
              </w:rPr>
            </w:pPr>
            <w:r>
              <w:rPr>
                <w:rFonts w:eastAsia="Calibri"/>
              </w:rPr>
              <w:t>Flutolanil</w:t>
            </w:r>
          </w:p>
        </w:tc>
        <w:tc>
          <w:tcPr>
            <w:tcW w:w="2248" w:type="dxa"/>
            <w:tcBorders>
              <w:top w:val="nil"/>
              <w:left w:val="nil"/>
              <w:bottom w:val="nil"/>
              <w:right w:val="nil"/>
            </w:tcBorders>
            <w:vAlign w:val="center"/>
            <w:hideMark/>
          </w:tcPr>
          <w:p w14:paraId="657ED79A" w14:textId="77777777" w:rsidR="007F4ACA" w:rsidRDefault="007F4ACA">
            <w:pPr>
              <w:jc w:val="center"/>
              <w:rPr>
                <w:rFonts w:eastAsia="Calibri"/>
              </w:rPr>
            </w:pPr>
            <w:r>
              <w:rPr>
                <w:rFonts w:eastAsia="Calibri"/>
              </w:rPr>
              <w:t>Prostar 70 WG</w:t>
            </w:r>
          </w:p>
        </w:tc>
        <w:tc>
          <w:tcPr>
            <w:tcW w:w="2717" w:type="dxa"/>
            <w:tcBorders>
              <w:top w:val="nil"/>
              <w:left w:val="nil"/>
              <w:bottom w:val="nil"/>
              <w:right w:val="nil"/>
            </w:tcBorders>
            <w:vAlign w:val="center"/>
            <w:hideMark/>
          </w:tcPr>
          <w:p w14:paraId="4E221898" w14:textId="77777777" w:rsidR="007F4ACA" w:rsidRDefault="007F4ACA">
            <w:pPr>
              <w:jc w:val="center"/>
              <w:rPr>
                <w:rFonts w:eastAsia="Calibri"/>
              </w:rPr>
            </w:pPr>
            <w:r>
              <w:rPr>
                <w:rFonts w:eastAsia="Calibri"/>
              </w:rPr>
              <w:t>Bayer Environmental Science, Research Triangle Park, NC</w:t>
            </w:r>
          </w:p>
        </w:tc>
        <w:tc>
          <w:tcPr>
            <w:tcW w:w="2717" w:type="dxa"/>
            <w:tcBorders>
              <w:top w:val="nil"/>
              <w:left w:val="nil"/>
              <w:bottom w:val="nil"/>
              <w:right w:val="nil"/>
            </w:tcBorders>
            <w:vAlign w:val="center"/>
            <w:hideMark/>
          </w:tcPr>
          <w:p w14:paraId="0D165D68" w14:textId="77777777" w:rsidR="007F4ACA" w:rsidRDefault="007F4ACA">
            <w:pPr>
              <w:jc w:val="center"/>
              <w:rPr>
                <w:rFonts w:eastAsia="Calibri"/>
              </w:rPr>
            </w:pPr>
            <w:r>
              <w:rPr>
                <w:rFonts w:eastAsia="Calibri"/>
              </w:rPr>
              <w:t>Succinate dehydrogenase inhibitor</w:t>
            </w:r>
          </w:p>
        </w:tc>
        <w:tc>
          <w:tcPr>
            <w:tcW w:w="1704" w:type="dxa"/>
            <w:tcBorders>
              <w:top w:val="nil"/>
              <w:left w:val="nil"/>
              <w:bottom w:val="nil"/>
              <w:right w:val="nil"/>
            </w:tcBorders>
            <w:vAlign w:val="center"/>
            <w:hideMark/>
          </w:tcPr>
          <w:p w14:paraId="2E0A1E9F" w14:textId="77777777" w:rsidR="007F4ACA" w:rsidRDefault="007F4ACA">
            <w:pPr>
              <w:jc w:val="center"/>
              <w:rPr>
                <w:rFonts w:eastAsia="Calibri"/>
              </w:rPr>
            </w:pPr>
            <w:r>
              <w:rPr>
                <w:rFonts w:eastAsia="Calibri"/>
              </w:rPr>
              <w:t>Xylem systemicity</w:t>
            </w:r>
          </w:p>
        </w:tc>
        <w:tc>
          <w:tcPr>
            <w:tcW w:w="1704" w:type="dxa"/>
            <w:tcBorders>
              <w:top w:val="nil"/>
              <w:left w:val="nil"/>
              <w:bottom w:val="nil"/>
              <w:right w:val="nil"/>
            </w:tcBorders>
            <w:vAlign w:val="center"/>
            <w:hideMark/>
          </w:tcPr>
          <w:p w14:paraId="55458A4F" w14:textId="77777777" w:rsidR="007F4ACA" w:rsidRDefault="007F4ACA">
            <w:pPr>
              <w:jc w:val="center"/>
              <w:rPr>
                <w:rFonts w:eastAsia="Calibri"/>
              </w:rPr>
            </w:pPr>
            <w:r>
              <w:rPr>
                <w:rFonts w:eastAsia="Calibri"/>
              </w:rPr>
              <w:t>5.81</w:t>
            </w:r>
          </w:p>
        </w:tc>
      </w:tr>
      <w:tr w:rsidR="007F4ACA" w14:paraId="6CE13958" w14:textId="77777777" w:rsidTr="007F4ACA">
        <w:trPr>
          <w:trHeight w:val="695"/>
          <w:jc w:val="center"/>
        </w:trPr>
        <w:tc>
          <w:tcPr>
            <w:tcW w:w="2056" w:type="dxa"/>
            <w:tcBorders>
              <w:top w:val="nil"/>
              <w:left w:val="nil"/>
              <w:bottom w:val="single" w:sz="4" w:space="0" w:color="auto"/>
              <w:right w:val="nil"/>
            </w:tcBorders>
            <w:vAlign w:val="center"/>
            <w:hideMark/>
          </w:tcPr>
          <w:p w14:paraId="5F38D858" w14:textId="77777777" w:rsidR="007F4ACA" w:rsidRDefault="007F4ACA">
            <w:pPr>
              <w:jc w:val="center"/>
              <w:rPr>
                <w:rFonts w:eastAsia="Calibri"/>
              </w:rPr>
            </w:pPr>
            <w:r>
              <w:rPr>
                <w:rFonts w:eastAsia="Calibri"/>
              </w:rPr>
              <w:t>Chlorothalonil</w:t>
            </w:r>
          </w:p>
        </w:tc>
        <w:tc>
          <w:tcPr>
            <w:tcW w:w="2248" w:type="dxa"/>
            <w:tcBorders>
              <w:top w:val="nil"/>
              <w:left w:val="nil"/>
              <w:bottom w:val="single" w:sz="4" w:space="0" w:color="auto"/>
              <w:right w:val="nil"/>
            </w:tcBorders>
            <w:vAlign w:val="center"/>
            <w:hideMark/>
          </w:tcPr>
          <w:p w14:paraId="22D09478" w14:textId="77777777" w:rsidR="007F4ACA" w:rsidRDefault="007F4ACA">
            <w:pPr>
              <w:jc w:val="center"/>
              <w:rPr>
                <w:rFonts w:eastAsia="Calibri"/>
              </w:rPr>
            </w:pPr>
            <w:r>
              <w:rPr>
                <w:rFonts w:eastAsia="Calibri"/>
              </w:rPr>
              <w:t>Daconil Ultrex</w:t>
            </w:r>
          </w:p>
        </w:tc>
        <w:tc>
          <w:tcPr>
            <w:tcW w:w="2717" w:type="dxa"/>
            <w:tcBorders>
              <w:top w:val="nil"/>
              <w:left w:val="nil"/>
              <w:bottom w:val="single" w:sz="4" w:space="0" w:color="auto"/>
              <w:right w:val="nil"/>
            </w:tcBorders>
            <w:vAlign w:val="center"/>
            <w:hideMark/>
          </w:tcPr>
          <w:p w14:paraId="36DC73AB" w14:textId="77777777" w:rsidR="007F4ACA" w:rsidRDefault="007F4ACA">
            <w:pPr>
              <w:jc w:val="center"/>
              <w:rPr>
                <w:rFonts w:eastAsia="Calibri"/>
              </w:rPr>
            </w:pPr>
            <w:r>
              <w:rPr>
                <w:rFonts w:eastAsia="Calibri"/>
              </w:rPr>
              <w:t>Syngenta Crop Protection LLC., Greensboro, NC</w:t>
            </w:r>
          </w:p>
        </w:tc>
        <w:tc>
          <w:tcPr>
            <w:tcW w:w="2717" w:type="dxa"/>
            <w:tcBorders>
              <w:top w:val="nil"/>
              <w:left w:val="nil"/>
              <w:bottom w:val="single" w:sz="4" w:space="0" w:color="auto"/>
              <w:right w:val="nil"/>
            </w:tcBorders>
            <w:vAlign w:val="center"/>
            <w:hideMark/>
          </w:tcPr>
          <w:p w14:paraId="424E4A2D" w14:textId="77777777" w:rsidR="007F4ACA" w:rsidRDefault="007F4ACA">
            <w:pPr>
              <w:jc w:val="center"/>
              <w:rPr>
                <w:rFonts w:eastAsia="Calibri"/>
              </w:rPr>
            </w:pPr>
            <w:r>
              <w:rPr>
                <w:rFonts w:eastAsia="Calibri"/>
              </w:rPr>
              <w:t>Benzonitrile</w:t>
            </w:r>
          </w:p>
        </w:tc>
        <w:tc>
          <w:tcPr>
            <w:tcW w:w="1704" w:type="dxa"/>
            <w:tcBorders>
              <w:top w:val="nil"/>
              <w:left w:val="nil"/>
              <w:bottom w:val="single" w:sz="4" w:space="0" w:color="auto"/>
              <w:right w:val="nil"/>
            </w:tcBorders>
            <w:vAlign w:val="center"/>
            <w:hideMark/>
          </w:tcPr>
          <w:p w14:paraId="50807F22" w14:textId="77777777" w:rsidR="007F4ACA" w:rsidRDefault="007F4ACA">
            <w:pPr>
              <w:jc w:val="center"/>
              <w:rPr>
                <w:rFonts w:eastAsia="Calibri"/>
              </w:rPr>
            </w:pPr>
            <w:r>
              <w:rPr>
                <w:rFonts w:eastAsia="Calibri"/>
              </w:rPr>
              <w:t>No systemicity</w:t>
            </w:r>
          </w:p>
        </w:tc>
        <w:tc>
          <w:tcPr>
            <w:tcW w:w="1704" w:type="dxa"/>
            <w:tcBorders>
              <w:top w:val="nil"/>
              <w:left w:val="nil"/>
              <w:bottom w:val="single" w:sz="4" w:space="0" w:color="auto"/>
              <w:right w:val="nil"/>
            </w:tcBorders>
            <w:vAlign w:val="center"/>
            <w:hideMark/>
          </w:tcPr>
          <w:p w14:paraId="6C9A0C92" w14:textId="77777777" w:rsidR="007F4ACA" w:rsidRDefault="007F4ACA">
            <w:pPr>
              <w:jc w:val="center"/>
              <w:rPr>
                <w:rFonts w:eastAsia="Calibri"/>
              </w:rPr>
            </w:pPr>
            <w:r>
              <w:rPr>
                <w:rFonts w:eastAsia="Calibri"/>
              </w:rPr>
              <w:t>9.98</w:t>
            </w:r>
          </w:p>
        </w:tc>
      </w:tr>
      <w:tr w:rsidR="007F4ACA" w14:paraId="1DDBC630" w14:textId="77777777" w:rsidTr="007F4ACA">
        <w:trPr>
          <w:trHeight w:val="362"/>
          <w:jc w:val="center"/>
        </w:trPr>
        <w:tc>
          <w:tcPr>
            <w:tcW w:w="13146" w:type="dxa"/>
            <w:gridSpan w:val="6"/>
            <w:tcBorders>
              <w:top w:val="nil"/>
              <w:left w:val="nil"/>
              <w:bottom w:val="nil"/>
              <w:right w:val="nil"/>
            </w:tcBorders>
            <w:hideMark/>
          </w:tcPr>
          <w:p w14:paraId="1761CBFF" w14:textId="77777777" w:rsidR="007F4ACA" w:rsidRDefault="007F4ACA">
            <w:pPr>
              <w:rPr>
                <w:rFonts w:eastAsia="Calibri"/>
              </w:rPr>
            </w:pPr>
            <w:r>
              <w:rPr>
                <w:rFonts w:eastAsia="Calibri"/>
                <w:vertAlign w:val="superscript"/>
              </w:rPr>
              <w:t>a</w:t>
            </w:r>
            <w:r>
              <w:rPr>
                <w:rFonts w:eastAsia="Calibri"/>
              </w:rPr>
              <w:t xml:space="preserve"> Phytomobility information was referenced from Latin, 2011. </w:t>
            </w:r>
          </w:p>
        </w:tc>
      </w:tr>
      <w:tr w:rsidR="007F4ACA" w14:paraId="53823B38" w14:textId="77777777" w:rsidTr="007F4ACA">
        <w:trPr>
          <w:trHeight w:val="362"/>
          <w:jc w:val="center"/>
        </w:trPr>
        <w:tc>
          <w:tcPr>
            <w:tcW w:w="13146" w:type="dxa"/>
            <w:gridSpan w:val="6"/>
            <w:tcBorders>
              <w:top w:val="nil"/>
              <w:left w:val="nil"/>
              <w:bottom w:val="nil"/>
              <w:right w:val="nil"/>
            </w:tcBorders>
            <w:hideMark/>
          </w:tcPr>
          <w:p w14:paraId="134EDD08" w14:textId="15CA8489" w:rsidR="007F4ACA" w:rsidRDefault="007F4ACA">
            <w:pPr>
              <w:rPr>
                <w:rFonts w:eastAsia="Calibri"/>
                <w:vertAlign w:val="superscript"/>
              </w:rPr>
            </w:pPr>
            <w:r>
              <w:rPr>
                <w:rFonts w:eastAsia="Calibri"/>
                <w:vertAlign w:val="superscript"/>
              </w:rPr>
              <w:t>b</w:t>
            </w:r>
            <w:r>
              <w:rPr>
                <w:rFonts w:eastAsia="Calibri"/>
              </w:rPr>
              <w:t xml:space="preserve"> Fungicides were applied using a pipette to dispense a single 2.5 µl droplet of the fungicide solution onto the stem, sheath, or leaf plant parts of Japanese lawngrass (</w:t>
            </w:r>
            <w:r>
              <w:rPr>
                <w:rFonts w:eastAsia="Calibri"/>
                <w:i/>
              </w:rPr>
              <w:t>Zoysia japonica</w:t>
            </w:r>
            <w:r>
              <w:rPr>
                <w:rFonts w:eastAsia="Calibri"/>
              </w:rPr>
              <w:t xml:space="preserve">).  </w:t>
            </w:r>
            <w:r w:rsidR="004257D4">
              <w:t>This application mimics an ultra-coarse spray droplet landing on leaf, sheath, or stem from a spray mixture containing the high-labeled fungicide rate applied from a spray rate volume of 815 L ha</w:t>
            </w:r>
            <w:r w:rsidR="004257D4" w:rsidRPr="005224AD">
              <w:rPr>
                <w:vertAlign w:val="superscript"/>
              </w:rPr>
              <w:t>-1</w:t>
            </w:r>
            <w:r w:rsidR="004257D4">
              <w:t xml:space="preserve">. </w:t>
            </w:r>
            <w:r>
              <w:rPr>
                <w:rFonts w:eastAsia="Calibri"/>
              </w:rPr>
              <w:t xml:space="preserve"> </w:t>
            </w:r>
          </w:p>
        </w:tc>
      </w:tr>
    </w:tbl>
    <w:p w14:paraId="4626BFD7" w14:textId="77777777" w:rsidR="007F4ACA" w:rsidRDefault="007F4ACA" w:rsidP="007F4ACA"/>
    <w:p w14:paraId="579A758B" w14:textId="77777777" w:rsidR="007F4ACA" w:rsidRDefault="007F4ACA" w:rsidP="007F4ACA"/>
    <w:p w14:paraId="5B9C388D" w14:textId="77777777" w:rsidR="007F4ACA" w:rsidRDefault="007F4ACA" w:rsidP="007F4ACA"/>
    <w:p w14:paraId="13325803" w14:textId="77777777" w:rsidR="007F4ACA" w:rsidRDefault="007F4ACA" w:rsidP="007F4ACA"/>
    <w:p w14:paraId="0D6715F4" w14:textId="77777777" w:rsidR="007F4ACA" w:rsidRDefault="007F4ACA" w:rsidP="007F4ACA"/>
    <w:p w14:paraId="46C1E138" w14:textId="77777777" w:rsidR="007F4ACA" w:rsidRDefault="007F4ACA" w:rsidP="007F4ACA"/>
    <w:p w14:paraId="16EA084C" w14:textId="77777777" w:rsidR="007F4ACA" w:rsidRDefault="007F4ACA" w:rsidP="007F4ACA"/>
    <w:p w14:paraId="2B4D151E" w14:textId="77777777" w:rsidR="007F4ACA" w:rsidRDefault="007F4ACA" w:rsidP="007F4ACA"/>
    <w:p w14:paraId="472FDAA4" w14:textId="77777777" w:rsidR="007F4ACA" w:rsidRDefault="007F4ACA" w:rsidP="007F4ACA"/>
    <w:p w14:paraId="11E3AF01" w14:textId="77777777" w:rsidR="007F4ACA" w:rsidRDefault="007F4ACA" w:rsidP="007F4ACA"/>
    <w:p w14:paraId="060082EB" w14:textId="77777777" w:rsidR="00AF4618" w:rsidRDefault="00AF4618" w:rsidP="007F4ACA"/>
    <w:p w14:paraId="5CAB29B7" w14:textId="77777777" w:rsidR="00AF4618" w:rsidRDefault="00AF4618" w:rsidP="007F4ACA"/>
    <w:p w14:paraId="50E7ECB0" w14:textId="796AB5A7" w:rsidR="00913CFD" w:rsidRPr="001F55F1" w:rsidRDefault="00913CFD" w:rsidP="001F55F1">
      <w:pPr>
        <w:pStyle w:val="Heading3"/>
        <w:rPr>
          <w:rFonts w:asciiTheme="minorHAnsi" w:hAnsiTheme="minorHAnsi" w:cstheme="minorHAnsi"/>
          <w:color w:val="000000" w:themeColor="text1"/>
        </w:rPr>
      </w:pPr>
      <w:bookmarkStart w:id="80" w:name="_Toc466891170"/>
      <w:bookmarkStart w:id="81" w:name="_Toc466894850"/>
      <w:r w:rsidRPr="001F55F1">
        <w:rPr>
          <w:rFonts w:asciiTheme="minorHAnsi" w:hAnsiTheme="minorHAnsi" w:cstheme="minorHAnsi"/>
          <w:color w:val="000000" w:themeColor="text1"/>
        </w:rPr>
        <w:lastRenderedPageBreak/>
        <w:t xml:space="preserve">Table 2.2. </w:t>
      </w:r>
      <w:r w:rsidRPr="00BD04A5">
        <w:rPr>
          <w:rFonts w:asciiTheme="minorHAnsi" w:hAnsiTheme="minorHAnsi" w:cstheme="minorHAnsi"/>
          <w:b w:val="0"/>
          <w:color w:val="000000" w:themeColor="text1"/>
        </w:rPr>
        <w:t>Analysis of variance for large patch (</w:t>
      </w:r>
      <w:r w:rsidRPr="00BD04A5">
        <w:rPr>
          <w:rFonts w:asciiTheme="minorHAnsi" w:hAnsiTheme="minorHAnsi" w:cstheme="minorHAnsi"/>
          <w:b w:val="0"/>
          <w:i/>
          <w:color w:val="000000" w:themeColor="text1"/>
        </w:rPr>
        <w:t>Rhizoctonia solani</w:t>
      </w:r>
      <w:r w:rsidRPr="00BD04A5">
        <w:rPr>
          <w:rFonts w:asciiTheme="minorHAnsi" w:hAnsiTheme="minorHAnsi" w:cstheme="minorHAnsi"/>
          <w:b w:val="0"/>
          <w:color w:val="000000" w:themeColor="text1"/>
        </w:rPr>
        <w:t>) severity and photochemical efficiency (</w:t>
      </w:r>
      <w:r w:rsidRPr="00BD04A5">
        <w:rPr>
          <w:rFonts w:asciiTheme="minorHAnsi" w:hAnsiTheme="minorHAnsi" w:cstheme="minorHAnsi"/>
          <w:b w:val="0"/>
          <w:i/>
          <w:color w:val="000000" w:themeColor="text1"/>
        </w:rPr>
        <w:t>F</w:t>
      </w:r>
      <w:r w:rsidRPr="00BD04A5">
        <w:rPr>
          <w:rFonts w:asciiTheme="minorHAnsi" w:hAnsiTheme="minorHAnsi" w:cstheme="minorHAnsi"/>
          <w:b w:val="0"/>
          <w:i/>
          <w:color w:val="000000" w:themeColor="text1"/>
          <w:vertAlign w:val="subscript"/>
        </w:rPr>
        <w:t>v</w:t>
      </w:r>
      <w:r w:rsidRPr="00BD04A5">
        <w:rPr>
          <w:rFonts w:asciiTheme="minorHAnsi" w:hAnsiTheme="minorHAnsi" w:cstheme="minorHAnsi"/>
          <w:b w:val="0"/>
          <w:i/>
          <w:color w:val="000000" w:themeColor="text1"/>
        </w:rPr>
        <w:t>/F</w:t>
      </w:r>
      <w:r w:rsidRPr="00BD04A5">
        <w:rPr>
          <w:rFonts w:asciiTheme="minorHAnsi" w:hAnsiTheme="minorHAnsi" w:cstheme="minorHAnsi"/>
          <w:b w:val="0"/>
          <w:i/>
          <w:color w:val="000000" w:themeColor="text1"/>
          <w:vertAlign w:val="subscript"/>
        </w:rPr>
        <w:t>m</w:t>
      </w:r>
      <w:r w:rsidRPr="00BD04A5">
        <w:rPr>
          <w:rFonts w:asciiTheme="minorHAnsi" w:hAnsiTheme="minorHAnsi" w:cstheme="minorHAnsi"/>
          <w:b w:val="0"/>
          <w:color w:val="000000" w:themeColor="text1"/>
        </w:rPr>
        <w:t>) of Japanese lawngrass (</w:t>
      </w:r>
      <w:r w:rsidRPr="00BD04A5">
        <w:rPr>
          <w:rFonts w:asciiTheme="minorHAnsi" w:hAnsiTheme="minorHAnsi" w:cstheme="minorHAnsi"/>
          <w:b w:val="0"/>
          <w:i/>
          <w:color w:val="000000" w:themeColor="text1"/>
        </w:rPr>
        <w:t>Zoysia japonica</w:t>
      </w:r>
      <w:r w:rsidRPr="00BD04A5">
        <w:rPr>
          <w:rFonts w:asciiTheme="minorHAnsi" w:hAnsiTheme="minorHAnsi" w:cstheme="minorHAnsi"/>
          <w:b w:val="0"/>
          <w:color w:val="000000" w:themeColor="text1"/>
        </w:rPr>
        <w:t>) in response to fungicide treatments.</w:t>
      </w:r>
      <w:bookmarkEnd w:id="80"/>
      <w:bookmarkEnd w:id="81"/>
    </w:p>
    <w:tbl>
      <w:tblPr>
        <w:tblpPr w:leftFromText="180" w:rightFromText="180" w:vertAnchor="text" w:horzAnchor="margin" w:tblpY="33"/>
        <w:tblW w:w="13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7"/>
        <w:gridCol w:w="443"/>
        <w:gridCol w:w="897"/>
        <w:gridCol w:w="896"/>
        <w:gridCol w:w="894"/>
        <w:gridCol w:w="899"/>
        <w:gridCol w:w="19"/>
        <w:gridCol w:w="884"/>
        <w:gridCol w:w="902"/>
        <w:gridCol w:w="898"/>
        <w:gridCol w:w="921"/>
        <w:gridCol w:w="264"/>
        <w:gridCol w:w="881"/>
        <w:gridCol w:w="882"/>
        <w:gridCol w:w="793"/>
        <w:gridCol w:w="881"/>
        <w:gridCol w:w="9"/>
      </w:tblGrid>
      <w:tr w:rsidR="007F4ACA" w14:paraId="47835D06" w14:textId="77777777" w:rsidTr="00AF4618">
        <w:trPr>
          <w:trHeight w:val="369"/>
        </w:trPr>
        <w:tc>
          <w:tcPr>
            <w:tcW w:w="1777" w:type="dxa"/>
            <w:tcBorders>
              <w:top w:val="single" w:sz="4" w:space="0" w:color="auto"/>
              <w:left w:val="nil"/>
              <w:bottom w:val="nil"/>
              <w:right w:val="nil"/>
            </w:tcBorders>
            <w:vAlign w:val="center"/>
          </w:tcPr>
          <w:p w14:paraId="650AC643" w14:textId="77777777" w:rsidR="007F4ACA" w:rsidRDefault="007F4ACA">
            <w:pPr>
              <w:rPr>
                <w:rFonts w:eastAsia="Cambria"/>
                <w:color w:val="000000"/>
              </w:rPr>
            </w:pPr>
          </w:p>
        </w:tc>
        <w:tc>
          <w:tcPr>
            <w:tcW w:w="443" w:type="dxa"/>
            <w:tcBorders>
              <w:top w:val="single" w:sz="4" w:space="0" w:color="auto"/>
              <w:left w:val="nil"/>
              <w:bottom w:val="nil"/>
              <w:right w:val="nil"/>
            </w:tcBorders>
            <w:vAlign w:val="center"/>
          </w:tcPr>
          <w:p w14:paraId="6964E49C" w14:textId="77777777" w:rsidR="007F4ACA" w:rsidRDefault="007F4ACA">
            <w:pPr>
              <w:rPr>
                <w:rFonts w:eastAsia="Cambria"/>
                <w:color w:val="000000"/>
              </w:rPr>
            </w:pPr>
          </w:p>
        </w:tc>
        <w:tc>
          <w:tcPr>
            <w:tcW w:w="7210" w:type="dxa"/>
            <w:gridSpan w:val="9"/>
            <w:tcBorders>
              <w:top w:val="single" w:sz="4" w:space="0" w:color="auto"/>
              <w:left w:val="nil"/>
              <w:bottom w:val="single" w:sz="4" w:space="0" w:color="auto"/>
              <w:right w:val="nil"/>
            </w:tcBorders>
            <w:vAlign w:val="center"/>
            <w:hideMark/>
          </w:tcPr>
          <w:p w14:paraId="5EA32091" w14:textId="77777777" w:rsidR="007F4ACA" w:rsidRDefault="007F4ACA">
            <w:pPr>
              <w:jc w:val="center"/>
              <w:rPr>
                <w:rFonts w:eastAsia="Cambria"/>
                <w:color w:val="000000"/>
              </w:rPr>
            </w:pPr>
            <w:r>
              <w:rPr>
                <w:rFonts w:eastAsia="Cambria"/>
                <w:color w:val="000000"/>
              </w:rPr>
              <w:t>1</w:t>
            </w:r>
            <w:r>
              <w:rPr>
                <w:rFonts w:eastAsia="Cambria"/>
                <w:color w:val="000000"/>
                <w:vertAlign w:val="superscript"/>
              </w:rPr>
              <w:t>st</w:t>
            </w:r>
            <w:r>
              <w:rPr>
                <w:rFonts w:eastAsia="Cambria"/>
                <w:color w:val="000000"/>
              </w:rPr>
              <w:t xml:space="preserve"> experimental run</w:t>
            </w:r>
          </w:p>
        </w:tc>
        <w:tc>
          <w:tcPr>
            <w:tcW w:w="264" w:type="dxa"/>
            <w:tcBorders>
              <w:top w:val="single" w:sz="4" w:space="0" w:color="auto"/>
              <w:left w:val="nil"/>
              <w:bottom w:val="nil"/>
              <w:right w:val="nil"/>
            </w:tcBorders>
          </w:tcPr>
          <w:p w14:paraId="33254A18" w14:textId="77777777" w:rsidR="007F4ACA" w:rsidRDefault="007F4ACA">
            <w:pPr>
              <w:jc w:val="center"/>
              <w:rPr>
                <w:rFonts w:eastAsia="Cambria"/>
                <w:color w:val="000000"/>
              </w:rPr>
            </w:pPr>
          </w:p>
        </w:tc>
        <w:tc>
          <w:tcPr>
            <w:tcW w:w="3446" w:type="dxa"/>
            <w:gridSpan w:val="5"/>
            <w:tcBorders>
              <w:top w:val="single" w:sz="4" w:space="0" w:color="auto"/>
              <w:left w:val="nil"/>
              <w:bottom w:val="single" w:sz="4" w:space="0" w:color="auto"/>
              <w:right w:val="nil"/>
            </w:tcBorders>
            <w:vAlign w:val="center"/>
            <w:hideMark/>
          </w:tcPr>
          <w:p w14:paraId="38985861" w14:textId="77777777" w:rsidR="007F4ACA" w:rsidRDefault="007F4ACA">
            <w:pPr>
              <w:jc w:val="center"/>
              <w:rPr>
                <w:rFonts w:eastAsia="Cambria"/>
                <w:color w:val="000000"/>
              </w:rPr>
            </w:pPr>
            <w:r>
              <w:rPr>
                <w:rFonts w:eastAsia="Cambria"/>
                <w:color w:val="000000"/>
              </w:rPr>
              <w:t>2</w:t>
            </w:r>
            <w:r>
              <w:rPr>
                <w:rFonts w:eastAsia="Cambria"/>
                <w:color w:val="000000"/>
                <w:vertAlign w:val="superscript"/>
              </w:rPr>
              <w:t>nd</w:t>
            </w:r>
            <w:r>
              <w:rPr>
                <w:rFonts w:eastAsia="Cambria"/>
                <w:color w:val="000000"/>
              </w:rPr>
              <w:t xml:space="preserve"> experimental run</w:t>
            </w:r>
          </w:p>
        </w:tc>
      </w:tr>
      <w:tr w:rsidR="007F4ACA" w14:paraId="4F0224ED" w14:textId="77777777" w:rsidTr="004D6FD5">
        <w:trPr>
          <w:trHeight w:val="369"/>
        </w:trPr>
        <w:tc>
          <w:tcPr>
            <w:tcW w:w="1777" w:type="dxa"/>
            <w:tcBorders>
              <w:top w:val="nil"/>
              <w:left w:val="nil"/>
              <w:bottom w:val="nil"/>
              <w:right w:val="nil"/>
            </w:tcBorders>
            <w:vAlign w:val="center"/>
          </w:tcPr>
          <w:p w14:paraId="15949C94" w14:textId="77777777" w:rsidR="007F4ACA" w:rsidRDefault="007F4ACA">
            <w:pPr>
              <w:rPr>
                <w:rFonts w:eastAsia="Cambria"/>
                <w:color w:val="000000"/>
              </w:rPr>
            </w:pPr>
          </w:p>
        </w:tc>
        <w:tc>
          <w:tcPr>
            <w:tcW w:w="443" w:type="dxa"/>
            <w:tcBorders>
              <w:top w:val="nil"/>
              <w:left w:val="nil"/>
              <w:bottom w:val="nil"/>
              <w:right w:val="nil"/>
            </w:tcBorders>
            <w:vAlign w:val="center"/>
          </w:tcPr>
          <w:p w14:paraId="014794BD" w14:textId="77777777" w:rsidR="007F4ACA" w:rsidRDefault="007F4ACA">
            <w:pPr>
              <w:rPr>
                <w:rFonts w:eastAsia="Cambria"/>
                <w:color w:val="000000"/>
              </w:rPr>
            </w:pPr>
          </w:p>
        </w:tc>
        <w:tc>
          <w:tcPr>
            <w:tcW w:w="3586" w:type="dxa"/>
            <w:gridSpan w:val="4"/>
            <w:tcBorders>
              <w:top w:val="single" w:sz="4" w:space="0" w:color="auto"/>
              <w:left w:val="nil"/>
              <w:bottom w:val="single" w:sz="4" w:space="0" w:color="auto"/>
              <w:right w:val="nil"/>
            </w:tcBorders>
            <w:vAlign w:val="center"/>
            <w:hideMark/>
          </w:tcPr>
          <w:p w14:paraId="3221C844" w14:textId="77777777" w:rsidR="007F4ACA" w:rsidRDefault="007F4ACA">
            <w:pPr>
              <w:jc w:val="center"/>
              <w:rPr>
                <w:rFonts w:eastAsia="Cambria"/>
                <w:color w:val="000000"/>
              </w:rPr>
            </w:pPr>
            <w:r>
              <w:rPr>
                <w:rFonts w:eastAsia="Cambria"/>
                <w:color w:val="000000"/>
              </w:rPr>
              <w:t>Large patch severity</w:t>
            </w:r>
          </w:p>
        </w:tc>
        <w:tc>
          <w:tcPr>
            <w:tcW w:w="3624" w:type="dxa"/>
            <w:gridSpan w:val="5"/>
            <w:tcBorders>
              <w:top w:val="single" w:sz="4" w:space="0" w:color="auto"/>
              <w:left w:val="nil"/>
              <w:bottom w:val="single" w:sz="4" w:space="0" w:color="auto"/>
              <w:right w:val="nil"/>
            </w:tcBorders>
            <w:vAlign w:val="center"/>
            <w:hideMark/>
          </w:tcPr>
          <w:p w14:paraId="550C959F" w14:textId="77777777" w:rsidR="007F4ACA" w:rsidRPr="004D6FD5" w:rsidRDefault="007F4ACA">
            <w:pPr>
              <w:jc w:val="center"/>
              <w:rPr>
                <w:rFonts w:eastAsia="Cambria"/>
                <w:i/>
                <w:color w:val="000000"/>
              </w:rPr>
            </w:pPr>
            <w:r w:rsidRPr="004D6FD5">
              <w:rPr>
                <w:rFonts w:eastAsia="Cambria"/>
                <w:i/>
                <w:color w:val="000000"/>
              </w:rPr>
              <w:t>Fv/Fm</w:t>
            </w:r>
          </w:p>
        </w:tc>
        <w:tc>
          <w:tcPr>
            <w:tcW w:w="264" w:type="dxa"/>
            <w:tcBorders>
              <w:top w:val="nil"/>
              <w:left w:val="nil"/>
              <w:bottom w:val="nil"/>
              <w:right w:val="nil"/>
            </w:tcBorders>
          </w:tcPr>
          <w:p w14:paraId="5ED4CD96" w14:textId="77777777" w:rsidR="007F4ACA" w:rsidRDefault="007F4ACA">
            <w:pPr>
              <w:jc w:val="center"/>
              <w:rPr>
                <w:rFonts w:eastAsia="Cambria"/>
                <w:color w:val="000000"/>
              </w:rPr>
            </w:pPr>
          </w:p>
        </w:tc>
        <w:tc>
          <w:tcPr>
            <w:tcW w:w="1763" w:type="dxa"/>
            <w:gridSpan w:val="2"/>
            <w:tcBorders>
              <w:top w:val="single" w:sz="4" w:space="0" w:color="auto"/>
              <w:left w:val="nil"/>
              <w:bottom w:val="single" w:sz="4" w:space="0" w:color="auto"/>
              <w:right w:val="nil"/>
            </w:tcBorders>
            <w:vAlign w:val="center"/>
            <w:hideMark/>
          </w:tcPr>
          <w:p w14:paraId="24DFED54" w14:textId="77777777" w:rsidR="007F4ACA" w:rsidRDefault="007F4ACA">
            <w:pPr>
              <w:jc w:val="center"/>
              <w:rPr>
                <w:rFonts w:eastAsia="Cambria"/>
                <w:color w:val="000000"/>
              </w:rPr>
            </w:pPr>
            <w:r>
              <w:rPr>
                <w:rFonts w:eastAsia="Cambria"/>
                <w:color w:val="000000"/>
              </w:rPr>
              <w:t>Large patch severity</w:t>
            </w:r>
          </w:p>
        </w:tc>
        <w:tc>
          <w:tcPr>
            <w:tcW w:w="1683" w:type="dxa"/>
            <w:gridSpan w:val="3"/>
            <w:tcBorders>
              <w:top w:val="single" w:sz="4" w:space="0" w:color="auto"/>
              <w:left w:val="nil"/>
              <w:bottom w:val="single" w:sz="4" w:space="0" w:color="auto"/>
              <w:right w:val="nil"/>
            </w:tcBorders>
            <w:vAlign w:val="center"/>
            <w:hideMark/>
          </w:tcPr>
          <w:p w14:paraId="3DA07054" w14:textId="77777777" w:rsidR="007F4ACA" w:rsidRDefault="007F4ACA">
            <w:pPr>
              <w:jc w:val="center"/>
              <w:rPr>
                <w:rFonts w:eastAsia="Cambria"/>
                <w:color w:val="000000"/>
              </w:rPr>
            </w:pPr>
            <w:r>
              <w:rPr>
                <w:rFonts w:eastAsia="Cambria"/>
                <w:color w:val="000000"/>
              </w:rPr>
              <w:t>Fv/Fm</w:t>
            </w:r>
          </w:p>
        </w:tc>
      </w:tr>
      <w:tr w:rsidR="004D6FD5" w14:paraId="448AEA8E" w14:textId="77777777" w:rsidTr="004D6FD5">
        <w:trPr>
          <w:trHeight w:val="369"/>
        </w:trPr>
        <w:tc>
          <w:tcPr>
            <w:tcW w:w="1777" w:type="dxa"/>
            <w:tcBorders>
              <w:top w:val="nil"/>
              <w:left w:val="nil"/>
              <w:bottom w:val="nil"/>
              <w:right w:val="nil"/>
            </w:tcBorders>
            <w:vAlign w:val="center"/>
          </w:tcPr>
          <w:p w14:paraId="204F6CD8" w14:textId="77777777" w:rsidR="004D6FD5" w:rsidRDefault="004D6FD5">
            <w:pPr>
              <w:rPr>
                <w:rFonts w:eastAsia="Cambria"/>
                <w:color w:val="000000"/>
              </w:rPr>
            </w:pPr>
          </w:p>
        </w:tc>
        <w:tc>
          <w:tcPr>
            <w:tcW w:w="443" w:type="dxa"/>
            <w:tcBorders>
              <w:top w:val="nil"/>
              <w:left w:val="nil"/>
              <w:bottom w:val="nil"/>
              <w:right w:val="nil"/>
            </w:tcBorders>
            <w:vAlign w:val="center"/>
          </w:tcPr>
          <w:p w14:paraId="220F5EA8" w14:textId="77777777" w:rsidR="004D6FD5" w:rsidRDefault="004D6FD5">
            <w:pPr>
              <w:rPr>
                <w:rFonts w:eastAsia="Cambria"/>
                <w:color w:val="000000"/>
              </w:rPr>
            </w:pPr>
          </w:p>
        </w:tc>
        <w:tc>
          <w:tcPr>
            <w:tcW w:w="3605" w:type="dxa"/>
            <w:gridSpan w:val="5"/>
            <w:tcBorders>
              <w:top w:val="single" w:sz="4" w:space="0" w:color="auto"/>
              <w:left w:val="nil"/>
              <w:bottom w:val="single" w:sz="4" w:space="0" w:color="auto"/>
              <w:right w:val="nil"/>
            </w:tcBorders>
            <w:vAlign w:val="center"/>
            <w:hideMark/>
          </w:tcPr>
          <w:p w14:paraId="1E477CD7" w14:textId="661CEA2D" w:rsidR="004D6FD5" w:rsidRDefault="004D6FD5">
            <w:pPr>
              <w:jc w:val="center"/>
              <w:rPr>
                <w:rFonts w:eastAsia="Cambria"/>
                <w:color w:val="000000"/>
              </w:rPr>
            </w:pPr>
            <w:r>
              <w:rPr>
                <w:rFonts w:eastAsia="Cambria"/>
                <w:color w:val="000000"/>
              </w:rPr>
              <w:t xml:space="preserve">- Days after trial initiation - </w:t>
            </w:r>
          </w:p>
        </w:tc>
        <w:tc>
          <w:tcPr>
            <w:tcW w:w="3605" w:type="dxa"/>
            <w:gridSpan w:val="4"/>
            <w:tcBorders>
              <w:top w:val="single" w:sz="4" w:space="0" w:color="auto"/>
              <w:left w:val="nil"/>
              <w:bottom w:val="single" w:sz="4" w:space="0" w:color="auto"/>
              <w:right w:val="nil"/>
            </w:tcBorders>
            <w:vAlign w:val="center"/>
          </w:tcPr>
          <w:p w14:paraId="42AF11BF" w14:textId="69969950" w:rsidR="004D6FD5" w:rsidRDefault="004D6FD5">
            <w:pPr>
              <w:jc w:val="center"/>
              <w:rPr>
                <w:rFonts w:eastAsia="Cambria"/>
                <w:color w:val="000000"/>
              </w:rPr>
            </w:pPr>
            <w:r>
              <w:rPr>
                <w:rFonts w:eastAsia="Cambria"/>
                <w:color w:val="000000"/>
              </w:rPr>
              <w:t>- Days after trial initiation -</w:t>
            </w:r>
          </w:p>
        </w:tc>
        <w:tc>
          <w:tcPr>
            <w:tcW w:w="264" w:type="dxa"/>
            <w:tcBorders>
              <w:top w:val="nil"/>
              <w:left w:val="nil"/>
              <w:bottom w:val="nil"/>
              <w:right w:val="nil"/>
            </w:tcBorders>
          </w:tcPr>
          <w:p w14:paraId="5148A780" w14:textId="77777777" w:rsidR="004D6FD5" w:rsidRDefault="004D6FD5">
            <w:pPr>
              <w:jc w:val="center"/>
              <w:rPr>
                <w:rFonts w:eastAsia="Cambria"/>
                <w:color w:val="000000"/>
              </w:rPr>
            </w:pPr>
          </w:p>
        </w:tc>
        <w:tc>
          <w:tcPr>
            <w:tcW w:w="3446" w:type="dxa"/>
            <w:gridSpan w:val="5"/>
            <w:tcBorders>
              <w:top w:val="single" w:sz="4" w:space="0" w:color="auto"/>
              <w:left w:val="nil"/>
              <w:bottom w:val="single" w:sz="4" w:space="0" w:color="auto"/>
              <w:right w:val="nil"/>
            </w:tcBorders>
            <w:vAlign w:val="center"/>
            <w:hideMark/>
          </w:tcPr>
          <w:p w14:paraId="6B4EAE8B" w14:textId="77777777" w:rsidR="004D6FD5" w:rsidRDefault="004D6FD5">
            <w:pPr>
              <w:jc w:val="center"/>
              <w:rPr>
                <w:rFonts w:eastAsia="Cambria"/>
                <w:color w:val="000000"/>
              </w:rPr>
            </w:pPr>
            <w:r>
              <w:rPr>
                <w:rFonts w:eastAsia="Cambria"/>
                <w:color w:val="000000"/>
              </w:rPr>
              <w:t>- Days after trial initiation -</w:t>
            </w:r>
          </w:p>
        </w:tc>
      </w:tr>
      <w:tr w:rsidR="007F4ACA" w14:paraId="73F6EE4B" w14:textId="77777777" w:rsidTr="004D6FD5">
        <w:trPr>
          <w:gridAfter w:val="1"/>
          <w:wAfter w:w="9" w:type="dxa"/>
          <w:trHeight w:val="369"/>
        </w:trPr>
        <w:tc>
          <w:tcPr>
            <w:tcW w:w="1777" w:type="dxa"/>
            <w:tcBorders>
              <w:top w:val="nil"/>
              <w:left w:val="nil"/>
              <w:bottom w:val="nil"/>
              <w:right w:val="nil"/>
            </w:tcBorders>
            <w:vAlign w:val="center"/>
            <w:hideMark/>
          </w:tcPr>
          <w:p w14:paraId="20551E55" w14:textId="77777777" w:rsidR="007F4ACA" w:rsidRDefault="007F4ACA">
            <w:pPr>
              <w:rPr>
                <w:rFonts w:eastAsia="Cambria"/>
                <w:color w:val="000000"/>
              </w:rPr>
            </w:pPr>
            <w:r>
              <w:rPr>
                <w:rFonts w:eastAsia="Cambria"/>
                <w:color w:val="000000"/>
              </w:rPr>
              <w:t>Source</w:t>
            </w:r>
          </w:p>
        </w:tc>
        <w:tc>
          <w:tcPr>
            <w:tcW w:w="443" w:type="dxa"/>
            <w:tcBorders>
              <w:top w:val="nil"/>
              <w:left w:val="nil"/>
              <w:bottom w:val="nil"/>
              <w:right w:val="nil"/>
            </w:tcBorders>
            <w:vAlign w:val="center"/>
            <w:hideMark/>
          </w:tcPr>
          <w:p w14:paraId="7C79670F" w14:textId="77777777" w:rsidR="007F4ACA" w:rsidRDefault="007F4ACA">
            <w:pPr>
              <w:rPr>
                <w:rFonts w:eastAsia="Cambria"/>
                <w:color w:val="000000"/>
              </w:rPr>
            </w:pPr>
            <w:r>
              <w:rPr>
                <w:rFonts w:eastAsia="Cambria"/>
                <w:color w:val="000000"/>
              </w:rPr>
              <w:t>df</w:t>
            </w:r>
          </w:p>
        </w:tc>
        <w:tc>
          <w:tcPr>
            <w:tcW w:w="897" w:type="dxa"/>
            <w:tcBorders>
              <w:top w:val="nil"/>
              <w:left w:val="nil"/>
              <w:bottom w:val="nil"/>
              <w:right w:val="nil"/>
            </w:tcBorders>
            <w:vAlign w:val="center"/>
            <w:hideMark/>
          </w:tcPr>
          <w:p w14:paraId="5873B5E4" w14:textId="77777777" w:rsidR="007F4ACA" w:rsidRDefault="007F4ACA">
            <w:pPr>
              <w:jc w:val="center"/>
              <w:rPr>
                <w:rFonts w:eastAsia="Cambria"/>
                <w:color w:val="000000"/>
              </w:rPr>
            </w:pPr>
            <w:r>
              <w:rPr>
                <w:rFonts w:eastAsia="Cambria"/>
                <w:color w:val="000000"/>
              </w:rPr>
              <w:t>7</w:t>
            </w:r>
          </w:p>
        </w:tc>
        <w:tc>
          <w:tcPr>
            <w:tcW w:w="896" w:type="dxa"/>
            <w:tcBorders>
              <w:top w:val="nil"/>
              <w:left w:val="nil"/>
              <w:bottom w:val="nil"/>
              <w:right w:val="nil"/>
            </w:tcBorders>
            <w:vAlign w:val="center"/>
            <w:hideMark/>
          </w:tcPr>
          <w:p w14:paraId="6A15C703" w14:textId="77777777" w:rsidR="007F4ACA" w:rsidRDefault="007F4ACA">
            <w:pPr>
              <w:jc w:val="center"/>
              <w:rPr>
                <w:rFonts w:eastAsia="Cambria"/>
                <w:color w:val="000000"/>
              </w:rPr>
            </w:pPr>
            <w:r>
              <w:rPr>
                <w:rFonts w:eastAsia="Cambria"/>
                <w:color w:val="000000"/>
              </w:rPr>
              <w:t>14</w:t>
            </w:r>
          </w:p>
        </w:tc>
        <w:tc>
          <w:tcPr>
            <w:tcW w:w="894" w:type="dxa"/>
            <w:tcBorders>
              <w:top w:val="nil"/>
              <w:left w:val="nil"/>
              <w:bottom w:val="nil"/>
              <w:right w:val="nil"/>
            </w:tcBorders>
            <w:vAlign w:val="center"/>
            <w:hideMark/>
          </w:tcPr>
          <w:p w14:paraId="6080C077" w14:textId="77777777" w:rsidR="007F4ACA" w:rsidRDefault="007F4ACA">
            <w:pPr>
              <w:jc w:val="center"/>
              <w:rPr>
                <w:rFonts w:eastAsia="Cambria"/>
                <w:color w:val="000000"/>
              </w:rPr>
            </w:pPr>
            <w:r>
              <w:rPr>
                <w:rFonts w:eastAsia="Cambria"/>
                <w:color w:val="000000"/>
              </w:rPr>
              <w:t>21</w:t>
            </w:r>
          </w:p>
        </w:tc>
        <w:tc>
          <w:tcPr>
            <w:tcW w:w="899" w:type="dxa"/>
            <w:tcBorders>
              <w:top w:val="nil"/>
              <w:left w:val="nil"/>
              <w:bottom w:val="nil"/>
              <w:right w:val="nil"/>
            </w:tcBorders>
            <w:vAlign w:val="center"/>
            <w:hideMark/>
          </w:tcPr>
          <w:p w14:paraId="4664712B" w14:textId="77777777" w:rsidR="007F4ACA" w:rsidRDefault="007F4ACA">
            <w:pPr>
              <w:jc w:val="center"/>
              <w:rPr>
                <w:rFonts w:eastAsia="Cambria"/>
                <w:color w:val="000000"/>
              </w:rPr>
            </w:pPr>
            <w:r>
              <w:rPr>
                <w:rFonts w:eastAsia="Cambria"/>
                <w:color w:val="000000"/>
              </w:rPr>
              <w:t>28</w:t>
            </w:r>
          </w:p>
        </w:tc>
        <w:tc>
          <w:tcPr>
            <w:tcW w:w="903" w:type="dxa"/>
            <w:gridSpan w:val="2"/>
            <w:tcBorders>
              <w:top w:val="nil"/>
              <w:left w:val="nil"/>
              <w:bottom w:val="nil"/>
              <w:right w:val="nil"/>
            </w:tcBorders>
            <w:vAlign w:val="center"/>
            <w:hideMark/>
          </w:tcPr>
          <w:p w14:paraId="16565398" w14:textId="77777777" w:rsidR="007F4ACA" w:rsidRDefault="007F4ACA">
            <w:pPr>
              <w:jc w:val="center"/>
              <w:rPr>
                <w:rFonts w:eastAsia="Cambria"/>
                <w:color w:val="000000"/>
              </w:rPr>
            </w:pPr>
            <w:r>
              <w:rPr>
                <w:rFonts w:eastAsia="Cambria"/>
                <w:color w:val="000000"/>
              </w:rPr>
              <w:t>7</w:t>
            </w:r>
          </w:p>
        </w:tc>
        <w:tc>
          <w:tcPr>
            <w:tcW w:w="902" w:type="dxa"/>
            <w:tcBorders>
              <w:top w:val="nil"/>
              <w:left w:val="nil"/>
              <w:bottom w:val="nil"/>
              <w:right w:val="nil"/>
            </w:tcBorders>
            <w:vAlign w:val="center"/>
            <w:hideMark/>
          </w:tcPr>
          <w:p w14:paraId="08D1A0F3" w14:textId="77777777" w:rsidR="007F4ACA" w:rsidRDefault="007F4ACA">
            <w:pPr>
              <w:jc w:val="center"/>
              <w:rPr>
                <w:rFonts w:eastAsia="Cambria"/>
                <w:color w:val="000000"/>
              </w:rPr>
            </w:pPr>
            <w:r>
              <w:rPr>
                <w:rFonts w:eastAsia="Cambria"/>
                <w:color w:val="000000"/>
              </w:rPr>
              <w:t>14</w:t>
            </w:r>
          </w:p>
        </w:tc>
        <w:tc>
          <w:tcPr>
            <w:tcW w:w="898" w:type="dxa"/>
            <w:tcBorders>
              <w:top w:val="nil"/>
              <w:left w:val="nil"/>
              <w:bottom w:val="nil"/>
              <w:right w:val="nil"/>
            </w:tcBorders>
            <w:vAlign w:val="center"/>
            <w:hideMark/>
          </w:tcPr>
          <w:p w14:paraId="6D183CA0" w14:textId="77777777" w:rsidR="007F4ACA" w:rsidRDefault="007F4ACA">
            <w:pPr>
              <w:jc w:val="center"/>
              <w:rPr>
                <w:rFonts w:eastAsia="Cambria"/>
                <w:color w:val="000000"/>
              </w:rPr>
            </w:pPr>
            <w:r>
              <w:rPr>
                <w:rFonts w:eastAsia="Cambria"/>
                <w:color w:val="000000"/>
              </w:rPr>
              <w:t>21</w:t>
            </w:r>
          </w:p>
        </w:tc>
        <w:tc>
          <w:tcPr>
            <w:tcW w:w="921" w:type="dxa"/>
            <w:tcBorders>
              <w:top w:val="nil"/>
              <w:left w:val="nil"/>
              <w:bottom w:val="nil"/>
              <w:right w:val="nil"/>
            </w:tcBorders>
            <w:vAlign w:val="center"/>
            <w:hideMark/>
          </w:tcPr>
          <w:p w14:paraId="55DAC8B9" w14:textId="77777777" w:rsidR="007F4ACA" w:rsidRDefault="007F4ACA">
            <w:pPr>
              <w:jc w:val="center"/>
              <w:rPr>
                <w:rFonts w:eastAsia="Cambria"/>
                <w:color w:val="000000"/>
              </w:rPr>
            </w:pPr>
            <w:r>
              <w:rPr>
                <w:rFonts w:eastAsia="Cambria"/>
                <w:color w:val="000000"/>
              </w:rPr>
              <w:t>28</w:t>
            </w:r>
          </w:p>
        </w:tc>
        <w:tc>
          <w:tcPr>
            <w:tcW w:w="264" w:type="dxa"/>
            <w:tcBorders>
              <w:top w:val="nil"/>
              <w:left w:val="nil"/>
              <w:bottom w:val="nil"/>
              <w:right w:val="nil"/>
            </w:tcBorders>
          </w:tcPr>
          <w:p w14:paraId="45535220" w14:textId="77777777" w:rsidR="007F4ACA" w:rsidRDefault="007F4ACA">
            <w:pPr>
              <w:jc w:val="center"/>
              <w:rPr>
                <w:rFonts w:eastAsia="Cambria"/>
                <w:color w:val="000000"/>
              </w:rPr>
            </w:pPr>
          </w:p>
        </w:tc>
        <w:tc>
          <w:tcPr>
            <w:tcW w:w="881" w:type="dxa"/>
            <w:tcBorders>
              <w:top w:val="nil"/>
              <w:left w:val="nil"/>
              <w:bottom w:val="nil"/>
              <w:right w:val="nil"/>
            </w:tcBorders>
            <w:vAlign w:val="center"/>
            <w:hideMark/>
          </w:tcPr>
          <w:p w14:paraId="28826533" w14:textId="77777777" w:rsidR="007F4ACA" w:rsidRDefault="007F4ACA">
            <w:pPr>
              <w:jc w:val="center"/>
              <w:rPr>
                <w:rFonts w:eastAsia="Cambria"/>
                <w:color w:val="000000"/>
              </w:rPr>
            </w:pPr>
            <w:r>
              <w:rPr>
                <w:rFonts w:eastAsia="Cambria"/>
                <w:color w:val="000000"/>
              </w:rPr>
              <w:t>7</w:t>
            </w:r>
          </w:p>
        </w:tc>
        <w:tc>
          <w:tcPr>
            <w:tcW w:w="882" w:type="dxa"/>
            <w:tcBorders>
              <w:top w:val="nil"/>
              <w:left w:val="nil"/>
              <w:bottom w:val="nil"/>
              <w:right w:val="nil"/>
            </w:tcBorders>
            <w:vAlign w:val="center"/>
            <w:hideMark/>
          </w:tcPr>
          <w:p w14:paraId="2D712B9F" w14:textId="77777777" w:rsidR="007F4ACA" w:rsidRDefault="007F4ACA">
            <w:pPr>
              <w:jc w:val="center"/>
              <w:rPr>
                <w:rFonts w:eastAsia="Cambria"/>
                <w:color w:val="000000"/>
              </w:rPr>
            </w:pPr>
            <w:r>
              <w:rPr>
                <w:rFonts w:eastAsia="Cambria"/>
                <w:color w:val="000000"/>
              </w:rPr>
              <w:t>14</w:t>
            </w:r>
          </w:p>
        </w:tc>
        <w:tc>
          <w:tcPr>
            <w:tcW w:w="793" w:type="dxa"/>
            <w:tcBorders>
              <w:top w:val="nil"/>
              <w:left w:val="nil"/>
              <w:bottom w:val="nil"/>
              <w:right w:val="nil"/>
            </w:tcBorders>
            <w:vAlign w:val="center"/>
            <w:hideMark/>
          </w:tcPr>
          <w:p w14:paraId="69A34149" w14:textId="77777777" w:rsidR="007F4ACA" w:rsidRDefault="007F4ACA">
            <w:pPr>
              <w:jc w:val="center"/>
              <w:rPr>
                <w:rFonts w:eastAsia="Cambria"/>
                <w:color w:val="000000"/>
              </w:rPr>
            </w:pPr>
            <w:r>
              <w:rPr>
                <w:rFonts w:eastAsia="Cambria"/>
                <w:color w:val="000000"/>
              </w:rPr>
              <w:t>7</w:t>
            </w:r>
          </w:p>
        </w:tc>
        <w:tc>
          <w:tcPr>
            <w:tcW w:w="881" w:type="dxa"/>
            <w:tcBorders>
              <w:top w:val="nil"/>
              <w:left w:val="nil"/>
              <w:bottom w:val="nil"/>
              <w:right w:val="nil"/>
            </w:tcBorders>
            <w:vAlign w:val="center"/>
            <w:hideMark/>
          </w:tcPr>
          <w:p w14:paraId="370C7525" w14:textId="77777777" w:rsidR="007F4ACA" w:rsidRDefault="007F4ACA">
            <w:pPr>
              <w:jc w:val="center"/>
              <w:rPr>
                <w:rFonts w:eastAsia="Cambria"/>
                <w:color w:val="000000"/>
              </w:rPr>
            </w:pPr>
            <w:r>
              <w:rPr>
                <w:rFonts w:eastAsia="Cambria"/>
                <w:color w:val="000000"/>
              </w:rPr>
              <w:t>14</w:t>
            </w:r>
          </w:p>
        </w:tc>
      </w:tr>
      <w:tr w:rsidR="007F4ACA" w14:paraId="0F39B587" w14:textId="77777777" w:rsidTr="004D6FD5">
        <w:trPr>
          <w:gridAfter w:val="1"/>
          <w:wAfter w:w="9" w:type="dxa"/>
          <w:trHeight w:val="369"/>
        </w:trPr>
        <w:tc>
          <w:tcPr>
            <w:tcW w:w="1777" w:type="dxa"/>
            <w:tcBorders>
              <w:top w:val="nil"/>
              <w:left w:val="nil"/>
              <w:bottom w:val="nil"/>
              <w:right w:val="nil"/>
            </w:tcBorders>
            <w:vAlign w:val="center"/>
            <w:hideMark/>
          </w:tcPr>
          <w:p w14:paraId="6320BBFD" w14:textId="77777777" w:rsidR="007F4ACA" w:rsidRDefault="007F4ACA">
            <w:pPr>
              <w:rPr>
                <w:rFonts w:eastAsia="Cambria"/>
                <w:color w:val="000000"/>
              </w:rPr>
            </w:pPr>
            <w:r>
              <w:rPr>
                <w:rFonts w:eastAsia="Cambria"/>
                <w:color w:val="000000"/>
              </w:rPr>
              <w:t>Replication</w:t>
            </w:r>
          </w:p>
        </w:tc>
        <w:tc>
          <w:tcPr>
            <w:tcW w:w="443" w:type="dxa"/>
            <w:tcBorders>
              <w:top w:val="nil"/>
              <w:left w:val="nil"/>
              <w:bottom w:val="nil"/>
              <w:right w:val="nil"/>
            </w:tcBorders>
            <w:vAlign w:val="center"/>
            <w:hideMark/>
          </w:tcPr>
          <w:p w14:paraId="79D8C5C7" w14:textId="77777777" w:rsidR="007F4ACA" w:rsidRDefault="007F4ACA">
            <w:pPr>
              <w:rPr>
                <w:rFonts w:eastAsia="Cambria"/>
                <w:color w:val="000000"/>
              </w:rPr>
            </w:pPr>
            <w:r>
              <w:rPr>
                <w:rFonts w:eastAsia="Cambria"/>
                <w:color w:val="000000"/>
              </w:rPr>
              <w:t>4</w:t>
            </w:r>
          </w:p>
        </w:tc>
        <w:tc>
          <w:tcPr>
            <w:tcW w:w="897" w:type="dxa"/>
            <w:tcBorders>
              <w:top w:val="nil"/>
              <w:left w:val="nil"/>
              <w:bottom w:val="nil"/>
              <w:right w:val="nil"/>
            </w:tcBorders>
            <w:vAlign w:val="center"/>
            <w:hideMark/>
          </w:tcPr>
          <w:p w14:paraId="0C286094" w14:textId="5C76EDEC" w:rsidR="007F4ACA" w:rsidRDefault="0044089B">
            <w:pPr>
              <w:jc w:val="center"/>
              <w:rPr>
                <w:rFonts w:eastAsia="Cambria"/>
                <w:color w:val="000000"/>
              </w:rPr>
            </w:pPr>
            <w:r>
              <w:rPr>
                <w:rFonts w:eastAsia="Cambria"/>
                <w:color w:val="000000"/>
              </w:rPr>
              <w:t xml:space="preserve"> </w:t>
            </w:r>
            <w:r w:rsidR="007F4ACA">
              <w:rPr>
                <w:rFonts w:eastAsia="Cambria"/>
                <w:color w:val="000000"/>
              </w:rPr>
              <w:t>NS</w:t>
            </w:r>
            <w:r w:rsidR="007F4ACA">
              <w:rPr>
                <w:rFonts w:eastAsia="Cambria"/>
                <w:color w:val="000000"/>
                <w:vertAlign w:val="superscript"/>
              </w:rPr>
              <w:t>a</w:t>
            </w:r>
          </w:p>
        </w:tc>
        <w:tc>
          <w:tcPr>
            <w:tcW w:w="896" w:type="dxa"/>
            <w:tcBorders>
              <w:top w:val="nil"/>
              <w:left w:val="nil"/>
              <w:bottom w:val="nil"/>
              <w:right w:val="nil"/>
            </w:tcBorders>
            <w:vAlign w:val="center"/>
            <w:hideMark/>
          </w:tcPr>
          <w:p w14:paraId="040DB5DB" w14:textId="77777777" w:rsidR="007F4ACA" w:rsidRDefault="007F4ACA">
            <w:pPr>
              <w:jc w:val="center"/>
              <w:rPr>
                <w:rFonts w:eastAsia="Cambria"/>
                <w:color w:val="000000"/>
              </w:rPr>
            </w:pPr>
            <w:r>
              <w:rPr>
                <w:rFonts w:eastAsia="Cambria"/>
                <w:color w:val="000000"/>
              </w:rPr>
              <w:t>NS</w:t>
            </w:r>
          </w:p>
        </w:tc>
        <w:tc>
          <w:tcPr>
            <w:tcW w:w="894" w:type="dxa"/>
            <w:tcBorders>
              <w:top w:val="nil"/>
              <w:left w:val="nil"/>
              <w:bottom w:val="nil"/>
              <w:right w:val="nil"/>
            </w:tcBorders>
            <w:vAlign w:val="center"/>
            <w:hideMark/>
          </w:tcPr>
          <w:p w14:paraId="1D064CDB" w14:textId="77777777" w:rsidR="007F4ACA" w:rsidRDefault="007F4ACA">
            <w:pPr>
              <w:jc w:val="center"/>
              <w:rPr>
                <w:rFonts w:eastAsia="Cambria"/>
                <w:color w:val="000000"/>
              </w:rPr>
            </w:pPr>
            <w:r>
              <w:rPr>
                <w:rFonts w:eastAsia="Cambria"/>
                <w:color w:val="000000"/>
              </w:rPr>
              <w:t>NS</w:t>
            </w:r>
          </w:p>
        </w:tc>
        <w:tc>
          <w:tcPr>
            <w:tcW w:w="899" w:type="dxa"/>
            <w:tcBorders>
              <w:top w:val="nil"/>
              <w:left w:val="nil"/>
              <w:bottom w:val="nil"/>
              <w:right w:val="nil"/>
            </w:tcBorders>
            <w:vAlign w:val="center"/>
            <w:hideMark/>
          </w:tcPr>
          <w:p w14:paraId="15BF2D2D" w14:textId="77777777" w:rsidR="007F4ACA" w:rsidRDefault="007F4ACA">
            <w:pPr>
              <w:jc w:val="center"/>
              <w:rPr>
                <w:rFonts w:eastAsia="Cambria"/>
                <w:color w:val="000000"/>
              </w:rPr>
            </w:pPr>
            <w:r>
              <w:rPr>
                <w:rFonts w:eastAsia="Cambria"/>
                <w:color w:val="000000"/>
              </w:rPr>
              <w:t>NS</w:t>
            </w:r>
          </w:p>
        </w:tc>
        <w:tc>
          <w:tcPr>
            <w:tcW w:w="903" w:type="dxa"/>
            <w:gridSpan w:val="2"/>
            <w:tcBorders>
              <w:top w:val="nil"/>
              <w:left w:val="nil"/>
              <w:bottom w:val="nil"/>
              <w:right w:val="nil"/>
            </w:tcBorders>
            <w:vAlign w:val="center"/>
            <w:hideMark/>
          </w:tcPr>
          <w:p w14:paraId="6234D2FD" w14:textId="77777777" w:rsidR="007F4ACA" w:rsidRDefault="007F4ACA">
            <w:pPr>
              <w:jc w:val="center"/>
              <w:rPr>
                <w:rFonts w:eastAsia="Cambria"/>
                <w:color w:val="000000"/>
              </w:rPr>
            </w:pPr>
            <w:r>
              <w:rPr>
                <w:rFonts w:eastAsia="Cambria"/>
                <w:color w:val="000000"/>
              </w:rPr>
              <w:t>NS</w:t>
            </w:r>
          </w:p>
        </w:tc>
        <w:tc>
          <w:tcPr>
            <w:tcW w:w="902" w:type="dxa"/>
            <w:tcBorders>
              <w:top w:val="nil"/>
              <w:left w:val="nil"/>
              <w:bottom w:val="nil"/>
              <w:right w:val="nil"/>
            </w:tcBorders>
            <w:vAlign w:val="center"/>
            <w:hideMark/>
          </w:tcPr>
          <w:p w14:paraId="1F8F243B" w14:textId="77777777" w:rsidR="007F4ACA" w:rsidRDefault="007F4ACA">
            <w:pPr>
              <w:jc w:val="center"/>
              <w:rPr>
                <w:rFonts w:eastAsia="Cambria"/>
                <w:color w:val="000000"/>
              </w:rPr>
            </w:pPr>
            <w:r>
              <w:rPr>
                <w:rFonts w:eastAsia="Cambria"/>
                <w:color w:val="000000"/>
              </w:rPr>
              <w:t>NS</w:t>
            </w:r>
          </w:p>
        </w:tc>
        <w:tc>
          <w:tcPr>
            <w:tcW w:w="898" w:type="dxa"/>
            <w:tcBorders>
              <w:top w:val="nil"/>
              <w:left w:val="nil"/>
              <w:bottom w:val="nil"/>
              <w:right w:val="nil"/>
            </w:tcBorders>
            <w:vAlign w:val="center"/>
            <w:hideMark/>
          </w:tcPr>
          <w:p w14:paraId="516DA9A0" w14:textId="77777777" w:rsidR="007F4ACA" w:rsidRDefault="007F4ACA">
            <w:pPr>
              <w:jc w:val="center"/>
              <w:rPr>
                <w:rFonts w:eastAsia="Cambria"/>
                <w:color w:val="000000"/>
              </w:rPr>
            </w:pPr>
            <w:r>
              <w:rPr>
                <w:rFonts w:eastAsia="Cambria"/>
                <w:color w:val="000000"/>
              </w:rPr>
              <w:t>NS</w:t>
            </w:r>
          </w:p>
        </w:tc>
        <w:tc>
          <w:tcPr>
            <w:tcW w:w="921" w:type="dxa"/>
            <w:tcBorders>
              <w:top w:val="nil"/>
              <w:left w:val="nil"/>
              <w:bottom w:val="nil"/>
              <w:right w:val="nil"/>
            </w:tcBorders>
            <w:vAlign w:val="center"/>
            <w:hideMark/>
          </w:tcPr>
          <w:p w14:paraId="77112FD2" w14:textId="77777777" w:rsidR="007F4ACA" w:rsidRDefault="007F4ACA">
            <w:pPr>
              <w:jc w:val="center"/>
              <w:rPr>
                <w:rFonts w:eastAsia="Cambria"/>
                <w:color w:val="000000"/>
              </w:rPr>
            </w:pPr>
            <w:r>
              <w:rPr>
                <w:rFonts w:eastAsia="Cambria"/>
                <w:color w:val="000000"/>
              </w:rPr>
              <w:t>NS</w:t>
            </w:r>
          </w:p>
        </w:tc>
        <w:tc>
          <w:tcPr>
            <w:tcW w:w="264" w:type="dxa"/>
            <w:tcBorders>
              <w:top w:val="nil"/>
              <w:left w:val="nil"/>
              <w:bottom w:val="nil"/>
              <w:right w:val="nil"/>
            </w:tcBorders>
          </w:tcPr>
          <w:p w14:paraId="69647D2E" w14:textId="77777777" w:rsidR="007F4ACA" w:rsidRDefault="007F4ACA">
            <w:pPr>
              <w:jc w:val="center"/>
              <w:rPr>
                <w:rFonts w:eastAsia="Cambria"/>
                <w:color w:val="000000"/>
              </w:rPr>
            </w:pPr>
          </w:p>
        </w:tc>
        <w:tc>
          <w:tcPr>
            <w:tcW w:w="881" w:type="dxa"/>
            <w:tcBorders>
              <w:top w:val="nil"/>
              <w:left w:val="nil"/>
              <w:bottom w:val="nil"/>
              <w:right w:val="nil"/>
            </w:tcBorders>
            <w:vAlign w:val="center"/>
            <w:hideMark/>
          </w:tcPr>
          <w:p w14:paraId="4F232B25" w14:textId="77777777" w:rsidR="007F4ACA" w:rsidRDefault="007F4ACA">
            <w:pPr>
              <w:jc w:val="center"/>
              <w:rPr>
                <w:rFonts w:eastAsia="Cambria"/>
                <w:color w:val="000000"/>
              </w:rPr>
            </w:pPr>
            <w:r>
              <w:rPr>
                <w:rFonts w:eastAsia="Cambria"/>
                <w:color w:val="000000"/>
              </w:rPr>
              <w:t>NS</w:t>
            </w:r>
          </w:p>
        </w:tc>
        <w:tc>
          <w:tcPr>
            <w:tcW w:w="882" w:type="dxa"/>
            <w:tcBorders>
              <w:top w:val="nil"/>
              <w:left w:val="nil"/>
              <w:bottom w:val="nil"/>
              <w:right w:val="nil"/>
            </w:tcBorders>
            <w:vAlign w:val="center"/>
            <w:hideMark/>
          </w:tcPr>
          <w:p w14:paraId="133B17B1" w14:textId="77777777" w:rsidR="007F4ACA" w:rsidRDefault="007F4ACA">
            <w:pPr>
              <w:jc w:val="center"/>
              <w:rPr>
                <w:rFonts w:eastAsia="Cambria"/>
                <w:color w:val="000000"/>
              </w:rPr>
            </w:pPr>
            <w:r>
              <w:rPr>
                <w:rFonts w:eastAsia="Cambria"/>
                <w:color w:val="000000"/>
              </w:rPr>
              <w:t>NS</w:t>
            </w:r>
          </w:p>
        </w:tc>
        <w:tc>
          <w:tcPr>
            <w:tcW w:w="793" w:type="dxa"/>
            <w:tcBorders>
              <w:top w:val="nil"/>
              <w:left w:val="nil"/>
              <w:bottom w:val="nil"/>
              <w:right w:val="nil"/>
            </w:tcBorders>
            <w:vAlign w:val="center"/>
            <w:hideMark/>
          </w:tcPr>
          <w:p w14:paraId="5D088E55" w14:textId="77777777" w:rsidR="007F4ACA" w:rsidRDefault="007F4ACA">
            <w:pPr>
              <w:jc w:val="center"/>
              <w:rPr>
                <w:rFonts w:eastAsia="Cambria"/>
                <w:color w:val="000000"/>
              </w:rPr>
            </w:pPr>
            <w:r>
              <w:rPr>
                <w:rFonts w:eastAsia="Cambria"/>
                <w:color w:val="000000"/>
              </w:rPr>
              <w:t>NS</w:t>
            </w:r>
          </w:p>
        </w:tc>
        <w:tc>
          <w:tcPr>
            <w:tcW w:w="881" w:type="dxa"/>
            <w:tcBorders>
              <w:top w:val="nil"/>
              <w:left w:val="nil"/>
              <w:bottom w:val="nil"/>
              <w:right w:val="nil"/>
            </w:tcBorders>
            <w:vAlign w:val="center"/>
            <w:hideMark/>
          </w:tcPr>
          <w:p w14:paraId="2C493317" w14:textId="77777777" w:rsidR="007F4ACA" w:rsidRDefault="007F4ACA">
            <w:pPr>
              <w:jc w:val="center"/>
              <w:rPr>
                <w:rFonts w:eastAsia="Cambria"/>
                <w:color w:val="000000"/>
              </w:rPr>
            </w:pPr>
            <w:r>
              <w:rPr>
                <w:rFonts w:eastAsia="Cambria"/>
                <w:color w:val="000000"/>
              </w:rPr>
              <w:t>NS</w:t>
            </w:r>
          </w:p>
        </w:tc>
      </w:tr>
      <w:tr w:rsidR="007F4ACA" w14:paraId="1B66CCA6" w14:textId="77777777" w:rsidTr="004D6FD5">
        <w:trPr>
          <w:gridAfter w:val="1"/>
          <w:wAfter w:w="9" w:type="dxa"/>
          <w:trHeight w:val="369"/>
        </w:trPr>
        <w:tc>
          <w:tcPr>
            <w:tcW w:w="1777" w:type="dxa"/>
            <w:tcBorders>
              <w:top w:val="nil"/>
              <w:left w:val="nil"/>
              <w:bottom w:val="nil"/>
              <w:right w:val="nil"/>
            </w:tcBorders>
            <w:vAlign w:val="center"/>
            <w:hideMark/>
          </w:tcPr>
          <w:p w14:paraId="33F5AA0D" w14:textId="77777777" w:rsidR="007F4ACA" w:rsidRDefault="007F4ACA">
            <w:pPr>
              <w:rPr>
                <w:rFonts w:eastAsia="Cambria"/>
                <w:color w:val="000000"/>
              </w:rPr>
            </w:pPr>
            <w:r>
              <w:rPr>
                <w:rFonts w:eastAsia="Cambria"/>
                <w:color w:val="000000"/>
              </w:rPr>
              <w:t>Fungicide (F)</w:t>
            </w:r>
          </w:p>
        </w:tc>
        <w:tc>
          <w:tcPr>
            <w:tcW w:w="443" w:type="dxa"/>
            <w:tcBorders>
              <w:top w:val="nil"/>
              <w:left w:val="nil"/>
              <w:bottom w:val="nil"/>
              <w:right w:val="nil"/>
            </w:tcBorders>
            <w:vAlign w:val="center"/>
            <w:hideMark/>
          </w:tcPr>
          <w:p w14:paraId="72897C6D" w14:textId="77777777" w:rsidR="007F4ACA" w:rsidRDefault="007F4ACA">
            <w:pPr>
              <w:rPr>
                <w:rFonts w:eastAsia="Cambria"/>
                <w:color w:val="000000"/>
              </w:rPr>
            </w:pPr>
            <w:r>
              <w:rPr>
                <w:rFonts w:eastAsia="Cambria"/>
                <w:color w:val="000000"/>
              </w:rPr>
              <w:t>3</w:t>
            </w:r>
          </w:p>
        </w:tc>
        <w:tc>
          <w:tcPr>
            <w:tcW w:w="897" w:type="dxa"/>
            <w:tcBorders>
              <w:top w:val="nil"/>
              <w:left w:val="nil"/>
              <w:bottom w:val="nil"/>
              <w:right w:val="nil"/>
            </w:tcBorders>
            <w:vAlign w:val="center"/>
            <w:hideMark/>
          </w:tcPr>
          <w:p w14:paraId="1F775B49" w14:textId="77777777" w:rsidR="007F4ACA" w:rsidRDefault="007F4ACA">
            <w:pPr>
              <w:jc w:val="center"/>
              <w:rPr>
                <w:rFonts w:eastAsia="Cambria"/>
                <w:color w:val="000000"/>
              </w:rPr>
            </w:pPr>
            <w:r>
              <w:rPr>
                <w:rFonts w:eastAsia="Cambria"/>
                <w:color w:val="000000"/>
              </w:rPr>
              <w:t>NS</w:t>
            </w:r>
          </w:p>
        </w:tc>
        <w:tc>
          <w:tcPr>
            <w:tcW w:w="896" w:type="dxa"/>
            <w:tcBorders>
              <w:top w:val="nil"/>
              <w:left w:val="nil"/>
              <w:bottom w:val="nil"/>
              <w:right w:val="nil"/>
            </w:tcBorders>
            <w:vAlign w:val="center"/>
            <w:hideMark/>
          </w:tcPr>
          <w:p w14:paraId="40F5B265" w14:textId="77777777" w:rsidR="007F4ACA" w:rsidRDefault="007F4ACA">
            <w:pPr>
              <w:jc w:val="center"/>
              <w:rPr>
                <w:rFonts w:eastAsia="Cambria"/>
                <w:color w:val="000000"/>
              </w:rPr>
            </w:pPr>
            <w:r>
              <w:rPr>
                <w:rFonts w:eastAsia="Cambria"/>
                <w:color w:val="000000"/>
              </w:rPr>
              <w:t>*</w:t>
            </w:r>
          </w:p>
        </w:tc>
        <w:tc>
          <w:tcPr>
            <w:tcW w:w="894" w:type="dxa"/>
            <w:tcBorders>
              <w:top w:val="nil"/>
              <w:left w:val="nil"/>
              <w:bottom w:val="nil"/>
              <w:right w:val="nil"/>
            </w:tcBorders>
            <w:vAlign w:val="center"/>
            <w:hideMark/>
          </w:tcPr>
          <w:p w14:paraId="2CC9B358" w14:textId="77777777" w:rsidR="007F4ACA" w:rsidRDefault="007F4ACA">
            <w:pPr>
              <w:jc w:val="center"/>
              <w:rPr>
                <w:rFonts w:eastAsia="Cambria"/>
                <w:color w:val="000000"/>
              </w:rPr>
            </w:pPr>
            <w:r>
              <w:rPr>
                <w:rFonts w:eastAsia="Cambria"/>
                <w:color w:val="000000"/>
              </w:rPr>
              <w:t>*</w:t>
            </w:r>
          </w:p>
        </w:tc>
        <w:tc>
          <w:tcPr>
            <w:tcW w:w="899" w:type="dxa"/>
            <w:tcBorders>
              <w:top w:val="nil"/>
              <w:left w:val="nil"/>
              <w:bottom w:val="nil"/>
              <w:right w:val="nil"/>
            </w:tcBorders>
            <w:vAlign w:val="center"/>
            <w:hideMark/>
          </w:tcPr>
          <w:p w14:paraId="50F20AF6" w14:textId="77777777" w:rsidR="007F4ACA" w:rsidRDefault="007F4ACA">
            <w:pPr>
              <w:jc w:val="center"/>
              <w:rPr>
                <w:rFonts w:eastAsia="Cambria"/>
                <w:color w:val="000000"/>
              </w:rPr>
            </w:pPr>
            <w:r>
              <w:rPr>
                <w:rFonts w:eastAsia="Cambria"/>
                <w:color w:val="000000"/>
              </w:rPr>
              <w:t>NS</w:t>
            </w:r>
          </w:p>
        </w:tc>
        <w:tc>
          <w:tcPr>
            <w:tcW w:w="903" w:type="dxa"/>
            <w:gridSpan w:val="2"/>
            <w:tcBorders>
              <w:top w:val="nil"/>
              <w:left w:val="nil"/>
              <w:bottom w:val="nil"/>
              <w:right w:val="nil"/>
            </w:tcBorders>
            <w:vAlign w:val="center"/>
            <w:hideMark/>
          </w:tcPr>
          <w:p w14:paraId="709B70F5" w14:textId="77777777" w:rsidR="007F4ACA" w:rsidRDefault="007F4ACA">
            <w:pPr>
              <w:jc w:val="center"/>
              <w:rPr>
                <w:rFonts w:eastAsia="Cambria"/>
                <w:color w:val="000000"/>
              </w:rPr>
            </w:pPr>
            <w:r>
              <w:rPr>
                <w:rFonts w:eastAsia="Cambria"/>
                <w:color w:val="000000"/>
              </w:rPr>
              <w:t>NS</w:t>
            </w:r>
          </w:p>
        </w:tc>
        <w:tc>
          <w:tcPr>
            <w:tcW w:w="902" w:type="dxa"/>
            <w:tcBorders>
              <w:top w:val="nil"/>
              <w:left w:val="nil"/>
              <w:bottom w:val="nil"/>
              <w:right w:val="nil"/>
            </w:tcBorders>
            <w:vAlign w:val="center"/>
            <w:hideMark/>
          </w:tcPr>
          <w:p w14:paraId="16494EEF" w14:textId="77777777" w:rsidR="007F4ACA" w:rsidRDefault="007F4ACA">
            <w:pPr>
              <w:jc w:val="center"/>
              <w:rPr>
                <w:rFonts w:eastAsia="Cambria"/>
                <w:color w:val="000000"/>
              </w:rPr>
            </w:pPr>
            <w:r>
              <w:rPr>
                <w:rFonts w:eastAsia="Cambria"/>
                <w:color w:val="000000"/>
              </w:rPr>
              <w:t>NS</w:t>
            </w:r>
          </w:p>
        </w:tc>
        <w:tc>
          <w:tcPr>
            <w:tcW w:w="898" w:type="dxa"/>
            <w:tcBorders>
              <w:top w:val="nil"/>
              <w:left w:val="nil"/>
              <w:bottom w:val="nil"/>
              <w:right w:val="nil"/>
            </w:tcBorders>
            <w:vAlign w:val="center"/>
            <w:hideMark/>
          </w:tcPr>
          <w:p w14:paraId="1565D7E8" w14:textId="77777777" w:rsidR="007F4ACA" w:rsidRDefault="007F4ACA">
            <w:pPr>
              <w:jc w:val="center"/>
              <w:rPr>
                <w:rFonts w:eastAsia="Cambria"/>
                <w:color w:val="000000"/>
              </w:rPr>
            </w:pPr>
            <w:r>
              <w:rPr>
                <w:rFonts w:eastAsia="Cambria"/>
                <w:color w:val="000000"/>
              </w:rPr>
              <w:t>*</w:t>
            </w:r>
          </w:p>
        </w:tc>
        <w:tc>
          <w:tcPr>
            <w:tcW w:w="921" w:type="dxa"/>
            <w:tcBorders>
              <w:top w:val="nil"/>
              <w:left w:val="nil"/>
              <w:bottom w:val="nil"/>
              <w:right w:val="nil"/>
            </w:tcBorders>
            <w:vAlign w:val="center"/>
            <w:hideMark/>
          </w:tcPr>
          <w:p w14:paraId="7F1891C8" w14:textId="77777777" w:rsidR="007F4ACA" w:rsidRDefault="007F4ACA">
            <w:pPr>
              <w:jc w:val="center"/>
              <w:rPr>
                <w:rFonts w:eastAsia="Cambria"/>
                <w:color w:val="000000"/>
              </w:rPr>
            </w:pPr>
            <w:r>
              <w:rPr>
                <w:rFonts w:eastAsia="Cambria"/>
                <w:color w:val="000000"/>
              </w:rPr>
              <w:t>NS</w:t>
            </w:r>
          </w:p>
        </w:tc>
        <w:tc>
          <w:tcPr>
            <w:tcW w:w="264" w:type="dxa"/>
            <w:tcBorders>
              <w:top w:val="nil"/>
              <w:left w:val="nil"/>
              <w:bottom w:val="nil"/>
              <w:right w:val="nil"/>
            </w:tcBorders>
          </w:tcPr>
          <w:p w14:paraId="6C9D8FD4" w14:textId="77777777" w:rsidR="007F4ACA" w:rsidRDefault="007F4ACA">
            <w:pPr>
              <w:jc w:val="center"/>
              <w:rPr>
                <w:rFonts w:eastAsia="Cambria"/>
                <w:color w:val="000000"/>
              </w:rPr>
            </w:pPr>
          </w:p>
        </w:tc>
        <w:tc>
          <w:tcPr>
            <w:tcW w:w="881" w:type="dxa"/>
            <w:tcBorders>
              <w:top w:val="nil"/>
              <w:left w:val="nil"/>
              <w:bottom w:val="nil"/>
              <w:right w:val="nil"/>
            </w:tcBorders>
            <w:vAlign w:val="center"/>
            <w:hideMark/>
          </w:tcPr>
          <w:p w14:paraId="73A3A0B0" w14:textId="77777777" w:rsidR="007F4ACA" w:rsidRDefault="007F4ACA">
            <w:pPr>
              <w:jc w:val="center"/>
              <w:rPr>
                <w:rFonts w:eastAsia="Cambria"/>
                <w:color w:val="000000"/>
              </w:rPr>
            </w:pPr>
            <w:r>
              <w:rPr>
                <w:rFonts w:eastAsia="Cambria"/>
                <w:color w:val="000000"/>
              </w:rPr>
              <w:t>NS</w:t>
            </w:r>
          </w:p>
        </w:tc>
        <w:tc>
          <w:tcPr>
            <w:tcW w:w="882" w:type="dxa"/>
            <w:tcBorders>
              <w:top w:val="nil"/>
              <w:left w:val="nil"/>
              <w:bottom w:val="nil"/>
              <w:right w:val="nil"/>
            </w:tcBorders>
            <w:vAlign w:val="center"/>
            <w:hideMark/>
          </w:tcPr>
          <w:p w14:paraId="675876B2" w14:textId="77777777" w:rsidR="007F4ACA" w:rsidRDefault="007F4ACA">
            <w:pPr>
              <w:jc w:val="center"/>
              <w:rPr>
                <w:rFonts w:eastAsia="Cambria"/>
                <w:color w:val="000000"/>
              </w:rPr>
            </w:pPr>
            <w:r>
              <w:rPr>
                <w:rFonts w:eastAsia="Cambria"/>
                <w:color w:val="000000"/>
              </w:rPr>
              <w:t>*</w:t>
            </w:r>
          </w:p>
        </w:tc>
        <w:tc>
          <w:tcPr>
            <w:tcW w:w="793" w:type="dxa"/>
            <w:tcBorders>
              <w:top w:val="nil"/>
              <w:left w:val="nil"/>
              <w:bottom w:val="nil"/>
              <w:right w:val="nil"/>
            </w:tcBorders>
            <w:vAlign w:val="center"/>
            <w:hideMark/>
          </w:tcPr>
          <w:p w14:paraId="47CE871F" w14:textId="77777777" w:rsidR="007F4ACA" w:rsidRDefault="007F4ACA">
            <w:pPr>
              <w:jc w:val="center"/>
              <w:rPr>
                <w:rFonts w:eastAsia="Cambria"/>
                <w:color w:val="000000"/>
              </w:rPr>
            </w:pPr>
            <w:r>
              <w:rPr>
                <w:rFonts w:eastAsia="Cambria"/>
                <w:color w:val="000000"/>
              </w:rPr>
              <w:t>*</w:t>
            </w:r>
          </w:p>
        </w:tc>
        <w:tc>
          <w:tcPr>
            <w:tcW w:w="881" w:type="dxa"/>
            <w:tcBorders>
              <w:top w:val="nil"/>
              <w:left w:val="nil"/>
              <w:bottom w:val="nil"/>
              <w:right w:val="nil"/>
            </w:tcBorders>
            <w:vAlign w:val="center"/>
            <w:hideMark/>
          </w:tcPr>
          <w:p w14:paraId="59227EC9" w14:textId="77777777" w:rsidR="007F4ACA" w:rsidRDefault="007F4ACA">
            <w:pPr>
              <w:jc w:val="center"/>
              <w:rPr>
                <w:rFonts w:eastAsia="Cambria"/>
                <w:color w:val="000000"/>
              </w:rPr>
            </w:pPr>
            <w:r>
              <w:rPr>
                <w:rFonts w:eastAsia="Cambria"/>
                <w:color w:val="000000"/>
              </w:rPr>
              <w:t>*</w:t>
            </w:r>
          </w:p>
        </w:tc>
      </w:tr>
      <w:tr w:rsidR="007F4ACA" w14:paraId="3628C367" w14:textId="77777777" w:rsidTr="004D6FD5">
        <w:trPr>
          <w:gridAfter w:val="1"/>
          <w:wAfter w:w="9" w:type="dxa"/>
          <w:trHeight w:val="369"/>
        </w:trPr>
        <w:tc>
          <w:tcPr>
            <w:tcW w:w="1777" w:type="dxa"/>
            <w:tcBorders>
              <w:top w:val="nil"/>
              <w:left w:val="nil"/>
              <w:bottom w:val="nil"/>
              <w:right w:val="nil"/>
            </w:tcBorders>
            <w:vAlign w:val="center"/>
            <w:hideMark/>
          </w:tcPr>
          <w:p w14:paraId="51C5B7CC" w14:textId="77777777" w:rsidR="007F4ACA" w:rsidRDefault="007F4ACA">
            <w:pPr>
              <w:rPr>
                <w:rFonts w:eastAsia="Cambria"/>
                <w:color w:val="000000"/>
              </w:rPr>
            </w:pPr>
            <w:r>
              <w:rPr>
                <w:rFonts w:eastAsia="Cambria"/>
                <w:color w:val="000000"/>
              </w:rPr>
              <w:t>Target site (TS)</w:t>
            </w:r>
          </w:p>
        </w:tc>
        <w:tc>
          <w:tcPr>
            <w:tcW w:w="443" w:type="dxa"/>
            <w:tcBorders>
              <w:top w:val="nil"/>
              <w:left w:val="nil"/>
              <w:bottom w:val="nil"/>
              <w:right w:val="nil"/>
            </w:tcBorders>
            <w:vAlign w:val="center"/>
            <w:hideMark/>
          </w:tcPr>
          <w:p w14:paraId="2928EF7E" w14:textId="77777777" w:rsidR="007F4ACA" w:rsidRDefault="007F4ACA">
            <w:pPr>
              <w:rPr>
                <w:rFonts w:eastAsia="Cambria"/>
                <w:color w:val="000000"/>
              </w:rPr>
            </w:pPr>
            <w:r>
              <w:rPr>
                <w:rFonts w:eastAsia="Cambria"/>
                <w:color w:val="000000"/>
              </w:rPr>
              <w:t>2</w:t>
            </w:r>
          </w:p>
        </w:tc>
        <w:tc>
          <w:tcPr>
            <w:tcW w:w="897" w:type="dxa"/>
            <w:tcBorders>
              <w:top w:val="nil"/>
              <w:left w:val="nil"/>
              <w:bottom w:val="nil"/>
              <w:right w:val="nil"/>
            </w:tcBorders>
            <w:vAlign w:val="center"/>
            <w:hideMark/>
          </w:tcPr>
          <w:p w14:paraId="22787B35" w14:textId="77777777" w:rsidR="007F4ACA" w:rsidRDefault="007F4ACA">
            <w:pPr>
              <w:jc w:val="center"/>
              <w:rPr>
                <w:rFonts w:eastAsia="Cambria"/>
                <w:color w:val="000000"/>
              </w:rPr>
            </w:pPr>
            <w:r>
              <w:rPr>
                <w:rFonts w:eastAsia="Cambria"/>
                <w:color w:val="000000"/>
              </w:rPr>
              <w:t>NS</w:t>
            </w:r>
          </w:p>
        </w:tc>
        <w:tc>
          <w:tcPr>
            <w:tcW w:w="896" w:type="dxa"/>
            <w:tcBorders>
              <w:top w:val="nil"/>
              <w:left w:val="nil"/>
              <w:bottom w:val="nil"/>
              <w:right w:val="nil"/>
            </w:tcBorders>
            <w:vAlign w:val="center"/>
            <w:hideMark/>
          </w:tcPr>
          <w:p w14:paraId="031B7035" w14:textId="77777777" w:rsidR="007F4ACA" w:rsidRDefault="007F4ACA">
            <w:pPr>
              <w:jc w:val="center"/>
              <w:rPr>
                <w:rFonts w:eastAsia="Cambria"/>
                <w:color w:val="000000"/>
              </w:rPr>
            </w:pPr>
            <w:r>
              <w:rPr>
                <w:rFonts w:eastAsia="Cambria"/>
                <w:color w:val="000000"/>
              </w:rPr>
              <w:t>***</w:t>
            </w:r>
          </w:p>
        </w:tc>
        <w:tc>
          <w:tcPr>
            <w:tcW w:w="894" w:type="dxa"/>
            <w:tcBorders>
              <w:top w:val="nil"/>
              <w:left w:val="nil"/>
              <w:bottom w:val="nil"/>
              <w:right w:val="nil"/>
            </w:tcBorders>
            <w:vAlign w:val="center"/>
            <w:hideMark/>
          </w:tcPr>
          <w:p w14:paraId="4EAC4D76" w14:textId="77777777" w:rsidR="007F4ACA" w:rsidRDefault="007F4ACA">
            <w:pPr>
              <w:jc w:val="center"/>
              <w:rPr>
                <w:rFonts w:eastAsia="Cambria"/>
                <w:color w:val="000000"/>
              </w:rPr>
            </w:pPr>
            <w:r>
              <w:rPr>
                <w:rFonts w:eastAsia="Cambria"/>
                <w:color w:val="000000"/>
              </w:rPr>
              <w:t>***</w:t>
            </w:r>
          </w:p>
        </w:tc>
        <w:tc>
          <w:tcPr>
            <w:tcW w:w="899" w:type="dxa"/>
            <w:tcBorders>
              <w:top w:val="nil"/>
              <w:left w:val="nil"/>
              <w:bottom w:val="nil"/>
              <w:right w:val="nil"/>
            </w:tcBorders>
            <w:vAlign w:val="center"/>
            <w:hideMark/>
          </w:tcPr>
          <w:p w14:paraId="43248827" w14:textId="77777777" w:rsidR="007F4ACA" w:rsidRDefault="007F4ACA">
            <w:pPr>
              <w:jc w:val="center"/>
              <w:rPr>
                <w:rFonts w:eastAsia="Cambria"/>
                <w:color w:val="000000"/>
              </w:rPr>
            </w:pPr>
            <w:r>
              <w:rPr>
                <w:rFonts w:eastAsia="Cambria"/>
                <w:color w:val="000000"/>
              </w:rPr>
              <w:t>***</w:t>
            </w:r>
          </w:p>
        </w:tc>
        <w:tc>
          <w:tcPr>
            <w:tcW w:w="903" w:type="dxa"/>
            <w:gridSpan w:val="2"/>
            <w:tcBorders>
              <w:top w:val="nil"/>
              <w:left w:val="nil"/>
              <w:bottom w:val="nil"/>
              <w:right w:val="nil"/>
            </w:tcBorders>
            <w:vAlign w:val="center"/>
            <w:hideMark/>
          </w:tcPr>
          <w:p w14:paraId="6B881A4E" w14:textId="77777777" w:rsidR="007F4ACA" w:rsidRDefault="007F4ACA">
            <w:pPr>
              <w:jc w:val="center"/>
              <w:rPr>
                <w:rFonts w:eastAsia="Cambria"/>
                <w:color w:val="000000"/>
              </w:rPr>
            </w:pPr>
            <w:r>
              <w:rPr>
                <w:rFonts w:eastAsia="Cambria"/>
                <w:color w:val="000000"/>
              </w:rPr>
              <w:t>NS</w:t>
            </w:r>
          </w:p>
        </w:tc>
        <w:tc>
          <w:tcPr>
            <w:tcW w:w="902" w:type="dxa"/>
            <w:tcBorders>
              <w:top w:val="nil"/>
              <w:left w:val="nil"/>
              <w:bottom w:val="nil"/>
              <w:right w:val="nil"/>
            </w:tcBorders>
            <w:vAlign w:val="center"/>
            <w:hideMark/>
          </w:tcPr>
          <w:p w14:paraId="5F660FE1" w14:textId="77777777" w:rsidR="007F4ACA" w:rsidRDefault="007F4ACA">
            <w:pPr>
              <w:jc w:val="center"/>
              <w:rPr>
                <w:rFonts w:eastAsia="Cambria"/>
                <w:color w:val="000000"/>
              </w:rPr>
            </w:pPr>
            <w:r>
              <w:rPr>
                <w:rFonts w:eastAsia="Cambria"/>
                <w:color w:val="000000"/>
              </w:rPr>
              <w:t>**</w:t>
            </w:r>
          </w:p>
        </w:tc>
        <w:tc>
          <w:tcPr>
            <w:tcW w:w="898" w:type="dxa"/>
            <w:tcBorders>
              <w:top w:val="nil"/>
              <w:left w:val="nil"/>
              <w:bottom w:val="nil"/>
              <w:right w:val="nil"/>
            </w:tcBorders>
            <w:vAlign w:val="center"/>
            <w:hideMark/>
          </w:tcPr>
          <w:p w14:paraId="697C1A28" w14:textId="77777777" w:rsidR="007F4ACA" w:rsidRDefault="007F4ACA">
            <w:pPr>
              <w:jc w:val="center"/>
              <w:rPr>
                <w:rFonts w:eastAsia="Cambria"/>
                <w:color w:val="000000"/>
              </w:rPr>
            </w:pPr>
            <w:r>
              <w:rPr>
                <w:rFonts w:eastAsia="Cambria"/>
                <w:color w:val="000000"/>
              </w:rPr>
              <w:t>***</w:t>
            </w:r>
          </w:p>
        </w:tc>
        <w:tc>
          <w:tcPr>
            <w:tcW w:w="921" w:type="dxa"/>
            <w:tcBorders>
              <w:top w:val="nil"/>
              <w:left w:val="nil"/>
              <w:bottom w:val="nil"/>
              <w:right w:val="nil"/>
            </w:tcBorders>
            <w:vAlign w:val="center"/>
            <w:hideMark/>
          </w:tcPr>
          <w:p w14:paraId="59044E31" w14:textId="77777777" w:rsidR="007F4ACA" w:rsidRDefault="007F4ACA">
            <w:pPr>
              <w:jc w:val="center"/>
              <w:rPr>
                <w:rFonts w:eastAsia="Cambria"/>
                <w:color w:val="000000"/>
              </w:rPr>
            </w:pPr>
            <w:r>
              <w:rPr>
                <w:rFonts w:eastAsia="Cambria"/>
                <w:color w:val="000000"/>
              </w:rPr>
              <w:t>***</w:t>
            </w:r>
          </w:p>
        </w:tc>
        <w:tc>
          <w:tcPr>
            <w:tcW w:w="264" w:type="dxa"/>
            <w:tcBorders>
              <w:top w:val="nil"/>
              <w:left w:val="nil"/>
              <w:bottom w:val="nil"/>
              <w:right w:val="nil"/>
            </w:tcBorders>
          </w:tcPr>
          <w:p w14:paraId="15388997" w14:textId="77777777" w:rsidR="007F4ACA" w:rsidRDefault="007F4ACA">
            <w:pPr>
              <w:jc w:val="center"/>
              <w:rPr>
                <w:rFonts w:eastAsia="Cambria"/>
                <w:color w:val="000000"/>
              </w:rPr>
            </w:pPr>
          </w:p>
        </w:tc>
        <w:tc>
          <w:tcPr>
            <w:tcW w:w="881" w:type="dxa"/>
            <w:tcBorders>
              <w:top w:val="nil"/>
              <w:left w:val="nil"/>
              <w:bottom w:val="nil"/>
              <w:right w:val="nil"/>
            </w:tcBorders>
            <w:vAlign w:val="center"/>
            <w:hideMark/>
          </w:tcPr>
          <w:p w14:paraId="35032CE3" w14:textId="77777777" w:rsidR="007F4ACA" w:rsidRDefault="007F4ACA">
            <w:pPr>
              <w:jc w:val="center"/>
              <w:rPr>
                <w:rFonts w:eastAsia="Cambria"/>
                <w:color w:val="000000"/>
              </w:rPr>
            </w:pPr>
            <w:r>
              <w:rPr>
                <w:rFonts w:eastAsia="Cambria"/>
                <w:color w:val="000000"/>
              </w:rPr>
              <w:t>***</w:t>
            </w:r>
          </w:p>
        </w:tc>
        <w:tc>
          <w:tcPr>
            <w:tcW w:w="882" w:type="dxa"/>
            <w:tcBorders>
              <w:top w:val="nil"/>
              <w:left w:val="nil"/>
              <w:bottom w:val="nil"/>
              <w:right w:val="nil"/>
            </w:tcBorders>
            <w:vAlign w:val="center"/>
            <w:hideMark/>
          </w:tcPr>
          <w:p w14:paraId="55DDE1CC" w14:textId="77777777" w:rsidR="007F4ACA" w:rsidRDefault="007F4ACA">
            <w:pPr>
              <w:jc w:val="center"/>
              <w:rPr>
                <w:rFonts w:eastAsia="Cambria"/>
                <w:color w:val="000000"/>
              </w:rPr>
            </w:pPr>
            <w:r>
              <w:rPr>
                <w:rFonts w:eastAsia="Cambria"/>
                <w:color w:val="000000"/>
              </w:rPr>
              <w:t>***</w:t>
            </w:r>
          </w:p>
        </w:tc>
        <w:tc>
          <w:tcPr>
            <w:tcW w:w="793" w:type="dxa"/>
            <w:tcBorders>
              <w:top w:val="nil"/>
              <w:left w:val="nil"/>
              <w:bottom w:val="nil"/>
              <w:right w:val="nil"/>
            </w:tcBorders>
            <w:vAlign w:val="center"/>
            <w:hideMark/>
          </w:tcPr>
          <w:p w14:paraId="3C2C2713" w14:textId="77777777" w:rsidR="007F4ACA" w:rsidRDefault="007F4ACA">
            <w:pPr>
              <w:jc w:val="center"/>
              <w:rPr>
                <w:rFonts w:eastAsia="Cambria"/>
                <w:color w:val="000000"/>
              </w:rPr>
            </w:pPr>
            <w:r>
              <w:rPr>
                <w:rFonts w:eastAsia="Cambria"/>
                <w:color w:val="000000"/>
              </w:rPr>
              <w:t>***</w:t>
            </w:r>
          </w:p>
        </w:tc>
        <w:tc>
          <w:tcPr>
            <w:tcW w:w="881" w:type="dxa"/>
            <w:tcBorders>
              <w:top w:val="nil"/>
              <w:left w:val="nil"/>
              <w:bottom w:val="nil"/>
              <w:right w:val="nil"/>
            </w:tcBorders>
            <w:vAlign w:val="center"/>
            <w:hideMark/>
          </w:tcPr>
          <w:p w14:paraId="04E3E730" w14:textId="77777777" w:rsidR="007F4ACA" w:rsidRDefault="007F4ACA">
            <w:pPr>
              <w:jc w:val="center"/>
              <w:rPr>
                <w:rFonts w:eastAsia="Cambria"/>
                <w:color w:val="000000"/>
              </w:rPr>
            </w:pPr>
            <w:r>
              <w:rPr>
                <w:rFonts w:eastAsia="Cambria"/>
                <w:color w:val="000000"/>
              </w:rPr>
              <w:t>***</w:t>
            </w:r>
          </w:p>
        </w:tc>
      </w:tr>
      <w:tr w:rsidR="007F4ACA" w14:paraId="295EA1FD" w14:textId="77777777" w:rsidTr="004D6FD5">
        <w:trPr>
          <w:gridAfter w:val="1"/>
          <w:wAfter w:w="9" w:type="dxa"/>
          <w:trHeight w:val="369"/>
        </w:trPr>
        <w:tc>
          <w:tcPr>
            <w:tcW w:w="1777" w:type="dxa"/>
            <w:tcBorders>
              <w:top w:val="nil"/>
              <w:left w:val="nil"/>
              <w:bottom w:val="nil"/>
              <w:right w:val="nil"/>
            </w:tcBorders>
            <w:vAlign w:val="center"/>
            <w:hideMark/>
          </w:tcPr>
          <w:p w14:paraId="54DD0B47" w14:textId="77777777" w:rsidR="007F4ACA" w:rsidRDefault="007F4ACA">
            <w:pPr>
              <w:rPr>
                <w:rFonts w:eastAsia="Cambria"/>
                <w:color w:val="000000"/>
              </w:rPr>
            </w:pPr>
            <w:r>
              <w:rPr>
                <w:rFonts w:eastAsia="Cambria"/>
                <w:color w:val="000000"/>
              </w:rPr>
              <w:t>F x TS</w:t>
            </w:r>
          </w:p>
        </w:tc>
        <w:tc>
          <w:tcPr>
            <w:tcW w:w="443" w:type="dxa"/>
            <w:tcBorders>
              <w:top w:val="nil"/>
              <w:left w:val="nil"/>
              <w:bottom w:val="nil"/>
              <w:right w:val="nil"/>
            </w:tcBorders>
            <w:vAlign w:val="center"/>
            <w:hideMark/>
          </w:tcPr>
          <w:p w14:paraId="3F0679DC" w14:textId="77777777" w:rsidR="007F4ACA" w:rsidRDefault="007F4ACA">
            <w:pPr>
              <w:rPr>
                <w:rFonts w:eastAsia="Cambria"/>
                <w:color w:val="000000"/>
              </w:rPr>
            </w:pPr>
            <w:r>
              <w:rPr>
                <w:rFonts w:eastAsia="Cambria"/>
                <w:color w:val="000000"/>
              </w:rPr>
              <w:t>6</w:t>
            </w:r>
          </w:p>
        </w:tc>
        <w:tc>
          <w:tcPr>
            <w:tcW w:w="897" w:type="dxa"/>
            <w:tcBorders>
              <w:top w:val="nil"/>
              <w:left w:val="nil"/>
              <w:bottom w:val="nil"/>
              <w:right w:val="nil"/>
            </w:tcBorders>
            <w:vAlign w:val="center"/>
            <w:hideMark/>
          </w:tcPr>
          <w:p w14:paraId="767DC94E" w14:textId="77777777" w:rsidR="007F4ACA" w:rsidRDefault="007F4ACA">
            <w:pPr>
              <w:jc w:val="center"/>
              <w:rPr>
                <w:rFonts w:eastAsia="Cambria"/>
                <w:color w:val="000000"/>
              </w:rPr>
            </w:pPr>
            <w:r>
              <w:rPr>
                <w:rFonts w:eastAsia="Cambria"/>
                <w:color w:val="000000"/>
              </w:rPr>
              <w:t>NS</w:t>
            </w:r>
          </w:p>
        </w:tc>
        <w:tc>
          <w:tcPr>
            <w:tcW w:w="896" w:type="dxa"/>
            <w:tcBorders>
              <w:top w:val="nil"/>
              <w:left w:val="nil"/>
              <w:bottom w:val="nil"/>
              <w:right w:val="nil"/>
            </w:tcBorders>
            <w:vAlign w:val="center"/>
            <w:hideMark/>
          </w:tcPr>
          <w:p w14:paraId="52A0B41D" w14:textId="77777777" w:rsidR="007F4ACA" w:rsidRDefault="007F4ACA">
            <w:pPr>
              <w:jc w:val="center"/>
              <w:rPr>
                <w:rFonts w:eastAsia="Cambria"/>
                <w:color w:val="000000"/>
              </w:rPr>
            </w:pPr>
            <w:r>
              <w:rPr>
                <w:rFonts w:eastAsia="Cambria"/>
                <w:color w:val="000000"/>
              </w:rPr>
              <w:t>***</w:t>
            </w:r>
          </w:p>
        </w:tc>
        <w:tc>
          <w:tcPr>
            <w:tcW w:w="894" w:type="dxa"/>
            <w:tcBorders>
              <w:top w:val="nil"/>
              <w:left w:val="nil"/>
              <w:bottom w:val="nil"/>
              <w:right w:val="nil"/>
            </w:tcBorders>
            <w:vAlign w:val="center"/>
            <w:hideMark/>
          </w:tcPr>
          <w:p w14:paraId="7A2AA342" w14:textId="77777777" w:rsidR="007F4ACA" w:rsidRDefault="007F4ACA">
            <w:pPr>
              <w:jc w:val="center"/>
              <w:rPr>
                <w:rFonts w:eastAsia="Cambria"/>
                <w:color w:val="000000"/>
              </w:rPr>
            </w:pPr>
            <w:r>
              <w:rPr>
                <w:rFonts w:eastAsia="Cambria"/>
                <w:color w:val="000000"/>
              </w:rPr>
              <w:t>*</w:t>
            </w:r>
          </w:p>
        </w:tc>
        <w:tc>
          <w:tcPr>
            <w:tcW w:w="899" w:type="dxa"/>
            <w:tcBorders>
              <w:top w:val="nil"/>
              <w:left w:val="nil"/>
              <w:bottom w:val="nil"/>
              <w:right w:val="nil"/>
            </w:tcBorders>
            <w:vAlign w:val="center"/>
            <w:hideMark/>
          </w:tcPr>
          <w:p w14:paraId="50C61C4D" w14:textId="77777777" w:rsidR="007F4ACA" w:rsidRDefault="007F4ACA">
            <w:pPr>
              <w:jc w:val="center"/>
              <w:rPr>
                <w:rFonts w:eastAsia="Cambria"/>
                <w:color w:val="000000"/>
              </w:rPr>
            </w:pPr>
            <w:r>
              <w:rPr>
                <w:rFonts w:eastAsia="Cambria"/>
                <w:color w:val="000000"/>
              </w:rPr>
              <w:t>*</w:t>
            </w:r>
          </w:p>
        </w:tc>
        <w:tc>
          <w:tcPr>
            <w:tcW w:w="903" w:type="dxa"/>
            <w:gridSpan w:val="2"/>
            <w:tcBorders>
              <w:top w:val="nil"/>
              <w:left w:val="nil"/>
              <w:bottom w:val="nil"/>
              <w:right w:val="nil"/>
            </w:tcBorders>
            <w:vAlign w:val="center"/>
            <w:hideMark/>
          </w:tcPr>
          <w:p w14:paraId="5B38A397" w14:textId="77777777" w:rsidR="007F4ACA" w:rsidRDefault="007F4ACA">
            <w:pPr>
              <w:jc w:val="center"/>
              <w:rPr>
                <w:rFonts w:eastAsia="Cambria"/>
                <w:color w:val="000000"/>
              </w:rPr>
            </w:pPr>
            <w:r>
              <w:rPr>
                <w:rFonts w:eastAsia="Cambria"/>
                <w:color w:val="000000"/>
              </w:rPr>
              <w:t>*</w:t>
            </w:r>
          </w:p>
        </w:tc>
        <w:tc>
          <w:tcPr>
            <w:tcW w:w="902" w:type="dxa"/>
            <w:tcBorders>
              <w:top w:val="nil"/>
              <w:left w:val="nil"/>
              <w:bottom w:val="nil"/>
              <w:right w:val="nil"/>
            </w:tcBorders>
            <w:vAlign w:val="center"/>
            <w:hideMark/>
          </w:tcPr>
          <w:p w14:paraId="26E8CE18" w14:textId="77777777" w:rsidR="007F4ACA" w:rsidRDefault="007F4ACA">
            <w:pPr>
              <w:jc w:val="center"/>
              <w:rPr>
                <w:rFonts w:eastAsia="Cambria"/>
                <w:color w:val="000000"/>
              </w:rPr>
            </w:pPr>
            <w:r>
              <w:rPr>
                <w:rFonts w:eastAsia="Cambria"/>
                <w:color w:val="000000"/>
              </w:rPr>
              <w:t>**</w:t>
            </w:r>
          </w:p>
        </w:tc>
        <w:tc>
          <w:tcPr>
            <w:tcW w:w="898" w:type="dxa"/>
            <w:tcBorders>
              <w:top w:val="nil"/>
              <w:left w:val="nil"/>
              <w:bottom w:val="nil"/>
              <w:right w:val="nil"/>
            </w:tcBorders>
            <w:vAlign w:val="center"/>
            <w:hideMark/>
          </w:tcPr>
          <w:p w14:paraId="4C373A52" w14:textId="77777777" w:rsidR="007F4ACA" w:rsidRDefault="007F4ACA">
            <w:pPr>
              <w:jc w:val="center"/>
              <w:rPr>
                <w:rFonts w:eastAsia="Cambria"/>
                <w:color w:val="000000"/>
              </w:rPr>
            </w:pPr>
            <w:r>
              <w:rPr>
                <w:rFonts w:eastAsia="Cambria"/>
                <w:color w:val="000000"/>
              </w:rPr>
              <w:t>*</w:t>
            </w:r>
          </w:p>
        </w:tc>
        <w:tc>
          <w:tcPr>
            <w:tcW w:w="921" w:type="dxa"/>
            <w:tcBorders>
              <w:top w:val="nil"/>
              <w:left w:val="nil"/>
              <w:bottom w:val="nil"/>
              <w:right w:val="nil"/>
            </w:tcBorders>
            <w:vAlign w:val="center"/>
            <w:hideMark/>
          </w:tcPr>
          <w:p w14:paraId="7DC54031" w14:textId="77777777" w:rsidR="007F4ACA" w:rsidRDefault="007F4ACA">
            <w:pPr>
              <w:jc w:val="center"/>
              <w:rPr>
                <w:rFonts w:eastAsia="Cambria"/>
                <w:color w:val="000000"/>
              </w:rPr>
            </w:pPr>
            <w:r>
              <w:rPr>
                <w:rFonts w:eastAsia="Cambria"/>
                <w:color w:val="000000"/>
              </w:rPr>
              <w:t>*</w:t>
            </w:r>
          </w:p>
        </w:tc>
        <w:tc>
          <w:tcPr>
            <w:tcW w:w="264" w:type="dxa"/>
            <w:tcBorders>
              <w:top w:val="nil"/>
              <w:left w:val="nil"/>
              <w:bottom w:val="nil"/>
              <w:right w:val="nil"/>
            </w:tcBorders>
          </w:tcPr>
          <w:p w14:paraId="133C80EE" w14:textId="77777777" w:rsidR="007F4ACA" w:rsidRDefault="007F4ACA">
            <w:pPr>
              <w:jc w:val="center"/>
              <w:rPr>
                <w:rFonts w:eastAsia="Cambria"/>
                <w:color w:val="000000"/>
              </w:rPr>
            </w:pPr>
          </w:p>
        </w:tc>
        <w:tc>
          <w:tcPr>
            <w:tcW w:w="881" w:type="dxa"/>
            <w:tcBorders>
              <w:top w:val="nil"/>
              <w:left w:val="nil"/>
              <w:bottom w:val="nil"/>
              <w:right w:val="nil"/>
            </w:tcBorders>
            <w:vAlign w:val="center"/>
            <w:hideMark/>
          </w:tcPr>
          <w:p w14:paraId="132AD7F2" w14:textId="77777777" w:rsidR="007F4ACA" w:rsidRDefault="007F4ACA">
            <w:pPr>
              <w:jc w:val="center"/>
              <w:rPr>
                <w:rFonts w:eastAsia="Cambria"/>
                <w:color w:val="000000"/>
              </w:rPr>
            </w:pPr>
            <w:r>
              <w:rPr>
                <w:rFonts w:eastAsia="Cambria"/>
                <w:color w:val="000000"/>
              </w:rPr>
              <w:t>*</w:t>
            </w:r>
          </w:p>
        </w:tc>
        <w:tc>
          <w:tcPr>
            <w:tcW w:w="882" w:type="dxa"/>
            <w:tcBorders>
              <w:top w:val="nil"/>
              <w:left w:val="nil"/>
              <w:bottom w:val="nil"/>
              <w:right w:val="nil"/>
            </w:tcBorders>
            <w:vAlign w:val="center"/>
            <w:hideMark/>
          </w:tcPr>
          <w:p w14:paraId="6DAB1C34" w14:textId="77777777" w:rsidR="007F4ACA" w:rsidRDefault="007F4ACA">
            <w:pPr>
              <w:jc w:val="center"/>
              <w:rPr>
                <w:rFonts w:eastAsia="Cambria"/>
                <w:color w:val="000000"/>
              </w:rPr>
            </w:pPr>
            <w:r>
              <w:rPr>
                <w:rFonts w:eastAsia="Cambria"/>
                <w:color w:val="000000"/>
              </w:rPr>
              <w:t>*</w:t>
            </w:r>
          </w:p>
        </w:tc>
        <w:tc>
          <w:tcPr>
            <w:tcW w:w="793" w:type="dxa"/>
            <w:tcBorders>
              <w:top w:val="nil"/>
              <w:left w:val="nil"/>
              <w:bottom w:val="nil"/>
              <w:right w:val="nil"/>
            </w:tcBorders>
            <w:vAlign w:val="center"/>
            <w:hideMark/>
          </w:tcPr>
          <w:p w14:paraId="5865E70F" w14:textId="77777777" w:rsidR="007F4ACA" w:rsidRDefault="007F4ACA">
            <w:pPr>
              <w:jc w:val="center"/>
              <w:rPr>
                <w:rFonts w:eastAsia="Cambria"/>
                <w:color w:val="000000"/>
              </w:rPr>
            </w:pPr>
            <w:r>
              <w:rPr>
                <w:rFonts w:eastAsia="Cambria"/>
                <w:color w:val="000000"/>
              </w:rPr>
              <w:t>NS</w:t>
            </w:r>
          </w:p>
        </w:tc>
        <w:tc>
          <w:tcPr>
            <w:tcW w:w="881" w:type="dxa"/>
            <w:tcBorders>
              <w:top w:val="nil"/>
              <w:left w:val="nil"/>
              <w:bottom w:val="nil"/>
              <w:right w:val="nil"/>
            </w:tcBorders>
            <w:vAlign w:val="center"/>
            <w:hideMark/>
          </w:tcPr>
          <w:p w14:paraId="585E0124" w14:textId="77777777" w:rsidR="007F4ACA" w:rsidRDefault="007F4ACA">
            <w:pPr>
              <w:jc w:val="center"/>
              <w:rPr>
                <w:rFonts w:eastAsia="Cambria"/>
                <w:color w:val="000000"/>
              </w:rPr>
            </w:pPr>
            <w:r>
              <w:rPr>
                <w:rFonts w:eastAsia="Cambria"/>
                <w:color w:val="000000"/>
              </w:rPr>
              <w:t>*</w:t>
            </w:r>
          </w:p>
        </w:tc>
      </w:tr>
      <w:tr w:rsidR="002006A3" w14:paraId="79D5F887" w14:textId="77777777" w:rsidTr="00762C76">
        <w:trPr>
          <w:trHeight w:val="317"/>
        </w:trPr>
        <w:tc>
          <w:tcPr>
            <w:tcW w:w="13140" w:type="dxa"/>
            <w:gridSpan w:val="17"/>
            <w:tcBorders>
              <w:top w:val="single" w:sz="4" w:space="0" w:color="auto"/>
              <w:left w:val="nil"/>
              <w:bottom w:val="nil"/>
              <w:right w:val="nil"/>
            </w:tcBorders>
            <w:hideMark/>
          </w:tcPr>
          <w:p w14:paraId="2E792D92" w14:textId="17722A4F" w:rsidR="002006A3" w:rsidRDefault="002006A3" w:rsidP="002006A3">
            <w:pPr>
              <w:rPr>
                <w:rFonts w:eastAsia="Cambria"/>
                <w:color w:val="000000"/>
              </w:rPr>
            </w:pPr>
            <w:r w:rsidRPr="002006A3">
              <w:rPr>
                <w:vertAlign w:val="superscript"/>
              </w:rPr>
              <w:t>a</w:t>
            </w:r>
            <w:r w:rsidRPr="00877210">
              <w:t>NS = not significant.</w:t>
            </w:r>
          </w:p>
        </w:tc>
      </w:tr>
      <w:tr w:rsidR="002006A3" w14:paraId="0B114B85" w14:textId="77777777" w:rsidTr="00762C76">
        <w:trPr>
          <w:trHeight w:val="317"/>
        </w:trPr>
        <w:tc>
          <w:tcPr>
            <w:tcW w:w="13140" w:type="dxa"/>
            <w:gridSpan w:val="17"/>
            <w:tcBorders>
              <w:top w:val="nil"/>
              <w:left w:val="nil"/>
              <w:bottom w:val="nil"/>
              <w:right w:val="nil"/>
            </w:tcBorders>
            <w:hideMark/>
          </w:tcPr>
          <w:p w14:paraId="20AC3F9E" w14:textId="1F246BC3" w:rsidR="002006A3" w:rsidRDefault="002006A3" w:rsidP="002006A3">
            <w:pPr>
              <w:rPr>
                <w:rFonts w:eastAsia="Cambria"/>
                <w:color w:val="000000"/>
              </w:rPr>
            </w:pPr>
            <w:r w:rsidRPr="00877210">
              <w:t>*,**,***, Significant at the p ≤0.05, 0.01, 0.001 level, respectively.</w:t>
            </w:r>
          </w:p>
        </w:tc>
      </w:tr>
    </w:tbl>
    <w:p w14:paraId="252EF3D7" w14:textId="77777777" w:rsidR="007F4ACA" w:rsidRDefault="007F4ACA" w:rsidP="007F4ACA"/>
    <w:p w14:paraId="154D38E1" w14:textId="77777777" w:rsidR="007F4ACA" w:rsidRDefault="007F4ACA" w:rsidP="007F4ACA"/>
    <w:p w14:paraId="4E8BC4F0" w14:textId="77777777" w:rsidR="007F4ACA" w:rsidRDefault="007F4ACA" w:rsidP="007F4ACA"/>
    <w:p w14:paraId="630F03AD" w14:textId="77777777" w:rsidR="007F4ACA" w:rsidRDefault="007F4ACA" w:rsidP="007F4ACA"/>
    <w:p w14:paraId="520CF18B" w14:textId="77777777" w:rsidR="007F4ACA" w:rsidRDefault="007F4ACA" w:rsidP="007F4ACA"/>
    <w:p w14:paraId="559B3856" w14:textId="77777777" w:rsidR="007F4ACA" w:rsidRDefault="007F4ACA" w:rsidP="007F4ACA"/>
    <w:p w14:paraId="3ECD2916" w14:textId="77777777" w:rsidR="007F4ACA" w:rsidRDefault="007F4ACA" w:rsidP="007F4ACA"/>
    <w:p w14:paraId="5FAE15C5" w14:textId="77777777" w:rsidR="007F4ACA" w:rsidRDefault="007F4ACA" w:rsidP="007F4ACA"/>
    <w:p w14:paraId="34860C2C" w14:textId="77777777" w:rsidR="00AA2230" w:rsidRDefault="007F4ACA" w:rsidP="00AA2230">
      <w:r>
        <w:rPr>
          <w:noProof/>
        </w:rPr>
        <w:lastRenderedPageBreak/>
        <w:drawing>
          <wp:inline distT="0" distB="0" distL="0" distR="0" wp14:anchorId="7FB952DF" wp14:editId="03AD4388">
            <wp:extent cx="7699164" cy="3317358"/>
            <wp:effectExtent l="0" t="0" r="0" b="0"/>
            <wp:docPr id="3" name="Picture 3"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208" cy="3321255"/>
                    </a:xfrm>
                    <a:prstGeom prst="rect">
                      <a:avLst/>
                    </a:prstGeom>
                    <a:noFill/>
                    <a:ln>
                      <a:noFill/>
                    </a:ln>
                  </pic:spPr>
                </pic:pic>
              </a:graphicData>
            </a:graphic>
          </wp:inline>
        </w:drawing>
      </w:r>
    </w:p>
    <w:p w14:paraId="158DB327" w14:textId="77777777" w:rsidR="00AA2230" w:rsidRPr="00AA2230" w:rsidRDefault="00AA2230" w:rsidP="00AA2230"/>
    <w:p w14:paraId="781E975C" w14:textId="77777777" w:rsidR="00AA2230" w:rsidRPr="00AA2230" w:rsidRDefault="00AA2230" w:rsidP="00AA2230"/>
    <w:p w14:paraId="48A1AD77" w14:textId="77777777" w:rsidR="00AA2230" w:rsidRPr="00AA2230" w:rsidRDefault="00AA2230" w:rsidP="00AA2230"/>
    <w:p w14:paraId="7D88909C" w14:textId="77777777" w:rsidR="00AA2230" w:rsidRDefault="00AA2230" w:rsidP="00AA2230"/>
    <w:p w14:paraId="7B209D77" w14:textId="6BF94C56" w:rsidR="007F4ACA" w:rsidRPr="00BD04A5" w:rsidRDefault="007F4ACA" w:rsidP="00BD04A5">
      <w:pPr>
        <w:pStyle w:val="Heading3"/>
        <w:rPr>
          <w:rFonts w:asciiTheme="minorHAnsi" w:hAnsiTheme="minorHAnsi" w:cstheme="minorHAnsi"/>
          <w:noProof/>
          <w:color w:val="000000" w:themeColor="text1"/>
        </w:rPr>
      </w:pPr>
      <w:bookmarkStart w:id="82" w:name="_Toc466894851"/>
      <w:r w:rsidRPr="00BD04A5">
        <w:rPr>
          <w:rFonts w:asciiTheme="minorHAnsi" w:hAnsiTheme="minorHAnsi" w:cstheme="minorHAnsi"/>
          <w:color w:val="000000" w:themeColor="text1"/>
        </w:rPr>
        <w:t xml:space="preserve">Figure 2.1. </w:t>
      </w:r>
      <w:r w:rsidRPr="00BD04A5">
        <w:rPr>
          <w:rFonts w:asciiTheme="minorHAnsi" w:hAnsiTheme="minorHAnsi" w:cstheme="minorHAnsi"/>
          <w:b w:val="0"/>
          <w:color w:val="000000" w:themeColor="text1"/>
        </w:rPr>
        <w:t>Large patch (</w:t>
      </w:r>
      <w:r w:rsidRPr="00BD04A5">
        <w:rPr>
          <w:rFonts w:asciiTheme="minorHAnsi" w:hAnsiTheme="minorHAnsi" w:cstheme="minorHAnsi"/>
          <w:b w:val="0"/>
          <w:i/>
          <w:color w:val="000000" w:themeColor="text1"/>
        </w:rPr>
        <w:t>Rhizoctonia solani</w:t>
      </w:r>
      <w:r w:rsidRPr="00BD04A5">
        <w:rPr>
          <w:rFonts w:asciiTheme="minorHAnsi" w:hAnsiTheme="minorHAnsi" w:cstheme="minorHAnsi"/>
          <w:b w:val="0"/>
          <w:color w:val="000000" w:themeColor="text1"/>
        </w:rPr>
        <w:t xml:space="preserve">) severity (a) and </w:t>
      </w:r>
      <w:r w:rsidRPr="00BD04A5">
        <w:rPr>
          <w:rFonts w:asciiTheme="minorHAnsi" w:hAnsiTheme="minorHAnsi" w:cstheme="minorHAnsi"/>
          <w:b w:val="0"/>
          <w:i/>
          <w:color w:val="000000" w:themeColor="text1"/>
        </w:rPr>
        <w:t>F</w:t>
      </w:r>
      <w:r w:rsidRPr="00BD04A5">
        <w:rPr>
          <w:rFonts w:asciiTheme="minorHAnsi" w:hAnsiTheme="minorHAnsi" w:cstheme="minorHAnsi"/>
          <w:b w:val="0"/>
          <w:i/>
          <w:color w:val="000000" w:themeColor="text1"/>
          <w:vertAlign w:val="subscript"/>
        </w:rPr>
        <w:t>v</w:t>
      </w:r>
      <w:r w:rsidRPr="00BD04A5">
        <w:rPr>
          <w:rFonts w:asciiTheme="minorHAnsi" w:hAnsiTheme="minorHAnsi" w:cstheme="minorHAnsi"/>
          <w:b w:val="0"/>
          <w:i/>
          <w:color w:val="000000" w:themeColor="text1"/>
        </w:rPr>
        <w:t>/F</w:t>
      </w:r>
      <w:r w:rsidRPr="00BD04A5">
        <w:rPr>
          <w:rFonts w:asciiTheme="minorHAnsi" w:hAnsiTheme="minorHAnsi" w:cstheme="minorHAnsi"/>
          <w:b w:val="0"/>
          <w:i/>
          <w:color w:val="000000" w:themeColor="text1"/>
          <w:vertAlign w:val="subscript"/>
        </w:rPr>
        <w:t>m</w:t>
      </w:r>
      <w:r w:rsidRPr="00BD04A5">
        <w:rPr>
          <w:rFonts w:asciiTheme="minorHAnsi" w:hAnsiTheme="minorHAnsi" w:cstheme="minorHAnsi"/>
          <w:b w:val="0"/>
          <w:color w:val="000000" w:themeColor="text1"/>
        </w:rPr>
        <w:t xml:space="preserve"> measurements (b) on Japanese lawngrass (</w:t>
      </w:r>
      <w:r w:rsidRPr="00BD04A5">
        <w:rPr>
          <w:rFonts w:asciiTheme="minorHAnsi" w:hAnsiTheme="minorHAnsi" w:cstheme="minorHAnsi"/>
          <w:b w:val="0"/>
          <w:i/>
          <w:color w:val="000000" w:themeColor="text1"/>
        </w:rPr>
        <w:t>Zosyia japonica</w:t>
      </w:r>
      <w:r w:rsidRPr="00BD04A5">
        <w:rPr>
          <w:rFonts w:asciiTheme="minorHAnsi" w:hAnsiTheme="minorHAnsi" w:cstheme="minorHAnsi"/>
          <w:b w:val="0"/>
          <w:color w:val="000000" w:themeColor="text1"/>
        </w:rPr>
        <w:t>) pooled across target site among fungicide applications during the 1</w:t>
      </w:r>
      <w:r w:rsidRPr="00BD04A5">
        <w:rPr>
          <w:rFonts w:asciiTheme="minorHAnsi" w:hAnsiTheme="minorHAnsi" w:cstheme="minorHAnsi"/>
          <w:b w:val="0"/>
          <w:color w:val="000000" w:themeColor="text1"/>
          <w:vertAlign w:val="superscript"/>
        </w:rPr>
        <w:t>st</w:t>
      </w:r>
      <w:r w:rsidRPr="00BD04A5">
        <w:rPr>
          <w:rFonts w:asciiTheme="minorHAnsi" w:hAnsiTheme="minorHAnsi" w:cstheme="minorHAnsi"/>
          <w:b w:val="0"/>
          <w:color w:val="000000" w:themeColor="text1"/>
        </w:rPr>
        <w:t xml:space="preserve"> experimental run.</w:t>
      </w:r>
      <w:r w:rsidR="004D6FD5" w:rsidRPr="00BD04A5">
        <w:rPr>
          <w:rFonts w:asciiTheme="minorHAnsi" w:hAnsiTheme="minorHAnsi" w:cstheme="minorHAnsi"/>
          <w:b w:val="0"/>
          <w:color w:val="000000" w:themeColor="text1"/>
        </w:rPr>
        <w:t xml:space="preserve"> The experiment was conduction in a greenhouse located in Knoxville, TN, in 2015.</w:t>
      </w:r>
      <w:r w:rsidRPr="00BD04A5">
        <w:rPr>
          <w:rFonts w:asciiTheme="minorHAnsi" w:hAnsiTheme="minorHAnsi" w:cstheme="minorHAnsi"/>
          <w:b w:val="0"/>
          <w:color w:val="000000" w:themeColor="text1"/>
        </w:rPr>
        <w:t xml:space="preserve"> </w:t>
      </w:r>
      <w:r w:rsidR="00164D3B" w:rsidRPr="00BD04A5">
        <w:rPr>
          <w:rFonts w:asciiTheme="minorHAnsi" w:hAnsiTheme="minorHAnsi" w:cstheme="minorHAnsi"/>
          <w:b w:val="0"/>
          <w:color w:val="000000" w:themeColor="text1"/>
        </w:rPr>
        <w:t>B</w:t>
      </w:r>
      <w:r w:rsidRPr="00BD04A5">
        <w:rPr>
          <w:rFonts w:asciiTheme="minorHAnsi" w:hAnsiTheme="minorHAnsi" w:cstheme="minorHAnsi"/>
          <w:b w:val="0"/>
          <w:color w:val="000000" w:themeColor="text1"/>
        </w:rPr>
        <w:t>ars represent the standard error of</w:t>
      </w:r>
      <w:r w:rsidR="00164D3B" w:rsidRPr="00BD04A5">
        <w:rPr>
          <w:rFonts w:asciiTheme="minorHAnsi" w:hAnsiTheme="minorHAnsi" w:cstheme="minorHAnsi"/>
          <w:b w:val="0"/>
          <w:color w:val="000000" w:themeColor="text1"/>
        </w:rPr>
        <w:t xml:space="preserve"> the</w:t>
      </w:r>
      <w:r w:rsidR="00AA2230" w:rsidRPr="00BD04A5">
        <w:rPr>
          <w:rFonts w:asciiTheme="minorHAnsi" w:hAnsiTheme="minorHAnsi" w:cstheme="minorHAnsi"/>
          <w:b w:val="0"/>
          <w:color w:val="000000" w:themeColor="text1"/>
        </w:rPr>
        <w:t xml:space="preserve"> </w:t>
      </w:r>
      <w:r w:rsidRPr="00BD04A5">
        <w:rPr>
          <w:rFonts w:asciiTheme="minorHAnsi" w:hAnsiTheme="minorHAnsi" w:cstheme="minorHAnsi"/>
          <w:b w:val="0"/>
          <w:color w:val="000000" w:themeColor="text1"/>
        </w:rPr>
        <w:t xml:space="preserve">mean. </w:t>
      </w:r>
      <w:r w:rsidR="004D6FD5" w:rsidRPr="00BD04A5">
        <w:rPr>
          <w:rFonts w:asciiTheme="minorHAnsi" w:hAnsiTheme="minorHAnsi" w:cstheme="minorHAnsi"/>
          <w:b w:val="0"/>
          <w:color w:val="000000" w:themeColor="text1"/>
        </w:rPr>
        <w:t xml:space="preserve">Asterisks indicate significance levels at the </w:t>
      </w:r>
      <w:r w:rsidR="004D6FD5" w:rsidRPr="00BD04A5">
        <w:rPr>
          <w:rFonts w:asciiTheme="minorHAnsi" w:eastAsia="Cambria" w:hAnsiTheme="minorHAnsi" w:cstheme="minorHAnsi"/>
          <w:b w:val="0"/>
          <w:color w:val="000000" w:themeColor="text1"/>
        </w:rPr>
        <w:t>p ≤ 0.05, 0.01, and 0.001 level, respectively.</w:t>
      </w:r>
      <w:bookmarkEnd w:id="82"/>
      <w:r w:rsidR="004D6FD5" w:rsidRPr="00BD04A5">
        <w:rPr>
          <w:rFonts w:asciiTheme="minorHAnsi" w:eastAsia="Cambria" w:hAnsiTheme="minorHAnsi" w:cstheme="minorHAnsi"/>
          <w:color w:val="000000" w:themeColor="text1"/>
        </w:rPr>
        <w:t xml:space="preserve"> </w:t>
      </w:r>
    </w:p>
    <w:p w14:paraId="2D45D48B" w14:textId="77777777" w:rsidR="00CB64BA" w:rsidRDefault="00CB64BA" w:rsidP="00AA2230">
      <w:pPr>
        <w:rPr>
          <w:noProof/>
        </w:rPr>
      </w:pPr>
    </w:p>
    <w:p w14:paraId="006D76FA" w14:textId="77777777" w:rsidR="00AF4618" w:rsidRPr="00BD04A5" w:rsidRDefault="00AF4618" w:rsidP="00BD04A5">
      <w:pPr>
        <w:pStyle w:val="Heading3"/>
        <w:rPr>
          <w:rFonts w:ascii="Times New Roman" w:hAnsi="Times New Roman" w:cs="Times New Roman"/>
          <w:color w:val="000000" w:themeColor="text1"/>
        </w:rPr>
      </w:pPr>
      <w:bookmarkStart w:id="83" w:name="_Toc466894852"/>
      <w:r w:rsidRPr="00BD04A5">
        <w:rPr>
          <w:rFonts w:ascii="Times New Roman" w:hAnsi="Times New Roman" w:cs="Times New Roman"/>
          <w:color w:val="000000" w:themeColor="text1"/>
        </w:rPr>
        <w:lastRenderedPageBreak/>
        <w:t xml:space="preserve">Figure 2.2. </w:t>
      </w:r>
      <w:r w:rsidRPr="00BD04A5">
        <w:rPr>
          <w:rFonts w:ascii="Times New Roman" w:hAnsi="Times New Roman" w:cs="Times New Roman"/>
          <w:b w:val="0"/>
          <w:color w:val="000000" w:themeColor="text1"/>
        </w:rPr>
        <w:t>Final large patch (</w:t>
      </w:r>
      <w:r w:rsidRPr="00BD04A5">
        <w:rPr>
          <w:rFonts w:ascii="Times New Roman" w:hAnsi="Times New Roman" w:cs="Times New Roman"/>
          <w:b w:val="0"/>
          <w:i/>
          <w:color w:val="000000" w:themeColor="text1"/>
        </w:rPr>
        <w:t>Rhizoctonia solani</w:t>
      </w:r>
      <w:r w:rsidRPr="00BD04A5">
        <w:rPr>
          <w:rFonts w:ascii="Times New Roman" w:hAnsi="Times New Roman" w:cs="Times New Roman"/>
          <w:b w:val="0"/>
          <w:color w:val="000000" w:themeColor="text1"/>
        </w:rPr>
        <w:t xml:space="preserve">) severity and </w:t>
      </w:r>
      <w:r w:rsidRPr="00BD04A5">
        <w:rPr>
          <w:rFonts w:ascii="Times New Roman" w:hAnsi="Times New Roman" w:cs="Times New Roman"/>
          <w:b w:val="0"/>
          <w:i/>
          <w:color w:val="000000" w:themeColor="text1"/>
        </w:rPr>
        <w:t>F</w:t>
      </w:r>
      <w:r w:rsidRPr="00BD04A5">
        <w:rPr>
          <w:rFonts w:ascii="Times New Roman" w:hAnsi="Times New Roman" w:cs="Times New Roman"/>
          <w:b w:val="0"/>
          <w:i/>
          <w:color w:val="000000" w:themeColor="text1"/>
          <w:vertAlign w:val="subscript"/>
        </w:rPr>
        <w:t>v</w:t>
      </w:r>
      <w:r w:rsidRPr="00BD04A5">
        <w:rPr>
          <w:rFonts w:ascii="Times New Roman" w:hAnsi="Times New Roman" w:cs="Times New Roman"/>
          <w:b w:val="0"/>
          <w:i/>
          <w:color w:val="000000" w:themeColor="text1"/>
        </w:rPr>
        <w:t>/F</w:t>
      </w:r>
      <w:r w:rsidRPr="00BD04A5">
        <w:rPr>
          <w:rFonts w:ascii="Times New Roman" w:hAnsi="Times New Roman" w:cs="Times New Roman"/>
          <w:b w:val="0"/>
          <w:i/>
          <w:color w:val="000000" w:themeColor="text1"/>
          <w:vertAlign w:val="subscript"/>
        </w:rPr>
        <w:t>m</w:t>
      </w:r>
      <w:r w:rsidRPr="00BD04A5">
        <w:rPr>
          <w:rFonts w:ascii="Times New Roman" w:hAnsi="Times New Roman" w:cs="Times New Roman"/>
          <w:b w:val="0"/>
          <w:color w:val="000000" w:themeColor="text1"/>
        </w:rPr>
        <w:t xml:space="preserve"> measurements in response fungicide and target site of fungicide application for the 1</w:t>
      </w:r>
      <w:r w:rsidRPr="00BD04A5">
        <w:rPr>
          <w:rFonts w:ascii="Times New Roman" w:hAnsi="Times New Roman" w:cs="Times New Roman"/>
          <w:b w:val="0"/>
          <w:color w:val="000000" w:themeColor="text1"/>
          <w:vertAlign w:val="superscript"/>
        </w:rPr>
        <w:t xml:space="preserve">st </w:t>
      </w:r>
      <w:r w:rsidRPr="00BD04A5">
        <w:rPr>
          <w:rFonts w:ascii="Times New Roman" w:hAnsi="Times New Roman" w:cs="Times New Roman"/>
          <w:b w:val="0"/>
          <w:color w:val="000000" w:themeColor="text1"/>
        </w:rPr>
        <w:t>(a-b) and 2</w:t>
      </w:r>
      <w:r w:rsidRPr="00BD04A5">
        <w:rPr>
          <w:rFonts w:ascii="Times New Roman" w:hAnsi="Times New Roman" w:cs="Times New Roman"/>
          <w:b w:val="0"/>
          <w:color w:val="000000" w:themeColor="text1"/>
          <w:vertAlign w:val="superscript"/>
        </w:rPr>
        <w:t>nd</w:t>
      </w:r>
      <w:r w:rsidRPr="00BD04A5">
        <w:rPr>
          <w:rFonts w:ascii="Times New Roman" w:hAnsi="Times New Roman" w:cs="Times New Roman"/>
          <w:b w:val="0"/>
          <w:color w:val="000000" w:themeColor="text1"/>
        </w:rPr>
        <w:t xml:space="preserve"> (c-d) experimental run. Treatment means followed by same letter do not significantly differ according to Fisher’s LSD (p=0.05). Bars represent the standard error of the mean.</w:t>
      </w:r>
      <w:bookmarkEnd w:id="83"/>
    </w:p>
    <w:p w14:paraId="6AF7AB24" w14:textId="77777777" w:rsidR="00CB64BA" w:rsidRDefault="00CB64BA" w:rsidP="007F4ACA">
      <w:pPr>
        <w:spacing w:line="480" w:lineRule="auto"/>
        <w:rPr>
          <w:b/>
        </w:rPr>
      </w:pPr>
    </w:p>
    <w:p w14:paraId="50E3474B" w14:textId="090265C2" w:rsidR="007F4ACA" w:rsidRPr="0073098D" w:rsidRDefault="00CB64BA" w:rsidP="0073098D">
      <w:pPr>
        <w:spacing w:line="480" w:lineRule="auto"/>
        <w:rPr>
          <w:b/>
        </w:rPr>
      </w:pPr>
      <w:r>
        <w:rPr>
          <w:noProof/>
        </w:rPr>
        <w:lastRenderedPageBreak/>
        <w:drawing>
          <wp:inline distT="0" distB="0" distL="0" distR="0" wp14:anchorId="2904581A" wp14:editId="26B4B0EB">
            <wp:extent cx="7277100" cy="5429250"/>
            <wp:effectExtent l="0" t="0" r="0" b="0"/>
            <wp:docPr id="5" name="Picture 5"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77100" cy="5429250"/>
                    </a:xfrm>
                    <a:prstGeom prst="rect">
                      <a:avLst/>
                    </a:prstGeom>
                    <a:noFill/>
                    <a:ln>
                      <a:noFill/>
                    </a:ln>
                  </pic:spPr>
                </pic:pic>
              </a:graphicData>
            </a:graphic>
          </wp:inline>
        </w:drawing>
      </w:r>
    </w:p>
    <w:p w14:paraId="3A32E8D4" w14:textId="77777777" w:rsidR="007F4ACA" w:rsidRDefault="007F4ACA" w:rsidP="007F4ACA"/>
    <w:p w14:paraId="4E1AEC06" w14:textId="77777777" w:rsidR="007F4ACA" w:rsidRDefault="007F4ACA" w:rsidP="007F4ACA">
      <w:r>
        <w:rPr>
          <w:noProof/>
        </w:rPr>
        <w:drawing>
          <wp:inline distT="0" distB="0" distL="0" distR="0" wp14:anchorId="7CF3E82E" wp14:editId="341F317C">
            <wp:extent cx="6677025" cy="3505200"/>
            <wp:effectExtent l="0" t="0" r="9525" b="0"/>
            <wp:docPr id="1" name="Picture 1"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77025" cy="3505200"/>
                    </a:xfrm>
                    <a:prstGeom prst="rect">
                      <a:avLst/>
                    </a:prstGeom>
                    <a:noFill/>
                    <a:ln>
                      <a:noFill/>
                    </a:ln>
                  </pic:spPr>
                </pic:pic>
              </a:graphicData>
            </a:graphic>
          </wp:inline>
        </w:drawing>
      </w:r>
    </w:p>
    <w:p w14:paraId="79DD884E" w14:textId="77777777" w:rsidR="007F4ACA" w:rsidRDefault="007F4ACA" w:rsidP="007F4ACA"/>
    <w:p w14:paraId="42C30847" w14:textId="77777777" w:rsidR="007F4ACA" w:rsidRDefault="007F4ACA" w:rsidP="007F4ACA"/>
    <w:p w14:paraId="516CB0B1" w14:textId="039A7DD8" w:rsidR="007F4ACA" w:rsidRDefault="007F4ACA" w:rsidP="007F4ACA">
      <w:pPr>
        <w:spacing w:line="480" w:lineRule="auto"/>
        <w:sectPr w:rsidR="007F4ACA" w:rsidSect="009E5EF0">
          <w:pgSz w:w="15840" w:h="12240" w:orient="landscape"/>
          <w:pgMar w:top="1440" w:right="1440" w:bottom="1440" w:left="1440" w:header="720" w:footer="1440" w:gutter="0"/>
          <w:cols w:space="720"/>
          <w:docGrid w:linePitch="326"/>
        </w:sectPr>
      </w:pPr>
      <w:r>
        <w:rPr>
          <w:b/>
        </w:rPr>
        <w:t>Figure 2.3.</w:t>
      </w:r>
      <w:r>
        <w:t xml:space="preserve">  Large patch (</w:t>
      </w:r>
      <w:r>
        <w:rPr>
          <w:i/>
        </w:rPr>
        <w:t>Rhizoctonia solani</w:t>
      </w:r>
      <w:r>
        <w:t xml:space="preserve">) severity (a) and </w:t>
      </w:r>
      <w:r>
        <w:rPr>
          <w:i/>
        </w:rPr>
        <w:t>F</w:t>
      </w:r>
      <w:r>
        <w:rPr>
          <w:i/>
          <w:vertAlign w:val="subscript"/>
        </w:rPr>
        <w:t>v</w:t>
      </w:r>
      <w:r>
        <w:rPr>
          <w:i/>
        </w:rPr>
        <w:t>/F</w:t>
      </w:r>
      <w:r>
        <w:rPr>
          <w:i/>
          <w:vertAlign w:val="subscript"/>
        </w:rPr>
        <w:t>m</w:t>
      </w:r>
      <w:r>
        <w:t xml:space="preserve"> measurements (b) on Japanese lawngrass (</w:t>
      </w:r>
      <w:r>
        <w:rPr>
          <w:i/>
        </w:rPr>
        <w:t>Zosyia japonica</w:t>
      </w:r>
      <w:r>
        <w:t>) pooled across target site among fungicide applications during the 2</w:t>
      </w:r>
      <w:r>
        <w:rPr>
          <w:vertAlign w:val="superscript"/>
        </w:rPr>
        <w:t>nd</w:t>
      </w:r>
      <w:r>
        <w:t xml:space="preserve"> experimental run. </w:t>
      </w:r>
      <w:r w:rsidR="00164D3B">
        <w:t>B</w:t>
      </w:r>
      <w:r>
        <w:t>ars represent the sta</w:t>
      </w:r>
      <w:r w:rsidR="00164D3B">
        <w:t xml:space="preserve">ndard error of the mean. </w:t>
      </w:r>
      <w:r w:rsidR="00164D3B" w:rsidRPr="00164D3B">
        <w:t>Asterisks indicate significance levels at the p ≤ 0.05, 0.01, and 0.001 level, respectively.</w:t>
      </w:r>
    </w:p>
    <w:p w14:paraId="51C35E13" w14:textId="77777777" w:rsidR="007F4ACA" w:rsidRDefault="007F4ACA" w:rsidP="007F4ACA"/>
    <w:p w14:paraId="4EFCEEB2" w14:textId="77777777" w:rsidR="007F4ACA" w:rsidRDefault="007F4ACA" w:rsidP="007F4ACA"/>
    <w:p w14:paraId="585DFCCD" w14:textId="77777777" w:rsidR="007F4ACA" w:rsidRDefault="007F4ACA" w:rsidP="007F4ACA"/>
    <w:p w14:paraId="28B83205" w14:textId="77777777" w:rsidR="007F4ACA" w:rsidRDefault="007F4ACA" w:rsidP="007F4ACA"/>
    <w:p w14:paraId="3D63B2B9" w14:textId="77777777" w:rsidR="007F4ACA" w:rsidRDefault="007F4ACA" w:rsidP="007F4ACA"/>
    <w:p w14:paraId="34CC32EF" w14:textId="77777777" w:rsidR="007F4ACA" w:rsidRDefault="007F4ACA" w:rsidP="007F4ACA"/>
    <w:p w14:paraId="18CAB87E" w14:textId="77777777" w:rsidR="007F4ACA" w:rsidRDefault="007F4ACA" w:rsidP="007F4ACA"/>
    <w:p w14:paraId="3414800F" w14:textId="77777777" w:rsidR="007F4ACA" w:rsidRDefault="007F4ACA" w:rsidP="007F4ACA"/>
    <w:p w14:paraId="11818177" w14:textId="77777777" w:rsidR="007F4ACA" w:rsidRDefault="007F4ACA" w:rsidP="007F4ACA"/>
    <w:p w14:paraId="305066AE" w14:textId="77777777" w:rsidR="007F4ACA" w:rsidRDefault="007F4ACA" w:rsidP="007F4ACA"/>
    <w:p w14:paraId="178000BF" w14:textId="77777777" w:rsidR="007F4ACA" w:rsidRDefault="007F4ACA" w:rsidP="007F4ACA"/>
    <w:p w14:paraId="24A96991" w14:textId="77777777" w:rsidR="007F4ACA" w:rsidRDefault="007F4ACA" w:rsidP="007F4ACA"/>
    <w:p w14:paraId="1243B2C6" w14:textId="77777777" w:rsidR="007F4ACA" w:rsidRDefault="007F4ACA" w:rsidP="007F4ACA"/>
    <w:p w14:paraId="0966C8EF" w14:textId="2F65A5EF" w:rsidR="007F4ACA" w:rsidRPr="0002680A" w:rsidRDefault="007F4ACA" w:rsidP="0002680A">
      <w:pPr>
        <w:pStyle w:val="Heading1"/>
      </w:pPr>
      <w:bookmarkStart w:id="84" w:name="_Toc353890901"/>
      <w:bookmarkStart w:id="85" w:name="_Toc466885905"/>
      <w:bookmarkStart w:id="86" w:name="_Toc466890536"/>
      <w:bookmarkStart w:id="87" w:name="_Toc466891171"/>
      <w:bookmarkStart w:id="88" w:name="_Toc466894853"/>
      <w:r w:rsidRPr="0002680A">
        <w:t>CHAPTER III</w:t>
      </w:r>
      <w:bookmarkEnd w:id="84"/>
      <w:r w:rsidR="0002680A">
        <w:br/>
      </w:r>
      <w:r w:rsidR="0002680A">
        <w:br/>
      </w:r>
      <w:r w:rsidRPr="0002680A">
        <w:t>Influence of spray rate volume and adjuvants on fungicidal control of large patch (rhizoctonia solani) and spray deposition</w:t>
      </w:r>
      <w:r w:rsidR="00F208EB" w:rsidRPr="0002680A">
        <w:t xml:space="preserve"> characterstics</w:t>
      </w:r>
      <w:bookmarkEnd w:id="85"/>
      <w:bookmarkEnd w:id="86"/>
      <w:bookmarkEnd w:id="87"/>
      <w:bookmarkEnd w:id="88"/>
    </w:p>
    <w:p w14:paraId="47372841" w14:textId="77777777" w:rsidR="007F4ACA" w:rsidRDefault="007F4ACA" w:rsidP="007F4ACA">
      <w:pPr>
        <w:pStyle w:val="Caption"/>
        <w:jc w:val="center"/>
        <w:rPr>
          <w:rFonts w:ascii="Arial" w:hAnsi="Arial" w:cs="Arial"/>
          <w:sz w:val="24"/>
        </w:rPr>
      </w:pPr>
    </w:p>
    <w:p w14:paraId="2A101EA1" w14:textId="77777777" w:rsidR="007F4ACA" w:rsidRDefault="007F4ACA" w:rsidP="007F4ACA"/>
    <w:p w14:paraId="4773D83C" w14:textId="77777777" w:rsidR="007F4ACA" w:rsidRDefault="007F4ACA" w:rsidP="007F4ACA"/>
    <w:p w14:paraId="423B5628" w14:textId="77777777" w:rsidR="007F4ACA" w:rsidRDefault="007F4ACA" w:rsidP="007F4ACA"/>
    <w:p w14:paraId="796506A2" w14:textId="77777777" w:rsidR="007F4ACA" w:rsidRDefault="007F4ACA" w:rsidP="007F4ACA"/>
    <w:p w14:paraId="33BC6758" w14:textId="77777777" w:rsidR="007F4ACA" w:rsidRDefault="007F4ACA" w:rsidP="007F4ACA"/>
    <w:p w14:paraId="5DD5636C" w14:textId="77777777" w:rsidR="007F4ACA" w:rsidRDefault="007F4ACA" w:rsidP="007F4ACA"/>
    <w:p w14:paraId="5E5418E0" w14:textId="77777777" w:rsidR="007F4ACA" w:rsidRDefault="007F4ACA" w:rsidP="007F4ACA"/>
    <w:p w14:paraId="5B4B1FC4" w14:textId="77777777" w:rsidR="007F4ACA" w:rsidRDefault="007F4ACA" w:rsidP="007F4ACA"/>
    <w:p w14:paraId="6C0E8C99" w14:textId="77777777" w:rsidR="007F4ACA" w:rsidRDefault="007F4ACA" w:rsidP="007F4ACA"/>
    <w:p w14:paraId="0534C717" w14:textId="77777777" w:rsidR="007F4ACA" w:rsidRDefault="007F4ACA" w:rsidP="007F4ACA"/>
    <w:p w14:paraId="54C67A6C" w14:textId="77777777" w:rsidR="007F4ACA" w:rsidRDefault="007F4ACA" w:rsidP="007F4ACA"/>
    <w:p w14:paraId="5D535C7F" w14:textId="77777777" w:rsidR="007F4ACA" w:rsidRDefault="007F4ACA" w:rsidP="007F4ACA"/>
    <w:p w14:paraId="6210571E" w14:textId="77777777" w:rsidR="007F4ACA" w:rsidRDefault="007F4ACA" w:rsidP="007F4ACA"/>
    <w:p w14:paraId="27EAF1B7" w14:textId="77777777" w:rsidR="007F4ACA" w:rsidRDefault="007F4ACA" w:rsidP="00213EEF"/>
    <w:p w14:paraId="7B47CED2" w14:textId="77777777" w:rsidR="007F4ACA" w:rsidRDefault="007F4ACA" w:rsidP="00213EEF"/>
    <w:p w14:paraId="0CD64A39" w14:textId="77777777" w:rsidR="007F4ACA" w:rsidRDefault="007F4ACA" w:rsidP="00213EEF"/>
    <w:p w14:paraId="13EA30F8" w14:textId="77777777" w:rsidR="007F4ACA" w:rsidRDefault="007F4ACA" w:rsidP="00213EEF"/>
    <w:p w14:paraId="1A655FC8" w14:textId="77777777" w:rsidR="007F4ACA" w:rsidRDefault="007F4ACA" w:rsidP="00213EEF"/>
    <w:p w14:paraId="3E182C49" w14:textId="77777777" w:rsidR="007F4ACA" w:rsidRDefault="007F4ACA" w:rsidP="00213EEF"/>
    <w:p w14:paraId="4067C1F0" w14:textId="77777777" w:rsidR="007F4ACA" w:rsidRDefault="007F4ACA" w:rsidP="00213EEF"/>
    <w:p w14:paraId="6787F0B9" w14:textId="77777777" w:rsidR="007F4ACA" w:rsidRDefault="007F4ACA" w:rsidP="00213EEF"/>
    <w:p w14:paraId="3210BCB3" w14:textId="77777777" w:rsidR="007F4ACA" w:rsidRDefault="007F4ACA" w:rsidP="00213EEF"/>
    <w:p w14:paraId="4723DE1E" w14:textId="77777777" w:rsidR="0072085F" w:rsidRDefault="0072085F" w:rsidP="0072085F">
      <w:pPr>
        <w:autoSpaceDE w:val="0"/>
        <w:autoSpaceDN w:val="0"/>
        <w:adjustRightInd w:val="0"/>
        <w:spacing w:line="480" w:lineRule="auto"/>
        <w:jc w:val="center"/>
      </w:pPr>
      <w:r>
        <w:lastRenderedPageBreak/>
        <w:t>The intent of this manuscript is to publish articles in the peer-reviewed literature. This work is based on contributions by Jesse Benelli, Brandon Horvath, Bonnie Ownley, Alan Windham, and Alvin Womac.</w:t>
      </w:r>
    </w:p>
    <w:p w14:paraId="460CFC7D" w14:textId="77777777" w:rsidR="0072085F" w:rsidRDefault="0072085F" w:rsidP="0072085F">
      <w:pPr>
        <w:autoSpaceDE w:val="0"/>
        <w:autoSpaceDN w:val="0"/>
        <w:adjustRightInd w:val="0"/>
        <w:spacing w:line="480" w:lineRule="auto"/>
        <w:jc w:val="center"/>
      </w:pPr>
    </w:p>
    <w:p w14:paraId="41DCAF8C" w14:textId="38D883AF" w:rsidR="007F4ACA" w:rsidRDefault="0072085F" w:rsidP="000B60A0">
      <w:pPr>
        <w:autoSpaceDE w:val="0"/>
        <w:autoSpaceDN w:val="0"/>
        <w:adjustRightInd w:val="0"/>
        <w:spacing w:line="480" w:lineRule="auto"/>
        <w:jc w:val="center"/>
      </w:pPr>
      <w:r>
        <w:t>My primary contributions to this paper include (i) designing and conducting the experiments, (ii) analyzing and interpreting data, (iii) reading literature, a</w:t>
      </w:r>
      <w:r w:rsidR="000B60A0">
        <w:t>nd (iv) writing the manuscript.</w:t>
      </w:r>
    </w:p>
    <w:p w14:paraId="4A477748" w14:textId="77777777" w:rsidR="007F4ACA" w:rsidRDefault="007F4ACA" w:rsidP="007F4ACA"/>
    <w:p w14:paraId="563728AC" w14:textId="463E8A67" w:rsidR="007F4ACA" w:rsidRDefault="007F4ACA" w:rsidP="000B60A0">
      <w:pPr>
        <w:pStyle w:val="Heading2"/>
        <w:spacing w:line="480" w:lineRule="auto"/>
      </w:pPr>
      <w:bookmarkStart w:id="89" w:name="_Toc353890906"/>
      <w:bookmarkStart w:id="90" w:name="_Toc466885906"/>
      <w:bookmarkStart w:id="91" w:name="_Toc466890537"/>
      <w:bookmarkStart w:id="92" w:name="_Toc466891172"/>
      <w:bookmarkStart w:id="93" w:name="_Toc466894854"/>
      <w:r w:rsidRPr="00D76ACF">
        <w:t>ABSTRACT</w:t>
      </w:r>
      <w:bookmarkEnd w:id="89"/>
      <w:bookmarkEnd w:id="90"/>
      <w:bookmarkEnd w:id="91"/>
      <w:bookmarkEnd w:id="92"/>
      <w:bookmarkEnd w:id="93"/>
    </w:p>
    <w:p w14:paraId="42CC179F" w14:textId="376C8987" w:rsidR="0073098D" w:rsidRDefault="007F4ACA" w:rsidP="000B60A0">
      <w:pPr>
        <w:pStyle w:val="xmsonormal"/>
        <w:spacing w:before="0" w:beforeAutospacing="0" w:after="0" w:afterAutospacing="0" w:line="480" w:lineRule="auto"/>
        <w:ind w:firstLine="720"/>
        <w:rPr>
          <w:color w:val="000000"/>
        </w:rPr>
      </w:pPr>
      <w:r>
        <w:rPr>
          <w:color w:val="000000"/>
        </w:rPr>
        <w:t>Previous growth chamber research indicates that fungicidal control of large patch (</w:t>
      </w:r>
      <w:r>
        <w:rPr>
          <w:i/>
          <w:color w:val="000000"/>
        </w:rPr>
        <w:t>Rhizoctonia solani</w:t>
      </w:r>
      <w:r w:rsidR="00F208EB">
        <w:rPr>
          <w:color w:val="000000"/>
        </w:rPr>
        <w:t xml:space="preserve"> AG 2-2 LP</w:t>
      </w:r>
      <w:r>
        <w:rPr>
          <w:color w:val="000000"/>
        </w:rPr>
        <w:t>) is enhanced when the spray solution is deposited on the stems and sheaths of Japanese lawngrass (</w:t>
      </w:r>
      <w:r w:rsidR="00F208EB">
        <w:rPr>
          <w:color w:val="000000"/>
        </w:rPr>
        <w:t xml:space="preserve">JLG; </w:t>
      </w:r>
      <w:r>
        <w:rPr>
          <w:i/>
          <w:color w:val="000000"/>
        </w:rPr>
        <w:t>Zoysia japonica</w:t>
      </w:r>
      <w:r w:rsidR="007F3C5A">
        <w:rPr>
          <w:color w:val="000000"/>
        </w:rPr>
        <w:t>). However, field-</w:t>
      </w:r>
      <w:r>
        <w:rPr>
          <w:color w:val="000000"/>
        </w:rPr>
        <w:t xml:space="preserve">based spray strategies have not been developed that improve lower canopy fungicide deposition and improve large patch control on stands of </w:t>
      </w:r>
      <w:r w:rsidR="00F208EB">
        <w:rPr>
          <w:color w:val="000000"/>
        </w:rPr>
        <w:t>JLG</w:t>
      </w:r>
      <w:r>
        <w:rPr>
          <w:color w:val="000000"/>
        </w:rPr>
        <w:t xml:space="preserve">. Three experiments were designed to evaluate the effects of various spray rate volumes and surfactant additives on large patch control and spray deposition in </w:t>
      </w:r>
      <w:r w:rsidR="00F208EB">
        <w:rPr>
          <w:color w:val="000000"/>
        </w:rPr>
        <w:t>JLG</w:t>
      </w:r>
      <w:r>
        <w:rPr>
          <w:color w:val="000000"/>
        </w:rPr>
        <w:t xml:space="preserve">. </w:t>
      </w:r>
      <w:r w:rsidR="001F227A">
        <w:rPr>
          <w:color w:val="000000"/>
        </w:rPr>
        <w:t>In the 1</w:t>
      </w:r>
      <w:r w:rsidR="001F227A" w:rsidRPr="001F227A">
        <w:rPr>
          <w:color w:val="000000"/>
          <w:vertAlign w:val="superscript"/>
        </w:rPr>
        <w:t>st</w:t>
      </w:r>
      <w:r w:rsidR="001F227A">
        <w:rPr>
          <w:color w:val="000000"/>
        </w:rPr>
        <w:t xml:space="preserve"> experiment, f</w:t>
      </w:r>
      <w:r>
        <w:rPr>
          <w:color w:val="000000"/>
        </w:rPr>
        <w:t>our spray rate volumes (93, 374, 748, and 1496 L ha</w:t>
      </w:r>
      <w:r w:rsidRPr="00F208EB">
        <w:rPr>
          <w:color w:val="000000"/>
          <w:vertAlign w:val="superscript"/>
        </w:rPr>
        <w:t>-1</w:t>
      </w:r>
      <w:r>
        <w:rPr>
          <w:color w:val="000000"/>
        </w:rPr>
        <w:t>) were evaluated in combination with fungicides azoxystrobin, flutolanil, and tebuconazole for large patch control in field and growth chamber trials. The 2</w:t>
      </w:r>
      <w:r>
        <w:rPr>
          <w:color w:val="000000"/>
          <w:vertAlign w:val="superscript"/>
        </w:rPr>
        <w:t>nd</w:t>
      </w:r>
      <w:r>
        <w:rPr>
          <w:color w:val="000000"/>
        </w:rPr>
        <w:t xml:space="preserve"> experiment evaluated two adjuvants (organosilicone and modified vegetable oil) in combination with fungicides for large patch control under field and growth chamber conditions. The 3</w:t>
      </w:r>
      <w:r>
        <w:rPr>
          <w:color w:val="000000"/>
          <w:vertAlign w:val="superscript"/>
        </w:rPr>
        <w:t>rd</w:t>
      </w:r>
      <w:r>
        <w:rPr>
          <w:color w:val="000000"/>
        </w:rPr>
        <w:t xml:space="preserve"> experiment evaluated spray deposition characteristics on </w:t>
      </w:r>
      <w:r w:rsidR="003703B3">
        <w:rPr>
          <w:color w:val="000000"/>
        </w:rPr>
        <w:t>JLG</w:t>
      </w:r>
      <w:r>
        <w:rPr>
          <w:color w:val="000000"/>
        </w:rPr>
        <w:t xml:space="preserve"> </w:t>
      </w:r>
      <w:r w:rsidR="003703B3">
        <w:rPr>
          <w:color w:val="000000"/>
        </w:rPr>
        <w:t>a</w:t>
      </w:r>
      <w:r>
        <w:rPr>
          <w:color w:val="000000"/>
        </w:rPr>
        <w:t>ffected by spray rate vo</w:t>
      </w:r>
      <w:r w:rsidR="00A31DAD">
        <w:rPr>
          <w:color w:val="000000"/>
        </w:rPr>
        <w:t xml:space="preserve">lume and adjuvant combinations. </w:t>
      </w:r>
      <w:r w:rsidR="007F3C5A">
        <w:rPr>
          <w:color w:val="000000"/>
        </w:rPr>
        <w:t>Results</w:t>
      </w:r>
      <w:r>
        <w:rPr>
          <w:color w:val="000000"/>
        </w:rPr>
        <w:t xml:space="preserve"> suggest</w:t>
      </w:r>
      <w:r w:rsidR="007F3C5A">
        <w:rPr>
          <w:color w:val="000000"/>
        </w:rPr>
        <w:t>ed</w:t>
      </w:r>
      <w:r>
        <w:rPr>
          <w:color w:val="000000"/>
        </w:rPr>
        <w:t xml:space="preserve"> that increasing spray rate volume from 93 to 1496 L ha</w:t>
      </w:r>
      <w:r w:rsidRPr="00A31DAD">
        <w:rPr>
          <w:color w:val="000000"/>
          <w:vertAlign w:val="superscript"/>
        </w:rPr>
        <w:t>-1</w:t>
      </w:r>
      <w:r>
        <w:rPr>
          <w:color w:val="000000"/>
        </w:rPr>
        <w:t xml:space="preserve"> improve</w:t>
      </w:r>
      <w:r w:rsidR="007F3C5A">
        <w:rPr>
          <w:color w:val="000000"/>
        </w:rPr>
        <w:t>d</w:t>
      </w:r>
      <w:r>
        <w:rPr>
          <w:color w:val="000000"/>
        </w:rPr>
        <w:t xml:space="preserve"> large</w:t>
      </w:r>
      <w:r w:rsidR="00A31DAD">
        <w:rPr>
          <w:color w:val="000000"/>
        </w:rPr>
        <w:t xml:space="preserve"> patch control by more than 20% </w:t>
      </w:r>
      <w:r w:rsidR="00085A63">
        <w:rPr>
          <w:color w:val="000000"/>
        </w:rPr>
        <w:t xml:space="preserve">when </w:t>
      </w:r>
      <w:r w:rsidR="00A31DAD">
        <w:rPr>
          <w:color w:val="000000"/>
        </w:rPr>
        <w:t>pooled across fungicides</w:t>
      </w:r>
      <w:r>
        <w:rPr>
          <w:color w:val="000000"/>
        </w:rPr>
        <w:t xml:space="preserve">. On most rating dates, </w:t>
      </w:r>
      <w:r w:rsidR="00A31DAD">
        <w:rPr>
          <w:color w:val="000000"/>
        </w:rPr>
        <w:t>increases</w:t>
      </w:r>
      <w:r>
        <w:rPr>
          <w:color w:val="000000"/>
        </w:rPr>
        <w:t xml:space="preserve"> in </w:t>
      </w:r>
      <w:r>
        <w:rPr>
          <w:color w:val="000000"/>
        </w:rPr>
        <w:lastRenderedPageBreak/>
        <w:t>spray rate volume resulted in significant in</w:t>
      </w:r>
      <w:r w:rsidR="008D4EC8">
        <w:rPr>
          <w:color w:val="000000"/>
        </w:rPr>
        <w:t xml:space="preserve">creases in large patch control. </w:t>
      </w:r>
      <w:r w:rsidR="00A31DAD">
        <w:rPr>
          <w:color w:val="000000"/>
        </w:rPr>
        <w:t xml:space="preserve">The </w:t>
      </w:r>
      <w:r w:rsidR="00085A63">
        <w:rPr>
          <w:color w:val="000000"/>
        </w:rPr>
        <w:t>inclusion of</w:t>
      </w:r>
      <w:r>
        <w:rPr>
          <w:color w:val="000000"/>
        </w:rPr>
        <w:t xml:space="preserve"> adjuvants</w:t>
      </w:r>
      <w:r w:rsidR="008D4EC8">
        <w:rPr>
          <w:color w:val="000000"/>
        </w:rPr>
        <w:t xml:space="preserve"> had</w:t>
      </w:r>
      <w:r>
        <w:rPr>
          <w:color w:val="000000"/>
        </w:rPr>
        <w:t xml:space="preserve"> </w:t>
      </w:r>
      <w:r w:rsidR="008D4EC8">
        <w:rPr>
          <w:color w:val="000000"/>
        </w:rPr>
        <w:t>lessor effects at reducing large patch severity compared</w:t>
      </w:r>
      <w:r w:rsidR="00A31DAD">
        <w:rPr>
          <w:color w:val="000000"/>
        </w:rPr>
        <w:t xml:space="preserve"> </w:t>
      </w:r>
      <w:r w:rsidR="00733B96">
        <w:rPr>
          <w:color w:val="000000"/>
        </w:rPr>
        <w:t xml:space="preserve">to </w:t>
      </w:r>
      <w:r>
        <w:rPr>
          <w:color w:val="000000"/>
        </w:rPr>
        <w:t xml:space="preserve">spray rate volume. However, pooled across fungicides, an organosilicone surfactant improved fungicide efficacy by 4% compared to the modified vegetable oil adjuvant and the no adjuvant treatment. </w:t>
      </w:r>
      <w:r w:rsidR="002571AD">
        <w:rPr>
          <w:color w:val="000000"/>
        </w:rPr>
        <w:t>Increases in spray rate volume also provided a greater penetration of spray solu</w:t>
      </w:r>
      <w:r w:rsidR="007F3C5A">
        <w:rPr>
          <w:color w:val="000000"/>
        </w:rPr>
        <w:t xml:space="preserve">tion to the lower plant canopy as indicated by use of a fluorescent tracer. </w:t>
      </w:r>
      <w:r>
        <w:rPr>
          <w:color w:val="000000"/>
        </w:rPr>
        <w:t xml:space="preserve">Higher spray rate volumes increased the percentage of stems and sheaths that contained spray deposits by as much as 35% compared to the lowest spray rate volume. This research demonstrates that higher spray rate volumes provides greater </w:t>
      </w:r>
      <w:r w:rsidR="008D4EC8">
        <w:rPr>
          <w:color w:val="000000"/>
        </w:rPr>
        <w:t>spray deposition lower in the plant</w:t>
      </w:r>
      <w:r w:rsidR="007F3C5A">
        <w:rPr>
          <w:color w:val="000000"/>
        </w:rPr>
        <w:t xml:space="preserve"> canopy and enhanced</w:t>
      </w:r>
      <w:r>
        <w:rPr>
          <w:color w:val="000000"/>
        </w:rPr>
        <w:t xml:space="preserve"> fungicidal control of large patch in </w:t>
      </w:r>
      <w:r w:rsidR="008D4EC8">
        <w:rPr>
          <w:color w:val="000000"/>
        </w:rPr>
        <w:t>JLG</w:t>
      </w:r>
      <w:r>
        <w:rPr>
          <w:color w:val="000000"/>
        </w:rPr>
        <w:t>.</w:t>
      </w:r>
      <w:r w:rsidR="0073098D">
        <w:rPr>
          <w:color w:val="000000"/>
        </w:rPr>
        <w:t xml:space="preserve">  </w:t>
      </w:r>
    </w:p>
    <w:p w14:paraId="66C00432" w14:textId="7CEAD2FB" w:rsidR="007F4ACA" w:rsidRDefault="00D76ACF" w:rsidP="0002680A">
      <w:pPr>
        <w:pStyle w:val="Heading2"/>
      </w:pPr>
      <w:bookmarkStart w:id="94" w:name="_Toc466885907"/>
      <w:bookmarkStart w:id="95" w:name="_Toc466890538"/>
      <w:bookmarkStart w:id="96" w:name="_Toc466891173"/>
      <w:bookmarkStart w:id="97" w:name="_Toc466894855"/>
      <w:r>
        <w:t>I</w:t>
      </w:r>
      <w:r w:rsidR="007F4ACA">
        <w:t>ntroduction</w:t>
      </w:r>
      <w:bookmarkEnd w:id="94"/>
      <w:bookmarkEnd w:id="95"/>
      <w:bookmarkEnd w:id="96"/>
      <w:bookmarkEnd w:id="97"/>
    </w:p>
    <w:p w14:paraId="5A534AEA" w14:textId="77777777" w:rsidR="0002680A" w:rsidRPr="0002680A" w:rsidRDefault="0002680A" w:rsidP="0002680A"/>
    <w:p w14:paraId="6F6DEA7F" w14:textId="09F9CE4E" w:rsidR="007F4ACA" w:rsidRDefault="007F4ACA" w:rsidP="007F4ACA">
      <w:pPr>
        <w:spacing w:line="480" w:lineRule="auto"/>
        <w:ind w:firstLine="720"/>
      </w:pPr>
      <w:r>
        <w:t>Japanese lawngrass (</w:t>
      </w:r>
      <w:r w:rsidRPr="001B58AD">
        <w:rPr>
          <w:i/>
        </w:rPr>
        <w:t>Zoysia japonica</w:t>
      </w:r>
      <w:r>
        <w:t xml:space="preserve"> Steud.) is a perennial C</w:t>
      </w:r>
      <w:r w:rsidRPr="008D4EC8">
        <w:rPr>
          <w:vertAlign w:val="subscript"/>
        </w:rPr>
        <w:t>4</w:t>
      </w:r>
      <w:r>
        <w:t xml:space="preserve"> turfgrass that is </w:t>
      </w:r>
      <w:r w:rsidR="008D4EC8">
        <w:t>predominately</w:t>
      </w:r>
      <w:r>
        <w:t xml:space="preserve"> </w:t>
      </w:r>
      <w:r w:rsidR="007F3C5A">
        <w:t xml:space="preserve">established vegetatively in the areas of the United States that experience hot summer conditions and freezing winter conditions such as the </w:t>
      </w:r>
      <w:r>
        <w:t>transition zone (Beard, 2002). This warm-season grass is able to tolerant a wide range of mowing heights greater than 3 mm</w:t>
      </w:r>
      <w:r w:rsidR="008D4EC8">
        <w:t>,</w:t>
      </w:r>
      <w:r>
        <w:t xml:space="preserve"> making it suitable for golf course fairways and roughs. Other Zoysiagrasses, </w:t>
      </w:r>
      <w:r w:rsidR="008D4EC8">
        <w:t xml:space="preserve">such as </w:t>
      </w:r>
      <w:r>
        <w:t>Manila grass (</w:t>
      </w:r>
      <w:r>
        <w:rPr>
          <w:i/>
        </w:rPr>
        <w:t>Zoysia matrella</w:t>
      </w:r>
      <w:r>
        <w:t xml:space="preserve"> L</w:t>
      </w:r>
      <w:r w:rsidR="005C1813">
        <w:t>.</w:t>
      </w:r>
      <w:r>
        <w:t>), can tolerate lower mowing heights</w:t>
      </w:r>
      <w:r w:rsidR="007F3C5A">
        <w:t xml:space="preserve"> making it suitable for putting-</w:t>
      </w:r>
      <w:r>
        <w:t>green surfaces in addition to fairways and roughs</w:t>
      </w:r>
      <w:r w:rsidR="008D4EC8">
        <w:t xml:space="preserve"> (Beard, 2002)</w:t>
      </w:r>
      <w:r>
        <w:t>. Japanese lawngrass also requires low fertilization inputs and tolerates freezing conditions better than other warm-season turfgrasses grown in the transition zone such as bermudagrass [</w:t>
      </w:r>
      <w:r>
        <w:rPr>
          <w:i/>
        </w:rPr>
        <w:t>Cynodon dactylon</w:t>
      </w:r>
      <w:r>
        <w:t xml:space="preserve"> (L.) Pers.] (Patton and Reicher, 2007). Additionally, JLG suffers from few diseases in the transition zone when the plant is actively growing in the summer months. However, one disease is particularly d</w:t>
      </w:r>
      <w:r w:rsidR="008D4EC8">
        <w:t xml:space="preserve">amaging </w:t>
      </w:r>
      <w:r>
        <w:t xml:space="preserve">to JLG when </w:t>
      </w:r>
      <w:r w:rsidR="008D4EC8">
        <w:t xml:space="preserve">air temperature cools during the spring and fall months. </w:t>
      </w:r>
      <w:r>
        <w:t xml:space="preserve">  </w:t>
      </w:r>
    </w:p>
    <w:p w14:paraId="66C9FF66" w14:textId="1606002F" w:rsidR="007F4ACA" w:rsidRDefault="007F4ACA" w:rsidP="007F4ACA">
      <w:pPr>
        <w:spacing w:line="480" w:lineRule="auto"/>
        <w:ind w:firstLine="720"/>
      </w:pPr>
      <w:r>
        <w:lastRenderedPageBreak/>
        <w:t xml:space="preserve">Large patch, caused by </w:t>
      </w:r>
      <w:r>
        <w:rPr>
          <w:i/>
        </w:rPr>
        <w:t>Rhizoctonia solani</w:t>
      </w:r>
      <w:r>
        <w:t xml:space="preserve"> Kühn AG 2-2 LP, is a destructive disease of JLG in the transition zone United States (Green et al., 1993; Hyakumachi et al., 1998). The pathogen infects and colonizes JLG stems and sheaths as evident by the presence of a dark water-soaked lesion near the crown of the plant (Aoyagi et al., 1998). As the disease advances, stand symptoms include sunken off-color patches </w:t>
      </w:r>
      <w:r w:rsidR="008D4EC8">
        <w:t>that can extend to more than 6 m</w:t>
      </w:r>
      <w:r>
        <w:t xml:space="preserve"> in diameter. </w:t>
      </w:r>
      <w:r w:rsidR="008D4EC8">
        <w:t xml:space="preserve">An orange ‘firing’ can occur at the margin of expanding patches. </w:t>
      </w:r>
      <w:r>
        <w:t>Large patch</w:t>
      </w:r>
      <w:r w:rsidR="007F3C5A">
        <w:t xml:space="preserve"> development</w:t>
      </w:r>
      <w:r>
        <w:t xml:space="preserve"> is favored by cool-to-mild air and soil temperatures (20-25°C) with high relative humidity (</w:t>
      </w:r>
      <w:r w:rsidR="007F3C5A">
        <w:t xml:space="preserve">&gt;90%; </w:t>
      </w:r>
      <w:r>
        <w:t>Green et al., 1993).</w:t>
      </w:r>
      <w:r w:rsidR="006707D7">
        <w:t xml:space="preserve"> Patches tend to reoccur in the same areas each spring and fall and </w:t>
      </w:r>
      <w:r w:rsidR="00733B96">
        <w:t>become</w:t>
      </w:r>
      <w:r w:rsidR="006707D7">
        <w:t xml:space="preserve"> progressively more severe (Spurlock, 2009).</w:t>
      </w:r>
      <w:r>
        <w:t xml:space="preserve"> Affected areas may not recover until the onset of warmer weather that encourages the growth of the plant. </w:t>
      </w:r>
    </w:p>
    <w:p w14:paraId="6E57D03B" w14:textId="1CEB7802" w:rsidR="007F4ACA" w:rsidRDefault="007F4ACA" w:rsidP="007F4ACA">
      <w:pPr>
        <w:spacing w:line="480" w:lineRule="auto"/>
        <w:ind w:firstLine="720"/>
      </w:pPr>
      <w:r>
        <w:t xml:space="preserve">Preventative fungicide </w:t>
      </w:r>
      <w:r w:rsidR="00F8305B">
        <w:t>applications</w:t>
      </w:r>
      <w:r>
        <w:t xml:space="preserve"> are critical in managing this disease</w:t>
      </w:r>
      <w:r w:rsidR="00EA666E">
        <w:t xml:space="preserve">. This is due, in part, to the lack of identifiable cultural control strategies that significantly reduce large patch </w:t>
      </w:r>
      <w:r w:rsidR="00F8305B">
        <w:t>development</w:t>
      </w:r>
      <w:r w:rsidR="00EA666E">
        <w:t xml:space="preserve"> under field conditions </w:t>
      </w:r>
      <w:r w:rsidR="006707D7">
        <w:t xml:space="preserve">(Green et al., 1994; Obasa et al., 2012; Obasa et al., 2013; Miller et al., 2016). </w:t>
      </w:r>
      <w:r>
        <w:t xml:space="preserve">However, severe large patch epidemics have been observed despite the use of fungicides that have been historically effective at controlling other </w:t>
      </w:r>
      <w:r>
        <w:rPr>
          <w:i/>
        </w:rPr>
        <w:t>R</w:t>
      </w:r>
      <w:r w:rsidR="00B228A5">
        <w:rPr>
          <w:i/>
        </w:rPr>
        <w:t>.</w:t>
      </w:r>
      <w:r>
        <w:rPr>
          <w:i/>
        </w:rPr>
        <w:t xml:space="preserve"> solani</w:t>
      </w:r>
      <w:r>
        <w:t xml:space="preserve"> diseases such as brown patch (B.J. Horvath, personal communication, 2016). </w:t>
      </w:r>
      <w:r w:rsidR="00733B96">
        <w:t>One such reason for the disparity</w:t>
      </w:r>
      <w:r>
        <w:t xml:space="preserve"> in fungicidal control between large patch and brown patch is the site of pa</w:t>
      </w:r>
      <w:r w:rsidR="00B228A5">
        <w:t>thogen infection. Brown patch</w:t>
      </w:r>
      <w:r>
        <w:t xml:space="preserve"> primarily affects the foliage of cool-season turfgrass</w:t>
      </w:r>
      <w:r w:rsidR="00CC00D9">
        <w:t>es</w:t>
      </w:r>
      <w:r>
        <w:t xml:space="preserve">, whereas large patch affects warm-season turfgrass lower in the plant canopy near the stems and sheaths (Burpee and Martin, 1992). Fungicide </w:t>
      </w:r>
      <w:r w:rsidR="00B228A5">
        <w:t>applications</w:t>
      </w:r>
      <w:r>
        <w:t xml:space="preserve"> that are deposited on the leaves and away from the site of pathogen infection may not provide adequate control of large patch considering the </w:t>
      </w:r>
      <w:r w:rsidR="00733B96">
        <w:t>physical and chemical</w:t>
      </w:r>
      <w:r w:rsidR="00CC00D9">
        <w:t xml:space="preserve"> properties of most fungicides</w:t>
      </w:r>
      <w:r>
        <w:t xml:space="preserve">. </w:t>
      </w:r>
    </w:p>
    <w:p w14:paraId="39DC6204" w14:textId="54D98FC9" w:rsidR="007F4ACA" w:rsidRDefault="007F4ACA" w:rsidP="007F4ACA">
      <w:pPr>
        <w:spacing w:line="480" w:lineRule="auto"/>
        <w:ind w:firstLine="720"/>
      </w:pPr>
      <w:r>
        <w:lastRenderedPageBreak/>
        <w:t xml:space="preserve">Benelli et al. (unpublished data, 2016) reported that azoxystrobin, flutolanil, tebuconazole, and chlorothalonil deposited on the leaf blades resulted in </w:t>
      </w:r>
      <w:r w:rsidR="007201E3">
        <w:t>greater</w:t>
      </w:r>
      <w:r>
        <w:t xml:space="preserve"> large patch severity compared to these fungicides deposited near the stem or sheath of JLG. However, these targeted applications were made using a pipette to singly dispense </w:t>
      </w:r>
      <w:r w:rsidR="00F83673">
        <w:t xml:space="preserve">2.5 µl </w:t>
      </w:r>
      <w:r>
        <w:t xml:space="preserve">droplets </w:t>
      </w:r>
      <w:r w:rsidR="006E3E4D">
        <w:t>on</w:t>
      </w:r>
      <w:r>
        <w:t xml:space="preserve"> specific areas of JLG. Improving spray application methods in the field that target specific plant diseases has been investigated by numerous </w:t>
      </w:r>
      <w:r w:rsidR="00A26D80">
        <w:t>researchers</w:t>
      </w:r>
      <w:r>
        <w:t xml:space="preserve"> in turfgrass and agricultural crops. </w:t>
      </w:r>
    </w:p>
    <w:p w14:paraId="56A91396" w14:textId="6F09B0F2" w:rsidR="007F4ACA" w:rsidRDefault="007F4ACA" w:rsidP="007F4ACA">
      <w:pPr>
        <w:spacing w:line="480" w:lineRule="auto"/>
        <w:ind w:firstLine="720"/>
        <w:rPr>
          <w:rFonts w:eastAsia="Calibri"/>
        </w:rPr>
      </w:pPr>
      <w:r>
        <w:t>Spray application strategies that target turfgrass disease control ha</w:t>
      </w:r>
      <w:r w:rsidR="00646E13">
        <w:t>ve</w:t>
      </w:r>
      <w:r>
        <w:t xml:space="preserve"> been predominantly </w:t>
      </w:r>
      <w:r w:rsidR="00646E13">
        <w:t xml:space="preserve">researched </w:t>
      </w:r>
      <w:r>
        <w:t>on dollar spot (</w:t>
      </w:r>
      <w:r>
        <w:rPr>
          <w:i/>
        </w:rPr>
        <w:t>Sclerotinia homoeocarpa</w:t>
      </w:r>
      <w:r>
        <w:t xml:space="preserve"> F.T. Bennett) control (Latin, 2011). Dollar spot affects </w:t>
      </w:r>
      <w:r w:rsidR="00A26D80">
        <w:t>the foliage of most turfgrasses</w:t>
      </w:r>
      <w:r>
        <w:t xml:space="preserve"> and fungicide </w:t>
      </w:r>
      <w:r w:rsidR="00646E13">
        <w:t>spray applications that provide</w:t>
      </w:r>
      <w:r>
        <w:t xml:space="preserve"> greater surface coverage through optimization of nozzle type and spray rate volume tended to result in greater dollar spot control (McDonald et al., 2006; Vincelli and Dixon, 2007; </w:t>
      </w:r>
      <w:r>
        <w:rPr>
          <w:rFonts w:eastAsia="Calibri"/>
        </w:rPr>
        <w:t xml:space="preserve">Kaminksi and Fidanza, 2009; Kennelly and Wolf; 2009). However, research </w:t>
      </w:r>
      <w:r w:rsidR="007201E3">
        <w:rPr>
          <w:rFonts w:eastAsia="Calibri"/>
        </w:rPr>
        <w:t xml:space="preserve">is limited </w:t>
      </w:r>
      <w:r>
        <w:rPr>
          <w:rFonts w:eastAsia="Calibri"/>
        </w:rPr>
        <w:t>on optimizing field spray applications that target diseases of turfgrass that occur lower</w:t>
      </w:r>
      <w:r w:rsidR="007201E3">
        <w:rPr>
          <w:rFonts w:eastAsia="Calibri"/>
        </w:rPr>
        <w:t xml:space="preserve"> in the plant canopy</w:t>
      </w:r>
      <w:r>
        <w:rPr>
          <w:rFonts w:eastAsia="Calibri"/>
        </w:rPr>
        <w:t xml:space="preserve">. </w:t>
      </w:r>
    </w:p>
    <w:p w14:paraId="2F613D0E" w14:textId="3242472F" w:rsidR="007F4ACA" w:rsidRDefault="007F4ACA" w:rsidP="007F4ACA">
      <w:pPr>
        <w:spacing w:line="480" w:lineRule="auto"/>
        <w:ind w:firstLine="720"/>
      </w:pPr>
      <w:r>
        <w:t xml:space="preserve">In cropping systems, field based spray application strategies </w:t>
      </w:r>
      <w:r w:rsidR="00A26D80">
        <w:t>have been identified that</w:t>
      </w:r>
      <w:r w:rsidR="00744B5C">
        <w:t xml:space="preserve"> help control</w:t>
      </w:r>
      <w:r>
        <w:t xml:space="preserve"> plant pathogen</w:t>
      </w:r>
      <w:r w:rsidR="00A26D80">
        <w:t>s</w:t>
      </w:r>
      <w:r>
        <w:t xml:space="preserve"> that incite disease </w:t>
      </w:r>
      <w:r w:rsidR="00A26D80">
        <w:t>lower in the plant canopy</w:t>
      </w:r>
      <w:r>
        <w:t xml:space="preserve">. Armstrong-Cho et al. (2008) reported that increases in spray rate volume of fungicide mixtures provided greater control of </w:t>
      </w:r>
      <w:r>
        <w:rPr>
          <w:i/>
        </w:rPr>
        <w:t>Ascochyta</w:t>
      </w:r>
      <w:r>
        <w:t xml:space="preserve"> blight (</w:t>
      </w:r>
      <w:r>
        <w:rPr>
          <w:i/>
        </w:rPr>
        <w:t xml:space="preserve">Ascochyta rabiei </w:t>
      </w:r>
      <w:r>
        <w:t>Pass.) in chickpea</w:t>
      </w:r>
      <w:r>
        <w:rPr>
          <w:rFonts w:ascii="Arial" w:hAnsi="Arial" w:cs="Arial"/>
          <w:color w:val="222222"/>
          <w:sz w:val="20"/>
          <w:szCs w:val="20"/>
          <w:shd w:val="clear" w:color="auto" w:fill="FFFFFF"/>
        </w:rPr>
        <w:t xml:space="preserve"> (</w:t>
      </w:r>
      <w:r>
        <w:rPr>
          <w:i/>
        </w:rPr>
        <w:t>Cicer arietinum</w:t>
      </w:r>
      <w:r>
        <w:t xml:space="preserve"> L.). Enhanced fungicidal control of </w:t>
      </w:r>
      <w:r w:rsidRPr="00A26D80">
        <w:rPr>
          <w:i/>
        </w:rPr>
        <w:t>Sclerotinia</w:t>
      </w:r>
      <w:r>
        <w:t xml:space="preserve"> blight (</w:t>
      </w:r>
      <w:r w:rsidRPr="00C53DC4">
        <w:rPr>
          <w:i/>
        </w:rPr>
        <w:t>Sclerotinia minor</w:t>
      </w:r>
      <w:r>
        <w:t xml:space="preserve"> Jagger) in peanut </w:t>
      </w:r>
      <w:r w:rsidR="00A26D80">
        <w:t>(</w:t>
      </w:r>
      <w:r w:rsidR="00A26D80" w:rsidRPr="00A26D80">
        <w:rPr>
          <w:i/>
        </w:rPr>
        <w:t>Arachis hypogaea</w:t>
      </w:r>
      <w:r w:rsidR="00A26D80" w:rsidRPr="00A26D80">
        <w:t xml:space="preserve"> </w:t>
      </w:r>
      <w:r w:rsidR="00A26D80">
        <w:t xml:space="preserve">L.) </w:t>
      </w:r>
      <w:r>
        <w:t xml:space="preserve">was observed when </w:t>
      </w:r>
      <w:r w:rsidR="00744B5C">
        <w:t xml:space="preserve">the </w:t>
      </w:r>
      <w:r>
        <w:t xml:space="preserve">plant canopy was opened immediately before application through mechanical pruning (Butzler et al., 1998). Augusto et al. (2010) also observed greater fungicidal control of </w:t>
      </w:r>
      <w:r w:rsidR="00C53DC4">
        <w:t>stem rot (</w:t>
      </w:r>
      <w:r w:rsidR="00C53DC4" w:rsidRPr="00C53DC4">
        <w:rPr>
          <w:i/>
        </w:rPr>
        <w:t>Sclerotinia rolfsii</w:t>
      </w:r>
      <w:r w:rsidR="00C53DC4">
        <w:t xml:space="preserve"> Sacc.)</w:t>
      </w:r>
      <w:r>
        <w:t xml:space="preserve"> </w:t>
      </w:r>
      <w:r w:rsidR="00A26D80">
        <w:t xml:space="preserve">in peanut </w:t>
      </w:r>
      <w:r>
        <w:t xml:space="preserve">when fungicide sprays were targeted lower in the plant canopy. Additionally, Csinos (1989) reported that narrow band spray fungicide </w:t>
      </w:r>
      <w:r>
        <w:lastRenderedPageBreak/>
        <w:t xml:space="preserve">applications that direct fungicide </w:t>
      </w:r>
      <w:r w:rsidR="00064D1C">
        <w:t>droplets</w:t>
      </w:r>
      <w:r>
        <w:t xml:space="preserve"> to the main stems of peanut resulted in significantly lower stem rot compared to conventional band width spray applications. </w:t>
      </w:r>
    </w:p>
    <w:p w14:paraId="40701A94" w14:textId="77777777" w:rsidR="007F4ACA" w:rsidRDefault="007F4ACA" w:rsidP="007F4ACA">
      <w:pPr>
        <w:spacing w:line="480" w:lineRule="auto"/>
        <w:ind w:firstLine="720"/>
      </w:pPr>
      <w:r>
        <w:t xml:space="preserve">Other spray application techniques that may enhance disease control are the use of adjuvants. Adjuvants are commonly used in conjunction with pesticides in agricultural crops to help </w:t>
      </w:r>
      <w:r w:rsidR="00EC3A8F">
        <w:t>reduce the surface tension of droplets and to enhance</w:t>
      </w:r>
      <w:r>
        <w:t xml:space="preserve"> spray retention on </w:t>
      </w:r>
      <w:r w:rsidR="00EC3A8F">
        <w:t>hydrophobic</w:t>
      </w:r>
      <w:r>
        <w:t xml:space="preserve"> plant surfaces</w:t>
      </w:r>
      <w:r w:rsidR="00EC3A8F">
        <w:t xml:space="preserve"> (Gaskin et al., 2005)</w:t>
      </w:r>
      <w:r>
        <w:t>. Adjuvants are also increasingly used with herbicide combinations to enable the active ingredient to penetrate plant barriers such as waxy cuticles. Additionally, adjuvants, such as an organosilicone surfactant, may help the pesticide solution spread along the surface of the plant to reach the intended application target site. A spray solution containing the herbicide dithiopyr mixed with an organosilicone surfactant was able to spread down along the plant sheath and into the crown enabling enhanced post-emergent control of large crabgrass (</w:t>
      </w:r>
      <w:r>
        <w:rPr>
          <w:i/>
        </w:rPr>
        <w:t>Digitaria sanguinalis</w:t>
      </w:r>
      <w:r>
        <w:t xml:space="preserve"> L.) control (Keeley et al., 1997). </w:t>
      </w:r>
      <w:r w:rsidR="00062F6D">
        <w:t xml:space="preserve">Surfactant technology that allows spray solution to spread down the leaf sheath may significantly enhance fungicidal control of large patch.  </w:t>
      </w:r>
    </w:p>
    <w:p w14:paraId="26381220" w14:textId="68505A52" w:rsidR="00491825" w:rsidRDefault="007F4ACA" w:rsidP="000B60A0">
      <w:pPr>
        <w:spacing w:line="480" w:lineRule="auto"/>
        <w:ind w:firstLine="720"/>
      </w:pPr>
      <w:r>
        <w:t xml:space="preserve">Previous research has demonstrated that enhanced large patch control can be achieved when fungicides are deposited on the stems and sheaths of JLG. However, field applicable spray strategies that improve lower canopy deposition have not been established for managing large patch. The use of higher spray rate volumes and the incorporation of organosilicone surfactants may provide greater large patch control while depositing more spray solution lower in the plant canopy. The objective of this </w:t>
      </w:r>
      <w:r w:rsidR="00F83673">
        <w:t>research was</w:t>
      </w:r>
      <w:r w:rsidR="00062F6D">
        <w:t xml:space="preserve"> to evaluate various </w:t>
      </w:r>
      <w:r>
        <w:t xml:space="preserve">spray rate volumes and surfactant combinations </w:t>
      </w:r>
      <w:r w:rsidR="00062F6D">
        <w:t xml:space="preserve">on fungicidal control of large patch. </w:t>
      </w:r>
    </w:p>
    <w:p w14:paraId="486DE7AC" w14:textId="2B6F1225" w:rsidR="0002680A" w:rsidRPr="0002680A" w:rsidRDefault="007F4ACA" w:rsidP="000B60A0">
      <w:pPr>
        <w:pStyle w:val="Heading2"/>
        <w:spacing w:line="480" w:lineRule="auto"/>
      </w:pPr>
      <w:bookmarkStart w:id="98" w:name="_Toc466885908"/>
      <w:bookmarkStart w:id="99" w:name="_Toc466890539"/>
      <w:bookmarkStart w:id="100" w:name="_Toc466891174"/>
      <w:bookmarkStart w:id="101" w:name="_Toc466894856"/>
      <w:r>
        <w:lastRenderedPageBreak/>
        <w:t>Materials and Methods</w:t>
      </w:r>
      <w:bookmarkEnd w:id="98"/>
      <w:bookmarkEnd w:id="99"/>
      <w:bookmarkEnd w:id="100"/>
      <w:bookmarkEnd w:id="101"/>
    </w:p>
    <w:p w14:paraId="6A8D2719" w14:textId="6E24D1AA" w:rsidR="007F4ACA" w:rsidRDefault="004467F0" w:rsidP="000B60A0">
      <w:pPr>
        <w:spacing w:line="480" w:lineRule="auto"/>
      </w:pPr>
      <w:r>
        <w:rPr>
          <w:rStyle w:val="Heading3Char"/>
          <w:rFonts w:ascii="Times New Roman" w:hAnsi="Times New Roman" w:cs="Times New Roman"/>
          <w:color w:val="000000" w:themeColor="text1"/>
        </w:rPr>
        <w:t>Field research site.</w:t>
      </w:r>
      <w:r w:rsidR="0073098D" w:rsidRPr="0002680A">
        <w:rPr>
          <w:color w:val="000000" w:themeColor="text1"/>
        </w:rPr>
        <w:t xml:space="preserve"> </w:t>
      </w:r>
      <w:r w:rsidR="007F4ACA">
        <w:t>Two field experiments w</w:t>
      </w:r>
      <w:r w:rsidR="00062F6D">
        <w:t>ere</w:t>
      </w:r>
      <w:r w:rsidR="007F4ACA">
        <w:t xml:space="preserve"> conducted from </w:t>
      </w:r>
      <w:r w:rsidR="00964EB5">
        <w:t>September</w:t>
      </w:r>
      <w:r w:rsidR="007F4ACA">
        <w:t xml:space="preserve"> 2015 to </w:t>
      </w:r>
      <w:r w:rsidR="00964EB5">
        <w:t>June</w:t>
      </w:r>
      <w:r w:rsidR="007F4ACA">
        <w:t xml:space="preserve"> 2016 at Farm Golf Club (FGC; 34°46’28.03” N, 85°01’34.07” W) located in Dalton, GA, and Gettysvue Golf and Polo Club (GGPG; 35°53’25.99 N, 84°04’53.45” W) in Knoxv</w:t>
      </w:r>
      <w:r w:rsidR="00744B5C">
        <w:t>ille, TN. The experiments</w:t>
      </w:r>
      <w:r w:rsidR="007F4ACA">
        <w:t xml:space="preserve"> were conducted in full sunlight and maintained as </w:t>
      </w:r>
      <w:r w:rsidR="00062F6D">
        <w:t>JLG</w:t>
      </w:r>
      <w:r w:rsidR="00744B5C">
        <w:t xml:space="preserve"> ‘c.v. Meyer’ fairways mown three</w:t>
      </w:r>
      <w:r w:rsidR="007F4ACA">
        <w:t xml:space="preserve"> times weekly at 1.3 cm. At FGC, the fairways were fertilized each May </w:t>
      </w:r>
      <w:r w:rsidR="00744B5C">
        <w:t>to provide nitrogen at</w:t>
      </w:r>
      <w:r w:rsidR="007F4ACA">
        <w:t xml:space="preserve"> 97 kg ha</w:t>
      </w:r>
      <w:r w:rsidR="007F4ACA">
        <w:rPr>
          <w:vertAlign w:val="superscript"/>
        </w:rPr>
        <w:t>-1</w:t>
      </w:r>
      <w:r w:rsidR="007F4ACA">
        <w:t>. At GGPG, nitrogen fertilizer was applied each May and June at a rate of 49 kg ha</w:t>
      </w:r>
      <w:r w:rsidR="007F4ACA">
        <w:rPr>
          <w:vertAlign w:val="superscript"/>
        </w:rPr>
        <w:t>-1</w:t>
      </w:r>
      <w:r w:rsidR="007F4ACA">
        <w:t xml:space="preserve">. At each location, supplemental irrigation was administered to relieve symptoms of drought. However, irrigation at the FGC location was increased in April and May to provide 0.6 cm of water daily to the experimental area to </w:t>
      </w:r>
      <w:r w:rsidR="00A923CB">
        <w:t xml:space="preserve">help </w:t>
      </w:r>
      <w:r w:rsidR="007F4ACA">
        <w:t>encourage large patch development.  Mean air temperatures and precipitation amounts for each location were compiled from nearby airport weather stations at Chatsworth, GA and Alcoa, TN, respectively. Observed weather data that occurred throughout the experimental period are presented (</w:t>
      </w:r>
      <w:r w:rsidR="00EE7AEE">
        <w:t>Figure 3.1</w:t>
      </w:r>
      <w:r w:rsidR="007F4ACA">
        <w:t xml:space="preserve">). </w:t>
      </w:r>
    </w:p>
    <w:p w14:paraId="4421CF9C" w14:textId="77777777" w:rsidR="007F4ACA" w:rsidRDefault="007F4ACA" w:rsidP="007F4ACA">
      <w:pPr>
        <w:spacing w:line="480" w:lineRule="auto"/>
        <w:rPr>
          <w:u w:val="single"/>
        </w:rPr>
      </w:pPr>
      <w:r>
        <w:rPr>
          <w:u w:val="single"/>
        </w:rPr>
        <w:t xml:space="preserve"> </w:t>
      </w:r>
    </w:p>
    <w:p w14:paraId="6026723B" w14:textId="427CC966" w:rsidR="007F4ACA" w:rsidRDefault="004467F0" w:rsidP="007F4ACA">
      <w:pPr>
        <w:spacing w:line="480" w:lineRule="auto"/>
      </w:pPr>
      <w:r>
        <w:rPr>
          <w:rStyle w:val="Heading3Char"/>
          <w:rFonts w:ascii="Times New Roman" w:hAnsi="Times New Roman" w:cs="Times New Roman"/>
          <w:color w:val="000000" w:themeColor="text1"/>
        </w:rPr>
        <w:t>Field spray rate volume.</w:t>
      </w:r>
      <w:r w:rsidR="0073098D" w:rsidRPr="0002680A">
        <w:rPr>
          <w:b/>
          <w:color w:val="000000" w:themeColor="text1"/>
        </w:rPr>
        <w:t xml:space="preserve"> </w:t>
      </w:r>
      <w:r w:rsidR="007F4ACA">
        <w:t>Treatments were arranged in a randomized complete block design with four replications with plots measuring 0.9 x 2.1 m.  Treatments included four spray ra</w:t>
      </w:r>
      <w:r w:rsidR="00326989">
        <w:t>te volumes (93, 374, 748, and 1</w:t>
      </w:r>
      <w:r w:rsidR="007F4ACA">
        <w:t>496 L ha</w:t>
      </w:r>
      <w:r w:rsidR="007F4ACA">
        <w:rPr>
          <w:vertAlign w:val="superscript"/>
        </w:rPr>
        <w:t>-1</w:t>
      </w:r>
      <w:r w:rsidR="007F4ACA">
        <w:t>) using the fungicide azoxystrobin (Heritage WDG; Syngenta Crop Protection, Greensboro, NC) applied at 0.61 kg ai ha</w:t>
      </w:r>
      <w:r w:rsidR="007F4ACA">
        <w:rPr>
          <w:vertAlign w:val="superscript"/>
        </w:rPr>
        <w:t>-1</w:t>
      </w:r>
      <w:r w:rsidR="007F4ACA">
        <w:t xml:space="preserve">. </w:t>
      </w:r>
      <w:r w:rsidR="00E15ADC">
        <w:t xml:space="preserve">This represents the high-labeled rate for large patch control. </w:t>
      </w:r>
      <w:r w:rsidR="007F4ACA">
        <w:t>A nontreated control was also included for comparative purposes. Foliar applications of azoxystrobin were made using a CO</w:t>
      </w:r>
      <w:r w:rsidR="007F4ACA">
        <w:rPr>
          <w:vertAlign w:val="subscript"/>
        </w:rPr>
        <w:t>2</w:t>
      </w:r>
      <w:r w:rsidR="007F4ACA">
        <w:t xml:space="preserve"> pressurized spray boom equipped with two extended range nozzle tips (Spraying Systems Co., Roswell, GA) of various sizes</w:t>
      </w:r>
      <w:r w:rsidR="00964EB5">
        <w:t xml:space="preserve"> spaced 45 cm apart</w:t>
      </w:r>
      <w:r w:rsidR="007F4ACA">
        <w:t>. The spray rate</w:t>
      </w:r>
      <w:r w:rsidR="00326989">
        <w:t xml:space="preserve"> volumes of 93, 374, 748, and 1</w:t>
      </w:r>
      <w:r w:rsidR="007F4ACA">
        <w:t>496 L ha</w:t>
      </w:r>
      <w:r w:rsidR="007F4ACA" w:rsidRPr="00BA3C7B">
        <w:rPr>
          <w:vertAlign w:val="superscript"/>
        </w:rPr>
        <w:t>-1</w:t>
      </w:r>
      <w:r w:rsidR="007F4ACA">
        <w:t xml:space="preserve"> were </w:t>
      </w:r>
      <w:r w:rsidR="007F4ACA">
        <w:lastRenderedPageBreak/>
        <w:t xml:space="preserve">calibrated using nozzle tips sizes consisting of </w:t>
      </w:r>
      <w:r w:rsidR="00964EB5">
        <w:t>XR</w:t>
      </w:r>
      <w:r w:rsidR="00326989">
        <w:t>8001</w:t>
      </w:r>
      <w:r w:rsidR="00964EB5">
        <w:t>VS</w:t>
      </w:r>
      <w:r w:rsidR="00326989">
        <w:t>,</w:t>
      </w:r>
      <w:r w:rsidR="007F4ACA">
        <w:t xml:space="preserve"> </w:t>
      </w:r>
      <w:r w:rsidR="00964EB5">
        <w:t>XR</w:t>
      </w:r>
      <w:r w:rsidR="007F4ACA">
        <w:t>8003</w:t>
      </w:r>
      <w:r w:rsidR="00964EB5">
        <w:t>VS</w:t>
      </w:r>
      <w:r w:rsidR="007F4ACA">
        <w:t xml:space="preserve">, </w:t>
      </w:r>
      <w:r w:rsidR="00964EB5">
        <w:t>XR</w:t>
      </w:r>
      <w:r w:rsidR="007F4ACA">
        <w:t>8006</w:t>
      </w:r>
      <w:r w:rsidR="00964EB5">
        <w:t>VS</w:t>
      </w:r>
      <w:r w:rsidR="007F4ACA">
        <w:t xml:space="preserve">, and </w:t>
      </w:r>
      <w:r w:rsidR="00964EB5">
        <w:t>XR</w:t>
      </w:r>
      <w:r w:rsidR="007F4ACA">
        <w:t>8015</w:t>
      </w:r>
      <w:r w:rsidR="00964EB5">
        <w:t>VS</w:t>
      </w:r>
      <w:r w:rsidR="007F4ACA">
        <w:t>, respectively. To maintain a constant spray operating pressure among treatments (</w:t>
      </w:r>
      <w:r w:rsidR="00E15ADC">
        <w:t>241 kPa</w:t>
      </w:r>
      <w:r w:rsidR="00964EB5">
        <w:t xml:space="preserve">), walking speed was adjusted (with aid of a metronome) </w:t>
      </w:r>
      <w:r w:rsidR="007F4ACA">
        <w:t>for each spray volume treatment</w:t>
      </w:r>
      <w:r w:rsidR="00A726C9">
        <w:t xml:space="preserve"> similar to the methods of Kaminski and Fidanza (2009)</w:t>
      </w:r>
      <w:r w:rsidR="007F4ACA">
        <w:t xml:space="preserve">. At GGPG, treatments were initiated on 18 </w:t>
      </w:r>
      <w:r w:rsidR="00964EB5">
        <w:t>September</w:t>
      </w:r>
      <w:r w:rsidR="007F4ACA">
        <w:t xml:space="preserve"> and reapplied on 14 </w:t>
      </w:r>
      <w:r w:rsidR="00964EB5">
        <w:t>October and 11 April</w:t>
      </w:r>
      <w:r w:rsidR="007F4ACA">
        <w:t>. At FGC, tr</w:t>
      </w:r>
      <w:r w:rsidR="00964EB5">
        <w:t>eatments were initiated on 1 October</w:t>
      </w:r>
      <w:r w:rsidR="007F4ACA">
        <w:t xml:space="preserve"> and reapplied on 29 O</w:t>
      </w:r>
      <w:r w:rsidR="00964EB5">
        <w:t>ctober and 29 March</w:t>
      </w:r>
      <w:r w:rsidR="007F4ACA">
        <w:t xml:space="preserve">. </w:t>
      </w:r>
    </w:p>
    <w:p w14:paraId="3DF9241D" w14:textId="77777777" w:rsidR="007F4ACA" w:rsidRDefault="007F4ACA" w:rsidP="007F4ACA">
      <w:pPr>
        <w:spacing w:line="480" w:lineRule="auto"/>
        <w:rPr>
          <w:b/>
        </w:rPr>
      </w:pPr>
    </w:p>
    <w:p w14:paraId="733C73EE" w14:textId="6BDDF8DB" w:rsidR="007F4ACA" w:rsidRDefault="004467F0" w:rsidP="007F4ACA">
      <w:pPr>
        <w:spacing w:line="480" w:lineRule="auto"/>
        <w:rPr>
          <w:rFonts w:eastAsia="Calibri"/>
        </w:rPr>
      </w:pPr>
      <w:bookmarkStart w:id="102" w:name="_Toc466885911"/>
      <w:bookmarkStart w:id="103" w:name="_Toc466890542"/>
      <w:bookmarkStart w:id="104" w:name="_Toc466891177"/>
      <w:bookmarkStart w:id="105" w:name="_Toc466894859"/>
      <w:r>
        <w:rPr>
          <w:rStyle w:val="Heading3Char"/>
          <w:rFonts w:ascii="Times New Roman" w:hAnsi="Times New Roman" w:cs="Times New Roman"/>
          <w:color w:val="000000" w:themeColor="text1"/>
        </w:rPr>
        <w:t>Field adjuvant additives</w:t>
      </w:r>
      <w:r w:rsidR="0073098D" w:rsidRPr="0002680A">
        <w:rPr>
          <w:rStyle w:val="Heading3Char"/>
          <w:rFonts w:ascii="Times New Roman" w:hAnsi="Times New Roman" w:cs="Times New Roman"/>
          <w:color w:val="000000" w:themeColor="text1"/>
        </w:rPr>
        <w:t>.</w:t>
      </w:r>
      <w:bookmarkEnd w:id="102"/>
      <w:bookmarkEnd w:id="103"/>
      <w:bookmarkEnd w:id="104"/>
      <w:bookmarkEnd w:id="105"/>
      <w:r w:rsidR="0073098D" w:rsidRPr="0002680A">
        <w:rPr>
          <w:b/>
          <w:color w:val="000000" w:themeColor="text1"/>
        </w:rPr>
        <w:t xml:space="preserve"> </w:t>
      </w:r>
      <w:r w:rsidR="007F4ACA">
        <w:t xml:space="preserve">Treatments with individual plots measuring 0.9 x 2.1 m were </w:t>
      </w:r>
      <w:r w:rsidR="00382BA7">
        <w:t>arranged</w:t>
      </w:r>
      <w:r w:rsidR="007F4ACA">
        <w:t xml:space="preserve"> as a 3 x 2 factorial in a randomized complete block design with four replications. The fungicides azoxystrobin, flutolanil (Prostar WDG; Bayer Environmental Science, Research Triangle Park, NC), and tebuconazole (Torque; </w:t>
      </w:r>
      <w:r w:rsidR="007F4ACA">
        <w:rPr>
          <w:rFonts w:eastAsia="Calibri"/>
        </w:rPr>
        <w:t>Nufarm Americas Inc., Burr Ridge, IL) were applied at rates of 0.61, 4.69, and 0.83 kg ha</w:t>
      </w:r>
      <w:r w:rsidR="007F4ACA">
        <w:rPr>
          <w:rFonts w:eastAsia="Calibri"/>
          <w:vertAlign w:val="superscript"/>
        </w:rPr>
        <w:t>-1</w:t>
      </w:r>
      <w:r w:rsidR="007F4ACA">
        <w:rPr>
          <w:rFonts w:eastAsia="Calibri"/>
        </w:rPr>
        <w:t xml:space="preserve">, respectively. </w:t>
      </w:r>
      <w:r w:rsidR="00E15ADC">
        <w:rPr>
          <w:rFonts w:eastAsia="Calibri"/>
        </w:rPr>
        <w:t xml:space="preserve">These represents the high-labeled rate for large patch control. </w:t>
      </w:r>
      <w:r w:rsidR="007F4ACA">
        <w:rPr>
          <w:rFonts w:eastAsia="Calibri"/>
        </w:rPr>
        <w:t xml:space="preserve">The fungicides were applied with or without a nonionic organosilicone based surfactant (Aircover; Winfield Solutions LLC, St. Paul, MN). The surfactant was added to the spray solution as a 0.25% v/v mixture. A nontreated control and a water + organosilicone surfactant (0.25% v/v) control was also included </w:t>
      </w:r>
      <w:r w:rsidR="00326989">
        <w:rPr>
          <w:rFonts w:eastAsia="Calibri"/>
        </w:rPr>
        <w:t>to monitor large patch severity in nont</w:t>
      </w:r>
      <w:r w:rsidR="00744B5C">
        <w:rPr>
          <w:rFonts w:eastAsia="Calibri"/>
        </w:rPr>
        <w:t xml:space="preserve">reated plots and to evaluate </w:t>
      </w:r>
      <w:r w:rsidR="00326989">
        <w:rPr>
          <w:rFonts w:eastAsia="Calibri"/>
        </w:rPr>
        <w:t>the organosilicone surfactant</w:t>
      </w:r>
      <w:r w:rsidR="00744B5C">
        <w:rPr>
          <w:rFonts w:eastAsia="Calibri"/>
        </w:rPr>
        <w:t xml:space="preserve"> for </w:t>
      </w:r>
      <w:r w:rsidR="00326989">
        <w:rPr>
          <w:rFonts w:eastAsia="Calibri"/>
        </w:rPr>
        <w:t>control</w:t>
      </w:r>
      <w:r w:rsidR="007F4ACA">
        <w:rPr>
          <w:rFonts w:eastAsia="Calibri"/>
        </w:rPr>
        <w:t>. All treatments were applied as a foliar spray using a CO</w:t>
      </w:r>
      <w:r w:rsidR="007F4ACA">
        <w:rPr>
          <w:rFonts w:eastAsia="Calibri"/>
          <w:vertAlign w:val="subscript"/>
        </w:rPr>
        <w:t>2</w:t>
      </w:r>
      <w:r w:rsidR="007F4ACA">
        <w:rPr>
          <w:rFonts w:eastAsia="Calibri"/>
        </w:rPr>
        <w:t xml:space="preserve"> powered spray boom equipped with two </w:t>
      </w:r>
      <w:r w:rsidR="00382BA7">
        <w:rPr>
          <w:rFonts w:eastAsia="Calibri"/>
        </w:rPr>
        <w:t>XR8004</w:t>
      </w:r>
      <w:r w:rsidR="007F4ACA">
        <w:rPr>
          <w:rFonts w:eastAsia="Calibri"/>
        </w:rPr>
        <w:t xml:space="preserve"> nozzle tips </w:t>
      </w:r>
      <w:r w:rsidR="00E15ADC">
        <w:rPr>
          <w:rFonts w:eastAsia="Calibri"/>
        </w:rPr>
        <w:t xml:space="preserve">spaced 45 cm apart and </w:t>
      </w:r>
      <w:r w:rsidR="007F4ACA">
        <w:rPr>
          <w:rFonts w:eastAsia="Calibri"/>
        </w:rPr>
        <w:t>calibrated to deliver a spray rate volume of 815 L ha</w:t>
      </w:r>
      <w:r w:rsidR="007F4ACA">
        <w:rPr>
          <w:rFonts w:eastAsia="Calibri"/>
          <w:vertAlign w:val="superscript"/>
        </w:rPr>
        <w:t>-1</w:t>
      </w:r>
      <w:r w:rsidR="00E15ADC">
        <w:rPr>
          <w:rFonts w:eastAsia="Calibri"/>
        </w:rPr>
        <w:t xml:space="preserve"> at an operating pressure of 241 kPa</w:t>
      </w:r>
      <w:r w:rsidR="007F4ACA">
        <w:rPr>
          <w:rFonts w:eastAsia="Calibri"/>
        </w:rPr>
        <w:t>. The treatment application schedule and interval were similar to those described previously.</w:t>
      </w:r>
      <w:r w:rsidR="000B60A0">
        <w:rPr>
          <w:rFonts w:eastAsia="Calibri"/>
        </w:rPr>
        <w:t xml:space="preserve">  </w:t>
      </w:r>
    </w:p>
    <w:p w14:paraId="4E55AD77" w14:textId="77777777" w:rsidR="000B60A0" w:rsidRPr="000B60A0" w:rsidRDefault="000B60A0" w:rsidP="007F4ACA">
      <w:pPr>
        <w:spacing w:line="480" w:lineRule="auto"/>
        <w:rPr>
          <w:rFonts w:eastAsia="Calibri"/>
        </w:rPr>
      </w:pPr>
    </w:p>
    <w:p w14:paraId="71386BE4" w14:textId="4139D8F6" w:rsidR="007F4ACA" w:rsidRDefault="004467F0" w:rsidP="007F4ACA">
      <w:pPr>
        <w:spacing w:line="480" w:lineRule="auto"/>
        <w:rPr>
          <w:b/>
        </w:rPr>
      </w:pPr>
      <w:r>
        <w:rPr>
          <w:rStyle w:val="Heading3Char"/>
          <w:rFonts w:ascii="Times New Roman" w:hAnsi="Times New Roman" w:cs="Times New Roman"/>
          <w:color w:val="000000" w:themeColor="text1"/>
        </w:rPr>
        <w:lastRenderedPageBreak/>
        <w:t>Field inoculation.</w:t>
      </w:r>
      <w:r w:rsidR="0073098D" w:rsidRPr="0002680A">
        <w:rPr>
          <w:b/>
          <w:color w:val="000000" w:themeColor="text1"/>
        </w:rPr>
        <w:t xml:space="preserve"> </w:t>
      </w:r>
      <w:r w:rsidR="007F4ACA">
        <w:t xml:space="preserve">An isolate of </w:t>
      </w:r>
      <w:r w:rsidR="007F4ACA">
        <w:rPr>
          <w:i/>
        </w:rPr>
        <w:t>Rhizoctonia solani</w:t>
      </w:r>
      <w:r w:rsidR="007F4ACA">
        <w:t xml:space="preserve"> AG 2-2LP was recovered from a JLG fairway at GGPG during spring 2014. Stem and sheath tissue that exhibited characteristic black</w:t>
      </w:r>
      <w:r w:rsidR="00744B5C">
        <w:t>,</w:t>
      </w:r>
      <w:r w:rsidR="007F4ACA">
        <w:t xml:space="preserve"> water-soaked lesions were collected from the margin of active large patch. Affected samples were rinsed with tap water and su</w:t>
      </w:r>
      <w:r w:rsidR="00744B5C">
        <w:t>rface sterilized with 0.5% NaOCl</w:t>
      </w:r>
      <w:r w:rsidR="007F4ACA">
        <w:t xml:space="preserve"> for 1 min and placed</w:t>
      </w:r>
      <w:r w:rsidR="004B5EE6">
        <w:t xml:space="preserve"> on</w:t>
      </w:r>
      <w:r w:rsidR="00F2061B">
        <w:t xml:space="preserve"> ¼-</w:t>
      </w:r>
      <w:r w:rsidR="007F4ACA">
        <w:t>strength potato dextrose</w:t>
      </w:r>
      <w:r w:rsidR="00744B5C">
        <w:t xml:space="preserve"> agar (PDA) amended</w:t>
      </w:r>
      <w:r w:rsidR="007F4ACA">
        <w:t xml:space="preserve"> with tetracycline (5 mg L</w:t>
      </w:r>
      <w:r w:rsidR="007F4ACA">
        <w:rPr>
          <w:vertAlign w:val="superscript"/>
        </w:rPr>
        <w:t>–1</w:t>
      </w:r>
      <w:r w:rsidR="007F4ACA">
        <w:t>) and streptomycin (10 mg L</w:t>
      </w:r>
      <w:r w:rsidR="007F4ACA">
        <w:rPr>
          <w:vertAlign w:val="superscript"/>
        </w:rPr>
        <w:t>–1</w:t>
      </w:r>
      <w:r w:rsidR="007F4ACA">
        <w:t>). Mycelial fragments growing from the plug we</w:t>
      </w:r>
      <w:r w:rsidR="00F2061B">
        <w:t>re transferred to new amended ¼-</w:t>
      </w:r>
      <w:r w:rsidR="007F4ACA">
        <w:t xml:space="preserve">strength PDA culture plates. The isolate was temporarily stored in water culture according to </w:t>
      </w:r>
      <w:r w:rsidR="004B5EE6">
        <w:t>the methods by McGinnis et al. (</w:t>
      </w:r>
      <w:r w:rsidR="007F4ACA">
        <w:t>1974</w:t>
      </w:r>
      <w:r w:rsidR="004B5EE6">
        <w:t>)</w:t>
      </w:r>
      <w:r w:rsidR="007F4ACA">
        <w:t xml:space="preserve"> until the start of the experiment. To prepare inoculum, fresh plugs of </w:t>
      </w:r>
      <w:r w:rsidR="007F4ACA" w:rsidRPr="00932039">
        <w:rPr>
          <w:i/>
        </w:rPr>
        <w:t>R. solani</w:t>
      </w:r>
      <w:r w:rsidR="007F4ACA">
        <w:t xml:space="preserve"> were cut from the margin of 3-day old PDA culture plates and placed inside</w:t>
      </w:r>
      <w:r w:rsidR="00480990">
        <w:t xml:space="preserve"> a 1000-</w:t>
      </w:r>
      <w:r w:rsidR="007F4ACA">
        <w:t>ml glass flask containing 300 g of thrice autoclaved oat (</w:t>
      </w:r>
      <w:r w:rsidR="007F4ACA" w:rsidRPr="00932039">
        <w:rPr>
          <w:i/>
        </w:rPr>
        <w:t>Avena sativa</w:t>
      </w:r>
      <w:r w:rsidR="007F4ACA">
        <w:t xml:space="preserve"> L.) kernels. Additional plugs of 3-day old culture plates were placed in a thrice autoclaved sand-cornmeal mixture (2:1 ratio). Inoculated flasks and the mixture of sand-cornmeal were stored at room temperature and periodically shaken or mixed to ensure even distribution of inoculum. </w:t>
      </w:r>
    </w:p>
    <w:p w14:paraId="1C90028A" w14:textId="77777777" w:rsidR="007F4ACA" w:rsidRDefault="007F4ACA" w:rsidP="007F4ACA">
      <w:pPr>
        <w:spacing w:line="480" w:lineRule="auto"/>
        <w:ind w:firstLine="720"/>
      </w:pPr>
      <w:r>
        <w:t>To inoculate field plots, approximately 1</w:t>
      </w:r>
      <w:r w:rsidR="00932039">
        <w:t>5</w:t>
      </w:r>
      <w:r>
        <w:t xml:space="preserve"> grams of infested oat kernels were placed below the thatch at two opposite locations in each plot. Additionally, 40 grams of the sand-cornmeal mixture was </w:t>
      </w:r>
      <w:r w:rsidR="00932039">
        <w:t>top-dressed</w:t>
      </w:r>
      <w:r>
        <w:t xml:space="preserve"> on top of the turf canopy using a hand-held shaker jar. Plots were inoculated on 13 </w:t>
      </w:r>
      <w:r w:rsidR="00932039">
        <w:t xml:space="preserve">and 18 </w:t>
      </w:r>
      <w:r>
        <w:t xml:space="preserve">SEP 2015 at GGPG and FGC, respectively. </w:t>
      </w:r>
    </w:p>
    <w:p w14:paraId="5BBE3396" w14:textId="77777777" w:rsidR="007F4ACA" w:rsidRDefault="007F4ACA" w:rsidP="007F4ACA">
      <w:pPr>
        <w:spacing w:line="480" w:lineRule="auto"/>
        <w:ind w:firstLine="720"/>
      </w:pPr>
    </w:p>
    <w:p w14:paraId="2ACDD7F6" w14:textId="70649398" w:rsidR="007F4ACA" w:rsidRDefault="004467F0" w:rsidP="007F4ACA">
      <w:pPr>
        <w:spacing w:line="480" w:lineRule="auto"/>
      </w:pPr>
      <w:r>
        <w:rPr>
          <w:rStyle w:val="Heading3Char"/>
          <w:rFonts w:ascii="Times New Roman" w:hAnsi="Times New Roman" w:cs="Times New Roman"/>
          <w:color w:val="000000" w:themeColor="text1"/>
        </w:rPr>
        <w:t>Field large patch severity.</w:t>
      </w:r>
      <w:r w:rsidR="0073098D" w:rsidRPr="0002680A">
        <w:rPr>
          <w:b/>
          <w:color w:val="000000" w:themeColor="text1"/>
        </w:rPr>
        <w:t xml:space="preserve"> </w:t>
      </w:r>
      <w:r w:rsidR="007F4ACA">
        <w:t xml:space="preserve">Large patch severity was evaluated </w:t>
      </w:r>
      <w:r w:rsidR="00480990">
        <w:t>with</w:t>
      </w:r>
      <w:r w:rsidR="007F4ACA">
        <w:t xml:space="preserve"> digital image analysis</w:t>
      </w:r>
      <w:r w:rsidR="00932039">
        <w:t xml:space="preserve"> (Richardson et al., 2001)</w:t>
      </w:r>
      <w:r w:rsidR="007F4ACA">
        <w:t xml:space="preserve">. Digital images were captured using a </w:t>
      </w:r>
      <w:r w:rsidR="00932039">
        <w:t xml:space="preserve">camera </w:t>
      </w:r>
      <w:r w:rsidR="007F4ACA">
        <w:t>(Canon G12; Canon Inc., Japan</w:t>
      </w:r>
      <w:r w:rsidR="00932039">
        <w:t>)</w:t>
      </w:r>
      <w:r w:rsidR="007F4ACA">
        <w:t xml:space="preserve"> mounted inside a 0.28 m</w:t>
      </w:r>
      <w:r w:rsidR="007F4ACA">
        <w:rPr>
          <w:vertAlign w:val="superscript"/>
        </w:rPr>
        <w:t>2</w:t>
      </w:r>
      <w:r w:rsidR="007F4ACA">
        <w:t xml:space="preserve"> box equipped with eight light-emitting diodes. Four digital images were collected for each plot </w:t>
      </w:r>
      <w:r w:rsidR="00F2061B">
        <w:t xml:space="preserve">per rating date </w:t>
      </w:r>
      <w:r w:rsidR="007F4ACA">
        <w:t xml:space="preserve">and were captured at the beginning of the </w:t>
      </w:r>
      <w:r w:rsidR="007F4ACA">
        <w:lastRenderedPageBreak/>
        <w:t>experiment and approximately every 28 days thereafter. Images were analyzed using SigmaScan Pro (Version 5.0; SPSS Inc., Chic</w:t>
      </w:r>
      <w:r w:rsidR="00932039">
        <w:t>ago, IL</w:t>
      </w:r>
      <w:r w:rsidR="007F4ACA">
        <w:t xml:space="preserve">). The four images collected from each plot were averaged prior to analysis. </w:t>
      </w:r>
    </w:p>
    <w:p w14:paraId="5B805786" w14:textId="77777777" w:rsidR="0073098D" w:rsidRDefault="0073098D" w:rsidP="007F4ACA">
      <w:pPr>
        <w:spacing w:line="480" w:lineRule="auto"/>
      </w:pPr>
      <w:bookmarkStart w:id="106" w:name="_Toc466885914"/>
      <w:bookmarkStart w:id="107" w:name="_Toc466890545"/>
      <w:bookmarkStart w:id="108" w:name="_Toc466891180"/>
      <w:bookmarkStart w:id="109" w:name="_Toc466894862"/>
    </w:p>
    <w:bookmarkEnd w:id="106"/>
    <w:bookmarkEnd w:id="107"/>
    <w:bookmarkEnd w:id="108"/>
    <w:bookmarkEnd w:id="109"/>
    <w:p w14:paraId="2E31D323" w14:textId="7375335B" w:rsidR="007F4ACA" w:rsidRDefault="004467F0" w:rsidP="007F4ACA">
      <w:pPr>
        <w:spacing w:line="480" w:lineRule="auto"/>
      </w:pPr>
      <w:r>
        <w:rPr>
          <w:rStyle w:val="Heading3Char"/>
          <w:rFonts w:ascii="Times New Roman" w:hAnsi="Times New Roman" w:cs="Times New Roman"/>
          <w:color w:val="000000" w:themeColor="text1"/>
        </w:rPr>
        <w:t>Greenhouse plant culture.</w:t>
      </w:r>
      <w:r w:rsidR="0073098D" w:rsidRPr="0002680A">
        <w:rPr>
          <w:b/>
          <w:color w:val="000000" w:themeColor="text1"/>
        </w:rPr>
        <w:t xml:space="preserve"> </w:t>
      </w:r>
      <w:r w:rsidR="00480990">
        <w:t>A cup-cutter sized plug, 10-</w:t>
      </w:r>
      <w:r w:rsidR="00F2061B">
        <w:t xml:space="preserve">cm in diameter, </w:t>
      </w:r>
      <w:r w:rsidR="007F4ACA">
        <w:t>of Japanese lawngrass (c.v. ‘Meyer) was harvested from the East Tennessee Research and Education Center in Knoxville, TN. The intact plug was placed upside down and aggressively rinsed using a pressurized washer to separate soil and other debris from the plug. The remaining stolon and leaf tissue were separated and rinsed with tap water before bei</w:t>
      </w:r>
      <w:r w:rsidR="00480990">
        <w:t>ng propagated into potting medium</w:t>
      </w:r>
      <w:r w:rsidR="007F4ACA">
        <w:t xml:space="preserve"> (Fafard Professional Potting Mix; Sun Gro Horticulture, Agawam, MA) contained in an</w:t>
      </w:r>
      <w:r w:rsidR="00480990">
        <w:t xml:space="preserve"> 18 by 30-</w:t>
      </w:r>
      <w:r w:rsidR="00F93690">
        <w:t>cm stock pot. After</w:t>
      </w:r>
      <w:r w:rsidR="007F4ACA">
        <w:t xml:space="preserve"> 3 months, five tillers of </w:t>
      </w:r>
      <w:r w:rsidR="00480990">
        <w:t>JLG was harvested from the</w:t>
      </w:r>
      <w:r w:rsidR="007F4ACA">
        <w:t xml:space="preserve"> pot and placed into 3.8 cm diameter ‘conetainers’ (Steuwe and Sons, Tangent, OR) containing similar media. The racks of conetainers were maintained in a </w:t>
      </w:r>
      <w:r w:rsidR="00D646FF">
        <w:t>greenhouse</w:t>
      </w:r>
      <w:r w:rsidR="007F4ACA">
        <w:t xml:space="preserve"> at 28°C. The JLG was maintained at a height of 2.0 cm using scissors and irrigated once daily with an overhead </w:t>
      </w:r>
      <w:r w:rsidR="00382BA7">
        <w:t>irrigation</w:t>
      </w:r>
      <w:r w:rsidR="007F4ACA">
        <w:t xml:space="preserve"> system. Fertilizer was applied every 14 days at a rate of 49 kg N ha-1 with a complete 24-8-16 fertilizer (All Purpose Plant Food, The Scotts Company, Marysville, OH). Plants were allow</w:t>
      </w:r>
      <w:r w:rsidR="00382BA7">
        <w:t xml:space="preserve">ed to establish for </w:t>
      </w:r>
      <w:r w:rsidR="00480990">
        <w:t>six</w:t>
      </w:r>
      <w:r w:rsidR="007F4ACA">
        <w:t xml:space="preserve"> months before trial initiation.</w:t>
      </w:r>
    </w:p>
    <w:p w14:paraId="487DB67D" w14:textId="77777777" w:rsidR="007F4ACA" w:rsidRDefault="007F4ACA" w:rsidP="007F4ACA">
      <w:pPr>
        <w:spacing w:line="480" w:lineRule="auto"/>
        <w:rPr>
          <w:b/>
        </w:rPr>
      </w:pPr>
    </w:p>
    <w:p w14:paraId="19CEABE9" w14:textId="471E20A3" w:rsidR="007F4ACA" w:rsidRDefault="00F177F7" w:rsidP="007F4ACA">
      <w:pPr>
        <w:spacing w:line="480" w:lineRule="auto"/>
        <w:rPr>
          <w:b/>
        </w:rPr>
      </w:pPr>
      <w:r>
        <w:rPr>
          <w:rStyle w:val="Heading3Char"/>
          <w:rFonts w:ascii="Times New Roman" w:hAnsi="Times New Roman" w:cs="Times New Roman"/>
          <w:color w:val="000000" w:themeColor="text1"/>
        </w:rPr>
        <w:t>Greenhouse spray rate volume.</w:t>
      </w:r>
      <w:r w:rsidR="0073098D" w:rsidRPr="0002680A">
        <w:rPr>
          <w:b/>
          <w:color w:val="000000" w:themeColor="text1"/>
        </w:rPr>
        <w:t xml:space="preserve"> </w:t>
      </w:r>
      <w:r w:rsidR="00480990">
        <w:t xml:space="preserve">Treatments were arranged </w:t>
      </w:r>
      <w:r w:rsidR="007F4ACA">
        <w:t>as a 3 x 4 factorial in a randomized complete block design with five replications. The fungicides azoxystrobin, flutolanil, and tebuconazole (0.46, 3.51, and 0.62 kg ai ha</w:t>
      </w:r>
      <w:r w:rsidR="007F4ACA">
        <w:rPr>
          <w:vertAlign w:val="superscript"/>
        </w:rPr>
        <w:t>-1</w:t>
      </w:r>
      <w:r w:rsidR="007F4ACA">
        <w:t>, respectively) were applied at four spray rate volumes co</w:t>
      </w:r>
      <w:r w:rsidR="00F93690">
        <w:t>nsisting of 93, 374, 748, and 1</w:t>
      </w:r>
      <w:r w:rsidR="007F4ACA">
        <w:t>496 L ha</w:t>
      </w:r>
      <w:r w:rsidR="007F4ACA">
        <w:rPr>
          <w:vertAlign w:val="superscript"/>
        </w:rPr>
        <w:t>-1</w:t>
      </w:r>
      <w:r w:rsidR="007F4ACA">
        <w:t xml:space="preserve">.  The spray rate volumes were individually </w:t>
      </w:r>
      <w:r w:rsidR="007F4ACA">
        <w:lastRenderedPageBreak/>
        <w:t>calibrated using various even fan extended range nozzle tips. Nozzle tips including the XR8001</w:t>
      </w:r>
      <w:r w:rsidR="00F2061B">
        <w:t>EVS</w:t>
      </w:r>
      <w:r w:rsidR="007F4ACA">
        <w:t xml:space="preserve"> and XR8003</w:t>
      </w:r>
      <w:r w:rsidR="00F2061B">
        <w:t>EVS</w:t>
      </w:r>
      <w:r w:rsidR="007F4ACA">
        <w:t xml:space="preserve"> were selected for the lower spray rate volumes of 93 and 374 L ha</w:t>
      </w:r>
      <w:r w:rsidR="007F4ACA">
        <w:rPr>
          <w:vertAlign w:val="superscript"/>
        </w:rPr>
        <w:t>-1</w:t>
      </w:r>
      <w:r w:rsidR="00F2061B">
        <w:t>, while the</w:t>
      </w:r>
      <w:r w:rsidR="007F4ACA">
        <w:t xml:space="preserve"> XR8008</w:t>
      </w:r>
      <w:r w:rsidR="00F2061B">
        <w:t>EVS</w:t>
      </w:r>
      <w:r w:rsidR="007F4ACA">
        <w:t xml:space="preserve"> </w:t>
      </w:r>
      <w:r w:rsidR="00F2061B">
        <w:t>nozzle tip was used for both of the</w:t>
      </w:r>
      <w:r w:rsidR="007F4ACA">
        <w:t xml:space="preserve"> </w:t>
      </w:r>
      <w:r w:rsidR="00F2061B">
        <w:t xml:space="preserve">two higher </w:t>
      </w:r>
      <w:r w:rsidR="00F93690">
        <w:t>spray rate volumes of 748 and 1</w:t>
      </w:r>
      <w:r w:rsidR="007F4ACA">
        <w:t>496 L ha</w:t>
      </w:r>
      <w:r w:rsidR="007F4ACA">
        <w:rPr>
          <w:vertAlign w:val="superscript"/>
        </w:rPr>
        <w:t>-1</w:t>
      </w:r>
      <w:r w:rsidR="007F4ACA">
        <w:t xml:space="preserve">. All treatments were sprayed at </w:t>
      </w:r>
      <w:r w:rsidR="00F2061B">
        <w:t xml:space="preserve">241 kPa at a nozzle height of 30 cm </w:t>
      </w:r>
      <w:r w:rsidR="007F4ACA">
        <w:t>using a spray chamber (Generation III Research Track Sprayer; DeVries Manufacturing, Hollandale, MN). Treatments were applied once</w:t>
      </w:r>
      <w:r w:rsidR="00F2061B">
        <w:t xml:space="preserve"> for each of the </w:t>
      </w:r>
      <w:r w:rsidR="007F4ACA">
        <w:t xml:space="preserve">two experimental runs. </w:t>
      </w:r>
    </w:p>
    <w:p w14:paraId="28A5BC99" w14:textId="77777777" w:rsidR="007F4ACA" w:rsidRDefault="007F4ACA" w:rsidP="007F4ACA"/>
    <w:p w14:paraId="794100D6" w14:textId="72570DAE" w:rsidR="007F4ACA" w:rsidRDefault="00F177F7" w:rsidP="007F4ACA">
      <w:pPr>
        <w:spacing w:line="480" w:lineRule="auto"/>
        <w:rPr>
          <w:b/>
        </w:rPr>
      </w:pPr>
      <w:r>
        <w:rPr>
          <w:rStyle w:val="Heading3Char"/>
          <w:rFonts w:ascii="Times New Roman" w:hAnsi="Times New Roman" w:cs="Times New Roman"/>
          <w:color w:val="000000" w:themeColor="text1"/>
        </w:rPr>
        <w:t>Greenhouse adjuvant additives.</w:t>
      </w:r>
      <w:r w:rsidR="0073098D" w:rsidRPr="0002680A">
        <w:rPr>
          <w:b/>
          <w:color w:val="000000" w:themeColor="text1"/>
        </w:rPr>
        <w:t xml:space="preserve"> </w:t>
      </w:r>
      <w:r w:rsidR="007F4ACA">
        <w:t>Treatment</w:t>
      </w:r>
      <w:r w:rsidR="00913CFD">
        <w:t>s</w:t>
      </w:r>
      <w:r w:rsidR="007F4ACA">
        <w:t xml:space="preserve"> </w:t>
      </w:r>
      <w:r w:rsidR="00480990">
        <w:t>were arranged in</w:t>
      </w:r>
      <w:r w:rsidR="007F4ACA">
        <w:t xml:space="preserve"> a 3 x 3 factorial arrangement in a randomized complete block design with five replications. The three fungicides were azoxystrobin, flutolanil, and tebuconazole applied at rates of 0.46, 3.51, and 0.62 kg ai ha</w:t>
      </w:r>
      <w:r w:rsidR="007F4ACA">
        <w:rPr>
          <w:vertAlign w:val="superscript"/>
        </w:rPr>
        <w:t>-1</w:t>
      </w:r>
      <w:r w:rsidR="007F4ACA">
        <w:t xml:space="preserve">, respectively. Three surfactant combinations were </w:t>
      </w:r>
      <w:r w:rsidR="00D646FF">
        <w:t>evaluated including a</w:t>
      </w:r>
      <w:r w:rsidR="007F4ACA">
        <w:t xml:space="preserve"> nonionic organosilicone surfactant (0.25% v/v), a modified vegetable oil adjuvant (0.25% v/v) (Droplex; </w:t>
      </w:r>
      <w:r w:rsidR="007F4ACA">
        <w:rPr>
          <w:rFonts w:eastAsia="Calibri"/>
        </w:rPr>
        <w:t>Winfield Solutions LLC, St. Paul, MN), and a no surfactant treatment. The foll</w:t>
      </w:r>
      <w:r w:rsidR="00480990">
        <w:rPr>
          <w:rFonts w:eastAsia="Calibri"/>
        </w:rPr>
        <w:t>owing three treatments were</w:t>
      </w:r>
      <w:r w:rsidR="007F4ACA">
        <w:rPr>
          <w:rFonts w:eastAsia="Calibri"/>
        </w:rPr>
        <w:t xml:space="preserve"> included for comparative purposes: nontreated control, water + the organosilicone surfactant (0.25% v/v), and water + the modified vegetable oil adjuvant (0.25% v/v). </w:t>
      </w:r>
      <w:r w:rsidR="00F93690">
        <w:rPr>
          <w:rFonts w:eastAsia="Calibri"/>
        </w:rPr>
        <w:t xml:space="preserve">These control treatments were included to monitor large patch severity within nontreated conetainers and to evaluate whether the two adjuvants controlled large patch. </w:t>
      </w:r>
      <w:r w:rsidR="007F4ACA">
        <w:rPr>
          <w:rFonts w:eastAsia="Calibri"/>
        </w:rPr>
        <w:t xml:space="preserve">All treatments were applied </w:t>
      </w:r>
      <w:r w:rsidR="00F2061B">
        <w:rPr>
          <w:rFonts w:eastAsia="Calibri"/>
        </w:rPr>
        <w:t>using a track spray with a</w:t>
      </w:r>
      <w:r w:rsidR="007F4ACA">
        <w:rPr>
          <w:rFonts w:eastAsia="Calibri"/>
        </w:rPr>
        <w:t xml:space="preserve"> XR8003</w:t>
      </w:r>
      <w:r w:rsidR="00F2061B">
        <w:rPr>
          <w:rFonts w:eastAsia="Calibri"/>
        </w:rPr>
        <w:t>EVS nozzle tip</w:t>
      </w:r>
      <w:r w:rsidR="001441E9">
        <w:rPr>
          <w:rFonts w:eastAsia="Calibri"/>
        </w:rPr>
        <w:t xml:space="preserve"> (spaced 30 cm above the canopy) </w:t>
      </w:r>
      <w:r w:rsidR="00F2061B">
        <w:rPr>
          <w:rFonts w:eastAsia="Calibri"/>
        </w:rPr>
        <w:t>with</w:t>
      </w:r>
      <w:r w:rsidR="007F4ACA">
        <w:rPr>
          <w:rFonts w:eastAsia="Calibri"/>
        </w:rPr>
        <w:t xml:space="preserve"> at a spray volume of 748 L ha</w:t>
      </w:r>
      <w:r w:rsidR="007F4ACA" w:rsidRPr="00F93690">
        <w:rPr>
          <w:rFonts w:eastAsia="Calibri"/>
          <w:vertAlign w:val="superscript"/>
        </w:rPr>
        <w:t>-1</w:t>
      </w:r>
      <w:r w:rsidR="007F4ACA">
        <w:rPr>
          <w:rFonts w:eastAsia="Calibri"/>
        </w:rPr>
        <w:t xml:space="preserve">. Treatments were applied once </w:t>
      </w:r>
      <w:r w:rsidR="001441E9">
        <w:rPr>
          <w:rFonts w:eastAsia="Calibri"/>
        </w:rPr>
        <w:t>for each of the two experimental runs</w:t>
      </w:r>
      <w:r w:rsidR="007F4ACA">
        <w:rPr>
          <w:rFonts w:eastAsia="Calibri"/>
        </w:rPr>
        <w:t xml:space="preserve">.  </w:t>
      </w:r>
    </w:p>
    <w:p w14:paraId="4DCA07FB" w14:textId="77777777" w:rsidR="007F4ACA" w:rsidRDefault="007F4ACA" w:rsidP="007F4ACA">
      <w:pPr>
        <w:spacing w:line="480" w:lineRule="auto"/>
        <w:rPr>
          <w:b/>
        </w:rPr>
      </w:pPr>
    </w:p>
    <w:p w14:paraId="5AA0F3EF" w14:textId="6E41EFDC" w:rsidR="007F4ACA" w:rsidRDefault="00F177F7" w:rsidP="007F4ACA">
      <w:pPr>
        <w:spacing w:line="480" w:lineRule="auto"/>
      </w:pPr>
      <w:r>
        <w:rPr>
          <w:rStyle w:val="Heading3Char"/>
          <w:rFonts w:ascii="Times New Roman" w:hAnsi="Times New Roman" w:cs="Times New Roman"/>
          <w:color w:val="000000" w:themeColor="text1"/>
        </w:rPr>
        <w:t>Greenhouse inoculation.</w:t>
      </w:r>
      <w:r w:rsidR="0073098D" w:rsidRPr="0002680A">
        <w:rPr>
          <w:b/>
          <w:color w:val="000000" w:themeColor="text1"/>
        </w:rPr>
        <w:t xml:space="preserve"> </w:t>
      </w:r>
      <w:r w:rsidR="007F4ACA">
        <w:t>Pathogen isolation and storage was similar to that outlined earlier. However, only the 2:1 sand-cornmeal mixture was used to inoculate conetaine</w:t>
      </w:r>
      <w:r w:rsidR="00F93690">
        <w:t>rs. Conetainers were inoculated</w:t>
      </w:r>
      <w:r w:rsidR="00D646FF">
        <w:t xml:space="preserve"> 24 h</w:t>
      </w:r>
      <w:r w:rsidR="00F93690">
        <w:t>r</w:t>
      </w:r>
      <w:r w:rsidR="007F4ACA">
        <w:t xml:space="preserve"> after</w:t>
      </w:r>
      <w:r w:rsidR="00F93690">
        <w:t xml:space="preserve"> fungicide treatment by placing</w:t>
      </w:r>
      <w:r w:rsidR="00480990">
        <w:t xml:space="preserve"> 3 g of </w:t>
      </w:r>
      <w:r w:rsidR="007F4ACA">
        <w:t xml:space="preserve">inoculum near the plant-soil </w:t>
      </w:r>
      <w:r w:rsidR="007F4ACA">
        <w:lastRenderedPageBreak/>
        <w:t xml:space="preserve">interface. The racks of conetainers were placed in a large plastic tub with a transparent lid. </w:t>
      </w:r>
      <w:r w:rsidR="00D646FF">
        <w:t>W</w:t>
      </w:r>
      <w:r w:rsidR="007F4ACA">
        <w:t xml:space="preserve">ater was added to the tub to </w:t>
      </w:r>
      <w:r w:rsidR="00D646FF">
        <w:t xml:space="preserve">provide </w:t>
      </w:r>
      <w:r w:rsidR="007F4ACA">
        <w:t>high relative humidity. The tub was placed in a growth chamber (Conviron Adaptis; Controlled Environment Ltd., Winnipeg, Canada) maintained at 24</w:t>
      </w:r>
      <w:r w:rsidR="007F4ACA">
        <w:sym w:font="Symbol" w:char="F0B0"/>
      </w:r>
      <w:r w:rsidR="007F4ACA">
        <w:t>C (day) and 20</w:t>
      </w:r>
      <w:r w:rsidR="007F4ACA">
        <w:sym w:font="Symbol" w:char="F0B0"/>
      </w:r>
      <w:r w:rsidR="00D646FF">
        <w:t>C (night) with a 12 h</w:t>
      </w:r>
      <w:r w:rsidR="00F93690">
        <w:t>r</w:t>
      </w:r>
      <w:r w:rsidR="007F4ACA">
        <w:t xml:space="preserve"> photoperiod for the first 14 days. After </w:t>
      </w:r>
      <w:r w:rsidR="00F93690">
        <w:t>14 days</w:t>
      </w:r>
      <w:r w:rsidR="007F4ACA">
        <w:t>, the temperature settings were lowered to 20</w:t>
      </w:r>
      <w:r w:rsidR="007F4ACA">
        <w:sym w:font="Symbol" w:char="F0B0"/>
      </w:r>
      <w:r w:rsidR="007F4ACA">
        <w:t>C (day) and 12</w:t>
      </w:r>
      <w:r w:rsidR="007F4ACA">
        <w:sym w:font="Symbol" w:char="F0B0"/>
      </w:r>
      <w:r w:rsidR="007F4ACA">
        <w:t>C (nig</w:t>
      </w:r>
      <w:r w:rsidR="00F93690">
        <w:t>ht) while maintaining the 12 h</w:t>
      </w:r>
      <w:r w:rsidR="00D646FF">
        <w:t xml:space="preserve">r </w:t>
      </w:r>
      <w:r w:rsidR="007F4ACA">
        <w:t xml:space="preserve">photoperiod. </w:t>
      </w:r>
    </w:p>
    <w:p w14:paraId="6BBB0A2A" w14:textId="77777777" w:rsidR="007F4ACA" w:rsidRDefault="007F4ACA" w:rsidP="007F4ACA">
      <w:pPr>
        <w:spacing w:line="480" w:lineRule="auto"/>
        <w:rPr>
          <w:b/>
        </w:rPr>
      </w:pPr>
    </w:p>
    <w:p w14:paraId="0181CE25" w14:textId="5DD2330A" w:rsidR="007F4ACA" w:rsidRDefault="00F177F7" w:rsidP="007F4ACA">
      <w:pPr>
        <w:spacing w:line="480" w:lineRule="auto"/>
      </w:pPr>
      <w:r>
        <w:rPr>
          <w:rStyle w:val="Heading3Char"/>
          <w:rFonts w:ascii="Times New Roman" w:hAnsi="Times New Roman" w:cs="Times New Roman"/>
          <w:color w:val="000000" w:themeColor="text1"/>
        </w:rPr>
        <w:t>Greenhouse large patch severity.</w:t>
      </w:r>
      <w:r w:rsidR="0073098D" w:rsidRPr="0002680A">
        <w:rPr>
          <w:b/>
          <w:color w:val="000000" w:themeColor="text1"/>
        </w:rPr>
        <w:t xml:space="preserve"> </w:t>
      </w:r>
      <w:r w:rsidR="007F4ACA">
        <w:t xml:space="preserve">Similar to field experiments, large patch severity was assessed by digital image analysis. Digital images were collected 0, 7, 14, 21, and 28 days after treatment (DAT). Digital images were collected using the same camera outlined earlier in a modified light box containing two fluorescent light bulbs. Images were analyzed using SigmaScan Pro. A small demarcation was made on each conetainers to allow a constant camera angle for all images throughout the experimental duration. All conetainers were clipped to a height of 2.0 cm prior to image collection. </w:t>
      </w:r>
    </w:p>
    <w:p w14:paraId="6BCE0FAB" w14:textId="77777777" w:rsidR="007F4ACA" w:rsidRDefault="007F4ACA" w:rsidP="007F4ACA">
      <w:pPr>
        <w:spacing w:line="480" w:lineRule="auto"/>
        <w:rPr>
          <w:b/>
        </w:rPr>
      </w:pPr>
    </w:p>
    <w:p w14:paraId="2B288F94" w14:textId="49235232" w:rsidR="007F4ACA" w:rsidRDefault="00F177F7" w:rsidP="007F4ACA">
      <w:pPr>
        <w:spacing w:line="480" w:lineRule="auto"/>
        <w:rPr>
          <w:rFonts w:eastAsia="Calibri"/>
          <w:b/>
        </w:rPr>
      </w:pPr>
      <w:r>
        <w:rPr>
          <w:rStyle w:val="Heading3Char"/>
          <w:rFonts w:ascii="Times New Roman" w:hAnsi="Times New Roman" w:cs="Times New Roman"/>
          <w:color w:val="000000" w:themeColor="text1"/>
        </w:rPr>
        <w:t>Greenhouse spray deposition treatments.</w:t>
      </w:r>
      <w:r w:rsidR="0073098D" w:rsidRPr="0002680A">
        <w:rPr>
          <w:color w:val="000000" w:themeColor="text1"/>
        </w:rPr>
        <w:t xml:space="preserve"> </w:t>
      </w:r>
      <w:r w:rsidR="007F4ACA">
        <w:t>Treatments were arranged as a 4</w:t>
      </w:r>
      <w:r w:rsidR="00F93690">
        <w:t xml:space="preserve"> </w:t>
      </w:r>
      <w:r w:rsidR="007F4ACA">
        <w:t>x</w:t>
      </w:r>
      <w:r w:rsidR="00F93690">
        <w:t xml:space="preserve"> </w:t>
      </w:r>
      <w:r w:rsidR="007F4ACA">
        <w:t xml:space="preserve">2 factorial in a randomized complete block design. Conetainers of JLG were evaluated for spray deposition characteristics in response to </w:t>
      </w:r>
      <w:r w:rsidR="00480990">
        <w:t>four</w:t>
      </w:r>
      <w:r w:rsidR="007F4ACA">
        <w:t xml:space="preserve"> combinations of spray ra</w:t>
      </w:r>
      <w:r w:rsidR="00F93690">
        <w:t>te volumes (93, 374, 748, and 1</w:t>
      </w:r>
      <w:r w:rsidR="007F4ACA">
        <w:t>496 L ha</w:t>
      </w:r>
      <w:r w:rsidR="007F4ACA" w:rsidRPr="00F93690">
        <w:rPr>
          <w:vertAlign w:val="superscript"/>
        </w:rPr>
        <w:t>-1</w:t>
      </w:r>
      <w:r w:rsidR="007F4ACA">
        <w:t xml:space="preserve">) applied with or without an organosilicone surfactant (0.25% v/v). </w:t>
      </w:r>
      <w:r w:rsidR="001441E9">
        <w:t xml:space="preserve">Nozzle tip selection, operating pressure, and spray height were similar to that described in the greenhouse spray rate volume experiment. </w:t>
      </w:r>
    </w:p>
    <w:p w14:paraId="4E18FA14" w14:textId="6945EB2B" w:rsidR="007F4ACA" w:rsidRDefault="007F4ACA" w:rsidP="00D646FF">
      <w:pPr>
        <w:spacing w:line="480" w:lineRule="auto"/>
        <w:ind w:firstLine="720"/>
      </w:pPr>
      <w:r>
        <w:t xml:space="preserve">To assess spray deposition characteristics, a yellow fluorescent tracer (LeafCheck 189 Fluorescent Pigment; Topline Paint LTD, Lonsdale, SA) applied at 18.6 L </w:t>
      </w:r>
      <w:r w:rsidR="00D646FF">
        <w:t xml:space="preserve">of </w:t>
      </w:r>
      <w:r>
        <w:t>product ha</w:t>
      </w:r>
      <w:r>
        <w:rPr>
          <w:vertAlign w:val="superscript"/>
        </w:rPr>
        <w:t>-1</w:t>
      </w:r>
      <w:r>
        <w:t xml:space="preserve"> was </w:t>
      </w:r>
      <w:r>
        <w:lastRenderedPageBreak/>
        <w:t xml:space="preserve">included in all treatment combinations. Treatment applications were made using the same aforementioned spray configuration in regards to nozzle tip size and spray chamber for each respective spray rate volume. </w:t>
      </w:r>
      <w:r w:rsidR="00D646FF">
        <w:t xml:space="preserve">In consideration </w:t>
      </w:r>
      <w:r w:rsidR="00480990">
        <w:t>of</w:t>
      </w:r>
      <w:r w:rsidR="00D646FF">
        <w:t xml:space="preserve"> spray droplets bouncing off the JLG conetainers, additional JLG conetainers were placed on the immediate perimeter of the actual </w:t>
      </w:r>
      <w:r w:rsidR="00104B81">
        <w:t xml:space="preserve">experimental units prior to being sprayed. </w:t>
      </w:r>
    </w:p>
    <w:p w14:paraId="2F3EBEE3" w14:textId="77777777" w:rsidR="007F4ACA" w:rsidRDefault="007F4ACA" w:rsidP="007F4ACA">
      <w:pPr>
        <w:spacing w:line="480" w:lineRule="auto"/>
      </w:pPr>
    </w:p>
    <w:p w14:paraId="152DDA57" w14:textId="266FBEE6" w:rsidR="007F4ACA" w:rsidRDefault="00F177F7" w:rsidP="007F4ACA">
      <w:pPr>
        <w:spacing w:line="480" w:lineRule="auto"/>
      </w:pPr>
      <w:r>
        <w:rPr>
          <w:rStyle w:val="Heading3Char"/>
          <w:rFonts w:ascii="Times New Roman" w:hAnsi="Times New Roman" w:cs="Times New Roman"/>
          <w:color w:val="000000" w:themeColor="text1"/>
        </w:rPr>
        <w:t>Greenhouse leaf surface coverage.</w:t>
      </w:r>
      <w:r w:rsidR="0073098D" w:rsidRPr="0002680A">
        <w:rPr>
          <w:b/>
          <w:color w:val="000000" w:themeColor="text1"/>
        </w:rPr>
        <w:t xml:space="preserve"> </w:t>
      </w:r>
      <w:r w:rsidR="007F4ACA">
        <w:t xml:space="preserve">Approximately 3 </w:t>
      </w:r>
      <w:r w:rsidR="00B64E4A">
        <w:t>hr</w:t>
      </w:r>
      <w:r w:rsidR="00D646FF">
        <w:t xml:space="preserve"> </w:t>
      </w:r>
      <w:r w:rsidR="007F4ACA">
        <w:t>after application, all conetainers were photographed using a modified light box</w:t>
      </w:r>
      <w:r w:rsidR="00104B81">
        <w:t xml:space="preserve"> </w:t>
      </w:r>
      <w:r w:rsidR="00480990">
        <w:t>that</w:t>
      </w:r>
      <w:r w:rsidR="00104B81">
        <w:t xml:space="preserve"> contained two light sources. </w:t>
      </w:r>
      <w:r w:rsidR="007F4ACA">
        <w:t>Two fluorescent light bulbs were used to capture percent green cover in each conetainer. Immediately after</w:t>
      </w:r>
      <w:r w:rsidR="00480990">
        <w:t>wards</w:t>
      </w:r>
      <w:r w:rsidR="007F4ACA">
        <w:t>, a 2</w:t>
      </w:r>
      <w:r w:rsidR="007F4ACA">
        <w:rPr>
          <w:vertAlign w:val="superscript"/>
        </w:rPr>
        <w:t>nd</w:t>
      </w:r>
      <w:r w:rsidR="007F4ACA">
        <w:t xml:space="preserve"> image was collected using two black-light fluorescent bulbs. The black light allows the tracer to fluoresce </w:t>
      </w:r>
      <w:r w:rsidR="00E76AFD">
        <w:t>enabling</w:t>
      </w:r>
      <w:r w:rsidR="007F4ACA">
        <w:t xml:space="preserve"> detection of surface spray deposition on each JLG conetainer. Both images were analyzed </w:t>
      </w:r>
      <w:r w:rsidR="00B64E4A">
        <w:t>using</w:t>
      </w:r>
      <w:r w:rsidR="007F4ACA">
        <w:t xml:space="preserve"> SigmaScan for percent cover. The percent cover of tracer fluorescence</w:t>
      </w:r>
      <w:r w:rsidR="00B64E4A">
        <w:t xml:space="preserve"> using black-lighting</w:t>
      </w:r>
      <w:r w:rsidR="007F4ACA">
        <w:t xml:space="preserve"> was div</w:t>
      </w:r>
      <w:r w:rsidR="00B64E4A">
        <w:t xml:space="preserve">ided by the percent green cover using fluorescent-lighting </w:t>
      </w:r>
      <w:r w:rsidR="007F4ACA">
        <w:t xml:space="preserve">for an estimate of percent spray coverage </w:t>
      </w:r>
      <w:r w:rsidR="00B64E4A">
        <w:t>for</w:t>
      </w:r>
      <w:r w:rsidR="007F4ACA">
        <w:t xml:space="preserve"> each JLG conetainer. </w:t>
      </w:r>
    </w:p>
    <w:p w14:paraId="1B1E0736" w14:textId="77777777" w:rsidR="007F4ACA" w:rsidRDefault="007F4ACA" w:rsidP="007F4ACA">
      <w:pPr>
        <w:spacing w:line="480" w:lineRule="auto"/>
      </w:pPr>
    </w:p>
    <w:p w14:paraId="3813F628" w14:textId="6B1ECB5E" w:rsidR="007F4ACA" w:rsidRPr="000B60A0" w:rsidRDefault="00F177F7" w:rsidP="007F4ACA">
      <w:pPr>
        <w:spacing w:line="480" w:lineRule="auto"/>
      </w:pPr>
      <w:r>
        <w:rPr>
          <w:rStyle w:val="Heading3Char"/>
          <w:rFonts w:ascii="Times New Roman" w:hAnsi="Times New Roman" w:cs="Times New Roman"/>
          <w:color w:val="000000" w:themeColor="text1"/>
        </w:rPr>
        <w:t>Greenhouse sheath and stem coverage.</w:t>
      </w:r>
      <w:r w:rsidR="0073098D" w:rsidRPr="0002680A">
        <w:rPr>
          <w:b/>
          <w:color w:val="000000" w:themeColor="text1"/>
        </w:rPr>
        <w:t xml:space="preserve"> </w:t>
      </w:r>
      <w:r w:rsidR="007F4ACA">
        <w:t xml:space="preserve">After image collection, all conetainers were destructively sampled for spray deposits on stems and sheaths on each JLG tiller. All sheaths and stems were individually placed under </w:t>
      </w:r>
      <w:r w:rsidR="00B64E4A">
        <w:t>black-lighting</w:t>
      </w:r>
      <w:r w:rsidR="007F4ACA">
        <w:t xml:space="preserve"> to detect if the spray solution was deposited on the plant parts. The number of sheaths and stems with visible spray deposits were divided by the total number of sheaths and stems to determine the percentage of </w:t>
      </w:r>
      <w:r w:rsidR="00B64E4A">
        <w:t>sheaths and stems</w:t>
      </w:r>
      <w:r w:rsidR="007F4ACA">
        <w:t xml:space="preserve"> with spray deposits. </w:t>
      </w:r>
    </w:p>
    <w:p w14:paraId="6FC49C2E" w14:textId="444A7A90" w:rsidR="00591904" w:rsidRPr="00591904" w:rsidRDefault="00F177F7" w:rsidP="00591904">
      <w:pPr>
        <w:spacing w:line="480" w:lineRule="auto"/>
        <w:rPr>
          <w:i/>
        </w:rPr>
      </w:pPr>
      <w:r>
        <w:rPr>
          <w:rStyle w:val="Heading3Char"/>
          <w:rFonts w:ascii="Times New Roman" w:hAnsi="Times New Roman" w:cs="Times New Roman"/>
          <w:color w:val="000000" w:themeColor="text1"/>
        </w:rPr>
        <w:lastRenderedPageBreak/>
        <w:t>Statistical analysis.</w:t>
      </w:r>
      <w:r w:rsidR="0073098D" w:rsidRPr="0002680A">
        <w:rPr>
          <w:i/>
          <w:color w:val="000000" w:themeColor="text1"/>
        </w:rPr>
        <w:t xml:space="preserve"> </w:t>
      </w:r>
      <w:r w:rsidR="007F4ACA">
        <w:t>Data were subjected to ANOVA using PROC MIXED with code generated by the DANDA macro in SAS (</w:t>
      </w:r>
      <w:r w:rsidR="00E76AFD">
        <w:t xml:space="preserve">version 9.4; </w:t>
      </w:r>
      <w:r w:rsidR="007F4ACA">
        <w:t xml:space="preserve">Statistical Analysis Software, Inc., Cary, NC) (Saxton, 2010). </w:t>
      </w:r>
      <w:bookmarkStart w:id="110" w:name="OLE_LINK4"/>
      <w:r w:rsidR="007F4ACA">
        <w:t>Due to differences in the number of rating assessments in the field experiments among locations, individual rating dates were analyzed separately. However, measurements of the Area Under the Disease Progress Curve w</w:t>
      </w:r>
      <w:r w:rsidR="00480990">
        <w:t>ere</w:t>
      </w:r>
      <w:r w:rsidR="007F4ACA">
        <w:t xml:space="preserve"> pooled across locations because there </w:t>
      </w:r>
      <w:r w:rsidR="00480990">
        <w:t>was</w:t>
      </w:r>
      <w:r w:rsidR="007F4ACA">
        <w:t xml:space="preserve"> no location by treatment interaction.  </w:t>
      </w:r>
      <w:bookmarkEnd w:id="110"/>
      <w:r w:rsidR="007F4ACA">
        <w:t xml:space="preserve">The AUDPC measurements were initially calculated </w:t>
      </w:r>
      <w:r w:rsidR="00480990">
        <w:t>with</w:t>
      </w:r>
      <w:r w:rsidR="007F4ACA">
        <w:t xml:space="preserve"> ARM statistical software (ARM 8; Gylling Data Management, Brookings, SD) but were analyzed using SAS. No experimental run </w:t>
      </w:r>
      <w:r w:rsidR="00591904">
        <w:t>by</w:t>
      </w:r>
      <w:r w:rsidR="007F4ACA">
        <w:t xml:space="preserve"> treatment interaction was observed for the growth chamber experiments and data was pooled across runs. In each experiment, the nontreated control was not included in the statistical analysis but results are shown for comparative purposes. Response variable means were separated using Fisher’s protected least significant difference (LSD) test at α = 0.05.</w:t>
      </w:r>
    </w:p>
    <w:p w14:paraId="5E2192BD" w14:textId="6B441D19" w:rsidR="0002680A" w:rsidRPr="0002680A" w:rsidRDefault="007F4ACA" w:rsidP="000B60A0">
      <w:pPr>
        <w:pStyle w:val="Heading2"/>
        <w:spacing w:line="480" w:lineRule="auto"/>
      </w:pPr>
      <w:bookmarkStart w:id="111" w:name="_Toc466885923"/>
      <w:bookmarkStart w:id="112" w:name="_Toc466890554"/>
      <w:bookmarkStart w:id="113" w:name="_Toc466891189"/>
      <w:bookmarkStart w:id="114" w:name="_Toc466894871"/>
      <w:r>
        <w:t>Results</w:t>
      </w:r>
      <w:bookmarkEnd w:id="111"/>
      <w:bookmarkEnd w:id="112"/>
      <w:bookmarkEnd w:id="113"/>
      <w:bookmarkEnd w:id="114"/>
    </w:p>
    <w:p w14:paraId="660602E6" w14:textId="35CD2ED0" w:rsidR="007F4ACA" w:rsidRDefault="00F177F7" w:rsidP="000B60A0">
      <w:pPr>
        <w:spacing w:line="480" w:lineRule="auto"/>
        <w:rPr>
          <w:b/>
        </w:rPr>
      </w:pPr>
      <w:r>
        <w:rPr>
          <w:rStyle w:val="Heading3Char"/>
          <w:rFonts w:ascii="Times New Roman" w:hAnsi="Times New Roman" w:cs="Times New Roman"/>
          <w:color w:val="000000" w:themeColor="text1"/>
        </w:rPr>
        <w:t>Spray rate volume.</w:t>
      </w:r>
      <w:r w:rsidR="0073098D" w:rsidRPr="0002680A">
        <w:rPr>
          <w:b/>
          <w:color w:val="000000" w:themeColor="text1"/>
        </w:rPr>
        <w:t xml:space="preserve"> </w:t>
      </w:r>
      <w:r w:rsidR="007F4ACA">
        <w:t>Large patch was slow to develop under field conditions due to unfavorably dry weather at both experimental locations and peak large patch severity did not exceed 15% at either location. Significant differences in spray rate volume were not observed at GGPG</w:t>
      </w:r>
      <w:r w:rsidR="00EE7AEE">
        <w:t xml:space="preserve"> (Table 3.1)</w:t>
      </w:r>
      <w:r w:rsidR="007F4ACA">
        <w:t>. However, the influence of spray rate volume on the efficacy of azoxystrobin was significant on MAR 29 and MAY 6 at FGC</w:t>
      </w:r>
      <w:r w:rsidR="00EE7AEE">
        <w:t xml:space="preserve"> (Table 3.1)</w:t>
      </w:r>
      <w:r w:rsidR="007F4ACA">
        <w:t>. On both rating dates, azoxystrobin applied at a spray rate volume of 748 or 1496 L ha</w:t>
      </w:r>
      <w:r w:rsidR="007F4ACA" w:rsidRPr="00EE7AEE">
        <w:rPr>
          <w:vertAlign w:val="superscript"/>
        </w:rPr>
        <w:t>-1</w:t>
      </w:r>
      <w:r w:rsidR="007F4ACA">
        <w:t xml:space="preserve"> exhibited significantly lower large patch severity compared with azoxystrobin applied </w:t>
      </w:r>
      <w:r w:rsidR="00480990">
        <w:t xml:space="preserve">at </w:t>
      </w:r>
      <w:r w:rsidR="007F4ACA">
        <w:t>93 and 374 L ha</w:t>
      </w:r>
      <w:r w:rsidR="007F4ACA" w:rsidRPr="00EE7AEE">
        <w:rPr>
          <w:vertAlign w:val="superscript"/>
        </w:rPr>
        <w:t>-1</w:t>
      </w:r>
      <w:r w:rsidR="00EE7AEE">
        <w:t xml:space="preserve"> (Figure 3.2)</w:t>
      </w:r>
      <w:r w:rsidR="007F4ACA">
        <w:t xml:space="preserve">. Azoxystrobin applied at higher spray rate volumes also exhibited lower large patch severity when measurements of the AUDPC were pooled across locations. All spray rate volumes were comparatively lower than the </w:t>
      </w:r>
      <w:r w:rsidR="007F4ACA">
        <w:lastRenderedPageBreak/>
        <w:t>nontreated control. However, lower spray rate volumes of azoxystrobin applications resulted in significantly higher AUDPC measurements compared to higher spray rate volumes</w:t>
      </w:r>
      <w:r w:rsidR="00EE7AEE">
        <w:t xml:space="preserve"> (Figure 3.3)</w:t>
      </w:r>
      <w:r w:rsidR="007F4ACA">
        <w:t xml:space="preserve">. </w:t>
      </w:r>
    </w:p>
    <w:p w14:paraId="0FAA3043" w14:textId="77777777" w:rsidR="007F4ACA" w:rsidRDefault="007F4ACA" w:rsidP="007F4ACA">
      <w:pPr>
        <w:spacing w:line="480" w:lineRule="auto"/>
        <w:ind w:firstLine="720"/>
      </w:pPr>
      <w:r>
        <w:t>Under growth chamber conditions, large patch severity exceeded 70% in the nontreated control at 28 DAT when pooled across experimental runs.  Pooled across experimental runs, the effect of fungicide, spray rate volume, and the interaction of fungicide x spray rate volume were significant on most rating dates</w:t>
      </w:r>
      <w:r w:rsidR="00EE7AEE">
        <w:t xml:space="preserve"> (Table 3.2)</w:t>
      </w:r>
      <w:r>
        <w:t xml:space="preserve">. All fungicides (pooled across spray rate volumes) reduced large patch severity compared to the nontreated control on all rating dates. Among fungicides, azoxystrobin and flutolanil tended to exhibit lower large patch severity compared to applications of tebuconazole when pooled across spray rate volume (data not shown). </w:t>
      </w:r>
    </w:p>
    <w:p w14:paraId="0F0A33BD" w14:textId="13FB6D87" w:rsidR="007F4ACA" w:rsidRDefault="007F4ACA" w:rsidP="007F4ACA">
      <w:pPr>
        <w:spacing w:line="480" w:lineRule="auto"/>
        <w:ind w:firstLine="720"/>
      </w:pPr>
      <w:r>
        <w:t>Spray rate volume (pooled across) fungicides was significant 14, 21, and 28 DAT</w:t>
      </w:r>
      <w:r w:rsidR="00EE7AEE">
        <w:t xml:space="preserve"> (Table 3.2)</w:t>
      </w:r>
      <w:r>
        <w:t>. On 28 DAT, large patch severity was significantly lower with each increase in spray rate volume</w:t>
      </w:r>
      <w:r w:rsidR="00773CF0">
        <w:t xml:space="preserve"> (Figure 3.4)</w:t>
      </w:r>
      <w:r>
        <w:t>. More than 50% large patch severity was observed on the final rating date under the lowest spray rate volume (93 L ha</w:t>
      </w:r>
      <w:r w:rsidRPr="00EE7AEE">
        <w:rPr>
          <w:vertAlign w:val="superscript"/>
        </w:rPr>
        <w:t>-1</w:t>
      </w:r>
      <w:r>
        <w:t>), whereas, less than 40% large patch severity was observed under the highest</w:t>
      </w:r>
      <w:r w:rsidR="00EE7AEE">
        <w:t xml:space="preserve"> spray rate volume (1496 L ha</w:t>
      </w:r>
      <w:r w:rsidR="00EE7AEE" w:rsidRPr="00EE7AEE">
        <w:rPr>
          <w:vertAlign w:val="superscript"/>
        </w:rPr>
        <w:t>-1</w:t>
      </w:r>
      <w:r w:rsidR="00EE7AEE">
        <w:t>; Figure 3.4)</w:t>
      </w:r>
      <w:r>
        <w:t>. The interaction of fungicide x spray rate volume was significant on every rating date</w:t>
      </w:r>
      <w:r w:rsidR="00EE7AEE">
        <w:t xml:space="preserve"> (Table 3.2)</w:t>
      </w:r>
      <w:r>
        <w:t>. Applications of azoxystrobin and flutolanil were most impacted by spray rate volume. Azoxystrobin and flutolanil applied at a spray rate volume of 1496 L ha</w:t>
      </w:r>
      <w:r w:rsidRPr="00EE7AEE">
        <w:rPr>
          <w:vertAlign w:val="superscript"/>
        </w:rPr>
        <w:t>-1</w:t>
      </w:r>
      <w:r>
        <w:t xml:space="preserve"> each exhibited approximately 35% large patch severity and was significantly lower compared to lower spray rate volumes</w:t>
      </w:r>
      <w:r w:rsidR="00EE7AEE">
        <w:t xml:space="preserve"> (Figure 3.5)</w:t>
      </w:r>
      <w:r>
        <w:t>. Azoxystrobin applied at 374 L ha</w:t>
      </w:r>
      <w:r w:rsidRPr="00EE7AEE">
        <w:rPr>
          <w:vertAlign w:val="superscript"/>
        </w:rPr>
        <w:t>-1</w:t>
      </w:r>
      <w:r>
        <w:t xml:space="preserve"> was not significantly different from azoxystrobin applied at 93 L ha</w:t>
      </w:r>
      <w:r w:rsidRPr="00EE7AEE">
        <w:rPr>
          <w:vertAlign w:val="superscript"/>
        </w:rPr>
        <w:t>-1</w:t>
      </w:r>
      <w:r>
        <w:t>. However, flutolanil applied at 374 L ha</w:t>
      </w:r>
      <w:r w:rsidRPr="00EE7AEE">
        <w:rPr>
          <w:vertAlign w:val="superscript"/>
        </w:rPr>
        <w:t>-1</w:t>
      </w:r>
      <w:r>
        <w:t xml:space="preserve"> exhibited significantly lower large patch severity when compared to the lowest spray rate volume</w:t>
      </w:r>
      <w:r w:rsidR="00773CF0">
        <w:t xml:space="preserve"> (Figure 3.5)</w:t>
      </w:r>
      <w:r>
        <w:t xml:space="preserve">. The impact of spray rate volume on the efficacy of tebuconazole was less substantial than the other two aforementioned </w:t>
      </w:r>
      <w:r>
        <w:lastRenderedPageBreak/>
        <w:t>fungicides. However, tebuconazole applied at a spray rate volume of 1496</w:t>
      </w:r>
      <w:r w:rsidR="00591904">
        <w:t xml:space="preserve"> L ha</w:t>
      </w:r>
      <w:r w:rsidR="00591904" w:rsidRPr="00591904">
        <w:rPr>
          <w:vertAlign w:val="superscript"/>
        </w:rPr>
        <w:t>-1</w:t>
      </w:r>
      <w:r>
        <w:t xml:space="preserve"> still exhibited significantly lower large patch severity (45%) compared to tebuconazole applied at the lowest spray rate volume (50%</w:t>
      </w:r>
      <w:r w:rsidR="00773CF0">
        <w:t>; Figure 3.5</w:t>
      </w:r>
      <w:r>
        <w:t xml:space="preserve">). </w:t>
      </w:r>
    </w:p>
    <w:p w14:paraId="156F9262" w14:textId="77777777" w:rsidR="007F4ACA" w:rsidRDefault="007F4ACA" w:rsidP="007F4ACA">
      <w:pPr>
        <w:spacing w:line="480" w:lineRule="auto"/>
        <w:ind w:firstLine="720"/>
      </w:pPr>
    </w:p>
    <w:p w14:paraId="744F8055" w14:textId="0B40CE9D" w:rsidR="007F4ACA" w:rsidRDefault="00F177F7" w:rsidP="007F4ACA">
      <w:pPr>
        <w:spacing w:line="480" w:lineRule="auto"/>
        <w:rPr>
          <w:b/>
        </w:rPr>
      </w:pPr>
      <w:r>
        <w:rPr>
          <w:rStyle w:val="Heading3Char"/>
          <w:rFonts w:asciiTheme="minorHAnsi" w:hAnsiTheme="minorHAnsi" w:cstheme="minorHAnsi"/>
          <w:color w:val="000000" w:themeColor="text1"/>
        </w:rPr>
        <w:t>Adjuvant additives.</w:t>
      </w:r>
      <w:r w:rsidR="000203E4" w:rsidRPr="005F4FDE">
        <w:rPr>
          <w:b/>
          <w:color w:val="000000" w:themeColor="text1"/>
        </w:rPr>
        <w:t xml:space="preserve"> </w:t>
      </w:r>
      <w:r w:rsidR="007F4ACA">
        <w:t>Similar to the spray rate volume field experiment, lar</w:t>
      </w:r>
      <w:r w:rsidR="00480990">
        <w:t>ge patch was slow to develop</w:t>
      </w:r>
      <w:r w:rsidR="007F4ACA">
        <w:t xml:space="preserve"> under field conditions at each trial location. Peak large patch severity was 17% in</w:t>
      </w:r>
      <w:r w:rsidR="00591904">
        <w:t xml:space="preserve"> the</w:t>
      </w:r>
      <w:r w:rsidR="007F4ACA">
        <w:t xml:space="preserve"> nontreated control at GGPG on MAY 23 and 10% at FGC on MAR 29. The impact of fungicide, surfactant, and the interaction of fungicide x surfactant were significantly different among treatments on select rating dates and when measurements of AUDPC were pooled across locations</w:t>
      </w:r>
      <w:r w:rsidR="00773CF0">
        <w:t xml:space="preserve"> (Table 3.3)</w:t>
      </w:r>
      <w:r w:rsidR="00591904">
        <w:t>. Treatment</w:t>
      </w:r>
      <w:r w:rsidR="007F4ACA">
        <w:t xml:space="preserve"> differences on individual rating dates were more pronounced on the final rating assessment at each location. On MAY 6 at FGC, all fungicides (pooled across surfactant) exhibited lower large patch severity </w:t>
      </w:r>
      <w:r w:rsidR="00591904">
        <w:t>compared</w:t>
      </w:r>
      <w:r w:rsidR="007F4ACA">
        <w:t xml:space="preserve"> to the nontreated control</w:t>
      </w:r>
      <w:r w:rsidR="00773CF0">
        <w:t xml:space="preserve"> (data not shown)</w:t>
      </w:r>
      <w:r w:rsidR="007F4ACA">
        <w:t>. Pooled across fungicides, the effect of surfactant was significantly different at both locations on the final rating date. In general, the addition of an organosilicone surfactant resulted in lower large patch severity compared with fungicides applied without an organosilicone surfactant</w:t>
      </w:r>
      <w:r w:rsidR="00773CF0">
        <w:t xml:space="preserve"> (data not shown)</w:t>
      </w:r>
      <w:r w:rsidR="007F4ACA">
        <w:t>. However, this effect was less pronounced with applications of tebuconazole. Similar trends in the interaction of fungicide x surfactant observed when measurements of the AUDPC was calculated. Pooled across locations, the fungicides azoxystrobin and flutolanil resulted in lower measurements of AUDPC when applied with an organosilicone surfactant</w:t>
      </w:r>
      <w:r w:rsidR="00773CF0">
        <w:t xml:space="preserve"> (Figure 3.6)</w:t>
      </w:r>
      <w:r w:rsidR="007F4ACA">
        <w:t xml:space="preserve">. Tebuconazole was not significantly impacted by the inclusion of a surfactant additive. </w:t>
      </w:r>
    </w:p>
    <w:p w14:paraId="28FB28B4" w14:textId="49C14043" w:rsidR="007F4ACA" w:rsidRDefault="007F4ACA" w:rsidP="007F4ACA">
      <w:pPr>
        <w:spacing w:line="480" w:lineRule="auto"/>
        <w:ind w:firstLine="720"/>
      </w:pPr>
      <w:r>
        <w:lastRenderedPageBreak/>
        <w:t xml:space="preserve">Large patch development was more severe under growth chamber conditions reaching 87% severity on the final rating date pooled across experimental runs. However, few differences in fungicide, surfactant, and the interaction of fungicide x surfactant were observed </w:t>
      </w:r>
      <w:r w:rsidR="00773CF0">
        <w:t>(Table 3.4)</w:t>
      </w:r>
      <w:r>
        <w:t>. The effect of surfactant was significant on the final rating date (28 DAT) when pooled across fungicides. At 28 DAT, fungicides applied with an organosilicone surfactant resulted in significantly lower large patch severity (34%) compared to fungicides applied with a modified vegetable oil adjuv</w:t>
      </w:r>
      <w:r w:rsidR="00773CF0">
        <w:t>ant (38%) or no surfactant (38%; Figure 3.6)</w:t>
      </w:r>
      <w:r>
        <w:t xml:space="preserve">. However, a significant fungicide x surfactant interaction was not detected. </w:t>
      </w:r>
    </w:p>
    <w:p w14:paraId="4655438D" w14:textId="77777777" w:rsidR="00773CF0" w:rsidRDefault="00773CF0" w:rsidP="007F4ACA">
      <w:pPr>
        <w:spacing w:line="480" w:lineRule="auto"/>
        <w:ind w:firstLine="720"/>
      </w:pPr>
    </w:p>
    <w:p w14:paraId="500D60F9" w14:textId="39D16CC2" w:rsidR="007F4ACA" w:rsidRPr="00B655D7" w:rsidRDefault="00F177F7" w:rsidP="00B655D7">
      <w:pPr>
        <w:spacing w:line="480" w:lineRule="auto"/>
        <w:rPr>
          <w:b/>
        </w:rPr>
      </w:pPr>
      <w:r>
        <w:rPr>
          <w:rStyle w:val="Heading3Char"/>
          <w:rFonts w:asciiTheme="minorHAnsi" w:hAnsiTheme="minorHAnsi" w:cstheme="minorHAnsi"/>
          <w:color w:val="000000" w:themeColor="text1"/>
        </w:rPr>
        <w:t>Spray deposition characteristics.</w:t>
      </w:r>
      <w:r w:rsidR="000203E4" w:rsidRPr="005F4FDE">
        <w:rPr>
          <w:b/>
          <w:color w:val="000000" w:themeColor="text1"/>
        </w:rPr>
        <w:t xml:space="preserve"> </w:t>
      </w:r>
      <w:r w:rsidR="007F4ACA">
        <w:t xml:space="preserve">No treatment </w:t>
      </w:r>
      <w:r w:rsidR="00773CF0">
        <w:t>x</w:t>
      </w:r>
      <w:r w:rsidR="007F4ACA">
        <w:t xml:space="preserve"> experimental run differences were detected for leaf surface, sheath, and stem coverage</w:t>
      </w:r>
      <w:r w:rsidR="00591904">
        <w:t xml:space="preserve">. Therefore, </w:t>
      </w:r>
      <w:r w:rsidR="007F4ACA">
        <w:t>data was pooled across runs. Pooled across surfactant additives, spray rate volume was significantly different among treatments</w:t>
      </w:r>
      <w:r w:rsidR="00773CF0">
        <w:t xml:space="preserve"> (Table 3.5)</w:t>
      </w:r>
      <w:r w:rsidR="007F4ACA">
        <w:t>. The spray rate volume of 374 L ha</w:t>
      </w:r>
      <w:r w:rsidR="007F4ACA" w:rsidRPr="00773CF0">
        <w:rPr>
          <w:vertAlign w:val="superscript"/>
        </w:rPr>
        <w:t>-1</w:t>
      </w:r>
      <w:r w:rsidR="007F4ACA">
        <w:t xml:space="preserve"> resulted in the most leaf surface coverage (70%) followed by 748 L ha</w:t>
      </w:r>
      <w:r w:rsidR="007F4ACA" w:rsidRPr="00773CF0">
        <w:rPr>
          <w:vertAlign w:val="superscript"/>
        </w:rPr>
        <w:t>-1</w:t>
      </w:r>
      <w:r w:rsidR="0032490D">
        <w:t xml:space="preserve"> (64%; Figure 3.8)</w:t>
      </w:r>
      <w:r w:rsidR="007F4ACA">
        <w:t>. The lowest (93 L ha</w:t>
      </w:r>
      <w:r w:rsidR="007F4ACA" w:rsidRPr="00773CF0">
        <w:rPr>
          <w:vertAlign w:val="superscript"/>
        </w:rPr>
        <w:t>-1</w:t>
      </w:r>
      <w:r w:rsidR="007F4ACA">
        <w:t>) and highest (1496 L ha</w:t>
      </w:r>
      <w:r w:rsidR="007F4ACA" w:rsidRPr="00773CF0">
        <w:rPr>
          <w:vertAlign w:val="superscript"/>
        </w:rPr>
        <w:t>-1</w:t>
      </w:r>
      <w:r w:rsidR="007F4ACA">
        <w:t>) spray rate volumes resulted in the least amount of surface coverage</w:t>
      </w:r>
      <w:r w:rsidR="0032490D">
        <w:t xml:space="preserve"> (Figure 3.8)</w:t>
      </w:r>
      <w:r w:rsidR="007F4ACA">
        <w:t>. However, these spray rate volumes resulted in the biggest change in response to the inclusion of an organosilicone surfactant. The spray rate volume of 93 L ha</w:t>
      </w:r>
      <w:r w:rsidR="007F4ACA" w:rsidRPr="0032490D">
        <w:rPr>
          <w:vertAlign w:val="superscript"/>
        </w:rPr>
        <w:t>-1</w:t>
      </w:r>
      <w:r w:rsidR="007F4ACA">
        <w:t xml:space="preserve"> exhibited a leaf surface coverage of 34% without an organosilicone surfactant and increased to 59% with a</w:t>
      </w:r>
      <w:r w:rsidR="00A27DD0">
        <w:t>n organosilicone</w:t>
      </w:r>
      <w:r w:rsidR="007F4ACA">
        <w:t xml:space="preserve"> surfactant</w:t>
      </w:r>
      <w:r w:rsidR="0032490D">
        <w:t xml:space="preserve"> (Figure 3.</w:t>
      </w:r>
      <w:r w:rsidR="00B655D7">
        <w:t>9</w:t>
      </w:r>
      <w:r w:rsidR="0032490D">
        <w:t>)</w:t>
      </w:r>
      <w:r w:rsidR="007F4ACA">
        <w:t>. Conversely, the highest spray rate volume (1496 L ha</w:t>
      </w:r>
      <w:r w:rsidR="007F4ACA" w:rsidRPr="0032490D">
        <w:rPr>
          <w:vertAlign w:val="superscript"/>
        </w:rPr>
        <w:t>-1</w:t>
      </w:r>
      <w:r w:rsidR="007F4ACA">
        <w:t>) resulted in 47% leaf surface coverage without an organosilicone surfactant and decreased to 39% with an organosilicone surfactant</w:t>
      </w:r>
      <w:r w:rsidR="0032490D">
        <w:t xml:space="preserve"> (Figure 3.</w:t>
      </w:r>
      <w:r w:rsidR="00B655D7">
        <w:t>9</w:t>
      </w:r>
      <w:r w:rsidR="0032490D">
        <w:t>)</w:t>
      </w:r>
      <w:r w:rsidR="007F4ACA">
        <w:t>. The spray rate volumes of 374 and 748 L ha</w:t>
      </w:r>
      <w:r w:rsidR="007F4ACA" w:rsidRPr="00B655D7">
        <w:rPr>
          <w:vertAlign w:val="superscript"/>
        </w:rPr>
        <w:t>-1</w:t>
      </w:r>
      <w:r w:rsidR="007F4ACA">
        <w:t xml:space="preserve"> were least affected by the inclusion of an organosilicone surfactant in regards to leaf surface coverage</w:t>
      </w:r>
      <w:r w:rsidR="00B655D7">
        <w:t xml:space="preserve"> (Figure 3.9)</w:t>
      </w:r>
      <w:r w:rsidR="007F4ACA">
        <w:t xml:space="preserve">. However, pooled </w:t>
      </w:r>
      <w:r w:rsidR="007F4ACA">
        <w:lastRenderedPageBreak/>
        <w:t>across spray rate volumes, the inclusion of an organosilicone surfactant resulted in a significantly greater amount of leaf surface coverage</w:t>
      </w:r>
      <w:r w:rsidR="00B655D7">
        <w:t xml:space="preserve"> (data not shown). </w:t>
      </w:r>
      <w:r w:rsidR="007F4ACA">
        <w:t>Spray rate volumes (pooled across surfactant) were significant</w:t>
      </w:r>
      <w:r w:rsidR="00480990">
        <w:t>ly</w:t>
      </w:r>
      <w:r w:rsidR="007F4ACA">
        <w:t xml:space="preserve"> different in regards to stem and sheath coverage</w:t>
      </w:r>
      <w:r w:rsidR="00B655D7">
        <w:t xml:space="preserve"> (Table 3.5)</w:t>
      </w:r>
      <w:r w:rsidR="007F4ACA">
        <w:t>. Increases in spray rate volume resulted in significant increases in the percentage of stems with spray deposits coverage. The spray rate volume of 1496 L ha</w:t>
      </w:r>
      <w:r w:rsidR="007F4ACA" w:rsidRPr="00B655D7">
        <w:rPr>
          <w:vertAlign w:val="superscript"/>
        </w:rPr>
        <w:t>-1</w:t>
      </w:r>
      <w:r w:rsidR="007F4ACA">
        <w:t xml:space="preserve"> resulted in 65% of all stems containing spray deposits</w:t>
      </w:r>
      <w:r w:rsidR="00B655D7">
        <w:t xml:space="preserve"> (Figure 3.8)</w:t>
      </w:r>
      <w:r w:rsidR="007F4ACA">
        <w:t xml:space="preserve">. Only 30% of stems contained spray deposits with the lowest spray rate volume. The effects of surfactant or the interaction of surfactant x spray volume were not significantly different among treatments. </w:t>
      </w:r>
    </w:p>
    <w:p w14:paraId="1DE64C82" w14:textId="105F965F" w:rsidR="00D76ACF" w:rsidRPr="000B60A0" w:rsidRDefault="007F4ACA" w:rsidP="000B60A0">
      <w:pPr>
        <w:spacing w:line="480" w:lineRule="auto"/>
        <w:ind w:firstLine="720"/>
      </w:pPr>
      <w:r>
        <w:t>Similar to stem coverage, the lowest spray rate volume also resulted in the lowest percentage of sheaths (72%) that contained spray deposits</w:t>
      </w:r>
      <w:r w:rsidR="00B655D7">
        <w:t xml:space="preserve"> (Figure 3.8)</w:t>
      </w:r>
      <w:r>
        <w:t>. The highest percentage of sheaths that contained spray deposits was observed with the spray rate volumes of 748 and 1496 L ha</w:t>
      </w:r>
      <w:r w:rsidRPr="00A27DD0">
        <w:rPr>
          <w:vertAlign w:val="superscript"/>
        </w:rPr>
        <w:t>-1</w:t>
      </w:r>
      <w:r>
        <w:t xml:space="preserve"> with 96 and 97% of sheaths containing spray deposits, respectively</w:t>
      </w:r>
      <w:r w:rsidR="00B655D7">
        <w:t xml:space="preserve"> (Figure 3.8)</w:t>
      </w:r>
      <w:r>
        <w:t>. Pooled across spray rate volume, the effect of surfactant was significant across treatments with 91% of sheaths with spray deposits with a surfactant, compared to 87% of sheaths with spray deposits without a surfactant</w:t>
      </w:r>
      <w:r w:rsidR="00480990">
        <w:t xml:space="preserve"> (Figure 3.9)</w:t>
      </w:r>
      <w:r>
        <w:t>. The interaction of spray rate volume x surfactant was not significantly different among treatments.</w:t>
      </w:r>
      <w:r w:rsidR="000B60A0">
        <w:t xml:space="preserve"> </w:t>
      </w:r>
    </w:p>
    <w:p w14:paraId="77C7EBEF" w14:textId="249A1ED4" w:rsidR="005F4FDE" w:rsidRPr="005F4FDE" w:rsidRDefault="007F4ACA" w:rsidP="000B60A0">
      <w:pPr>
        <w:pStyle w:val="Heading2"/>
        <w:spacing w:line="480" w:lineRule="auto"/>
      </w:pPr>
      <w:bookmarkStart w:id="115" w:name="_Toc466885927"/>
      <w:bookmarkStart w:id="116" w:name="_Toc466890558"/>
      <w:bookmarkStart w:id="117" w:name="_Toc466891193"/>
      <w:bookmarkStart w:id="118" w:name="_Toc466894875"/>
      <w:r>
        <w:t>Discussion</w:t>
      </w:r>
      <w:bookmarkEnd w:id="115"/>
      <w:bookmarkEnd w:id="116"/>
      <w:bookmarkEnd w:id="117"/>
      <w:bookmarkEnd w:id="118"/>
    </w:p>
    <w:p w14:paraId="48402831" w14:textId="4DE9D5D7" w:rsidR="007F4ACA" w:rsidRDefault="007F4ACA" w:rsidP="000B60A0">
      <w:pPr>
        <w:spacing w:line="480" w:lineRule="auto"/>
        <w:ind w:firstLine="720"/>
        <w:rPr>
          <w:rFonts w:eastAsia="Calibri"/>
        </w:rPr>
      </w:pPr>
      <w:r>
        <w:t xml:space="preserve">These experiments evaluated the effect </w:t>
      </w:r>
      <w:r w:rsidR="00480990">
        <w:t xml:space="preserve">of </w:t>
      </w:r>
      <w:r w:rsidR="00A27DD0">
        <w:t>spray rate volume</w:t>
      </w:r>
      <w:r>
        <w:t xml:space="preserve"> and surfactant additives </w:t>
      </w:r>
      <w:r w:rsidR="00480990">
        <w:t xml:space="preserve">for </w:t>
      </w:r>
      <w:r w:rsidR="00A27DD0">
        <w:t>fungicidal control of</w:t>
      </w:r>
      <w:r>
        <w:t xml:space="preserve"> large pat</w:t>
      </w:r>
      <w:r w:rsidR="008E2EB6">
        <w:t>ch</w:t>
      </w:r>
      <w:r w:rsidR="00A27DD0">
        <w:t xml:space="preserve"> and spray deposition</w:t>
      </w:r>
      <w:r w:rsidR="00480990">
        <w:t>. I</w:t>
      </w:r>
      <w:r w:rsidR="008E2EB6">
        <w:t>ncreasing</w:t>
      </w:r>
      <w:r>
        <w:t xml:space="preserve"> the spray rate volume to 1496 L ha</w:t>
      </w:r>
      <w:r w:rsidRPr="008E2EB6">
        <w:rPr>
          <w:vertAlign w:val="superscript"/>
        </w:rPr>
        <w:t>-1</w:t>
      </w:r>
      <w:r w:rsidR="00480990">
        <w:t xml:space="preserve"> improved</w:t>
      </w:r>
      <w:r>
        <w:t xml:space="preserve"> large patch control by as much as 20% compared to the lowest spray rate volume of 93 L ha</w:t>
      </w:r>
      <w:r w:rsidRPr="008E2EB6">
        <w:rPr>
          <w:vertAlign w:val="superscript"/>
        </w:rPr>
        <w:t>-1</w:t>
      </w:r>
      <w:r w:rsidR="008E2EB6">
        <w:t xml:space="preserve"> </w:t>
      </w:r>
      <w:r>
        <w:t xml:space="preserve">when pooled across fungicides. These results were observed with azoxystrobin under field environments and azoxystrobin, flutolanil, and tebuconazole under </w:t>
      </w:r>
      <w:r>
        <w:lastRenderedPageBreak/>
        <w:t xml:space="preserve">growth chamber conditions. These findings are corroborated with other researchers </w:t>
      </w:r>
      <w:r w:rsidR="00480990">
        <w:t xml:space="preserve">report of </w:t>
      </w:r>
      <w:r>
        <w:t xml:space="preserve">increases in disease control with higher spray rate volumes in turfgrass or agricultural cropping systems (Armstrong-Cho et al., 2008; McDonald et al., 2006; Vincelli and Dixon, 2007; </w:t>
      </w:r>
      <w:r>
        <w:rPr>
          <w:rFonts w:eastAsia="Calibri"/>
        </w:rPr>
        <w:t xml:space="preserve">Kaminksi and Fidanza, 2009; Kennelly and Wolf; 2009). </w:t>
      </w:r>
    </w:p>
    <w:p w14:paraId="6052B032" w14:textId="1E997247" w:rsidR="007F4ACA" w:rsidRDefault="007F4ACA" w:rsidP="007F4ACA">
      <w:pPr>
        <w:spacing w:line="480" w:lineRule="auto"/>
        <w:ind w:firstLine="720"/>
        <w:rPr>
          <w:rFonts w:eastAsia="Calibri"/>
        </w:rPr>
      </w:pPr>
      <w:r>
        <w:rPr>
          <w:rFonts w:eastAsia="Calibri"/>
        </w:rPr>
        <w:t xml:space="preserve">The </w:t>
      </w:r>
      <w:r w:rsidR="00913CFD">
        <w:rPr>
          <w:rFonts w:eastAsia="Calibri"/>
        </w:rPr>
        <w:t>effect of adjuvants on fungicidal control of large patch control was</w:t>
      </w:r>
      <w:r w:rsidR="008E2EB6">
        <w:rPr>
          <w:rFonts w:eastAsia="Calibri"/>
        </w:rPr>
        <w:t xml:space="preserve"> less clear</w:t>
      </w:r>
      <w:r>
        <w:rPr>
          <w:rFonts w:eastAsia="Calibri"/>
        </w:rPr>
        <w:t xml:space="preserve">. Under field conditions, an organosilicone surfactant added to azoxystrobin and flutolanil mixtures enhanced disease control when measurements of the AUDPC were calculated. However, greater disease control with tebuconazole was not observed when an organosilicone surfactant was added under field conditions. Under growth chamber conditions, an organosilicone surfactant and a modified vegetable oil adjuvant were evaluated in combination with azoxystrobin, flutolanil, and tebuconazole. Significant differences in the interaction of fungicide x surfactant were not observed on any rating date pooled across experimental runs. However, when pooled across fungicides, the organosilicone surfactant exhibited significantly less large patch severity when compared against the modified vegetable oil adjuvant and the no surfactant treatment. </w:t>
      </w:r>
    </w:p>
    <w:p w14:paraId="5F3E6A8B" w14:textId="5C63A15C" w:rsidR="007F4ACA" w:rsidRDefault="007F4ACA" w:rsidP="007F4ACA">
      <w:pPr>
        <w:spacing w:line="480" w:lineRule="auto"/>
        <w:ind w:firstLine="720"/>
        <w:rPr>
          <w:rFonts w:eastAsia="Calibri"/>
        </w:rPr>
      </w:pPr>
      <w:r>
        <w:rPr>
          <w:rFonts w:eastAsia="Calibri"/>
        </w:rPr>
        <w:t xml:space="preserve">The mechanism for the increase in large patch control with increased spray rate volumes may have been due to greater surface coverage near the site of </w:t>
      </w:r>
      <w:r w:rsidR="008E2EB6">
        <w:rPr>
          <w:rFonts w:eastAsia="Calibri"/>
        </w:rPr>
        <w:t>pathogen infection</w:t>
      </w:r>
      <w:r>
        <w:rPr>
          <w:rFonts w:eastAsia="Calibri"/>
        </w:rPr>
        <w:t>. In the spray deposition experiment, a fluorescent tracer was added to various combinations of water with and without an organosilicone surfactant applied at four spray rate volumes (93, 374, 748, and 1496 L ha</w:t>
      </w:r>
      <w:r w:rsidR="00A27DD0" w:rsidRPr="00A27DD0">
        <w:rPr>
          <w:rFonts w:eastAsia="Calibri"/>
          <w:i/>
          <w:vertAlign w:val="superscript"/>
        </w:rPr>
        <w:t>-</w:t>
      </w:r>
      <w:r w:rsidR="00A27DD0" w:rsidRPr="00A27DD0">
        <w:rPr>
          <w:rFonts w:eastAsia="Calibri"/>
          <w:vertAlign w:val="superscript"/>
        </w:rPr>
        <w:t>1</w:t>
      </w:r>
      <w:r>
        <w:rPr>
          <w:rFonts w:eastAsia="Calibri"/>
        </w:rPr>
        <w:t>). In this experiment, each increase in spray rate volume resulted in a significant increase in the percentage of stems that exhibited spray solution deposits on the stem. The greatest difference in the percentage of stems that exhibited spray solution deposits was between the spray rate volumes of 93 L ha</w:t>
      </w:r>
      <w:r w:rsidRPr="008E2EB6">
        <w:rPr>
          <w:rFonts w:eastAsia="Calibri"/>
          <w:vertAlign w:val="superscript"/>
        </w:rPr>
        <w:t>-1</w:t>
      </w:r>
      <w:r>
        <w:rPr>
          <w:rFonts w:eastAsia="Calibri"/>
        </w:rPr>
        <w:t xml:space="preserve"> (30%) and 1496 L ha</w:t>
      </w:r>
      <w:r w:rsidRPr="008E2EB6">
        <w:rPr>
          <w:rFonts w:eastAsia="Calibri"/>
          <w:vertAlign w:val="superscript"/>
        </w:rPr>
        <w:t>-1</w:t>
      </w:r>
      <w:r>
        <w:rPr>
          <w:rFonts w:eastAsia="Calibri"/>
        </w:rPr>
        <w:t xml:space="preserve"> (70%). The percentage of sheaths that </w:t>
      </w:r>
      <w:r>
        <w:rPr>
          <w:rFonts w:eastAsia="Calibri"/>
        </w:rPr>
        <w:lastRenderedPageBreak/>
        <w:t>exhibited spray solution deposits was also significantly impact by spray rate volume. Each increase in spray rate volume up to 748 L ha</w:t>
      </w:r>
      <w:r w:rsidRPr="008E2EB6">
        <w:rPr>
          <w:rFonts w:eastAsia="Calibri"/>
          <w:vertAlign w:val="superscript"/>
        </w:rPr>
        <w:t>-1</w:t>
      </w:r>
      <w:r>
        <w:rPr>
          <w:rFonts w:eastAsia="Calibri"/>
        </w:rPr>
        <w:t xml:space="preserve"> resulted in a significant increase of sheaths that contained spray solutions deposits compared to lower spray rate volumes. </w:t>
      </w:r>
      <w:r w:rsidR="001B7EE6">
        <w:rPr>
          <w:rFonts w:eastAsia="Calibri"/>
        </w:rPr>
        <w:t xml:space="preserve">It has been reported that </w:t>
      </w:r>
      <w:r w:rsidR="008E2EB6">
        <w:rPr>
          <w:rFonts w:eastAsia="Calibri"/>
        </w:rPr>
        <w:t>greater spray deposition</w:t>
      </w:r>
      <w:r w:rsidR="001B7EE6">
        <w:rPr>
          <w:rFonts w:eastAsia="Calibri"/>
        </w:rPr>
        <w:t xml:space="preserve"> occurs</w:t>
      </w:r>
      <w:r w:rsidR="008E2EB6">
        <w:rPr>
          <w:rFonts w:eastAsia="Calibri"/>
        </w:rPr>
        <w:t xml:space="preserve"> lower in the plant canopy with higher spray rate volumes </w:t>
      </w:r>
      <w:r w:rsidR="008B02DE">
        <w:t xml:space="preserve">(Wicks and Nitschke, 1986; </w:t>
      </w:r>
      <w:r w:rsidR="00540FE0">
        <w:t>Armstrong-cho et al., 2008</w:t>
      </w:r>
      <w:r w:rsidR="00985206">
        <w:t>;</w:t>
      </w:r>
      <w:r w:rsidR="00985206" w:rsidRPr="00985206">
        <w:t xml:space="preserve"> </w:t>
      </w:r>
      <w:r w:rsidR="00985206">
        <w:t>Foque et al., 2014</w:t>
      </w:r>
      <w:r w:rsidR="00540FE0">
        <w:t>)</w:t>
      </w:r>
      <w:r w:rsidR="00985206">
        <w:t xml:space="preserve">. </w:t>
      </w:r>
      <w:r w:rsidR="00540FE0">
        <w:t xml:space="preserve"> </w:t>
      </w:r>
    </w:p>
    <w:p w14:paraId="788A446A" w14:textId="0E4F0BE5" w:rsidR="007F4ACA" w:rsidRDefault="008B4B67" w:rsidP="007F4ACA">
      <w:pPr>
        <w:spacing w:line="480" w:lineRule="auto"/>
        <w:ind w:firstLine="720"/>
        <w:rPr>
          <w:rFonts w:eastAsia="Calibri"/>
        </w:rPr>
      </w:pPr>
      <w:r>
        <w:rPr>
          <w:rFonts w:eastAsia="Calibri"/>
        </w:rPr>
        <w:t>Additional spray methods should be developed to further enhance quality spray deposition on JLG plants. In this study, s</w:t>
      </w:r>
      <w:r w:rsidR="007F4ACA">
        <w:rPr>
          <w:rFonts w:eastAsia="Calibri"/>
        </w:rPr>
        <w:t>pray rate volume had a greater impact at improving spray deposition on the stems and sheaths of JLG plants compared to the inclusion of an organosilicone surfactant. Spray rate volume also had a greater impact in reducing large patch severity in our experiments compared to surfactant additives. However, in this research, only two adjuvants were evaluated for their effects at improving fungicidal control of large patch. Other adjuvants should be evaluated in future research for their effect a</w:t>
      </w:r>
      <w:r w:rsidR="00985206">
        <w:rPr>
          <w:rFonts w:eastAsia="Calibri"/>
        </w:rPr>
        <w:t xml:space="preserve">t improving fungicide efficacy. </w:t>
      </w:r>
      <w:r>
        <w:rPr>
          <w:rFonts w:eastAsia="Calibri"/>
        </w:rPr>
        <w:t xml:space="preserve">Furthermore, additional means to enhance lower canopy deposition is warranted. Another possible solution is the use of </w:t>
      </w:r>
      <w:r w:rsidRPr="00125FCE">
        <w:rPr>
          <w:rFonts w:eastAsia="Calibri"/>
          <w:i/>
        </w:rPr>
        <w:t>in-situ</w:t>
      </w:r>
      <w:r>
        <w:rPr>
          <w:rFonts w:eastAsia="Calibri"/>
        </w:rPr>
        <w:t xml:space="preserve"> precipitation. </w:t>
      </w:r>
      <w:r w:rsidRPr="00125FCE">
        <w:rPr>
          <w:rFonts w:eastAsia="Calibri"/>
          <w:i/>
        </w:rPr>
        <w:t>In-situ</w:t>
      </w:r>
      <w:r>
        <w:rPr>
          <w:rFonts w:eastAsia="Calibri"/>
        </w:rPr>
        <w:t xml:space="preserve"> precipitation introduces </w:t>
      </w:r>
      <w:r w:rsidR="00125FCE">
        <w:rPr>
          <w:rFonts w:eastAsia="Calibri"/>
        </w:rPr>
        <w:t>polyelectrolytes on the plant surface (Damak et al., 2016).</w:t>
      </w:r>
      <w:r>
        <w:rPr>
          <w:rFonts w:eastAsia="Calibri"/>
        </w:rPr>
        <w:t xml:space="preserve"> </w:t>
      </w:r>
      <w:r w:rsidR="00125FCE">
        <w:rPr>
          <w:rFonts w:eastAsia="Calibri"/>
        </w:rPr>
        <w:t>This helps enable</w:t>
      </w:r>
      <w:r>
        <w:rPr>
          <w:rFonts w:eastAsia="Calibri"/>
        </w:rPr>
        <w:t xml:space="preserve"> a hydrophilic environment that increases spray retention</w:t>
      </w:r>
      <w:r w:rsidR="00125FCE">
        <w:rPr>
          <w:rFonts w:eastAsia="Calibri"/>
        </w:rPr>
        <w:t xml:space="preserve"> and reduces drop</w:t>
      </w:r>
      <w:r w:rsidR="0001538F">
        <w:rPr>
          <w:rFonts w:eastAsia="Calibri"/>
        </w:rPr>
        <w:t xml:space="preserve">let bounce on intended targets. Another application strategy could be to administer post spray application irrigation to water in xylem mobile fungicides into the rootzone. Root absorbed fungicides may be able to provide protection across the entire matrix of the plant. </w:t>
      </w:r>
    </w:p>
    <w:p w14:paraId="6B6F8241" w14:textId="2A35513B" w:rsidR="00B154C7" w:rsidRDefault="007F4ACA" w:rsidP="00B154C7">
      <w:pPr>
        <w:spacing w:line="480" w:lineRule="auto"/>
        <w:ind w:firstLine="720"/>
        <w:rPr>
          <w:rFonts w:eastAsia="Calibri"/>
        </w:rPr>
      </w:pPr>
      <w:r>
        <w:rPr>
          <w:rFonts w:eastAsia="Calibri"/>
        </w:rPr>
        <w:t xml:space="preserve">Turfgrass managers should consider the use of increasing the spray rate volume of fungicide </w:t>
      </w:r>
      <w:r w:rsidR="00985206">
        <w:rPr>
          <w:rFonts w:eastAsia="Calibri"/>
        </w:rPr>
        <w:t>applications</w:t>
      </w:r>
      <w:r>
        <w:rPr>
          <w:rFonts w:eastAsia="Calibri"/>
        </w:rPr>
        <w:t xml:space="preserve"> to better control large patch epidemics. Increasing the spray rate volume </w:t>
      </w:r>
      <w:r w:rsidR="00985206">
        <w:rPr>
          <w:rFonts w:eastAsia="Calibri"/>
        </w:rPr>
        <w:t xml:space="preserve">may allow </w:t>
      </w:r>
      <w:r>
        <w:rPr>
          <w:rFonts w:eastAsia="Calibri"/>
        </w:rPr>
        <w:t>for more of the fungicide solution to reach the site of pathogen infection</w:t>
      </w:r>
      <w:r w:rsidR="00985206">
        <w:rPr>
          <w:rFonts w:eastAsia="Calibri"/>
        </w:rPr>
        <w:t xml:space="preserve"> in JLG, </w:t>
      </w:r>
      <w:r w:rsidR="00985206">
        <w:rPr>
          <w:rFonts w:eastAsia="Calibri"/>
        </w:rPr>
        <w:lastRenderedPageBreak/>
        <w:t>while</w:t>
      </w:r>
      <w:r>
        <w:rPr>
          <w:rFonts w:eastAsia="Calibri"/>
        </w:rPr>
        <w:t xml:space="preserve"> enhancing </w:t>
      </w:r>
      <w:r w:rsidR="00985206">
        <w:rPr>
          <w:rFonts w:eastAsia="Calibri"/>
        </w:rPr>
        <w:t>fungicidal</w:t>
      </w:r>
      <w:r>
        <w:rPr>
          <w:rFonts w:eastAsia="Calibri"/>
        </w:rPr>
        <w:t xml:space="preserve"> control. </w:t>
      </w:r>
      <w:r w:rsidR="001B7EE6">
        <w:rPr>
          <w:rFonts w:eastAsia="Calibri"/>
        </w:rPr>
        <w:t xml:space="preserve">Additionally, perhaps less fungicide active ingredient would be needed to maintain quality large patch control. Less active ingredient could results in financial savings for the turfgrass manager or facility. </w:t>
      </w:r>
      <w:r>
        <w:rPr>
          <w:rFonts w:eastAsia="Calibri"/>
        </w:rPr>
        <w:t xml:space="preserve">Turfgrass managers should also assess the risk of adding surfactants to the spray solution in fungicide sprays. Many fungicide labels do not recommend the use of adding a surfactant to the spray mixture. Turfgrass managers should spray a test area to ensure the usefulness and safeness of adding surfactants to the spray solution. </w:t>
      </w:r>
      <w:r w:rsidR="00985206">
        <w:rPr>
          <w:rFonts w:eastAsia="Calibri"/>
        </w:rPr>
        <w:t>Future</w:t>
      </w:r>
      <w:r>
        <w:rPr>
          <w:rFonts w:eastAsia="Calibri"/>
        </w:rPr>
        <w:t xml:space="preserve"> research is needed to determine other spray technologies that can further enhance the value of fungicidal control of large patch</w:t>
      </w:r>
      <w:r w:rsidR="00141688">
        <w:rPr>
          <w:rFonts w:eastAsia="Calibri"/>
        </w:rPr>
        <w:t xml:space="preserve"> and other turfgrass diseases. </w:t>
      </w:r>
    </w:p>
    <w:p w14:paraId="2FE4D93F" w14:textId="77777777" w:rsidR="007F4ACA" w:rsidRDefault="007F4ACA" w:rsidP="00545E5A">
      <w:pPr>
        <w:pStyle w:val="Heading2"/>
      </w:pPr>
      <w:bookmarkStart w:id="119" w:name="_Toc466885928"/>
      <w:bookmarkStart w:id="120" w:name="_Toc466890559"/>
      <w:bookmarkStart w:id="121" w:name="_Toc466891194"/>
      <w:bookmarkStart w:id="122" w:name="_Toc466894876"/>
      <w:r>
        <w:t>Acknowledgements</w:t>
      </w:r>
      <w:bookmarkEnd w:id="119"/>
      <w:bookmarkEnd w:id="120"/>
      <w:bookmarkEnd w:id="121"/>
      <w:bookmarkEnd w:id="122"/>
    </w:p>
    <w:p w14:paraId="4BB32935" w14:textId="77777777" w:rsidR="005F4FDE" w:rsidRPr="005F4FDE" w:rsidRDefault="005F4FDE" w:rsidP="005F4FDE"/>
    <w:p w14:paraId="7FEB1EF8" w14:textId="27D564C4" w:rsidR="00A70ED3" w:rsidRDefault="007F4ACA" w:rsidP="00E65815">
      <w:pPr>
        <w:spacing w:line="480" w:lineRule="auto"/>
      </w:pPr>
      <w:r>
        <w:t>The authors would like to thank the United States Golf Association [grant no. 2015-05-520]</w:t>
      </w:r>
      <w:r w:rsidR="00073D88">
        <w:t xml:space="preserve"> and WinField Solution</w:t>
      </w:r>
      <w:r>
        <w:t xml:space="preserve"> for parti</w:t>
      </w:r>
      <w:bookmarkStart w:id="123" w:name="_Toc353890912"/>
      <w:r w:rsidR="00E65815">
        <w:t>al funding of this experiment.</w:t>
      </w:r>
    </w:p>
    <w:p w14:paraId="43D31A8C" w14:textId="77777777" w:rsidR="00073D88" w:rsidRDefault="00073D88" w:rsidP="00E65815">
      <w:pPr>
        <w:spacing w:line="480" w:lineRule="auto"/>
      </w:pPr>
    </w:p>
    <w:p w14:paraId="7A100BB9" w14:textId="77777777" w:rsidR="00A70ED3" w:rsidRPr="00A70ED3" w:rsidRDefault="00A70ED3" w:rsidP="00A70ED3"/>
    <w:p w14:paraId="3340B9FC" w14:textId="77777777" w:rsidR="005F4FDE" w:rsidRDefault="005F4FDE" w:rsidP="00551527">
      <w:pPr>
        <w:pStyle w:val="Heading2"/>
      </w:pPr>
    </w:p>
    <w:p w14:paraId="5724C6D5" w14:textId="77777777" w:rsidR="005F4FDE" w:rsidRDefault="005F4FDE" w:rsidP="00551527">
      <w:pPr>
        <w:pStyle w:val="Heading2"/>
      </w:pPr>
    </w:p>
    <w:p w14:paraId="778104DA" w14:textId="77777777" w:rsidR="000203E4" w:rsidRDefault="000203E4" w:rsidP="000203E4"/>
    <w:p w14:paraId="2BA40A6B" w14:textId="77777777" w:rsidR="000203E4" w:rsidRDefault="000203E4" w:rsidP="000203E4"/>
    <w:p w14:paraId="4F308203" w14:textId="77777777" w:rsidR="000203E4" w:rsidRDefault="000203E4" w:rsidP="000203E4"/>
    <w:p w14:paraId="12F89073" w14:textId="77777777" w:rsidR="000203E4" w:rsidRDefault="000203E4" w:rsidP="000203E4"/>
    <w:p w14:paraId="5F779800" w14:textId="77777777" w:rsidR="000203E4" w:rsidRDefault="000203E4" w:rsidP="000203E4"/>
    <w:p w14:paraId="0A0F10DE" w14:textId="77777777" w:rsidR="000203E4" w:rsidRDefault="000203E4" w:rsidP="000203E4"/>
    <w:p w14:paraId="7F06D874" w14:textId="77777777" w:rsidR="000203E4" w:rsidRDefault="000203E4" w:rsidP="000203E4"/>
    <w:p w14:paraId="44AAE91B" w14:textId="77777777" w:rsidR="000203E4" w:rsidRDefault="000203E4" w:rsidP="000203E4"/>
    <w:p w14:paraId="6BBD7A29" w14:textId="77777777" w:rsidR="000203E4" w:rsidRDefault="000203E4" w:rsidP="000203E4"/>
    <w:p w14:paraId="5F04706D" w14:textId="77777777" w:rsidR="000203E4" w:rsidRDefault="000203E4" w:rsidP="000203E4"/>
    <w:p w14:paraId="4859F76A" w14:textId="77777777" w:rsidR="000203E4" w:rsidRDefault="000203E4" w:rsidP="000203E4"/>
    <w:p w14:paraId="3E7573FA" w14:textId="77777777" w:rsidR="000203E4" w:rsidRPr="000203E4" w:rsidRDefault="000203E4" w:rsidP="000203E4"/>
    <w:p w14:paraId="184F5003" w14:textId="77777777" w:rsidR="00545E5A" w:rsidRPr="00545E5A" w:rsidRDefault="00545E5A" w:rsidP="00545E5A">
      <w:bookmarkStart w:id="124" w:name="_Toc466885929"/>
      <w:bookmarkStart w:id="125" w:name="_Toc466890560"/>
      <w:bookmarkStart w:id="126" w:name="_Toc466891195"/>
      <w:bookmarkStart w:id="127" w:name="_Toc466894877"/>
    </w:p>
    <w:p w14:paraId="7326022A" w14:textId="35BD500B" w:rsidR="007F4ACA" w:rsidRPr="00545E5A" w:rsidRDefault="007F4ACA" w:rsidP="00545E5A">
      <w:pPr>
        <w:pStyle w:val="Heading2"/>
        <w:spacing w:line="480" w:lineRule="auto"/>
      </w:pPr>
      <w:r w:rsidRPr="00D76ACF">
        <w:lastRenderedPageBreak/>
        <w:t>LITERATURE CITED</w:t>
      </w:r>
      <w:bookmarkEnd w:id="123"/>
      <w:bookmarkEnd w:id="124"/>
      <w:bookmarkEnd w:id="125"/>
      <w:bookmarkEnd w:id="126"/>
      <w:bookmarkEnd w:id="127"/>
    </w:p>
    <w:p w14:paraId="142DEDB6" w14:textId="77777777" w:rsidR="007F4ACA" w:rsidRPr="00190D0A" w:rsidRDefault="007F4ACA" w:rsidP="00545E5A">
      <w:pPr>
        <w:spacing w:line="480" w:lineRule="auto"/>
        <w:ind w:left="540" w:hanging="540"/>
      </w:pPr>
      <w:r w:rsidRPr="00190D0A">
        <w:t xml:space="preserve">Aoyagi, T., K. Kageyama, and M. Hyakumachi. 1998. Characterization and survival of </w:t>
      </w:r>
      <w:r w:rsidRPr="00190D0A">
        <w:rPr>
          <w:i/>
        </w:rPr>
        <w:t>Rhizoctonia solani</w:t>
      </w:r>
      <w:r w:rsidRPr="00190D0A">
        <w:t xml:space="preserve"> AG 2-2LP associated with large patch disease of Zoysia grass. Plant Dis. 82:857-863. </w:t>
      </w:r>
    </w:p>
    <w:p w14:paraId="41051AAF" w14:textId="77777777" w:rsidR="007F4ACA" w:rsidRPr="00190D0A" w:rsidRDefault="007F4ACA" w:rsidP="007F4ACA">
      <w:pPr>
        <w:spacing w:line="480" w:lineRule="auto"/>
        <w:ind w:left="540" w:hanging="540"/>
      </w:pPr>
      <w:r w:rsidRPr="00190D0A">
        <w:t xml:space="preserve">Armstrong-Cho, C., T. Wolf, G. Chongo, Y. Gan, T. Hogg, G. Lafond, E. Johnson, and S. Banniza. 2008. The effect of carrier volume on </w:t>
      </w:r>
      <w:r w:rsidRPr="00190D0A">
        <w:rPr>
          <w:i/>
        </w:rPr>
        <w:t>Ascochyta</w:t>
      </w:r>
      <w:r w:rsidRPr="00190D0A">
        <w:t xml:space="preserve"> blight (</w:t>
      </w:r>
      <w:r w:rsidRPr="00190D0A">
        <w:rPr>
          <w:i/>
        </w:rPr>
        <w:t>Ascochyta rabiei</w:t>
      </w:r>
      <w:r w:rsidRPr="00190D0A">
        <w:t>) control in chickpea. Crop Prot. 27:1020-1030.</w:t>
      </w:r>
    </w:p>
    <w:p w14:paraId="7BDD94EC" w14:textId="77777777" w:rsidR="007F4ACA" w:rsidRPr="00190D0A" w:rsidRDefault="007F4ACA" w:rsidP="007F4ACA">
      <w:pPr>
        <w:spacing w:line="480" w:lineRule="auto"/>
        <w:ind w:left="540" w:hanging="540"/>
      </w:pPr>
      <w:r w:rsidRPr="00190D0A">
        <w:t>Augusto, J., T.B. Brenneman, A.K. Culbreath, and P. Sumner. 2010. Night spraying peanut fungicide II. Application timings and spray deposition in the lower canopy. Plant Dis. 94:683-689.</w:t>
      </w:r>
    </w:p>
    <w:p w14:paraId="7EA70A68" w14:textId="77777777" w:rsidR="007F4ACA" w:rsidRPr="00190D0A" w:rsidRDefault="007F4ACA" w:rsidP="007F4ACA">
      <w:pPr>
        <w:spacing w:after="120" w:line="480" w:lineRule="auto"/>
        <w:ind w:left="720" w:hanging="720"/>
      </w:pPr>
      <w:r w:rsidRPr="00190D0A">
        <w:t>Beard, J.B. 2002. Turfgrass management for golf courses. Ann Arbor Press, Chelsea, MI.</w:t>
      </w:r>
    </w:p>
    <w:p w14:paraId="69472E8A" w14:textId="77777777" w:rsidR="007F4ACA" w:rsidRPr="00190D0A" w:rsidRDefault="007F4ACA" w:rsidP="007F4ACA">
      <w:pPr>
        <w:spacing w:line="480" w:lineRule="auto"/>
        <w:ind w:left="540" w:hanging="540"/>
      </w:pPr>
      <w:r w:rsidRPr="00190D0A">
        <w:t xml:space="preserve">Brudenell, A.J.P., D.A. Baker, and B.T. Grayson. 1995. Phloem mobility of xenobiotics: tabular review of physiochemical properties governing the output of the Kleier model. Plant Growth Regul. 16:215-231. </w:t>
      </w:r>
    </w:p>
    <w:p w14:paraId="6AD16096" w14:textId="77777777" w:rsidR="007F4ACA" w:rsidRPr="00190D0A" w:rsidRDefault="007F4ACA" w:rsidP="007F4ACA">
      <w:pPr>
        <w:spacing w:after="120" w:line="480" w:lineRule="auto"/>
        <w:ind w:left="720" w:hanging="720"/>
      </w:pPr>
      <w:r w:rsidRPr="00190D0A">
        <w:t xml:space="preserve">Burpee, L., and B. Martin. 1992. Biology of </w:t>
      </w:r>
      <w:r w:rsidRPr="00190D0A">
        <w:rPr>
          <w:i/>
        </w:rPr>
        <w:t>Rhizoctonia</w:t>
      </w:r>
      <w:r w:rsidRPr="00190D0A">
        <w:t xml:space="preserve"> species associated with turfgrasses. Plant Dis. 76:112-117. </w:t>
      </w:r>
    </w:p>
    <w:p w14:paraId="7D734F60" w14:textId="4CF67027" w:rsidR="007F4ACA" w:rsidRPr="00190D0A" w:rsidRDefault="007F4ACA" w:rsidP="007F4ACA">
      <w:pPr>
        <w:spacing w:line="480" w:lineRule="auto"/>
        <w:ind w:left="540" w:hanging="540"/>
      </w:pPr>
      <w:r w:rsidRPr="00190D0A">
        <w:t xml:space="preserve">Butzler, T.M., J. Bailey, and M.K. Beute. 1998. Integrated management of </w:t>
      </w:r>
      <w:r w:rsidRPr="00190D0A">
        <w:rPr>
          <w:i/>
        </w:rPr>
        <w:t>Sclerotinia</w:t>
      </w:r>
      <w:r w:rsidRPr="00190D0A">
        <w:t xml:space="preserve"> blight in peanut: utilizing canopy morphology, mechanical pruning, and fungicide timing. </w:t>
      </w:r>
      <w:r w:rsidR="001B7EE6">
        <w:t xml:space="preserve">Plant Dis. 82:1312-1318. </w:t>
      </w:r>
    </w:p>
    <w:p w14:paraId="4BB923DD" w14:textId="77777777" w:rsidR="007F4ACA" w:rsidRDefault="007F4ACA" w:rsidP="007F4ACA">
      <w:pPr>
        <w:spacing w:line="480" w:lineRule="auto"/>
        <w:ind w:left="540" w:hanging="540"/>
      </w:pPr>
      <w:r w:rsidRPr="00190D0A">
        <w:t xml:space="preserve">Csinos, A.S. 1989. Targeting fungicides for control of southern stem rot on peanut. Plant Dis. 73:723-726. </w:t>
      </w:r>
    </w:p>
    <w:p w14:paraId="18A1B738" w14:textId="2C9E185A" w:rsidR="00125FCE" w:rsidRDefault="00125FCE" w:rsidP="007F4ACA">
      <w:pPr>
        <w:spacing w:line="480" w:lineRule="auto"/>
        <w:ind w:left="540" w:hanging="540"/>
      </w:pPr>
      <w:r>
        <w:lastRenderedPageBreak/>
        <w:t xml:space="preserve">Damak, M., S.R. Mahmoudi, M.N. Hyder, and K.K. Varanasi. 2016. Enhancing droplet deposition through </w:t>
      </w:r>
      <w:r w:rsidRPr="00125FCE">
        <w:rPr>
          <w:i/>
        </w:rPr>
        <w:t>in-situ</w:t>
      </w:r>
      <w:r>
        <w:t xml:space="preserve"> precipitation. Nature. DOI: 10.1038/ncomms12560</w:t>
      </w:r>
      <w:r w:rsidR="001B7EE6">
        <w:t>.</w:t>
      </w:r>
    </w:p>
    <w:p w14:paraId="0EFEA255" w14:textId="77777777" w:rsidR="00540FE0" w:rsidRDefault="00540FE0" w:rsidP="007F4ACA">
      <w:pPr>
        <w:spacing w:line="480" w:lineRule="auto"/>
        <w:ind w:left="540" w:hanging="540"/>
      </w:pPr>
      <w:r>
        <w:t xml:space="preserve">Foque, D., J.G. Pieters, and D. Nuyttens. 2014. Effect of spray angle and spray volume on deposition of a medium droplet spray with air support in ivy pot plants. Pest. Manage. Sci. 70: 427-439. </w:t>
      </w:r>
    </w:p>
    <w:p w14:paraId="59A65930" w14:textId="2B9997DF" w:rsidR="00EC3A8F" w:rsidRPr="00190D0A" w:rsidRDefault="00EC3A8F" w:rsidP="007F4ACA">
      <w:pPr>
        <w:spacing w:line="480" w:lineRule="auto"/>
        <w:ind w:left="540" w:hanging="540"/>
      </w:pPr>
      <w:r>
        <w:t xml:space="preserve">Gaskin, R.E., K.D. Steele, </w:t>
      </w:r>
      <w:r w:rsidR="008B4B67">
        <w:t xml:space="preserve">and W.A. Forster. 2005. </w:t>
      </w:r>
      <w:r w:rsidR="001B7EE6">
        <w:t>Characterizing</w:t>
      </w:r>
      <w:r w:rsidR="008B4B67">
        <w:t xml:space="preserve"> plant surfaces for spray adhesion and retention. New Zealand Plant Prot. 58:179. </w:t>
      </w:r>
    </w:p>
    <w:p w14:paraId="5DB87D1F" w14:textId="1B45A176" w:rsidR="007F4ACA" w:rsidRPr="00190D0A" w:rsidRDefault="007F4ACA" w:rsidP="007F4ACA">
      <w:pPr>
        <w:spacing w:line="480" w:lineRule="auto"/>
        <w:ind w:left="540" w:hanging="540"/>
      </w:pPr>
      <w:r w:rsidRPr="00190D0A">
        <w:t xml:space="preserve">Green, D.E., J.D. Fry, J.C. Pair, and N.A. Tisserat. 1993. </w:t>
      </w:r>
      <w:r w:rsidR="001B7EE6" w:rsidRPr="00190D0A">
        <w:t>Pathogenicity</w:t>
      </w:r>
      <w:r w:rsidRPr="00190D0A">
        <w:t xml:space="preserve"> of </w:t>
      </w:r>
      <w:r w:rsidRPr="00540FE0">
        <w:rPr>
          <w:i/>
        </w:rPr>
        <w:t>Rhizoctonia solani</w:t>
      </w:r>
      <w:r w:rsidRPr="00190D0A">
        <w:t xml:space="preserve"> AG-2-2 and </w:t>
      </w:r>
      <w:r w:rsidRPr="00540FE0">
        <w:rPr>
          <w:i/>
        </w:rPr>
        <w:t>Ophiosphaerella herpotricha</w:t>
      </w:r>
      <w:r w:rsidRPr="00190D0A">
        <w:t xml:space="preserve"> on zoysiagrass. Plant Dis. 77:1040-1044. </w:t>
      </w:r>
    </w:p>
    <w:p w14:paraId="09A503AE" w14:textId="77777777" w:rsidR="007F4ACA" w:rsidRPr="00190D0A" w:rsidRDefault="007F4ACA" w:rsidP="007F4ACA">
      <w:pPr>
        <w:spacing w:line="480" w:lineRule="auto"/>
        <w:ind w:left="540" w:hanging="540"/>
      </w:pPr>
      <w:r w:rsidRPr="00190D0A">
        <w:t xml:space="preserve">Green, D.E., J.D. Fry, J.C. Pair, and N.A. Tisserat. 1994. Influence of management practices on </w:t>
      </w:r>
      <w:r w:rsidRPr="00190D0A">
        <w:rPr>
          <w:i/>
        </w:rPr>
        <w:t>Rhizoctonia</w:t>
      </w:r>
      <w:r w:rsidRPr="00190D0A">
        <w:t xml:space="preserve"> large patch disease in zoysiagrass. HortScience 29:186-188. </w:t>
      </w:r>
    </w:p>
    <w:p w14:paraId="1A8ACF87" w14:textId="481E1C44" w:rsidR="007F4ACA" w:rsidRPr="00190D0A" w:rsidRDefault="007F4ACA" w:rsidP="007F4ACA">
      <w:pPr>
        <w:spacing w:line="480" w:lineRule="auto"/>
        <w:ind w:left="540" w:hanging="540"/>
      </w:pPr>
      <w:r w:rsidRPr="00190D0A">
        <w:t>Kaminski, J.E., and M.A. Fidanza. 2009. Dollar spot severity as influenced by fungicide mode of activi</w:t>
      </w:r>
      <w:r w:rsidR="001B7EE6">
        <w:t>ty and spray nozzle. HortSci</w:t>
      </w:r>
      <w:r w:rsidRPr="00190D0A">
        <w:t xml:space="preserve">. 44:1762-1766. </w:t>
      </w:r>
    </w:p>
    <w:p w14:paraId="5A48330D" w14:textId="128B5499" w:rsidR="007F4ACA" w:rsidRPr="00190D0A" w:rsidRDefault="007F4ACA" w:rsidP="00190D0A">
      <w:pPr>
        <w:spacing w:line="480" w:lineRule="auto"/>
        <w:ind w:left="540" w:hanging="540"/>
      </w:pPr>
      <w:r w:rsidRPr="00190D0A">
        <w:t>Keeley, SJ, Branham BE, Penner D. (1997) Adjuvant enhancement of large crabgrass (</w:t>
      </w:r>
      <w:r w:rsidRPr="001B7EE6">
        <w:rPr>
          <w:i/>
        </w:rPr>
        <w:t>Digitaria sanguinalis</w:t>
      </w:r>
      <w:r w:rsidRPr="00190D0A">
        <w:t>) control with d</w:t>
      </w:r>
      <w:r w:rsidR="00190D0A">
        <w:t>ithiopyr. Weed Sci</w:t>
      </w:r>
      <w:r w:rsidR="001B7EE6">
        <w:t>.</w:t>
      </w:r>
      <w:r w:rsidR="00190D0A">
        <w:t xml:space="preserve"> 45: 205-211.</w:t>
      </w:r>
    </w:p>
    <w:p w14:paraId="1EDB5EBA" w14:textId="77777777" w:rsidR="007F4ACA" w:rsidRPr="00190D0A" w:rsidRDefault="007F4ACA" w:rsidP="007F4ACA">
      <w:pPr>
        <w:spacing w:line="480" w:lineRule="auto"/>
        <w:ind w:left="540" w:hanging="540"/>
      </w:pPr>
      <w:r w:rsidRPr="00190D0A">
        <w:t xml:space="preserve">Kennelly, M.M., and R.E. Wolf. 2009. Effect of nozzle type and water volume on dollar spot control in greens-height creeping bentgrass. Appl. Turfgrass Sci. doi:10.1094/ATS-2009-0921-01-RS. </w:t>
      </w:r>
    </w:p>
    <w:p w14:paraId="60CDD9B7" w14:textId="7403A35F" w:rsidR="007F4ACA" w:rsidRPr="00190D0A" w:rsidRDefault="007F4ACA" w:rsidP="007F4ACA">
      <w:pPr>
        <w:spacing w:line="480" w:lineRule="auto"/>
        <w:ind w:left="540" w:hanging="540"/>
      </w:pPr>
      <w:r w:rsidRPr="00190D0A">
        <w:t>Latin, R. 2011. A practical gui</w:t>
      </w:r>
      <w:r w:rsidR="001B7EE6">
        <w:t xml:space="preserve">de to turfgrass fungicides. </w:t>
      </w:r>
      <w:r w:rsidRPr="00190D0A">
        <w:t xml:space="preserve">American Phytopathological Society, St. Paul, MN. </w:t>
      </w:r>
    </w:p>
    <w:p w14:paraId="54261AA5" w14:textId="77777777" w:rsidR="007F4ACA" w:rsidRDefault="007F4ACA" w:rsidP="007F4ACA">
      <w:pPr>
        <w:spacing w:line="480" w:lineRule="auto"/>
        <w:ind w:left="540" w:hanging="540"/>
      </w:pPr>
      <w:r w:rsidRPr="00190D0A">
        <w:lastRenderedPageBreak/>
        <w:t xml:space="preserve">McDonald, S.J., P.H. Dernoeden, and C.A. Bigelow. 2006. Dollar spot control in creeping bentgrass as influenced by spray volume and application timing. Appl. Turfgrass Sci. doi:10.1094/ATS-2006-0531-01-RS. </w:t>
      </w:r>
    </w:p>
    <w:p w14:paraId="54D90BA0" w14:textId="77777777" w:rsidR="004B5EE6" w:rsidRPr="00190D0A" w:rsidRDefault="004B5EE6" w:rsidP="007F4ACA">
      <w:pPr>
        <w:spacing w:line="480" w:lineRule="auto"/>
        <w:ind w:left="540" w:hanging="540"/>
      </w:pPr>
      <w:r>
        <w:t>McGinnis, M.R., A. Padhye, and L. Ajello. 1974. Storage of stock cultures of filamentous fungi, yeast, and some aerobic actinomycetes in sterile distilled water. Appl. Mircobiol. 28</w:t>
      </w:r>
      <w:r w:rsidR="005E7AD0">
        <w:t xml:space="preserve">: 218-222. </w:t>
      </w:r>
    </w:p>
    <w:p w14:paraId="259FD13E" w14:textId="043C63C3" w:rsidR="007F4ACA" w:rsidRDefault="007F4ACA" w:rsidP="007F4ACA">
      <w:pPr>
        <w:spacing w:line="480" w:lineRule="auto"/>
        <w:ind w:left="540" w:hanging="540"/>
      </w:pPr>
      <w:r w:rsidRPr="00190D0A">
        <w:t>Miller, G.L., D.T. Earlywine, R. Braun, J.D. Fry, and M.M. Kennelly. 2016. Influence of nitrogen source and application timing on l</w:t>
      </w:r>
      <w:r w:rsidR="001B7EE6">
        <w:t>arge patch of zoysiagrass. Crop For. Turf. Manage</w:t>
      </w:r>
      <w:r w:rsidRPr="00190D0A">
        <w:t>. Doi:10.2134/cftm2015.0189</w:t>
      </w:r>
      <w:r w:rsidRPr="00190D0A">
        <w:tab/>
      </w:r>
    </w:p>
    <w:p w14:paraId="7F2B0260" w14:textId="78725971" w:rsidR="00EA666E" w:rsidRDefault="00EA666E" w:rsidP="00EA666E">
      <w:pPr>
        <w:spacing w:after="120" w:line="480" w:lineRule="auto"/>
        <w:ind w:left="720" w:hanging="720"/>
      </w:pPr>
      <w:r>
        <w:t xml:space="preserve">Obasa, K., J. Fry, and M. Kennelly. 2012. Susceptibility of zoysiagrass germplasm to large patch caused by </w:t>
      </w:r>
      <w:r>
        <w:rPr>
          <w:i/>
        </w:rPr>
        <w:t>Rhizoctonia solani</w:t>
      </w:r>
      <w:r w:rsidR="001B7EE6">
        <w:t xml:space="preserve">. </w:t>
      </w:r>
      <w:r w:rsidR="000203E4" w:rsidRPr="000203E4">
        <w:t xml:space="preserve">HortScience </w:t>
      </w:r>
      <w:r>
        <w:t>47:1252-1256.</w:t>
      </w:r>
    </w:p>
    <w:p w14:paraId="30070853" w14:textId="77777777" w:rsidR="007F4ACA" w:rsidRPr="00190D0A" w:rsidRDefault="007F4ACA" w:rsidP="00EA666E">
      <w:pPr>
        <w:spacing w:after="120" w:line="480" w:lineRule="auto"/>
        <w:ind w:left="720" w:hanging="720"/>
      </w:pPr>
      <w:r w:rsidRPr="00190D0A">
        <w:t>Obasa, K., J.Fry, D. Bremer, R.S. John, and M. Kennelly. 2013. Effect of cultivation and timing of nitrogen fertilization on large patch disease of zoysiagrass. Plant Dis. 97:1075-1081</w:t>
      </w:r>
    </w:p>
    <w:p w14:paraId="18D71DEA" w14:textId="77777777" w:rsidR="007F4ACA" w:rsidRPr="00190D0A" w:rsidRDefault="007F4ACA" w:rsidP="007F4ACA">
      <w:pPr>
        <w:spacing w:line="480" w:lineRule="auto"/>
        <w:ind w:left="540" w:hanging="540"/>
      </w:pPr>
      <w:r w:rsidRPr="00190D0A">
        <w:t xml:space="preserve">Richardson, M.D., D.E. Karcher, and L.C. Purcell. 2001. Quantifying turfgrass cover using digital image analysis. Crop Sci. 41:1884-1888. </w:t>
      </w:r>
    </w:p>
    <w:p w14:paraId="0FA3519C" w14:textId="77777777" w:rsidR="007F4ACA" w:rsidRPr="00190D0A" w:rsidRDefault="007F4ACA" w:rsidP="007F4ACA">
      <w:pPr>
        <w:spacing w:line="480" w:lineRule="auto"/>
        <w:ind w:left="540" w:hanging="540"/>
      </w:pPr>
      <w:r w:rsidRPr="00190D0A">
        <w:t>Saxton, A.M. 2010. Design and Analysis Web Guide. DAWG Web site. Available online: http://dawg.utk.edu/ (accessed on 16 July 2016).</w:t>
      </w:r>
    </w:p>
    <w:p w14:paraId="077E789C" w14:textId="77777777" w:rsidR="007F4ACA" w:rsidRPr="00190D0A" w:rsidRDefault="007F4ACA" w:rsidP="007F4ACA">
      <w:pPr>
        <w:spacing w:line="480" w:lineRule="auto"/>
        <w:ind w:left="540" w:hanging="540"/>
      </w:pPr>
      <w:r w:rsidRPr="00190D0A">
        <w:t xml:space="preserve">Spurlock, T.N. 2009. Epidemiology and etiology of zoysiagrass diseases in Northwest Arkansas. M.S. thesis. Univ. of Arkansas, Fayetteville. </w:t>
      </w:r>
    </w:p>
    <w:p w14:paraId="19E5AF39" w14:textId="77777777" w:rsidR="007F4ACA" w:rsidRPr="00190D0A" w:rsidRDefault="007F4ACA" w:rsidP="007F4ACA">
      <w:pPr>
        <w:spacing w:line="480" w:lineRule="auto"/>
        <w:ind w:left="540" w:hanging="540"/>
      </w:pPr>
      <w:r w:rsidRPr="00190D0A">
        <w:t xml:space="preserve">Tisserat, N.A., J. Fry, and D. Green. 1994. Managing </w:t>
      </w:r>
      <w:r w:rsidRPr="00190D0A">
        <w:rPr>
          <w:i/>
        </w:rPr>
        <w:t xml:space="preserve">Rhizoctonia </w:t>
      </w:r>
      <w:r w:rsidRPr="00190D0A">
        <w:t xml:space="preserve">large patch. Golf Course Manage. 62:58-61. </w:t>
      </w:r>
    </w:p>
    <w:p w14:paraId="1B7FDA2D" w14:textId="77777777" w:rsidR="007F4ACA" w:rsidRPr="00190D0A" w:rsidRDefault="007F4ACA" w:rsidP="007F4ACA">
      <w:pPr>
        <w:spacing w:line="480" w:lineRule="auto"/>
        <w:ind w:left="540" w:hanging="540"/>
      </w:pPr>
      <w:r w:rsidRPr="00190D0A">
        <w:t>Turgeon, A.J. 2008. Turfgrass management. 8</w:t>
      </w:r>
      <w:r w:rsidRPr="00190D0A">
        <w:rPr>
          <w:vertAlign w:val="superscript"/>
        </w:rPr>
        <w:t>th</w:t>
      </w:r>
      <w:r w:rsidRPr="00190D0A">
        <w:t xml:space="preserve"> ed. Prentice Hall, Upper Saddle River, NJ. </w:t>
      </w:r>
    </w:p>
    <w:p w14:paraId="12E1BA3B" w14:textId="77777777" w:rsidR="007F4ACA" w:rsidRDefault="007F4ACA" w:rsidP="007F4ACA">
      <w:pPr>
        <w:spacing w:line="480" w:lineRule="auto"/>
        <w:ind w:left="540" w:hanging="540"/>
      </w:pPr>
      <w:r w:rsidRPr="00190D0A">
        <w:lastRenderedPageBreak/>
        <w:t>Vincelli, P. and E. Dixon. 2007. Does spray coverage influence fungicide efficacy against dollar spot? Appl. Turfgrass Sci. doi:10.1094/ATS-2007-1218-01-RS.</w:t>
      </w:r>
      <w:r>
        <w:t xml:space="preserve"> </w:t>
      </w:r>
    </w:p>
    <w:p w14:paraId="78B220A7" w14:textId="77777777" w:rsidR="008B02DE" w:rsidRDefault="008B02DE" w:rsidP="007F4ACA">
      <w:pPr>
        <w:spacing w:line="480" w:lineRule="auto"/>
        <w:ind w:left="540" w:hanging="540"/>
      </w:pPr>
      <w:r>
        <w:t xml:space="preserve">Wicks, T.J., and L.F. Nitschke. 1986. Control of apple diseases and pests with low spray volumes and reduced chemical rates. Crop Prot. 5: 283-287. </w:t>
      </w:r>
    </w:p>
    <w:p w14:paraId="649BA1D9" w14:textId="77777777" w:rsidR="007F4ACA" w:rsidRDefault="007F4ACA" w:rsidP="007F4ACA">
      <w:pPr>
        <w:pStyle w:val="Caption"/>
        <w:rPr>
          <w:rFonts w:ascii="Arial" w:hAnsi="Arial" w:cs="Arial"/>
          <w:sz w:val="24"/>
        </w:rPr>
      </w:pPr>
    </w:p>
    <w:p w14:paraId="419CF359" w14:textId="77777777" w:rsidR="007F4ACA" w:rsidRDefault="007F4ACA" w:rsidP="00213EEF"/>
    <w:p w14:paraId="3D307E4A" w14:textId="77777777" w:rsidR="007F4ACA" w:rsidRDefault="007F4ACA" w:rsidP="00213EEF"/>
    <w:p w14:paraId="0869B860" w14:textId="77777777" w:rsidR="007F4ACA" w:rsidRDefault="007F4ACA" w:rsidP="00213EEF"/>
    <w:p w14:paraId="5AD2E608" w14:textId="77777777" w:rsidR="007F4ACA" w:rsidRDefault="007F4ACA" w:rsidP="00213EEF"/>
    <w:p w14:paraId="67CFB2B8" w14:textId="77777777" w:rsidR="007F4ACA" w:rsidRDefault="007F4ACA" w:rsidP="00213EEF"/>
    <w:p w14:paraId="260839AD" w14:textId="77777777" w:rsidR="007F4ACA" w:rsidRDefault="007F4ACA" w:rsidP="00213EEF"/>
    <w:p w14:paraId="24996CDA" w14:textId="77777777" w:rsidR="007F4ACA" w:rsidRDefault="007F4ACA" w:rsidP="00213EEF"/>
    <w:p w14:paraId="2CF1BA38" w14:textId="77777777" w:rsidR="007F4ACA" w:rsidRDefault="007F4ACA" w:rsidP="007F4ACA"/>
    <w:p w14:paraId="5081B3B6" w14:textId="77777777" w:rsidR="007F4ACA" w:rsidRDefault="007F4ACA" w:rsidP="007F4ACA"/>
    <w:p w14:paraId="1AD81DE4" w14:textId="77777777" w:rsidR="007F4ACA" w:rsidRDefault="007F4ACA" w:rsidP="007F4ACA"/>
    <w:p w14:paraId="6FFF8652" w14:textId="77777777" w:rsidR="007F4ACA" w:rsidRDefault="007F4ACA" w:rsidP="00551527">
      <w:pPr>
        <w:pStyle w:val="Heading2"/>
      </w:pPr>
      <w:bookmarkStart w:id="128" w:name="_Toc353890913"/>
    </w:p>
    <w:p w14:paraId="38D0F778" w14:textId="77777777" w:rsidR="007F4ACA" w:rsidRDefault="007F4ACA" w:rsidP="00551527">
      <w:pPr>
        <w:pStyle w:val="Heading2"/>
      </w:pPr>
    </w:p>
    <w:p w14:paraId="43B27DDA" w14:textId="77777777" w:rsidR="007F4ACA" w:rsidRDefault="007F4ACA" w:rsidP="00551527">
      <w:pPr>
        <w:pStyle w:val="Heading2"/>
      </w:pPr>
    </w:p>
    <w:p w14:paraId="3192E412" w14:textId="77777777" w:rsidR="00141688" w:rsidRDefault="00141688" w:rsidP="00141688"/>
    <w:p w14:paraId="6B445224" w14:textId="77777777" w:rsidR="00141688" w:rsidRDefault="00141688" w:rsidP="00141688"/>
    <w:p w14:paraId="3710137C" w14:textId="77777777" w:rsidR="00141688" w:rsidRDefault="00141688" w:rsidP="00141688"/>
    <w:p w14:paraId="7EC83ECE" w14:textId="77777777" w:rsidR="00141688" w:rsidRDefault="00141688" w:rsidP="00141688"/>
    <w:p w14:paraId="631E5EF8" w14:textId="77777777" w:rsidR="00141688" w:rsidRDefault="00141688" w:rsidP="00141688"/>
    <w:p w14:paraId="1F2E2CEF" w14:textId="77777777" w:rsidR="00141688" w:rsidRDefault="00141688" w:rsidP="00141688"/>
    <w:p w14:paraId="497E8253" w14:textId="77777777" w:rsidR="00141688" w:rsidRDefault="00141688" w:rsidP="00141688"/>
    <w:p w14:paraId="155A7828" w14:textId="77777777" w:rsidR="00141688" w:rsidRDefault="00141688" w:rsidP="00141688"/>
    <w:p w14:paraId="492C990C" w14:textId="77777777" w:rsidR="00141688" w:rsidRDefault="00141688" w:rsidP="008C6C27">
      <w:pPr>
        <w:pStyle w:val="Heading2"/>
        <w:jc w:val="left"/>
      </w:pPr>
    </w:p>
    <w:p w14:paraId="4EF83102" w14:textId="77777777" w:rsidR="00141688" w:rsidRDefault="00141688" w:rsidP="00551527">
      <w:pPr>
        <w:pStyle w:val="Heading2"/>
      </w:pPr>
    </w:p>
    <w:p w14:paraId="227CF6CA" w14:textId="77777777" w:rsidR="00141688" w:rsidRDefault="00141688" w:rsidP="00551527">
      <w:pPr>
        <w:pStyle w:val="Heading2"/>
      </w:pPr>
    </w:p>
    <w:p w14:paraId="0F208AD6" w14:textId="77777777" w:rsidR="004C213B" w:rsidRDefault="004C213B" w:rsidP="00551527">
      <w:pPr>
        <w:pStyle w:val="Heading2"/>
      </w:pPr>
      <w:bookmarkStart w:id="129" w:name="_Toc466885930"/>
      <w:bookmarkStart w:id="130" w:name="_Toc466890561"/>
      <w:bookmarkStart w:id="131" w:name="_Toc466891196"/>
      <w:bookmarkStart w:id="132" w:name="_Toc466894878"/>
    </w:p>
    <w:p w14:paraId="6E7AFD65" w14:textId="77777777" w:rsidR="004C213B" w:rsidRDefault="004C213B" w:rsidP="00551527">
      <w:pPr>
        <w:pStyle w:val="Heading2"/>
      </w:pPr>
    </w:p>
    <w:p w14:paraId="7F57FABB" w14:textId="77777777" w:rsidR="004C213B" w:rsidRDefault="004C213B" w:rsidP="00551527">
      <w:pPr>
        <w:pStyle w:val="Heading2"/>
      </w:pPr>
    </w:p>
    <w:p w14:paraId="6D3ADFA0" w14:textId="77777777" w:rsidR="004C213B" w:rsidRDefault="004C213B" w:rsidP="00551527">
      <w:pPr>
        <w:pStyle w:val="Heading2"/>
      </w:pPr>
    </w:p>
    <w:p w14:paraId="072776DA" w14:textId="77777777" w:rsidR="00470DFB" w:rsidRDefault="00470DFB" w:rsidP="00551527">
      <w:pPr>
        <w:pStyle w:val="Heading2"/>
      </w:pPr>
    </w:p>
    <w:p w14:paraId="1007407F" w14:textId="77777777" w:rsidR="00470DFB" w:rsidRDefault="00470DFB" w:rsidP="00551527">
      <w:pPr>
        <w:pStyle w:val="Heading2"/>
      </w:pPr>
    </w:p>
    <w:p w14:paraId="3DC4A005" w14:textId="6E8F20B3" w:rsidR="00E1144C" w:rsidRPr="00D76ACF" w:rsidRDefault="007F4ACA" w:rsidP="00551527">
      <w:pPr>
        <w:pStyle w:val="Heading2"/>
        <w:sectPr w:rsidR="00E1144C" w:rsidRPr="00D76ACF" w:rsidSect="008C6C27">
          <w:pgSz w:w="12240" w:h="15840"/>
          <w:pgMar w:top="1440" w:right="1440" w:bottom="1440" w:left="1440" w:header="720" w:footer="1440" w:gutter="0"/>
          <w:pgNumType w:start="41"/>
          <w:cols w:space="720"/>
          <w:docGrid w:linePitch="326"/>
        </w:sectPr>
      </w:pPr>
      <w:r w:rsidRPr="00D76ACF">
        <w:t>APPENDIX</w:t>
      </w:r>
      <w:bookmarkStart w:id="133" w:name="_Toc353890914"/>
      <w:bookmarkEnd w:id="128"/>
      <w:r w:rsidR="005F4FDE">
        <w:br/>
      </w:r>
      <w:r w:rsidR="005F4FDE">
        <w:br/>
      </w:r>
      <w:r w:rsidRPr="00D76ACF">
        <w:t>TABLES AND FIGU</w:t>
      </w:r>
      <w:bookmarkEnd w:id="133"/>
      <w:r w:rsidR="00E1144C" w:rsidRPr="00D76ACF">
        <w:t>RES</w:t>
      </w:r>
      <w:bookmarkEnd w:id="129"/>
      <w:bookmarkEnd w:id="130"/>
      <w:bookmarkEnd w:id="131"/>
      <w:bookmarkEnd w:id="132"/>
    </w:p>
    <w:tbl>
      <w:tblPr>
        <w:tblpPr w:leftFromText="180" w:rightFromText="180" w:vertAnchor="text" w:horzAnchor="margin" w:tblpY="1126"/>
        <w:tblW w:w="12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7"/>
        <w:gridCol w:w="811"/>
        <w:gridCol w:w="1081"/>
        <w:gridCol w:w="1081"/>
        <w:gridCol w:w="990"/>
        <w:gridCol w:w="1080"/>
        <w:gridCol w:w="1170"/>
        <w:gridCol w:w="990"/>
        <w:gridCol w:w="1080"/>
        <w:gridCol w:w="1080"/>
        <w:gridCol w:w="1170"/>
      </w:tblGrid>
      <w:tr w:rsidR="00E1144C" w14:paraId="13546864" w14:textId="77777777" w:rsidTr="00E1144C">
        <w:trPr>
          <w:trHeight w:val="181"/>
        </w:trPr>
        <w:tc>
          <w:tcPr>
            <w:tcW w:w="2337" w:type="dxa"/>
            <w:tcBorders>
              <w:top w:val="single" w:sz="4" w:space="0" w:color="auto"/>
              <w:left w:val="nil"/>
              <w:bottom w:val="nil"/>
              <w:right w:val="nil"/>
            </w:tcBorders>
            <w:vAlign w:val="center"/>
          </w:tcPr>
          <w:p w14:paraId="5A7ED2DD" w14:textId="77777777" w:rsidR="00E1144C" w:rsidRDefault="00E1144C" w:rsidP="00E1144C">
            <w:pPr>
              <w:rPr>
                <w:rFonts w:eastAsia="Cambria"/>
                <w:color w:val="000000"/>
              </w:rPr>
            </w:pPr>
          </w:p>
        </w:tc>
        <w:tc>
          <w:tcPr>
            <w:tcW w:w="811" w:type="dxa"/>
            <w:tcBorders>
              <w:top w:val="single" w:sz="4" w:space="0" w:color="auto"/>
              <w:left w:val="nil"/>
              <w:bottom w:val="nil"/>
              <w:right w:val="nil"/>
            </w:tcBorders>
            <w:vAlign w:val="center"/>
          </w:tcPr>
          <w:p w14:paraId="4E6C4DD0" w14:textId="77777777" w:rsidR="00E1144C" w:rsidRDefault="00E1144C" w:rsidP="00E1144C">
            <w:pPr>
              <w:jc w:val="center"/>
              <w:rPr>
                <w:rFonts w:eastAsia="Cambria"/>
                <w:color w:val="000000"/>
              </w:rPr>
            </w:pPr>
          </w:p>
        </w:tc>
        <w:tc>
          <w:tcPr>
            <w:tcW w:w="3152" w:type="dxa"/>
            <w:gridSpan w:val="3"/>
            <w:tcBorders>
              <w:top w:val="single" w:sz="4" w:space="0" w:color="auto"/>
              <w:left w:val="nil"/>
              <w:bottom w:val="nil"/>
              <w:right w:val="nil"/>
            </w:tcBorders>
            <w:vAlign w:val="center"/>
            <w:hideMark/>
          </w:tcPr>
          <w:p w14:paraId="2BF20320" w14:textId="77777777" w:rsidR="00E1144C" w:rsidRDefault="00E1144C" w:rsidP="00E1144C">
            <w:pPr>
              <w:jc w:val="center"/>
              <w:rPr>
                <w:rFonts w:eastAsia="Cambria"/>
                <w:color w:val="000000"/>
                <w:u w:val="single"/>
              </w:rPr>
            </w:pPr>
            <w:r>
              <w:rPr>
                <w:rFonts w:eastAsia="Cambria"/>
                <w:color w:val="000000"/>
                <w:u w:val="single"/>
              </w:rPr>
              <w:t>Farm Golf Club</w:t>
            </w:r>
          </w:p>
        </w:tc>
        <w:tc>
          <w:tcPr>
            <w:tcW w:w="5400" w:type="dxa"/>
            <w:gridSpan w:val="5"/>
            <w:tcBorders>
              <w:top w:val="single" w:sz="4" w:space="0" w:color="auto"/>
              <w:left w:val="nil"/>
              <w:bottom w:val="nil"/>
              <w:right w:val="nil"/>
            </w:tcBorders>
            <w:vAlign w:val="center"/>
            <w:hideMark/>
          </w:tcPr>
          <w:p w14:paraId="7E6E9EF0" w14:textId="77777777" w:rsidR="00E1144C" w:rsidRDefault="00E1144C" w:rsidP="00E1144C">
            <w:pPr>
              <w:jc w:val="center"/>
              <w:rPr>
                <w:rFonts w:eastAsia="Cambria"/>
                <w:color w:val="000000"/>
                <w:u w:val="single"/>
              </w:rPr>
            </w:pPr>
            <w:r>
              <w:rPr>
                <w:rFonts w:eastAsia="Cambria"/>
                <w:color w:val="000000"/>
                <w:u w:val="single"/>
              </w:rPr>
              <w:t>Gettysvue Golf and Polo Club</w:t>
            </w:r>
          </w:p>
        </w:tc>
        <w:tc>
          <w:tcPr>
            <w:tcW w:w="1170" w:type="dxa"/>
            <w:tcBorders>
              <w:top w:val="single" w:sz="4" w:space="0" w:color="auto"/>
              <w:left w:val="nil"/>
              <w:bottom w:val="nil"/>
              <w:right w:val="nil"/>
            </w:tcBorders>
          </w:tcPr>
          <w:p w14:paraId="74D465DB" w14:textId="77777777" w:rsidR="00E1144C" w:rsidRDefault="00E1144C" w:rsidP="00E1144C">
            <w:pPr>
              <w:jc w:val="center"/>
              <w:rPr>
                <w:rFonts w:eastAsia="Cambria"/>
                <w:color w:val="000000"/>
              </w:rPr>
            </w:pPr>
          </w:p>
        </w:tc>
      </w:tr>
      <w:tr w:rsidR="00E1144C" w14:paraId="772898ED" w14:textId="77777777" w:rsidTr="00E1144C">
        <w:trPr>
          <w:trHeight w:val="181"/>
        </w:trPr>
        <w:tc>
          <w:tcPr>
            <w:tcW w:w="2337" w:type="dxa"/>
            <w:tcBorders>
              <w:top w:val="nil"/>
              <w:left w:val="nil"/>
              <w:bottom w:val="single" w:sz="4" w:space="0" w:color="auto"/>
              <w:right w:val="nil"/>
            </w:tcBorders>
            <w:vAlign w:val="bottom"/>
            <w:hideMark/>
          </w:tcPr>
          <w:p w14:paraId="2835721C" w14:textId="77777777" w:rsidR="00E1144C" w:rsidRDefault="00E1144C" w:rsidP="00E1144C">
            <w:pPr>
              <w:rPr>
                <w:rFonts w:eastAsia="Cambria"/>
                <w:color w:val="000000"/>
              </w:rPr>
            </w:pPr>
            <w:r>
              <w:rPr>
                <w:rFonts w:eastAsia="Cambria"/>
                <w:color w:val="000000"/>
              </w:rPr>
              <w:t>Source</w:t>
            </w:r>
          </w:p>
        </w:tc>
        <w:tc>
          <w:tcPr>
            <w:tcW w:w="811" w:type="dxa"/>
            <w:tcBorders>
              <w:top w:val="nil"/>
              <w:left w:val="nil"/>
              <w:bottom w:val="single" w:sz="4" w:space="0" w:color="auto"/>
              <w:right w:val="nil"/>
            </w:tcBorders>
            <w:vAlign w:val="bottom"/>
            <w:hideMark/>
          </w:tcPr>
          <w:p w14:paraId="25677557" w14:textId="77777777" w:rsidR="00E1144C" w:rsidRDefault="00E1144C" w:rsidP="00E1144C">
            <w:pPr>
              <w:jc w:val="center"/>
              <w:rPr>
                <w:rFonts w:eastAsia="Cambria"/>
                <w:color w:val="000000"/>
              </w:rPr>
            </w:pPr>
            <w:r>
              <w:rPr>
                <w:rFonts w:eastAsia="Cambria"/>
                <w:color w:val="000000"/>
              </w:rPr>
              <w:t>df</w:t>
            </w:r>
          </w:p>
        </w:tc>
        <w:tc>
          <w:tcPr>
            <w:tcW w:w="1081" w:type="dxa"/>
            <w:tcBorders>
              <w:top w:val="nil"/>
              <w:left w:val="nil"/>
              <w:bottom w:val="single" w:sz="4" w:space="0" w:color="auto"/>
              <w:right w:val="nil"/>
            </w:tcBorders>
            <w:vAlign w:val="center"/>
            <w:hideMark/>
          </w:tcPr>
          <w:p w14:paraId="0D0D43EE" w14:textId="77777777" w:rsidR="00E1144C" w:rsidRDefault="00E1144C" w:rsidP="00E1144C">
            <w:pPr>
              <w:jc w:val="center"/>
              <w:rPr>
                <w:rFonts w:eastAsia="Cambria"/>
                <w:color w:val="000000"/>
              </w:rPr>
            </w:pPr>
            <w:r>
              <w:rPr>
                <w:rFonts w:eastAsia="Cambria"/>
                <w:color w:val="000000"/>
              </w:rPr>
              <w:t>OCT 30</w:t>
            </w:r>
          </w:p>
          <w:p w14:paraId="50F3B336" w14:textId="77777777" w:rsidR="00E1144C" w:rsidRDefault="00E1144C" w:rsidP="00E1144C">
            <w:pPr>
              <w:jc w:val="center"/>
              <w:rPr>
                <w:rFonts w:eastAsia="Cambria"/>
                <w:color w:val="000000"/>
              </w:rPr>
            </w:pPr>
            <w:r>
              <w:rPr>
                <w:rFonts w:eastAsia="Cambria"/>
                <w:color w:val="000000"/>
              </w:rPr>
              <w:t>2015</w:t>
            </w:r>
          </w:p>
        </w:tc>
        <w:tc>
          <w:tcPr>
            <w:tcW w:w="1081" w:type="dxa"/>
            <w:tcBorders>
              <w:top w:val="nil"/>
              <w:left w:val="nil"/>
              <w:bottom w:val="single" w:sz="4" w:space="0" w:color="auto"/>
              <w:right w:val="nil"/>
            </w:tcBorders>
            <w:vAlign w:val="center"/>
            <w:hideMark/>
          </w:tcPr>
          <w:p w14:paraId="302F0FD6" w14:textId="77777777" w:rsidR="00E1144C" w:rsidRDefault="00E1144C" w:rsidP="00E1144C">
            <w:pPr>
              <w:jc w:val="center"/>
              <w:rPr>
                <w:rFonts w:eastAsia="Cambria"/>
                <w:color w:val="000000"/>
              </w:rPr>
            </w:pPr>
            <w:r>
              <w:rPr>
                <w:rFonts w:eastAsia="Cambria"/>
                <w:color w:val="000000"/>
              </w:rPr>
              <w:t>MAR 29</w:t>
            </w:r>
          </w:p>
          <w:p w14:paraId="187F49D4" w14:textId="77777777" w:rsidR="00E1144C" w:rsidRDefault="00E1144C" w:rsidP="00E1144C">
            <w:pPr>
              <w:jc w:val="center"/>
              <w:rPr>
                <w:rFonts w:eastAsia="Cambria"/>
                <w:color w:val="000000"/>
              </w:rPr>
            </w:pPr>
            <w:r>
              <w:rPr>
                <w:rFonts w:eastAsia="Cambria"/>
                <w:color w:val="000000"/>
              </w:rPr>
              <w:t>2016</w:t>
            </w:r>
          </w:p>
        </w:tc>
        <w:tc>
          <w:tcPr>
            <w:tcW w:w="990" w:type="dxa"/>
            <w:tcBorders>
              <w:top w:val="nil"/>
              <w:left w:val="nil"/>
              <w:bottom w:val="single" w:sz="4" w:space="0" w:color="auto"/>
              <w:right w:val="nil"/>
            </w:tcBorders>
            <w:vAlign w:val="center"/>
            <w:hideMark/>
          </w:tcPr>
          <w:p w14:paraId="66400F9F" w14:textId="77777777" w:rsidR="00E1144C" w:rsidRDefault="00E1144C" w:rsidP="00E1144C">
            <w:pPr>
              <w:jc w:val="center"/>
              <w:rPr>
                <w:rFonts w:eastAsia="Cambria"/>
                <w:color w:val="000000"/>
              </w:rPr>
            </w:pPr>
            <w:r>
              <w:rPr>
                <w:rFonts w:eastAsia="Cambria"/>
                <w:color w:val="000000"/>
              </w:rPr>
              <w:t>MAY 6</w:t>
            </w:r>
          </w:p>
          <w:p w14:paraId="42A43D26" w14:textId="77777777" w:rsidR="00E1144C" w:rsidRDefault="00E1144C" w:rsidP="00E1144C">
            <w:pPr>
              <w:jc w:val="center"/>
              <w:rPr>
                <w:rFonts w:eastAsia="Cambria"/>
                <w:color w:val="000000"/>
              </w:rPr>
            </w:pPr>
            <w:r>
              <w:rPr>
                <w:rFonts w:eastAsia="Cambria"/>
                <w:color w:val="000000"/>
              </w:rPr>
              <w:t>2016</w:t>
            </w:r>
          </w:p>
        </w:tc>
        <w:tc>
          <w:tcPr>
            <w:tcW w:w="1080" w:type="dxa"/>
            <w:tcBorders>
              <w:top w:val="nil"/>
              <w:left w:val="nil"/>
              <w:bottom w:val="single" w:sz="4" w:space="0" w:color="auto"/>
              <w:right w:val="nil"/>
            </w:tcBorders>
            <w:vAlign w:val="center"/>
            <w:hideMark/>
          </w:tcPr>
          <w:p w14:paraId="31CAB458" w14:textId="77777777" w:rsidR="00E1144C" w:rsidRDefault="00E1144C" w:rsidP="00E1144C">
            <w:pPr>
              <w:jc w:val="center"/>
              <w:rPr>
                <w:rFonts w:eastAsia="Cambria"/>
                <w:color w:val="000000"/>
              </w:rPr>
            </w:pPr>
            <w:r>
              <w:rPr>
                <w:rFonts w:eastAsia="Cambria"/>
                <w:color w:val="000000"/>
              </w:rPr>
              <w:t>OCT 14</w:t>
            </w:r>
          </w:p>
          <w:p w14:paraId="48757021" w14:textId="77777777" w:rsidR="00E1144C" w:rsidRDefault="00E1144C" w:rsidP="00E1144C">
            <w:pPr>
              <w:jc w:val="center"/>
              <w:rPr>
                <w:rFonts w:eastAsia="Cambria"/>
                <w:color w:val="000000"/>
              </w:rPr>
            </w:pPr>
            <w:r>
              <w:rPr>
                <w:rFonts w:eastAsia="Cambria"/>
                <w:color w:val="000000"/>
              </w:rPr>
              <w:t>2015</w:t>
            </w:r>
          </w:p>
        </w:tc>
        <w:tc>
          <w:tcPr>
            <w:tcW w:w="1170" w:type="dxa"/>
            <w:tcBorders>
              <w:top w:val="nil"/>
              <w:left w:val="nil"/>
              <w:bottom w:val="single" w:sz="4" w:space="0" w:color="auto"/>
              <w:right w:val="nil"/>
            </w:tcBorders>
            <w:vAlign w:val="center"/>
            <w:hideMark/>
          </w:tcPr>
          <w:p w14:paraId="5C5B8BDC" w14:textId="77777777" w:rsidR="00E1144C" w:rsidRDefault="00E1144C" w:rsidP="00E1144C">
            <w:pPr>
              <w:jc w:val="center"/>
              <w:rPr>
                <w:rFonts w:eastAsia="Cambria"/>
                <w:color w:val="000000"/>
              </w:rPr>
            </w:pPr>
            <w:r>
              <w:rPr>
                <w:rFonts w:eastAsia="Cambria"/>
                <w:color w:val="000000"/>
              </w:rPr>
              <w:t>NOV 13</w:t>
            </w:r>
          </w:p>
          <w:p w14:paraId="3F116A03" w14:textId="77777777" w:rsidR="00E1144C" w:rsidRDefault="00E1144C" w:rsidP="00E1144C">
            <w:pPr>
              <w:jc w:val="center"/>
              <w:rPr>
                <w:rFonts w:eastAsia="Cambria"/>
                <w:color w:val="000000"/>
              </w:rPr>
            </w:pPr>
            <w:r>
              <w:rPr>
                <w:rFonts w:eastAsia="Cambria"/>
                <w:color w:val="000000"/>
              </w:rPr>
              <w:t>2015</w:t>
            </w:r>
          </w:p>
        </w:tc>
        <w:tc>
          <w:tcPr>
            <w:tcW w:w="990" w:type="dxa"/>
            <w:tcBorders>
              <w:top w:val="nil"/>
              <w:left w:val="nil"/>
              <w:bottom w:val="single" w:sz="4" w:space="0" w:color="auto"/>
              <w:right w:val="nil"/>
            </w:tcBorders>
            <w:vAlign w:val="center"/>
            <w:hideMark/>
          </w:tcPr>
          <w:p w14:paraId="1A1CCEEE" w14:textId="77777777" w:rsidR="00E1144C" w:rsidRDefault="00E1144C" w:rsidP="00E1144C">
            <w:pPr>
              <w:jc w:val="center"/>
              <w:rPr>
                <w:rFonts w:eastAsia="Cambria"/>
                <w:color w:val="000000"/>
              </w:rPr>
            </w:pPr>
            <w:r>
              <w:rPr>
                <w:rFonts w:eastAsia="Cambria"/>
                <w:color w:val="000000"/>
              </w:rPr>
              <w:t>APR 11</w:t>
            </w:r>
          </w:p>
          <w:p w14:paraId="5E3B5222" w14:textId="77777777" w:rsidR="00E1144C" w:rsidRDefault="00E1144C" w:rsidP="00E1144C">
            <w:pPr>
              <w:jc w:val="center"/>
              <w:rPr>
                <w:rFonts w:eastAsia="Cambria"/>
                <w:color w:val="000000"/>
              </w:rPr>
            </w:pPr>
            <w:r>
              <w:rPr>
                <w:rFonts w:eastAsia="Cambria"/>
                <w:color w:val="000000"/>
              </w:rPr>
              <w:t>2016</w:t>
            </w:r>
          </w:p>
        </w:tc>
        <w:tc>
          <w:tcPr>
            <w:tcW w:w="1080" w:type="dxa"/>
            <w:tcBorders>
              <w:top w:val="nil"/>
              <w:left w:val="nil"/>
              <w:bottom w:val="single" w:sz="4" w:space="0" w:color="auto"/>
              <w:right w:val="nil"/>
            </w:tcBorders>
            <w:vAlign w:val="center"/>
            <w:hideMark/>
          </w:tcPr>
          <w:p w14:paraId="24CABBBE" w14:textId="77777777" w:rsidR="00E1144C" w:rsidRDefault="00E1144C" w:rsidP="00E1144C">
            <w:pPr>
              <w:jc w:val="center"/>
              <w:rPr>
                <w:rFonts w:eastAsia="Cambria"/>
                <w:color w:val="000000"/>
              </w:rPr>
            </w:pPr>
            <w:r>
              <w:rPr>
                <w:rFonts w:eastAsia="Cambria"/>
                <w:color w:val="000000"/>
              </w:rPr>
              <w:t>MAY 3</w:t>
            </w:r>
          </w:p>
          <w:p w14:paraId="10913640" w14:textId="77777777" w:rsidR="00E1144C" w:rsidRDefault="00E1144C" w:rsidP="00E1144C">
            <w:pPr>
              <w:jc w:val="center"/>
              <w:rPr>
                <w:rFonts w:eastAsia="Cambria"/>
                <w:color w:val="000000"/>
              </w:rPr>
            </w:pPr>
            <w:r>
              <w:rPr>
                <w:rFonts w:eastAsia="Cambria"/>
                <w:color w:val="000000"/>
              </w:rPr>
              <w:t>2016</w:t>
            </w:r>
          </w:p>
        </w:tc>
        <w:tc>
          <w:tcPr>
            <w:tcW w:w="1080" w:type="dxa"/>
            <w:tcBorders>
              <w:top w:val="nil"/>
              <w:left w:val="nil"/>
              <w:bottom w:val="single" w:sz="4" w:space="0" w:color="auto"/>
              <w:right w:val="nil"/>
            </w:tcBorders>
            <w:hideMark/>
          </w:tcPr>
          <w:p w14:paraId="2DDB0101" w14:textId="77777777" w:rsidR="00E1144C" w:rsidRDefault="00E1144C" w:rsidP="00E1144C">
            <w:pPr>
              <w:jc w:val="center"/>
              <w:rPr>
                <w:rFonts w:eastAsia="Cambria"/>
                <w:color w:val="000000"/>
              </w:rPr>
            </w:pPr>
            <w:r>
              <w:rPr>
                <w:rFonts w:eastAsia="Cambria"/>
                <w:color w:val="000000"/>
              </w:rPr>
              <w:t>MAY 23</w:t>
            </w:r>
          </w:p>
          <w:p w14:paraId="45C24F57" w14:textId="77777777" w:rsidR="00E1144C" w:rsidRDefault="00E1144C" w:rsidP="00E1144C">
            <w:pPr>
              <w:jc w:val="center"/>
              <w:rPr>
                <w:rFonts w:eastAsia="Cambria"/>
                <w:color w:val="000000"/>
              </w:rPr>
            </w:pPr>
            <w:r>
              <w:rPr>
                <w:rFonts w:eastAsia="Cambria"/>
                <w:color w:val="000000"/>
              </w:rPr>
              <w:t>2016</w:t>
            </w:r>
          </w:p>
        </w:tc>
        <w:tc>
          <w:tcPr>
            <w:tcW w:w="1170" w:type="dxa"/>
            <w:tcBorders>
              <w:top w:val="nil"/>
              <w:left w:val="nil"/>
              <w:bottom w:val="single" w:sz="4" w:space="0" w:color="auto"/>
              <w:right w:val="nil"/>
            </w:tcBorders>
            <w:vAlign w:val="center"/>
            <w:hideMark/>
          </w:tcPr>
          <w:p w14:paraId="4A6A9D7D" w14:textId="77777777" w:rsidR="00E1144C" w:rsidRDefault="00E1144C" w:rsidP="00E1144C">
            <w:pPr>
              <w:jc w:val="center"/>
              <w:rPr>
                <w:rFonts w:eastAsia="Cambria"/>
                <w:color w:val="000000"/>
              </w:rPr>
            </w:pPr>
            <w:r>
              <w:rPr>
                <w:rFonts w:eastAsia="Cambria"/>
                <w:color w:val="000000"/>
              </w:rPr>
              <w:t>AUDPC</w:t>
            </w:r>
          </w:p>
        </w:tc>
      </w:tr>
      <w:tr w:rsidR="00E1144C" w14:paraId="24E82491" w14:textId="77777777" w:rsidTr="001B7EE6">
        <w:trPr>
          <w:trHeight w:val="181"/>
        </w:trPr>
        <w:tc>
          <w:tcPr>
            <w:tcW w:w="2337" w:type="dxa"/>
            <w:tcBorders>
              <w:top w:val="single" w:sz="4" w:space="0" w:color="auto"/>
              <w:left w:val="nil"/>
              <w:bottom w:val="nil"/>
              <w:right w:val="nil"/>
            </w:tcBorders>
            <w:vAlign w:val="center"/>
            <w:hideMark/>
          </w:tcPr>
          <w:p w14:paraId="6B7FB81A" w14:textId="77777777" w:rsidR="00E1144C" w:rsidRDefault="00E1144C" w:rsidP="00E1144C">
            <w:pPr>
              <w:rPr>
                <w:rFonts w:eastAsia="Cambria"/>
                <w:color w:val="000000"/>
              </w:rPr>
            </w:pPr>
            <w:r>
              <w:rPr>
                <w:rFonts w:eastAsia="Cambria"/>
                <w:color w:val="000000"/>
              </w:rPr>
              <w:t xml:space="preserve">Replication </w:t>
            </w:r>
          </w:p>
        </w:tc>
        <w:tc>
          <w:tcPr>
            <w:tcW w:w="811" w:type="dxa"/>
            <w:tcBorders>
              <w:top w:val="single" w:sz="4" w:space="0" w:color="auto"/>
              <w:left w:val="nil"/>
              <w:bottom w:val="nil"/>
              <w:right w:val="nil"/>
            </w:tcBorders>
            <w:vAlign w:val="center"/>
            <w:hideMark/>
          </w:tcPr>
          <w:p w14:paraId="1DC6AEF7" w14:textId="77777777" w:rsidR="00E1144C" w:rsidRDefault="00E1144C" w:rsidP="00E1144C">
            <w:pPr>
              <w:jc w:val="center"/>
              <w:rPr>
                <w:rFonts w:eastAsia="Cambria"/>
                <w:color w:val="000000"/>
              </w:rPr>
            </w:pPr>
            <w:r>
              <w:rPr>
                <w:rFonts w:eastAsia="Cambria"/>
                <w:color w:val="000000"/>
              </w:rPr>
              <w:t>3</w:t>
            </w:r>
          </w:p>
        </w:tc>
        <w:tc>
          <w:tcPr>
            <w:tcW w:w="1081" w:type="dxa"/>
            <w:tcBorders>
              <w:top w:val="single" w:sz="4" w:space="0" w:color="auto"/>
              <w:left w:val="nil"/>
              <w:bottom w:val="nil"/>
              <w:right w:val="nil"/>
            </w:tcBorders>
            <w:vAlign w:val="center"/>
            <w:hideMark/>
          </w:tcPr>
          <w:p w14:paraId="6A32F466" w14:textId="77777777" w:rsidR="00E1144C" w:rsidRDefault="00E1144C" w:rsidP="00E1144C">
            <w:pPr>
              <w:jc w:val="center"/>
              <w:rPr>
                <w:rFonts w:eastAsia="Cambria"/>
                <w:color w:val="000000"/>
              </w:rPr>
            </w:pPr>
            <w:r>
              <w:rPr>
                <w:rFonts w:eastAsia="Cambria"/>
                <w:color w:val="000000"/>
              </w:rPr>
              <w:t>NS</w:t>
            </w:r>
            <w:r>
              <w:rPr>
                <w:rFonts w:eastAsia="Cambria"/>
                <w:color w:val="000000"/>
                <w:vertAlign w:val="superscript"/>
              </w:rPr>
              <w:t>a</w:t>
            </w:r>
          </w:p>
        </w:tc>
        <w:tc>
          <w:tcPr>
            <w:tcW w:w="1081" w:type="dxa"/>
            <w:tcBorders>
              <w:top w:val="single" w:sz="4" w:space="0" w:color="auto"/>
              <w:left w:val="nil"/>
              <w:bottom w:val="nil"/>
              <w:right w:val="nil"/>
            </w:tcBorders>
            <w:vAlign w:val="center"/>
            <w:hideMark/>
          </w:tcPr>
          <w:p w14:paraId="3FD6CF83" w14:textId="77777777" w:rsidR="00E1144C" w:rsidRDefault="00E1144C" w:rsidP="00E1144C">
            <w:pPr>
              <w:jc w:val="center"/>
              <w:rPr>
                <w:rFonts w:eastAsia="Cambria"/>
                <w:color w:val="000000"/>
              </w:rPr>
            </w:pPr>
            <w:r>
              <w:rPr>
                <w:rFonts w:eastAsia="Cambria"/>
                <w:color w:val="000000"/>
              </w:rPr>
              <w:t>NS</w:t>
            </w:r>
          </w:p>
        </w:tc>
        <w:tc>
          <w:tcPr>
            <w:tcW w:w="990" w:type="dxa"/>
            <w:tcBorders>
              <w:top w:val="single" w:sz="4" w:space="0" w:color="auto"/>
              <w:left w:val="nil"/>
              <w:bottom w:val="nil"/>
              <w:right w:val="nil"/>
            </w:tcBorders>
            <w:vAlign w:val="center"/>
            <w:hideMark/>
          </w:tcPr>
          <w:p w14:paraId="2EE3A1FE" w14:textId="77777777" w:rsidR="00E1144C" w:rsidRDefault="00E1144C" w:rsidP="00E1144C">
            <w:pPr>
              <w:jc w:val="center"/>
              <w:rPr>
                <w:rFonts w:eastAsia="Cambria"/>
                <w:color w:val="000000"/>
              </w:rPr>
            </w:pPr>
            <w:r>
              <w:rPr>
                <w:rFonts w:eastAsia="Cambria"/>
                <w:color w:val="000000"/>
              </w:rPr>
              <w:t>NS</w:t>
            </w:r>
          </w:p>
        </w:tc>
        <w:tc>
          <w:tcPr>
            <w:tcW w:w="1080" w:type="dxa"/>
            <w:tcBorders>
              <w:top w:val="single" w:sz="4" w:space="0" w:color="auto"/>
              <w:left w:val="nil"/>
              <w:bottom w:val="nil"/>
              <w:right w:val="nil"/>
            </w:tcBorders>
            <w:vAlign w:val="center"/>
            <w:hideMark/>
          </w:tcPr>
          <w:p w14:paraId="6DCA5919" w14:textId="77777777" w:rsidR="00E1144C" w:rsidRDefault="00E1144C" w:rsidP="00E1144C">
            <w:pPr>
              <w:jc w:val="center"/>
              <w:rPr>
                <w:rFonts w:eastAsia="Cambria"/>
                <w:color w:val="000000"/>
              </w:rPr>
            </w:pPr>
            <w:r>
              <w:rPr>
                <w:rFonts w:eastAsia="Cambria"/>
                <w:color w:val="000000"/>
              </w:rPr>
              <w:t>NS</w:t>
            </w:r>
          </w:p>
        </w:tc>
        <w:tc>
          <w:tcPr>
            <w:tcW w:w="1170" w:type="dxa"/>
            <w:tcBorders>
              <w:top w:val="single" w:sz="4" w:space="0" w:color="auto"/>
              <w:left w:val="nil"/>
              <w:bottom w:val="nil"/>
              <w:right w:val="nil"/>
            </w:tcBorders>
            <w:vAlign w:val="center"/>
            <w:hideMark/>
          </w:tcPr>
          <w:p w14:paraId="06C90D65" w14:textId="77777777" w:rsidR="00E1144C" w:rsidRDefault="00E1144C" w:rsidP="00E1144C">
            <w:pPr>
              <w:jc w:val="center"/>
              <w:rPr>
                <w:rFonts w:eastAsia="Cambria"/>
                <w:color w:val="000000"/>
              </w:rPr>
            </w:pPr>
            <w:r>
              <w:rPr>
                <w:rFonts w:eastAsia="Cambria"/>
                <w:color w:val="000000"/>
              </w:rPr>
              <w:t>NS</w:t>
            </w:r>
          </w:p>
        </w:tc>
        <w:tc>
          <w:tcPr>
            <w:tcW w:w="990" w:type="dxa"/>
            <w:tcBorders>
              <w:top w:val="single" w:sz="4" w:space="0" w:color="auto"/>
              <w:left w:val="nil"/>
              <w:bottom w:val="nil"/>
              <w:right w:val="nil"/>
            </w:tcBorders>
            <w:vAlign w:val="center"/>
            <w:hideMark/>
          </w:tcPr>
          <w:p w14:paraId="6A139229" w14:textId="77777777" w:rsidR="00E1144C" w:rsidRDefault="00E1144C" w:rsidP="00E1144C">
            <w:pPr>
              <w:jc w:val="center"/>
              <w:rPr>
                <w:rFonts w:eastAsia="Cambria"/>
                <w:color w:val="000000"/>
              </w:rPr>
            </w:pPr>
            <w:r>
              <w:rPr>
                <w:rFonts w:eastAsia="Cambria"/>
                <w:color w:val="000000"/>
              </w:rPr>
              <w:t>NS</w:t>
            </w:r>
          </w:p>
        </w:tc>
        <w:tc>
          <w:tcPr>
            <w:tcW w:w="1080" w:type="dxa"/>
            <w:tcBorders>
              <w:top w:val="single" w:sz="4" w:space="0" w:color="auto"/>
              <w:left w:val="nil"/>
              <w:bottom w:val="nil"/>
              <w:right w:val="nil"/>
            </w:tcBorders>
            <w:vAlign w:val="center"/>
            <w:hideMark/>
          </w:tcPr>
          <w:p w14:paraId="0BDB3120" w14:textId="77777777" w:rsidR="00E1144C" w:rsidRDefault="00E1144C" w:rsidP="00E1144C">
            <w:pPr>
              <w:jc w:val="center"/>
              <w:rPr>
                <w:rFonts w:eastAsia="Cambria"/>
                <w:color w:val="000000"/>
              </w:rPr>
            </w:pPr>
            <w:r>
              <w:rPr>
                <w:rFonts w:eastAsia="Cambria"/>
                <w:color w:val="000000"/>
              </w:rPr>
              <w:t>NS</w:t>
            </w:r>
          </w:p>
        </w:tc>
        <w:tc>
          <w:tcPr>
            <w:tcW w:w="1080" w:type="dxa"/>
            <w:tcBorders>
              <w:top w:val="single" w:sz="4" w:space="0" w:color="auto"/>
              <w:left w:val="nil"/>
              <w:bottom w:val="nil"/>
              <w:right w:val="nil"/>
            </w:tcBorders>
            <w:hideMark/>
          </w:tcPr>
          <w:p w14:paraId="72F84042" w14:textId="77777777" w:rsidR="00E1144C" w:rsidRDefault="00E1144C" w:rsidP="00E1144C">
            <w:pPr>
              <w:jc w:val="center"/>
              <w:rPr>
                <w:rFonts w:eastAsia="Cambria"/>
                <w:color w:val="000000"/>
              </w:rPr>
            </w:pPr>
            <w:r>
              <w:rPr>
                <w:rFonts w:eastAsia="Cambria"/>
                <w:color w:val="000000"/>
              </w:rPr>
              <w:t>NS</w:t>
            </w:r>
          </w:p>
        </w:tc>
        <w:tc>
          <w:tcPr>
            <w:tcW w:w="1170" w:type="dxa"/>
            <w:tcBorders>
              <w:top w:val="single" w:sz="4" w:space="0" w:color="auto"/>
              <w:left w:val="nil"/>
              <w:bottom w:val="nil"/>
              <w:right w:val="nil"/>
            </w:tcBorders>
            <w:vAlign w:val="center"/>
            <w:hideMark/>
          </w:tcPr>
          <w:p w14:paraId="38C6278D" w14:textId="77777777" w:rsidR="00E1144C" w:rsidRDefault="00E1144C" w:rsidP="00E1144C">
            <w:pPr>
              <w:jc w:val="center"/>
              <w:rPr>
                <w:rFonts w:eastAsia="Cambria"/>
                <w:color w:val="000000"/>
              </w:rPr>
            </w:pPr>
            <w:r>
              <w:rPr>
                <w:rFonts w:eastAsia="Cambria"/>
                <w:color w:val="000000"/>
              </w:rPr>
              <w:t>NS</w:t>
            </w:r>
          </w:p>
        </w:tc>
      </w:tr>
      <w:tr w:rsidR="00E1144C" w14:paraId="34705C8E" w14:textId="77777777" w:rsidTr="001B7EE6">
        <w:trPr>
          <w:trHeight w:val="181"/>
        </w:trPr>
        <w:tc>
          <w:tcPr>
            <w:tcW w:w="2337" w:type="dxa"/>
            <w:tcBorders>
              <w:top w:val="nil"/>
              <w:left w:val="nil"/>
              <w:bottom w:val="single" w:sz="4" w:space="0" w:color="auto"/>
              <w:right w:val="nil"/>
            </w:tcBorders>
            <w:vAlign w:val="center"/>
            <w:hideMark/>
          </w:tcPr>
          <w:p w14:paraId="78CF8811" w14:textId="222D80DA" w:rsidR="00E1144C" w:rsidRDefault="001D7734" w:rsidP="00E1144C">
            <w:pPr>
              <w:rPr>
                <w:rFonts w:eastAsia="Cambria"/>
                <w:color w:val="000000"/>
              </w:rPr>
            </w:pPr>
            <w:r>
              <w:rPr>
                <w:rFonts w:eastAsia="Cambria"/>
                <w:color w:val="000000"/>
              </w:rPr>
              <w:t>Spray rate volume</w:t>
            </w:r>
          </w:p>
        </w:tc>
        <w:tc>
          <w:tcPr>
            <w:tcW w:w="811" w:type="dxa"/>
            <w:tcBorders>
              <w:top w:val="nil"/>
              <w:left w:val="nil"/>
              <w:bottom w:val="single" w:sz="4" w:space="0" w:color="auto"/>
              <w:right w:val="nil"/>
            </w:tcBorders>
            <w:vAlign w:val="center"/>
            <w:hideMark/>
          </w:tcPr>
          <w:p w14:paraId="4CA3F99F" w14:textId="77777777" w:rsidR="00E1144C" w:rsidRDefault="00E1144C" w:rsidP="00E1144C">
            <w:pPr>
              <w:jc w:val="center"/>
              <w:rPr>
                <w:rFonts w:eastAsia="Cambria"/>
                <w:color w:val="000000"/>
              </w:rPr>
            </w:pPr>
            <w:r>
              <w:rPr>
                <w:rFonts w:eastAsia="Cambria"/>
                <w:color w:val="000000"/>
              </w:rPr>
              <w:t>2</w:t>
            </w:r>
          </w:p>
        </w:tc>
        <w:tc>
          <w:tcPr>
            <w:tcW w:w="1081" w:type="dxa"/>
            <w:tcBorders>
              <w:top w:val="nil"/>
              <w:left w:val="nil"/>
              <w:bottom w:val="single" w:sz="4" w:space="0" w:color="auto"/>
              <w:right w:val="nil"/>
            </w:tcBorders>
            <w:vAlign w:val="center"/>
            <w:hideMark/>
          </w:tcPr>
          <w:p w14:paraId="49AC35EF" w14:textId="16E2F793" w:rsidR="00E1144C" w:rsidRDefault="001D7734" w:rsidP="00E1144C">
            <w:pPr>
              <w:jc w:val="center"/>
              <w:rPr>
                <w:rFonts w:eastAsia="Cambria"/>
                <w:color w:val="000000"/>
              </w:rPr>
            </w:pPr>
            <w:r>
              <w:rPr>
                <w:rFonts w:eastAsia="Cambria"/>
                <w:color w:val="000000"/>
              </w:rPr>
              <w:t>NS</w:t>
            </w:r>
          </w:p>
        </w:tc>
        <w:tc>
          <w:tcPr>
            <w:tcW w:w="1081" w:type="dxa"/>
            <w:tcBorders>
              <w:top w:val="nil"/>
              <w:left w:val="nil"/>
              <w:bottom w:val="single" w:sz="4" w:space="0" w:color="auto"/>
              <w:right w:val="nil"/>
            </w:tcBorders>
            <w:vAlign w:val="center"/>
            <w:hideMark/>
          </w:tcPr>
          <w:p w14:paraId="6E9DDE40" w14:textId="1C408ED5" w:rsidR="00E1144C" w:rsidRDefault="00E1144C" w:rsidP="00E1144C">
            <w:pPr>
              <w:jc w:val="center"/>
              <w:rPr>
                <w:rFonts w:eastAsia="Cambria"/>
                <w:color w:val="000000"/>
              </w:rPr>
            </w:pPr>
            <w:r>
              <w:rPr>
                <w:rFonts w:eastAsia="Cambria"/>
                <w:color w:val="000000"/>
              </w:rPr>
              <w:t>*</w:t>
            </w:r>
            <w:r w:rsidR="001D7734">
              <w:rPr>
                <w:rFonts w:eastAsia="Cambria"/>
                <w:color w:val="000000"/>
              </w:rPr>
              <w:t>**</w:t>
            </w:r>
          </w:p>
        </w:tc>
        <w:tc>
          <w:tcPr>
            <w:tcW w:w="990" w:type="dxa"/>
            <w:tcBorders>
              <w:top w:val="nil"/>
              <w:left w:val="nil"/>
              <w:bottom w:val="single" w:sz="4" w:space="0" w:color="auto"/>
              <w:right w:val="nil"/>
            </w:tcBorders>
            <w:vAlign w:val="center"/>
            <w:hideMark/>
          </w:tcPr>
          <w:p w14:paraId="39642194" w14:textId="77777777" w:rsidR="00E1144C" w:rsidRDefault="00E1144C" w:rsidP="00E1144C">
            <w:pPr>
              <w:jc w:val="center"/>
              <w:rPr>
                <w:rFonts w:eastAsia="Cambria"/>
                <w:color w:val="000000"/>
              </w:rPr>
            </w:pPr>
            <w:r>
              <w:rPr>
                <w:rFonts w:eastAsia="Cambria"/>
                <w:color w:val="000000"/>
              </w:rPr>
              <w:t>**</w:t>
            </w:r>
          </w:p>
        </w:tc>
        <w:tc>
          <w:tcPr>
            <w:tcW w:w="1080" w:type="dxa"/>
            <w:tcBorders>
              <w:top w:val="nil"/>
              <w:left w:val="nil"/>
              <w:bottom w:val="single" w:sz="4" w:space="0" w:color="auto"/>
              <w:right w:val="nil"/>
            </w:tcBorders>
            <w:vAlign w:val="center"/>
            <w:hideMark/>
          </w:tcPr>
          <w:p w14:paraId="51690CFF" w14:textId="77777777" w:rsidR="00E1144C" w:rsidRDefault="00E1144C" w:rsidP="00E1144C">
            <w:pPr>
              <w:jc w:val="center"/>
              <w:rPr>
                <w:rFonts w:eastAsia="Cambria"/>
                <w:color w:val="000000"/>
              </w:rPr>
            </w:pPr>
            <w:r>
              <w:rPr>
                <w:rFonts w:eastAsia="Cambria"/>
                <w:color w:val="000000"/>
              </w:rPr>
              <w:t>NS</w:t>
            </w:r>
          </w:p>
        </w:tc>
        <w:tc>
          <w:tcPr>
            <w:tcW w:w="1170" w:type="dxa"/>
            <w:tcBorders>
              <w:top w:val="nil"/>
              <w:left w:val="nil"/>
              <w:bottom w:val="single" w:sz="4" w:space="0" w:color="auto"/>
              <w:right w:val="nil"/>
            </w:tcBorders>
            <w:vAlign w:val="center"/>
            <w:hideMark/>
          </w:tcPr>
          <w:p w14:paraId="4624717F" w14:textId="64EEF51F" w:rsidR="00E1144C" w:rsidRDefault="001D7734" w:rsidP="00E1144C">
            <w:pPr>
              <w:jc w:val="center"/>
              <w:rPr>
                <w:rFonts w:eastAsia="Cambria"/>
                <w:color w:val="000000"/>
              </w:rPr>
            </w:pPr>
            <w:r>
              <w:rPr>
                <w:rFonts w:eastAsia="Cambria"/>
                <w:color w:val="000000"/>
              </w:rPr>
              <w:t>NS</w:t>
            </w:r>
          </w:p>
        </w:tc>
        <w:tc>
          <w:tcPr>
            <w:tcW w:w="990" w:type="dxa"/>
            <w:tcBorders>
              <w:top w:val="nil"/>
              <w:left w:val="nil"/>
              <w:bottom w:val="single" w:sz="4" w:space="0" w:color="auto"/>
              <w:right w:val="nil"/>
            </w:tcBorders>
            <w:vAlign w:val="center"/>
            <w:hideMark/>
          </w:tcPr>
          <w:p w14:paraId="7F22ED53" w14:textId="77777777" w:rsidR="00E1144C" w:rsidRDefault="00E1144C" w:rsidP="00E1144C">
            <w:pPr>
              <w:jc w:val="center"/>
              <w:rPr>
                <w:rFonts w:eastAsia="Cambria"/>
                <w:color w:val="000000"/>
              </w:rPr>
            </w:pPr>
            <w:r>
              <w:rPr>
                <w:rFonts w:eastAsia="Cambria"/>
                <w:color w:val="000000"/>
              </w:rPr>
              <w:t>NS</w:t>
            </w:r>
          </w:p>
        </w:tc>
        <w:tc>
          <w:tcPr>
            <w:tcW w:w="1080" w:type="dxa"/>
            <w:tcBorders>
              <w:top w:val="nil"/>
              <w:left w:val="nil"/>
              <w:bottom w:val="single" w:sz="4" w:space="0" w:color="auto"/>
              <w:right w:val="nil"/>
            </w:tcBorders>
            <w:vAlign w:val="center"/>
            <w:hideMark/>
          </w:tcPr>
          <w:p w14:paraId="79F78156" w14:textId="77777777" w:rsidR="00E1144C" w:rsidRDefault="00E1144C" w:rsidP="00E1144C">
            <w:pPr>
              <w:jc w:val="center"/>
              <w:rPr>
                <w:rFonts w:eastAsia="Cambria"/>
                <w:color w:val="000000"/>
              </w:rPr>
            </w:pPr>
            <w:r>
              <w:rPr>
                <w:rFonts w:eastAsia="Cambria"/>
                <w:color w:val="000000"/>
              </w:rPr>
              <w:t>NS</w:t>
            </w:r>
          </w:p>
        </w:tc>
        <w:tc>
          <w:tcPr>
            <w:tcW w:w="1080" w:type="dxa"/>
            <w:tcBorders>
              <w:top w:val="nil"/>
              <w:left w:val="nil"/>
              <w:bottom w:val="single" w:sz="4" w:space="0" w:color="auto"/>
              <w:right w:val="nil"/>
            </w:tcBorders>
            <w:hideMark/>
          </w:tcPr>
          <w:p w14:paraId="2729A792" w14:textId="77777777" w:rsidR="00E1144C" w:rsidRDefault="00E1144C" w:rsidP="00E1144C">
            <w:pPr>
              <w:jc w:val="center"/>
              <w:rPr>
                <w:rFonts w:eastAsia="Cambria"/>
                <w:color w:val="000000"/>
              </w:rPr>
            </w:pPr>
            <w:r>
              <w:rPr>
                <w:rFonts w:eastAsia="Cambria"/>
                <w:color w:val="000000"/>
              </w:rPr>
              <w:t>NS</w:t>
            </w:r>
          </w:p>
        </w:tc>
        <w:tc>
          <w:tcPr>
            <w:tcW w:w="1170" w:type="dxa"/>
            <w:tcBorders>
              <w:top w:val="nil"/>
              <w:left w:val="nil"/>
              <w:bottom w:val="single" w:sz="4" w:space="0" w:color="auto"/>
              <w:right w:val="nil"/>
            </w:tcBorders>
            <w:vAlign w:val="center"/>
            <w:hideMark/>
          </w:tcPr>
          <w:p w14:paraId="040E521A" w14:textId="77777777" w:rsidR="00E1144C" w:rsidRDefault="00E1144C" w:rsidP="00E1144C">
            <w:pPr>
              <w:jc w:val="center"/>
              <w:rPr>
                <w:rFonts w:eastAsia="Cambria"/>
                <w:color w:val="000000"/>
              </w:rPr>
            </w:pPr>
            <w:r>
              <w:rPr>
                <w:rFonts w:eastAsia="Cambria"/>
                <w:color w:val="000000"/>
              </w:rPr>
              <w:t>*</w:t>
            </w:r>
          </w:p>
        </w:tc>
      </w:tr>
      <w:tr w:rsidR="002006A3" w14:paraId="67351E83" w14:textId="77777777" w:rsidTr="00DB658C">
        <w:trPr>
          <w:trHeight w:val="154"/>
        </w:trPr>
        <w:tc>
          <w:tcPr>
            <w:tcW w:w="12870" w:type="dxa"/>
            <w:gridSpan w:val="11"/>
            <w:tcBorders>
              <w:top w:val="single" w:sz="4" w:space="0" w:color="auto"/>
              <w:left w:val="nil"/>
              <w:bottom w:val="nil"/>
              <w:right w:val="nil"/>
            </w:tcBorders>
            <w:hideMark/>
          </w:tcPr>
          <w:p w14:paraId="14890297" w14:textId="5E3EAE84" w:rsidR="002006A3" w:rsidRDefault="002006A3" w:rsidP="002006A3">
            <w:pPr>
              <w:rPr>
                <w:rFonts w:eastAsia="Cambria"/>
                <w:color w:val="000000"/>
              </w:rPr>
            </w:pPr>
            <w:r w:rsidRPr="002006A3">
              <w:rPr>
                <w:vertAlign w:val="superscript"/>
              </w:rPr>
              <w:t>a</w:t>
            </w:r>
            <w:r w:rsidRPr="00CA5ABF">
              <w:t>NS = not significant.</w:t>
            </w:r>
          </w:p>
        </w:tc>
      </w:tr>
      <w:tr w:rsidR="002006A3" w14:paraId="6FE5E6FE" w14:textId="77777777" w:rsidTr="00DB658C">
        <w:trPr>
          <w:trHeight w:val="154"/>
        </w:trPr>
        <w:tc>
          <w:tcPr>
            <w:tcW w:w="12870" w:type="dxa"/>
            <w:gridSpan w:val="11"/>
            <w:tcBorders>
              <w:top w:val="nil"/>
              <w:left w:val="nil"/>
              <w:bottom w:val="nil"/>
              <w:right w:val="nil"/>
            </w:tcBorders>
            <w:hideMark/>
          </w:tcPr>
          <w:p w14:paraId="7BE0889D" w14:textId="682D7AAC" w:rsidR="002006A3" w:rsidRDefault="002006A3" w:rsidP="002006A3">
            <w:pPr>
              <w:rPr>
                <w:rFonts w:eastAsia="Cambria"/>
                <w:color w:val="000000"/>
              </w:rPr>
            </w:pPr>
            <w:r w:rsidRPr="00CA5ABF">
              <w:t>*,**,***, Significant at the p ≤0.05, 0.01, 0.001 level, respectively.</w:t>
            </w:r>
          </w:p>
        </w:tc>
      </w:tr>
      <w:tr w:rsidR="002006A3" w14:paraId="4041CCBE" w14:textId="77777777" w:rsidTr="00DB658C">
        <w:trPr>
          <w:trHeight w:val="154"/>
        </w:trPr>
        <w:tc>
          <w:tcPr>
            <w:tcW w:w="12870" w:type="dxa"/>
            <w:gridSpan w:val="11"/>
            <w:tcBorders>
              <w:top w:val="nil"/>
              <w:left w:val="nil"/>
              <w:bottom w:val="nil"/>
              <w:right w:val="nil"/>
            </w:tcBorders>
            <w:hideMark/>
          </w:tcPr>
          <w:p w14:paraId="61DB9722" w14:textId="0E41A74D" w:rsidR="002006A3" w:rsidRDefault="002006A3" w:rsidP="002006A3">
            <w:pPr>
              <w:rPr>
                <w:rFonts w:eastAsia="Cambria"/>
                <w:color w:val="000000"/>
              </w:rPr>
            </w:pPr>
          </w:p>
        </w:tc>
      </w:tr>
    </w:tbl>
    <w:p w14:paraId="6CC86B62" w14:textId="4FBB14ED" w:rsidR="00E65815" w:rsidRPr="001F55F1" w:rsidRDefault="00E65815" w:rsidP="001F55F1">
      <w:pPr>
        <w:pStyle w:val="Heading3"/>
        <w:rPr>
          <w:rFonts w:asciiTheme="minorHAnsi" w:hAnsiTheme="minorHAnsi" w:cstheme="minorHAnsi"/>
          <w:color w:val="000000" w:themeColor="text1"/>
          <w:szCs w:val="20"/>
        </w:rPr>
        <w:sectPr w:rsidR="00E65815" w:rsidRPr="001F55F1" w:rsidSect="008C6C27">
          <w:pgSz w:w="15840" w:h="12240" w:orient="landscape"/>
          <w:pgMar w:top="1440" w:right="1440" w:bottom="1440" w:left="1440" w:header="720" w:footer="1440" w:gutter="0"/>
          <w:pgNumType w:start="67"/>
          <w:cols w:space="720"/>
          <w:docGrid w:linePitch="326"/>
        </w:sectPr>
      </w:pPr>
      <w:bookmarkStart w:id="134" w:name="_Toc466891197"/>
      <w:bookmarkStart w:id="135" w:name="_Toc466894879"/>
      <w:r w:rsidRPr="001F55F1">
        <w:rPr>
          <w:rFonts w:asciiTheme="minorHAnsi" w:hAnsiTheme="minorHAnsi" w:cstheme="minorHAnsi"/>
          <w:color w:val="000000" w:themeColor="text1"/>
          <w:szCs w:val="20"/>
        </w:rPr>
        <w:t xml:space="preserve">Table 3.1. </w:t>
      </w:r>
      <w:r w:rsidRPr="008D2855">
        <w:rPr>
          <w:rFonts w:asciiTheme="minorHAnsi" w:hAnsiTheme="minorHAnsi" w:cstheme="minorHAnsi"/>
          <w:b w:val="0"/>
          <w:color w:val="000000" w:themeColor="text1"/>
        </w:rPr>
        <w:t>Analysis of variance for large patch (</w:t>
      </w:r>
      <w:r w:rsidRPr="008D2855">
        <w:rPr>
          <w:rFonts w:asciiTheme="minorHAnsi" w:hAnsiTheme="minorHAnsi" w:cstheme="minorHAnsi"/>
          <w:b w:val="0"/>
          <w:i/>
          <w:color w:val="000000" w:themeColor="text1"/>
        </w:rPr>
        <w:t>Rhizoctonia solani</w:t>
      </w:r>
      <w:r w:rsidRPr="008D2855">
        <w:rPr>
          <w:rFonts w:asciiTheme="minorHAnsi" w:hAnsiTheme="minorHAnsi" w:cstheme="minorHAnsi"/>
          <w:b w:val="0"/>
          <w:color w:val="000000" w:themeColor="text1"/>
        </w:rPr>
        <w:t>) severity of Japanese lawngrass (</w:t>
      </w:r>
      <w:r w:rsidRPr="008D2855">
        <w:rPr>
          <w:rFonts w:asciiTheme="minorHAnsi" w:hAnsiTheme="minorHAnsi" w:cstheme="minorHAnsi"/>
          <w:b w:val="0"/>
          <w:i/>
          <w:color w:val="000000" w:themeColor="text1"/>
        </w:rPr>
        <w:t>Zoysia japonica</w:t>
      </w:r>
      <w:r w:rsidRPr="008D2855">
        <w:rPr>
          <w:rFonts w:asciiTheme="minorHAnsi" w:hAnsiTheme="minorHAnsi" w:cstheme="minorHAnsi"/>
          <w:b w:val="0"/>
          <w:color w:val="000000" w:themeColor="text1"/>
        </w:rPr>
        <w:t>) in response to azoxystrobin applied at four spray rate volumes including 93, 374, 748, and 1496 L ha</w:t>
      </w:r>
      <w:r w:rsidRPr="008D2855">
        <w:rPr>
          <w:rFonts w:asciiTheme="minorHAnsi" w:hAnsiTheme="minorHAnsi" w:cstheme="minorHAnsi"/>
          <w:b w:val="0"/>
          <w:color w:val="000000" w:themeColor="text1"/>
          <w:vertAlign w:val="superscript"/>
        </w:rPr>
        <w:t>-1</w:t>
      </w:r>
      <w:r w:rsidRPr="008D2855">
        <w:rPr>
          <w:rFonts w:asciiTheme="minorHAnsi" w:hAnsiTheme="minorHAnsi" w:cstheme="minorHAnsi"/>
          <w:b w:val="0"/>
          <w:color w:val="000000" w:themeColor="text1"/>
        </w:rPr>
        <w:t>. The AUDPC was pooled across locations. Research was conducted at Farm Golf Club and Gettysvue Golf and Polo Club in Dalton, GA, and Knoxville, TN, respectively during 2015-2016.</w:t>
      </w:r>
      <w:bookmarkEnd w:id="134"/>
      <w:bookmarkEnd w:id="135"/>
    </w:p>
    <w:p w14:paraId="3E767E7D" w14:textId="1BD58717" w:rsidR="007F4ACA" w:rsidRPr="00812009" w:rsidRDefault="00E65815" w:rsidP="00812009">
      <w:pPr>
        <w:pStyle w:val="Heading3"/>
        <w:rPr>
          <w:rFonts w:asciiTheme="minorHAnsi" w:hAnsiTheme="minorHAnsi" w:cstheme="minorHAnsi"/>
          <w:color w:val="000000" w:themeColor="text1"/>
        </w:rPr>
      </w:pPr>
      <w:bookmarkStart w:id="136" w:name="_Toc466891198"/>
      <w:bookmarkStart w:id="137" w:name="_Toc466894880"/>
      <w:r w:rsidRPr="00812009">
        <w:rPr>
          <w:rFonts w:asciiTheme="minorHAnsi" w:hAnsiTheme="minorHAnsi" w:cstheme="minorHAnsi"/>
          <w:color w:val="000000" w:themeColor="text1"/>
        </w:rPr>
        <w:lastRenderedPageBreak/>
        <w:t xml:space="preserve">Table 3.2. </w:t>
      </w:r>
      <w:r w:rsidRPr="008D2855">
        <w:rPr>
          <w:rFonts w:asciiTheme="minorHAnsi" w:hAnsiTheme="minorHAnsi" w:cstheme="minorHAnsi"/>
          <w:b w:val="0"/>
          <w:color w:val="000000" w:themeColor="text1"/>
        </w:rPr>
        <w:t>Analysis of variance (pooled across experimental runs) for large patch (</w:t>
      </w:r>
      <w:r w:rsidRPr="008D2855">
        <w:rPr>
          <w:rFonts w:asciiTheme="minorHAnsi" w:hAnsiTheme="minorHAnsi" w:cstheme="minorHAnsi"/>
          <w:b w:val="0"/>
          <w:i/>
          <w:color w:val="000000" w:themeColor="text1"/>
        </w:rPr>
        <w:t>Rhizoctonia solani</w:t>
      </w:r>
      <w:r w:rsidRPr="008D2855">
        <w:rPr>
          <w:rFonts w:asciiTheme="minorHAnsi" w:hAnsiTheme="minorHAnsi" w:cstheme="minorHAnsi"/>
          <w:b w:val="0"/>
          <w:color w:val="000000" w:themeColor="text1"/>
        </w:rPr>
        <w:t>) severity of Japanese lawngrass (</w:t>
      </w:r>
      <w:r w:rsidRPr="008D2855">
        <w:rPr>
          <w:rFonts w:asciiTheme="minorHAnsi" w:hAnsiTheme="minorHAnsi" w:cstheme="minorHAnsi"/>
          <w:b w:val="0"/>
          <w:i/>
          <w:color w:val="000000" w:themeColor="text1"/>
        </w:rPr>
        <w:t>Zoysia japonica</w:t>
      </w:r>
      <w:r w:rsidRPr="008D2855">
        <w:rPr>
          <w:rFonts w:asciiTheme="minorHAnsi" w:hAnsiTheme="minorHAnsi" w:cstheme="minorHAnsi"/>
          <w:b w:val="0"/>
          <w:color w:val="000000" w:themeColor="text1"/>
        </w:rPr>
        <w:t>) in response to azoxystrobin, flutolanil, and tebuconazole applied at four spray rate volumes including 93, 374, 748, and 1496 L ha</w:t>
      </w:r>
      <w:r w:rsidRPr="008D2855">
        <w:rPr>
          <w:rFonts w:asciiTheme="minorHAnsi" w:hAnsiTheme="minorHAnsi" w:cstheme="minorHAnsi"/>
          <w:b w:val="0"/>
          <w:color w:val="000000" w:themeColor="text1"/>
          <w:vertAlign w:val="superscript"/>
        </w:rPr>
        <w:t>-1</w:t>
      </w:r>
      <w:r w:rsidRPr="008D2855">
        <w:rPr>
          <w:rFonts w:asciiTheme="minorHAnsi" w:hAnsiTheme="minorHAnsi" w:cstheme="minorHAnsi"/>
          <w:b w:val="0"/>
          <w:color w:val="000000" w:themeColor="text1"/>
        </w:rPr>
        <w:t>. Research was conducted under greenhouse and growth chamber conditions in Knoxville, TN during 2016.</w:t>
      </w:r>
      <w:bookmarkEnd w:id="136"/>
      <w:bookmarkEnd w:id="137"/>
    </w:p>
    <w:tbl>
      <w:tblPr>
        <w:tblpPr w:leftFromText="180" w:rightFromText="180" w:vertAnchor="text" w:horzAnchor="margin" w:tblpY="152"/>
        <w:tblW w:w="8415" w:type="dxa"/>
        <w:tblBorders>
          <w:insideH w:val="single" w:sz="4" w:space="0" w:color="auto"/>
          <w:insideV w:val="single" w:sz="4" w:space="0" w:color="auto"/>
        </w:tblBorders>
        <w:tblLayout w:type="fixed"/>
        <w:tblLook w:val="04A0" w:firstRow="1" w:lastRow="0" w:firstColumn="1" w:lastColumn="0" w:noHBand="0" w:noVBand="1"/>
      </w:tblPr>
      <w:tblGrid>
        <w:gridCol w:w="2656"/>
        <w:gridCol w:w="837"/>
        <w:gridCol w:w="1217"/>
        <w:gridCol w:w="1217"/>
        <w:gridCol w:w="1217"/>
        <w:gridCol w:w="1271"/>
      </w:tblGrid>
      <w:tr w:rsidR="007F4ACA" w14:paraId="7212741D" w14:textId="77777777" w:rsidTr="00A70ED3">
        <w:trPr>
          <w:trHeight w:val="184"/>
        </w:trPr>
        <w:tc>
          <w:tcPr>
            <w:tcW w:w="2656" w:type="dxa"/>
            <w:tcBorders>
              <w:top w:val="single" w:sz="4" w:space="0" w:color="auto"/>
              <w:left w:val="nil"/>
              <w:bottom w:val="single" w:sz="4" w:space="0" w:color="auto"/>
              <w:right w:val="nil"/>
            </w:tcBorders>
            <w:vAlign w:val="center"/>
          </w:tcPr>
          <w:p w14:paraId="67C8D2BF" w14:textId="77777777" w:rsidR="007F4ACA" w:rsidRDefault="007F4ACA">
            <w:pPr>
              <w:rPr>
                <w:rFonts w:eastAsia="Cambria"/>
                <w:color w:val="000000"/>
              </w:rPr>
            </w:pPr>
            <w:bookmarkStart w:id="138" w:name="OLE_LINK2"/>
          </w:p>
        </w:tc>
        <w:tc>
          <w:tcPr>
            <w:tcW w:w="837" w:type="dxa"/>
            <w:tcBorders>
              <w:top w:val="single" w:sz="4" w:space="0" w:color="auto"/>
              <w:left w:val="nil"/>
              <w:bottom w:val="single" w:sz="4" w:space="0" w:color="auto"/>
              <w:right w:val="nil"/>
            </w:tcBorders>
            <w:vAlign w:val="center"/>
          </w:tcPr>
          <w:p w14:paraId="1E49E0E6" w14:textId="77777777" w:rsidR="007F4ACA" w:rsidRDefault="007F4ACA">
            <w:pPr>
              <w:rPr>
                <w:rFonts w:eastAsia="Cambria"/>
                <w:color w:val="000000"/>
              </w:rPr>
            </w:pPr>
          </w:p>
        </w:tc>
        <w:tc>
          <w:tcPr>
            <w:tcW w:w="4922" w:type="dxa"/>
            <w:gridSpan w:val="4"/>
            <w:tcBorders>
              <w:top w:val="single" w:sz="4" w:space="0" w:color="auto"/>
              <w:left w:val="nil"/>
              <w:bottom w:val="single" w:sz="4" w:space="0" w:color="auto"/>
              <w:right w:val="nil"/>
            </w:tcBorders>
            <w:vAlign w:val="center"/>
            <w:hideMark/>
          </w:tcPr>
          <w:p w14:paraId="1345A688" w14:textId="77777777" w:rsidR="007F4ACA" w:rsidRDefault="007F4ACA">
            <w:pPr>
              <w:jc w:val="center"/>
              <w:rPr>
                <w:rFonts w:eastAsia="Cambria"/>
                <w:color w:val="000000"/>
              </w:rPr>
            </w:pPr>
            <w:r>
              <w:rPr>
                <w:rFonts w:eastAsia="Cambria"/>
                <w:color w:val="000000"/>
              </w:rPr>
              <w:t>Large patch severity</w:t>
            </w:r>
          </w:p>
        </w:tc>
      </w:tr>
      <w:tr w:rsidR="007F4ACA" w14:paraId="18E17614" w14:textId="77777777" w:rsidTr="00A70ED3">
        <w:trPr>
          <w:trHeight w:val="184"/>
        </w:trPr>
        <w:tc>
          <w:tcPr>
            <w:tcW w:w="2656" w:type="dxa"/>
            <w:tcBorders>
              <w:top w:val="single" w:sz="4" w:space="0" w:color="auto"/>
              <w:left w:val="nil"/>
              <w:bottom w:val="nil"/>
              <w:right w:val="nil"/>
            </w:tcBorders>
            <w:vAlign w:val="center"/>
          </w:tcPr>
          <w:p w14:paraId="48FD6C07" w14:textId="77777777" w:rsidR="007F4ACA" w:rsidRDefault="007F4ACA">
            <w:pPr>
              <w:rPr>
                <w:rFonts w:eastAsia="Cambria"/>
                <w:color w:val="000000"/>
              </w:rPr>
            </w:pPr>
          </w:p>
        </w:tc>
        <w:tc>
          <w:tcPr>
            <w:tcW w:w="837" w:type="dxa"/>
            <w:tcBorders>
              <w:top w:val="single" w:sz="4" w:space="0" w:color="auto"/>
              <w:left w:val="nil"/>
              <w:bottom w:val="nil"/>
              <w:right w:val="nil"/>
            </w:tcBorders>
            <w:vAlign w:val="center"/>
          </w:tcPr>
          <w:p w14:paraId="3D262D2C" w14:textId="77777777" w:rsidR="007F4ACA" w:rsidRDefault="007F4ACA">
            <w:pPr>
              <w:rPr>
                <w:rFonts w:eastAsia="Cambria"/>
                <w:color w:val="000000"/>
              </w:rPr>
            </w:pPr>
          </w:p>
        </w:tc>
        <w:tc>
          <w:tcPr>
            <w:tcW w:w="4922" w:type="dxa"/>
            <w:gridSpan w:val="4"/>
            <w:tcBorders>
              <w:top w:val="single" w:sz="4" w:space="0" w:color="auto"/>
              <w:left w:val="nil"/>
              <w:bottom w:val="nil"/>
              <w:right w:val="nil"/>
            </w:tcBorders>
            <w:hideMark/>
          </w:tcPr>
          <w:p w14:paraId="7C9FC8A6" w14:textId="77777777" w:rsidR="007F4ACA" w:rsidRDefault="007F4ACA">
            <w:pPr>
              <w:jc w:val="center"/>
              <w:rPr>
                <w:rFonts w:eastAsia="Cambria"/>
                <w:color w:val="000000"/>
              </w:rPr>
            </w:pPr>
            <w:r>
              <w:rPr>
                <w:rFonts w:eastAsia="Cambria"/>
                <w:color w:val="000000"/>
              </w:rPr>
              <w:t>- Days after trial initiation -</w:t>
            </w:r>
          </w:p>
        </w:tc>
      </w:tr>
      <w:tr w:rsidR="007F4ACA" w14:paraId="6A951323" w14:textId="77777777" w:rsidTr="00A70ED3">
        <w:trPr>
          <w:trHeight w:val="184"/>
        </w:trPr>
        <w:tc>
          <w:tcPr>
            <w:tcW w:w="2656" w:type="dxa"/>
            <w:tcBorders>
              <w:top w:val="nil"/>
              <w:left w:val="nil"/>
              <w:bottom w:val="single" w:sz="4" w:space="0" w:color="auto"/>
              <w:right w:val="nil"/>
            </w:tcBorders>
            <w:vAlign w:val="center"/>
            <w:hideMark/>
          </w:tcPr>
          <w:p w14:paraId="1C7B94CA" w14:textId="77777777" w:rsidR="007F4ACA" w:rsidRDefault="007F4ACA">
            <w:pPr>
              <w:rPr>
                <w:rFonts w:eastAsia="Cambria"/>
                <w:color w:val="000000"/>
              </w:rPr>
            </w:pPr>
            <w:r>
              <w:rPr>
                <w:rFonts w:eastAsia="Cambria"/>
                <w:color w:val="000000"/>
              </w:rPr>
              <w:t>Source</w:t>
            </w:r>
          </w:p>
        </w:tc>
        <w:tc>
          <w:tcPr>
            <w:tcW w:w="837" w:type="dxa"/>
            <w:tcBorders>
              <w:top w:val="nil"/>
              <w:left w:val="nil"/>
              <w:bottom w:val="single" w:sz="4" w:space="0" w:color="auto"/>
              <w:right w:val="nil"/>
            </w:tcBorders>
            <w:vAlign w:val="center"/>
            <w:hideMark/>
          </w:tcPr>
          <w:p w14:paraId="4C07D3B6" w14:textId="77777777" w:rsidR="007F4ACA" w:rsidRDefault="007F4ACA">
            <w:pPr>
              <w:jc w:val="center"/>
              <w:rPr>
                <w:rFonts w:eastAsia="Cambria"/>
                <w:color w:val="000000"/>
              </w:rPr>
            </w:pPr>
            <w:r>
              <w:rPr>
                <w:rFonts w:eastAsia="Cambria"/>
                <w:color w:val="000000"/>
              </w:rPr>
              <w:t>df</w:t>
            </w:r>
          </w:p>
        </w:tc>
        <w:tc>
          <w:tcPr>
            <w:tcW w:w="1217" w:type="dxa"/>
            <w:tcBorders>
              <w:top w:val="nil"/>
              <w:left w:val="nil"/>
              <w:bottom w:val="single" w:sz="4" w:space="0" w:color="auto"/>
              <w:right w:val="nil"/>
            </w:tcBorders>
            <w:vAlign w:val="center"/>
            <w:hideMark/>
          </w:tcPr>
          <w:p w14:paraId="6351CE26" w14:textId="77777777" w:rsidR="007F4ACA" w:rsidRDefault="007F4ACA">
            <w:pPr>
              <w:jc w:val="center"/>
              <w:rPr>
                <w:rFonts w:eastAsia="Cambria"/>
                <w:color w:val="000000"/>
              </w:rPr>
            </w:pPr>
            <w:r>
              <w:rPr>
                <w:rFonts w:eastAsia="Cambria"/>
                <w:color w:val="000000"/>
              </w:rPr>
              <w:t>7</w:t>
            </w:r>
          </w:p>
        </w:tc>
        <w:tc>
          <w:tcPr>
            <w:tcW w:w="1217" w:type="dxa"/>
            <w:tcBorders>
              <w:top w:val="nil"/>
              <w:left w:val="nil"/>
              <w:bottom w:val="single" w:sz="4" w:space="0" w:color="auto"/>
              <w:right w:val="nil"/>
            </w:tcBorders>
            <w:vAlign w:val="center"/>
            <w:hideMark/>
          </w:tcPr>
          <w:p w14:paraId="545E6A42" w14:textId="77777777" w:rsidR="007F4ACA" w:rsidRDefault="007F4ACA">
            <w:pPr>
              <w:jc w:val="center"/>
              <w:rPr>
                <w:rFonts w:eastAsia="Cambria"/>
                <w:color w:val="000000"/>
              </w:rPr>
            </w:pPr>
            <w:r>
              <w:rPr>
                <w:rFonts w:eastAsia="Cambria"/>
                <w:color w:val="000000"/>
              </w:rPr>
              <w:t>14</w:t>
            </w:r>
          </w:p>
        </w:tc>
        <w:tc>
          <w:tcPr>
            <w:tcW w:w="1217" w:type="dxa"/>
            <w:tcBorders>
              <w:top w:val="nil"/>
              <w:left w:val="nil"/>
              <w:bottom w:val="single" w:sz="4" w:space="0" w:color="auto"/>
              <w:right w:val="nil"/>
            </w:tcBorders>
            <w:vAlign w:val="center"/>
            <w:hideMark/>
          </w:tcPr>
          <w:p w14:paraId="451F59BE" w14:textId="77777777" w:rsidR="007F4ACA" w:rsidRDefault="007F4ACA">
            <w:pPr>
              <w:jc w:val="center"/>
              <w:rPr>
                <w:rFonts w:eastAsia="Cambria"/>
                <w:color w:val="000000"/>
              </w:rPr>
            </w:pPr>
            <w:r>
              <w:rPr>
                <w:rFonts w:eastAsia="Cambria"/>
                <w:color w:val="000000"/>
              </w:rPr>
              <w:t>21</w:t>
            </w:r>
          </w:p>
        </w:tc>
        <w:tc>
          <w:tcPr>
            <w:tcW w:w="1271" w:type="dxa"/>
            <w:tcBorders>
              <w:top w:val="nil"/>
              <w:left w:val="nil"/>
              <w:bottom w:val="single" w:sz="4" w:space="0" w:color="auto"/>
              <w:right w:val="nil"/>
            </w:tcBorders>
            <w:vAlign w:val="center"/>
            <w:hideMark/>
          </w:tcPr>
          <w:p w14:paraId="5EC299D9" w14:textId="77777777" w:rsidR="007F4ACA" w:rsidRDefault="007F4ACA">
            <w:pPr>
              <w:jc w:val="center"/>
              <w:rPr>
                <w:rFonts w:eastAsia="Cambria"/>
                <w:color w:val="000000"/>
              </w:rPr>
            </w:pPr>
            <w:r>
              <w:rPr>
                <w:rFonts w:eastAsia="Cambria"/>
                <w:color w:val="000000"/>
              </w:rPr>
              <w:t>28</w:t>
            </w:r>
          </w:p>
        </w:tc>
      </w:tr>
      <w:tr w:rsidR="007F4ACA" w14:paraId="1DB2C9BD" w14:textId="77777777" w:rsidTr="00A70ED3">
        <w:trPr>
          <w:trHeight w:val="184"/>
        </w:trPr>
        <w:tc>
          <w:tcPr>
            <w:tcW w:w="2656" w:type="dxa"/>
            <w:tcBorders>
              <w:top w:val="single" w:sz="4" w:space="0" w:color="auto"/>
              <w:left w:val="nil"/>
              <w:bottom w:val="nil"/>
              <w:right w:val="nil"/>
            </w:tcBorders>
            <w:vAlign w:val="center"/>
            <w:hideMark/>
          </w:tcPr>
          <w:p w14:paraId="740C28D6" w14:textId="77777777" w:rsidR="007F4ACA" w:rsidRDefault="007F4ACA">
            <w:pPr>
              <w:rPr>
                <w:rFonts w:eastAsia="Cambria"/>
                <w:color w:val="000000"/>
              </w:rPr>
            </w:pPr>
            <w:r>
              <w:rPr>
                <w:rFonts w:eastAsia="Cambria"/>
                <w:color w:val="000000"/>
              </w:rPr>
              <w:t xml:space="preserve">Replication </w:t>
            </w:r>
          </w:p>
        </w:tc>
        <w:tc>
          <w:tcPr>
            <w:tcW w:w="837" w:type="dxa"/>
            <w:tcBorders>
              <w:top w:val="single" w:sz="4" w:space="0" w:color="auto"/>
              <w:left w:val="nil"/>
              <w:bottom w:val="nil"/>
              <w:right w:val="nil"/>
            </w:tcBorders>
            <w:vAlign w:val="center"/>
            <w:hideMark/>
          </w:tcPr>
          <w:p w14:paraId="11879501" w14:textId="77777777" w:rsidR="007F4ACA" w:rsidRDefault="007F4ACA">
            <w:pPr>
              <w:jc w:val="center"/>
              <w:rPr>
                <w:rFonts w:eastAsia="Cambria"/>
                <w:color w:val="000000"/>
              </w:rPr>
            </w:pPr>
            <w:r>
              <w:rPr>
                <w:rFonts w:eastAsia="Cambria"/>
                <w:color w:val="000000"/>
              </w:rPr>
              <w:t>4</w:t>
            </w:r>
          </w:p>
        </w:tc>
        <w:tc>
          <w:tcPr>
            <w:tcW w:w="1217" w:type="dxa"/>
            <w:tcBorders>
              <w:top w:val="single" w:sz="4" w:space="0" w:color="auto"/>
              <w:left w:val="nil"/>
              <w:bottom w:val="nil"/>
              <w:right w:val="nil"/>
            </w:tcBorders>
            <w:vAlign w:val="center"/>
            <w:hideMark/>
          </w:tcPr>
          <w:p w14:paraId="196BF333" w14:textId="77777777" w:rsidR="007F4ACA" w:rsidRDefault="007F4ACA">
            <w:pPr>
              <w:jc w:val="center"/>
              <w:rPr>
                <w:rFonts w:eastAsia="Cambria"/>
                <w:color w:val="000000"/>
              </w:rPr>
            </w:pPr>
            <w:r>
              <w:rPr>
                <w:rFonts w:eastAsia="Cambria"/>
                <w:color w:val="000000"/>
              </w:rPr>
              <w:t>NS</w:t>
            </w:r>
            <w:r>
              <w:rPr>
                <w:rFonts w:eastAsia="Cambria"/>
                <w:color w:val="000000"/>
                <w:vertAlign w:val="superscript"/>
              </w:rPr>
              <w:t>a</w:t>
            </w:r>
          </w:p>
        </w:tc>
        <w:tc>
          <w:tcPr>
            <w:tcW w:w="1217" w:type="dxa"/>
            <w:tcBorders>
              <w:top w:val="single" w:sz="4" w:space="0" w:color="auto"/>
              <w:left w:val="nil"/>
              <w:bottom w:val="nil"/>
              <w:right w:val="nil"/>
            </w:tcBorders>
            <w:vAlign w:val="center"/>
            <w:hideMark/>
          </w:tcPr>
          <w:p w14:paraId="5D5DA8F8" w14:textId="77777777" w:rsidR="007F4ACA" w:rsidRDefault="007F4ACA">
            <w:pPr>
              <w:jc w:val="center"/>
              <w:rPr>
                <w:rFonts w:eastAsia="Cambria"/>
                <w:color w:val="000000"/>
              </w:rPr>
            </w:pPr>
            <w:r>
              <w:rPr>
                <w:rFonts w:eastAsia="Cambria"/>
                <w:color w:val="000000"/>
              </w:rPr>
              <w:t>NS</w:t>
            </w:r>
          </w:p>
        </w:tc>
        <w:tc>
          <w:tcPr>
            <w:tcW w:w="1217" w:type="dxa"/>
            <w:tcBorders>
              <w:top w:val="single" w:sz="4" w:space="0" w:color="auto"/>
              <w:left w:val="nil"/>
              <w:bottom w:val="nil"/>
              <w:right w:val="nil"/>
            </w:tcBorders>
            <w:vAlign w:val="center"/>
            <w:hideMark/>
          </w:tcPr>
          <w:p w14:paraId="6D2809D5" w14:textId="77777777" w:rsidR="007F4ACA" w:rsidRDefault="007F4ACA">
            <w:pPr>
              <w:jc w:val="center"/>
              <w:rPr>
                <w:rFonts w:eastAsia="Cambria"/>
                <w:color w:val="000000"/>
              </w:rPr>
            </w:pPr>
            <w:r>
              <w:rPr>
                <w:rFonts w:eastAsia="Cambria"/>
                <w:color w:val="000000"/>
              </w:rPr>
              <w:t>NS</w:t>
            </w:r>
          </w:p>
        </w:tc>
        <w:tc>
          <w:tcPr>
            <w:tcW w:w="1271" w:type="dxa"/>
            <w:tcBorders>
              <w:top w:val="single" w:sz="4" w:space="0" w:color="auto"/>
              <w:left w:val="nil"/>
              <w:bottom w:val="nil"/>
              <w:right w:val="nil"/>
            </w:tcBorders>
            <w:vAlign w:val="center"/>
            <w:hideMark/>
          </w:tcPr>
          <w:p w14:paraId="340E251E" w14:textId="77777777" w:rsidR="007F4ACA" w:rsidRDefault="007F4ACA">
            <w:pPr>
              <w:jc w:val="center"/>
              <w:rPr>
                <w:rFonts w:eastAsia="Cambria"/>
                <w:color w:val="000000"/>
              </w:rPr>
            </w:pPr>
            <w:r>
              <w:rPr>
                <w:rFonts w:eastAsia="Cambria"/>
                <w:color w:val="000000"/>
              </w:rPr>
              <w:t>NS</w:t>
            </w:r>
          </w:p>
        </w:tc>
      </w:tr>
      <w:tr w:rsidR="007F4ACA" w14:paraId="1FFCE448" w14:textId="77777777" w:rsidTr="00A70ED3">
        <w:trPr>
          <w:trHeight w:val="184"/>
        </w:trPr>
        <w:tc>
          <w:tcPr>
            <w:tcW w:w="2656" w:type="dxa"/>
            <w:tcBorders>
              <w:top w:val="nil"/>
              <w:bottom w:val="nil"/>
              <w:right w:val="nil"/>
            </w:tcBorders>
            <w:vAlign w:val="center"/>
            <w:hideMark/>
          </w:tcPr>
          <w:p w14:paraId="6EF22954" w14:textId="77777777" w:rsidR="007F4ACA" w:rsidRDefault="007F4ACA">
            <w:pPr>
              <w:rPr>
                <w:rFonts w:eastAsia="Cambria"/>
                <w:color w:val="000000"/>
              </w:rPr>
            </w:pPr>
            <w:r>
              <w:rPr>
                <w:rFonts w:eastAsia="Cambria"/>
                <w:color w:val="000000"/>
              </w:rPr>
              <w:t>Fungicide (F)</w:t>
            </w:r>
          </w:p>
        </w:tc>
        <w:tc>
          <w:tcPr>
            <w:tcW w:w="837" w:type="dxa"/>
            <w:tcBorders>
              <w:top w:val="nil"/>
              <w:left w:val="nil"/>
              <w:bottom w:val="nil"/>
              <w:right w:val="nil"/>
            </w:tcBorders>
            <w:vAlign w:val="center"/>
            <w:hideMark/>
          </w:tcPr>
          <w:p w14:paraId="5B287B44" w14:textId="77777777" w:rsidR="007F4ACA" w:rsidRDefault="007F4ACA">
            <w:pPr>
              <w:jc w:val="center"/>
              <w:rPr>
                <w:rFonts w:eastAsia="Cambria"/>
                <w:color w:val="000000"/>
              </w:rPr>
            </w:pPr>
            <w:r>
              <w:rPr>
                <w:rFonts w:eastAsia="Cambria"/>
                <w:color w:val="000000"/>
              </w:rPr>
              <w:t>2</w:t>
            </w:r>
          </w:p>
        </w:tc>
        <w:tc>
          <w:tcPr>
            <w:tcW w:w="1217" w:type="dxa"/>
            <w:tcBorders>
              <w:top w:val="nil"/>
              <w:left w:val="nil"/>
              <w:bottom w:val="nil"/>
              <w:right w:val="nil"/>
            </w:tcBorders>
            <w:vAlign w:val="center"/>
            <w:hideMark/>
          </w:tcPr>
          <w:p w14:paraId="3B0DD45E" w14:textId="77777777" w:rsidR="007F4ACA" w:rsidRDefault="007F4ACA">
            <w:pPr>
              <w:jc w:val="center"/>
              <w:rPr>
                <w:rFonts w:eastAsia="Cambria"/>
                <w:color w:val="000000"/>
              </w:rPr>
            </w:pPr>
            <w:r>
              <w:rPr>
                <w:rFonts w:eastAsia="Cambria"/>
                <w:color w:val="000000"/>
              </w:rPr>
              <w:t>***</w:t>
            </w:r>
          </w:p>
        </w:tc>
        <w:tc>
          <w:tcPr>
            <w:tcW w:w="1217" w:type="dxa"/>
            <w:tcBorders>
              <w:top w:val="nil"/>
              <w:left w:val="nil"/>
              <w:bottom w:val="nil"/>
              <w:right w:val="nil"/>
            </w:tcBorders>
            <w:vAlign w:val="center"/>
            <w:hideMark/>
          </w:tcPr>
          <w:p w14:paraId="1C98ECDF" w14:textId="77777777" w:rsidR="007F4ACA" w:rsidRDefault="007F4ACA">
            <w:pPr>
              <w:jc w:val="center"/>
              <w:rPr>
                <w:rFonts w:eastAsia="Cambria"/>
                <w:color w:val="000000"/>
              </w:rPr>
            </w:pPr>
            <w:r>
              <w:rPr>
                <w:rFonts w:eastAsia="Cambria"/>
                <w:color w:val="000000"/>
              </w:rPr>
              <w:t>NS</w:t>
            </w:r>
          </w:p>
        </w:tc>
        <w:tc>
          <w:tcPr>
            <w:tcW w:w="1217" w:type="dxa"/>
            <w:tcBorders>
              <w:top w:val="nil"/>
              <w:left w:val="nil"/>
              <w:bottom w:val="nil"/>
              <w:right w:val="nil"/>
            </w:tcBorders>
            <w:vAlign w:val="center"/>
            <w:hideMark/>
          </w:tcPr>
          <w:p w14:paraId="31C3EEDF" w14:textId="77777777" w:rsidR="007F4ACA" w:rsidRDefault="007F4ACA">
            <w:pPr>
              <w:jc w:val="center"/>
              <w:rPr>
                <w:rFonts w:eastAsia="Cambria"/>
                <w:color w:val="000000"/>
              </w:rPr>
            </w:pPr>
            <w:r>
              <w:rPr>
                <w:rFonts w:eastAsia="Cambria"/>
                <w:color w:val="000000"/>
              </w:rPr>
              <w:t>***</w:t>
            </w:r>
          </w:p>
        </w:tc>
        <w:tc>
          <w:tcPr>
            <w:tcW w:w="1271" w:type="dxa"/>
            <w:tcBorders>
              <w:top w:val="nil"/>
              <w:left w:val="nil"/>
              <w:bottom w:val="nil"/>
            </w:tcBorders>
            <w:vAlign w:val="center"/>
            <w:hideMark/>
          </w:tcPr>
          <w:p w14:paraId="44AF9BE8" w14:textId="77777777" w:rsidR="007F4ACA" w:rsidRDefault="007F4ACA">
            <w:pPr>
              <w:jc w:val="center"/>
              <w:rPr>
                <w:rFonts w:eastAsia="Cambria"/>
                <w:color w:val="000000"/>
              </w:rPr>
            </w:pPr>
            <w:r>
              <w:rPr>
                <w:rFonts w:eastAsia="Cambria"/>
                <w:color w:val="000000"/>
              </w:rPr>
              <w:t>***</w:t>
            </w:r>
          </w:p>
        </w:tc>
      </w:tr>
      <w:tr w:rsidR="007F4ACA" w14:paraId="6268E6E9" w14:textId="77777777" w:rsidTr="00A70ED3">
        <w:trPr>
          <w:trHeight w:val="184"/>
        </w:trPr>
        <w:tc>
          <w:tcPr>
            <w:tcW w:w="2656" w:type="dxa"/>
            <w:tcBorders>
              <w:top w:val="nil"/>
              <w:bottom w:val="nil"/>
              <w:right w:val="nil"/>
            </w:tcBorders>
            <w:vAlign w:val="center"/>
            <w:hideMark/>
          </w:tcPr>
          <w:p w14:paraId="43CE5F32" w14:textId="77777777" w:rsidR="007F4ACA" w:rsidRDefault="007F4ACA">
            <w:pPr>
              <w:rPr>
                <w:rFonts w:eastAsia="Cambria"/>
                <w:color w:val="000000"/>
              </w:rPr>
            </w:pPr>
            <w:r>
              <w:rPr>
                <w:rFonts w:eastAsia="Cambria"/>
                <w:color w:val="000000"/>
              </w:rPr>
              <w:t>Spray Rate Volume (V)</w:t>
            </w:r>
          </w:p>
        </w:tc>
        <w:tc>
          <w:tcPr>
            <w:tcW w:w="837" w:type="dxa"/>
            <w:tcBorders>
              <w:top w:val="nil"/>
              <w:left w:val="nil"/>
              <w:bottom w:val="nil"/>
              <w:right w:val="nil"/>
            </w:tcBorders>
            <w:vAlign w:val="center"/>
            <w:hideMark/>
          </w:tcPr>
          <w:p w14:paraId="5F26CE1D" w14:textId="77777777" w:rsidR="007F4ACA" w:rsidRDefault="007F4ACA">
            <w:pPr>
              <w:jc w:val="center"/>
              <w:rPr>
                <w:rFonts w:eastAsia="Cambria"/>
                <w:color w:val="000000"/>
              </w:rPr>
            </w:pPr>
            <w:r>
              <w:rPr>
                <w:rFonts w:eastAsia="Cambria"/>
                <w:color w:val="000000"/>
              </w:rPr>
              <w:t>3</w:t>
            </w:r>
          </w:p>
        </w:tc>
        <w:tc>
          <w:tcPr>
            <w:tcW w:w="1217" w:type="dxa"/>
            <w:tcBorders>
              <w:top w:val="nil"/>
              <w:left w:val="nil"/>
              <w:bottom w:val="nil"/>
              <w:right w:val="nil"/>
            </w:tcBorders>
            <w:vAlign w:val="center"/>
            <w:hideMark/>
          </w:tcPr>
          <w:p w14:paraId="6EBE1D47" w14:textId="77777777" w:rsidR="007F4ACA" w:rsidRDefault="007F4ACA">
            <w:pPr>
              <w:jc w:val="center"/>
              <w:rPr>
                <w:rFonts w:eastAsia="Cambria"/>
                <w:color w:val="000000"/>
              </w:rPr>
            </w:pPr>
            <w:r>
              <w:rPr>
                <w:rFonts w:eastAsia="Cambria"/>
                <w:color w:val="000000"/>
              </w:rPr>
              <w:t>NS</w:t>
            </w:r>
          </w:p>
        </w:tc>
        <w:tc>
          <w:tcPr>
            <w:tcW w:w="1217" w:type="dxa"/>
            <w:tcBorders>
              <w:top w:val="nil"/>
              <w:left w:val="nil"/>
              <w:bottom w:val="nil"/>
              <w:right w:val="nil"/>
            </w:tcBorders>
            <w:vAlign w:val="center"/>
            <w:hideMark/>
          </w:tcPr>
          <w:p w14:paraId="0E761878" w14:textId="77777777" w:rsidR="007F4ACA" w:rsidRDefault="007F4ACA">
            <w:pPr>
              <w:jc w:val="center"/>
              <w:rPr>
                <w:rFonts w:eastAsia="Cambria"/>
                <w:color w:val="000000"/>
              </w:rPr>
            </w:pPr>
            <w:r>
              <w:rPr>
                <w:rFonts w:eastAsia="Cambria"/>
                <w:color w:val="000000"/>
              </w:rPr>
              <w:t>***</w:t>
            </w:r>
          </w:p>
        </w:tc>
        <w:tc>
          <w:tcPr>
            <w:tcW w:w="1217" w:type="dxa"/>
            <w:tcBorders>
              <w:top w:val="nil"/>
              <w:left w:val="nil"/>
              <w:bottom w:val="nil"/>
              <w:right w:val="nil"/>
            </w:tcBorders>
            <w:vAlign w:val="center"/>
            <w:hideMark/>
          </w:tcPr>
          <w:p w14:paraId="639567D1" w14:textId="77777777" w:rsidR="007F4ACA" w:rsidRDefault="007F4ACA">
            <w:pPr>
              <w:jc w:val="center"/>
              <w:rPr>
                <w:rFonts w:eastAsia="Cambria"/>
                <w:color w:val="000000"/>
              </w:rPr>
            </w:pPr>
            <w:r>
              <w:rPr>
                <w:rFonts w:eastAsia="Cambria"/>
                <w:color w:val="000000"/>
              </w:rPr>
              <w:t>***</w:t>
            </w:r>
          </w:p>
        </w:tc>
        <w:tc>
          <w:tcPr>
            <w:tcW w:w="1271" w:type="dxa"/>
            <w:tcBorders>
              <w:top w:val="nil"/>
              <w:left w:val="nil"/>
              <w:bottom w:val="nil"/>
            </w:tcBorders>
            <w:vAlign w:val="center"/>
            <w:hideMark/>
          </w:tcPr>
          <w:p w14:paraId="75BCADEA" w14:textId="77777777" w:rsidR="007F4ACA" w:rsidRDefault="007F4ACA">
            <w:pPr>
              <w:jc w:val="center"/>
              <w:rPr>
                <w:rFonts w:eastAsia="Cambria"/>
                <w:color w:val="000000"/>
              </w:rPr>
            </w:pPr>
            <w:r>
              <w:rPr>
                <w:rFonts w:eastAsia="Cambria"/>
                <w:color w:val="000000"/>
              </w:rPr>
              <w:t>***</w:t>
            </w:r>
          </w:p>
        </w:tc>
      </w:tr>
      <w:tr w:rsidR="007F4ACA" w14:paraId="2F79A3FC" w14:textId="77777777" w:rsidTr="00A70ED3">
        <w:trPr>
          <w:trHeight w:val="184"/>
        </w:trPr>
        <w:tc>
          <w:tcPr>
            <w:tcW w:w="2656" w:type="dxa"/>
            <w:tcBorders>
              <w:top w:val="nil"/>
              <w:left w:val="nil"/>
              <w:bottom w:val="single" w:sz="4" w:space="0" w:color="auto"/>
              <w:right w:val="nil"/>
            </w:tcBorders>
            <w:vAlign w:val="center"/>
            <w:hideMark/>
          </w:tcPr>
          <w:p w14:paraId="6D6F710D" w14:textId="77777777" w:rsidR="007F4ACA" w:rsidRDefault="007F4ACA">
            <w:pPr>
              <w:rPr>
                <w:rFonts w:eastAsia="Cambria"/>
                <w:color w:val="000000"/>
              </w:rPr>
            </w:pPr>
            <w:r>
              <w:rPr>
                <w:rFonts w:eastAsia="Cambria"/>
                <w:color w:val="000000"/>
              </w:rPr>
              <w:t>F x V</w:t>
            </w:r>
          </w:p>
        </w:tc>
        <w:tc>
          <w:tcPr>
            <w:tcW w:w="837" w:type="dxa"/>
            <w:tcBorders>
              <w:top w:val="nil"/>
              <w:left w:val="nil"/>
              <w:bottom w:val="single" w:sz="4" w:space="0" w:color="auto"/>
              <w:right w:val="nil"/>
            </w:tcBorders>
            <w:vAlign w:val="center"/>
            <w:hideMark/>
          </w:tcPr>
          <w:p w14:paraId="6750FBF4" w14:textId="77777777" w:rsidR="007F4ACA" w:rsidRDefault="007F4ACA">
            <w:pPr>
              <w:jc w:val="center"/>
              <w:rPr>
                <w:rFonts w:eastAsia="Cambria"/>
                <w:color w:val="000000"/>
              </w:rPr>
            </w:pPr>
            <w:r>
              <w:rPr>
                <w:rFonts w:eastAsia="Cambria"/>
                <w:color w:val="000000"/>
              </w:rPr>
              <w:t>6</w:t>
            </w:r>
          </w:p>
        </w:tc>
        <w:tc>
          <w:tcPr>
            <w:tcW w:w="1217" w:type="dxa"/>
            <w:tcBorders>
              <w:top w:val="nil"/>
              <w:left w:val="nil"/>
              <w:bottom w:val="single" w:sz="4" w:space="0" w:color="auto"/>
              <w:right w:val="nil"/>
            </w:tcBorders>
            <w:vAlign w:val="center"/>
            <w:hideMark/>
          </w:tcPr>
          <w:p w14:paraId="28DE9FC6" w14:textId="77777777" w:rsidR="007F4ACA" w:rsidRDefault="007F4ACA">
            <w:pPr>
              <w:jc w:val="center"/>
              <w:rPr>
                <w:rFonts w:eastAsia="Cambria"/>
                <w:color w:val="000000"/>
              </w:rPr>
            </w:pPr>
            <w:r>
              <w:rPr>
                <w:rFonts w:eastAsia="Cambria"/>
                <w:color w:val="000000"/>
              </w:rPr>
              <w:t>*</w:t>
            </w:r>
          </w:p>
        </w:tc>
        <w:tc>
          <w:tcPr>
            <w:tcW w:w="1217" w:type="dxa"/>
            <w:tcBorders>
              <w:top w:val="nil"/>
              <w:left w:val="nil"/>
              <w:bottom w:val="single" w:sz="4" w:space="0" w:color="auto"/>
              <w:right w:val="nil"/>
            </w:tcBorders>
            <w:vAlign w:val="center"/>
            <w:hideMark/>
          </w:tcPr>
          <w:p w14:paraId="7FA44A7D" w14:textId="77777777" w:rsidR="007F4ACA" w:rsidRDefault="007F4ACA">
            <w:pPr>
              <w:jc w:val="center"/>
              <w:rPr>
                <w:rFonts w:eastAsia="Cambria"/>
                <w:color w:val="000000"/>
              </w:rPr>
            </w:pPr>
            <w:r>
              <w:rPr>
                <w:rFonts w:eastAsia="Cambria"/>
                <w:color w:val="000000"/>
              </w:rPr>
              <w:t>*</w:t>
            </w:r>
          </w:p>
        </w:tc>
        <w:tc>
          <w:tcPr>
            <w:tcW w:w="1217" w:type="dxa"/>
            <w:tcBorders>
              <w:top w:val="nil"/>
              <w:left w:val="nil"/>
              <w:bottom w:val="single" w:sz="4" w:space="0" w:color="auto"/>
              <w:right w:val="nil"/>
            </w:tcBorders>
            <w:vAlign w:val="center"/>
            <w:hideMark/>
          </w:tcPr>
          <w:p w14:paraId="5CCA9C43" w14:textId="77777777" w:rsidR="007F4ACA" w:rsidRDefault="007F4ACA">
            <w:pPr>
              <w:jc w:val="center"/>
              <w:rPr>
                <w:rFonts w:eastAsia="Cambria"/>
                <w:color w:val="000000"/>
              </w:rPr>
            </w:pPr>
            <w:r>
              <w:rPr>
                <w:rFonts w:eastAsia="Cambria"/>
                <w:color w:val="000000"/>
              </w:rPr>
              <w:t>***</w:t>
            </w:r>
          </w:p>
        </w:tc>
        <w:tc>
          <w:tcPr>
            <w:tcW w:w="1271" w:type="dxa"/>
            <w:tcBorders>
              <w:top w:val="nil"/>
              <w:left w:val="nil"/>
              <w:bottom w:val="single" w:sz="4" w:space="0" w:color="auto"/>
              <w:right w:val="nil"/>
            </w:tcBorders>
            <w:vAlign w:val="center"/>
            <w:hideMark/>
          </w:tcPr>
          <w:p w14:paraId="63D9A41C" w14:textId="77777777" w:rsidR="007F4ACA" w:rsidRDefault="007F4ACA">
            <w:pPr>
              <w:jc w:val="center"/>
              <w:rPr>
                <w:rFonts w:eastAsia="Cambria"/>
                <w:color w:val="000000"/>
              </w:rPr>
            </w:pPr>
            <w:r>
              <w:rPr>
                <w:rFonts w:eastAsia="Cambria"/>
                <w:color w:val="000000"/>
              </w:rPr>
              <w:t>***</w:t>
            </w:r>
          </w:p>
        </w:tc>
      </w:tr>
      <w:tr w:rsidR="002006A3" w14:paraId="2D465270" w14:textId="77777777" w:rsidTr="00506C2A">
        <w:trPr>
          <w:trHeight w:val="156"/>
        </w:trPr>
        <w:tc>
          <w:tcPr>
            <w:tcW w:w="8415" w:type="dxa"/>
            <w:gridSpan w:val="6"/>
            <w:tcBorders>
              <w:top w:val="single" w:sz="4" w:space="0" w:color="auto"/>
              <w:left w:val="nil"/>
              <w:bottom w:val="nil"/>
              <w:right w:val="nil"/>
            </w:tcBorders>
            <w:hideMark/>
          </w:tcPr>
          <w:p w14:paraId="6894BDE8" w14:textId="6EFC6699" w:rsidR="002006A3" w:rsidRDefault="002006A3" w:rsidP="002006A3">
            <w:pPr>
              <w:rPr>
                <w:rFonts w:eastAsia="Cambria"/>
                <w:color w:val="000000"/>
              </w:rPr>
            </w:pPr>
            <w:r w:rsidRPr="002006A3">
              <w:rPr>
                <w:vertAlign w:val="superscript"/>
              </w:rPr>
              <w:t>a</w:t>
            </w:r>
            <w:r w:rsidRPr="00B04A03">
              <w:t>NS = not significant.</w:t>
            </w:r>
          </w:p>
        </w:tc>
      </w:tr>
      <w:tr w:rsidR="002006A3" w14:paraId="7B2DBCB3" w14:textId="77777777" w:rsidTr="00506C2A">
        <w:trPr>
          <w:trHeight w:val="156"/>
        </w:trPr>
        <w:tc>
          <w:tcPr>
            <w:tcW w:w="8415" w:type="dxa"/>
            <w:gridSpan w:val="6"/>
            <w:tcBorders>
              <w:top w:val="nil"/>
              <w:bottom w:val="nil"/>
            </w:tcBorders>
            <w:hideMark/>
          </w:tcPr>
          <w:p w14:paraId="7DD54E67" w14:textId="5EA16537" w:rsidR="002006A3" w:rsidRDefault="002006A3" w:rsidP="002006A3">
            <w:pPr>
              <w:rPr>
                <w:rFonts w:eastAsia="Cambria"/>
                <w:color w:val="000000"/>
              </w:rPr>
            </w:pPr>
            <w:r w:rsidRPr="00B04A03">
              <w:t>*,**,***, Significant at the p ≤0.05, 0.01, 0.001 level, respectively.</w:t>
            </w:r>
          </w:p>
        </w:tc>
      </w:tr>
      <w:bookmarkEnd w:id="138"/>
    </w:tbl>
    <w:p w14:paraId="10B1E38B" w14:textId="77777777" w:rsidR="007F4ACA" w:rsidRDefault="007F4ACA" w:rsidP="007F4ACA">
      <w:pPr>
        <w:numPr>
          <w:ilvl w:val="12"/>
          <w:numId w:val="0"/>
        </w:numPr>
        <w:rPr>
          <w:b/>
          <w:sz w:val="32"/>
          <w:szCs w:val="32"/>
        </w:rPr>
      </w:pPr>
    </w:p>
    <w:p w14:paraId="137309C4" w14:textId="77777777" w:rsidR="007F4ACA" w:rsidRDefault="007F4ACA" w:rsidP="007F4ACA">
      <w:pPr>
        <w:numPr>
          <w:ilvl w:val="12"/>
          <w:numId w:val="0"/>
        </w:numPr>
        <w:rPr>
          <w:b/>
          <w:sz w:val="32"/>
          <w:szCs w:val="32"/>
        </w:rPr>
      </w:pPr>
    </w:p>
    <w:p w14:paraId="3F4A5582" w14:textId="77777777" w:rsidR="007F4ACA" w:rsidRDefault="007F4ACA" w:rsidP="007F4ACA">
      <w:pPr>
        <w:numPr>
          <w:ilvl w:val="12"/>
          <w:numId w:val="0"/>
        </w:numPr>
        <w:rPr>
          <w:b/>
          <w:sz w:val="32"/>
          <w:szCs w:val="32"/>
        </w:rPr>
      </w:pPr>
    </w:p>
    <w:p w14:paraId="21BF23A3" w14:textId="77777777" w:rsidR="007F4ACA" w:rsidRDefault="007F4ACA" w:rsidP="007F4ACA">
      <w:pPr>
        <w:numPr>
          <w:ilvl w:val="12"/>
          <w:numId w:val="0"/>
        </w:numPr>
        <w:rPr>
          <w:b/>
          <w:sz w:val="32"/>
          <w:szCs w:val="32"/>
        </w:rPr>
      </w:pPr>
    </w:p>
    <w:p w14:paraId="3CC6DBAA" w14:textId="77777777" w:rsidR="007F4ACA" w:rsidRDefault="007F4ACA" w:rsidP="007F4ACA">
      <w:pPr>
        <w:numPr>
          <w:ilvl w:val="12"/>
          <w:numId w:val="0"/>
        </w:numPr>
        <w:rPr>
          <w:b/>
          <w:sz w:val="32"/>
          <w:szCs w:val="32"/>
        </w:rPr>
      </w:pPr>
    </w:p>
    <w:p w14:paraId="33E5CC1F" w14:textId="77777777" w:rsidR="007F4ACA" w:rsidRDefault="007F4ACA" w:rsidP="007F4ACA">
      <w:pPr>
        <w:numPr>
          <w:ilvl w:val="12"/>
          <w:numId w:val="0"/>
        </w:numPr>
        <w:rPr>
          <w:b/>
          <w:sz w:val="32"/>
          <w:szCs w:val="32"/>
        </w:rPr>
      </w:pPr>
    </w:p>
    <w:p w14:paraId="11D4800E" w14:textId="77777777" w:rsidR="007F4ACA" w:rsidRDefault="007F4ACA" w:rsidP="007F4ACA">
      <w:pPr>
        <w:numPr>
          <w:ilvl w:val="12"/>
          <w:numId w:val="0"/>
        </w:numPr>
        <w:rPr>
          <w:b/>
          <w:sz w:val="32"/>
          <w:szCs w:val="32"/>
        </w:rPr>
      </w:pPr>
    </w:p>
    <w:p w14:paraId="204154CE" w14:textId="77777777" w:rsidR="007F4ACA" w:rsidRDefault="007F4ACA" w:rsidP="007F4ACA">
      <w:pPr>
        <w:numPr>
          <w:ilvl w:val="12"/>
          <w:numId w:val="0"/>
        </w:numPr>
        <w:rPr>
          <w:b/>
          <w:sz w:val="32"/>
          <w:szCs w:val="32"/>
        </w:rPr>
      </w:pPr>
    </w:p>
    <w:p w14:paraId="055F33C3" w14:textId="77777777" w:rsidR="007F4ACA" w:rsidRDefault="007F4ACA" w:rsidP="007F4ACA">
      <w:pPr>
        <w:numPr>
          <w:ilvl w:val="12"/>
          <w:numId w:val="0"/>
        </w:numPr>
        <w:rPr>
          <w:b/>
          <w:sz w:val="32"/>
          <w:szCs w:val="32"/>
        </w:rPr>
      </w:pPr>
    </w:p>
    <w:p w14:paraId="305179E9" w14:textId="77777777" w:rsidR="007F4ACA" w:rsidRDefault="007F4ACA" w:rsidP="007F4ACA">
      <w:pPr>
        <w:numPr>
          <w:ilvl w:val="12"/>
          <w:numId w:val="0"/>
        </w:numPr>
        <w:rPr>
          <w:b/>
          <w:sz w:val="32"/>
          <w:szCs w:val="32"/>
        </w:rPr>
      </w:pPr>
    </w:p>
    <w:p w14:paraId="40BEB0B8" w14:textId="77777777" w:rsidR="007F4ACA" w:rsidRDefault="007F4ACA" w:rsidP="007F4ACA">
      <w:pPr>
        <w:numPr>
          <w:ilvl w:val="12"/>
          <w:numId w:val="0"/>
        </w:numPr>
        <w:rPr>
          <w:b/>
          <w:sz w:val="32"/>
          <w:szCs w:val="32"/>
        </w:rPr>
      </w:pPr>
    </w:p>
    <w:p w14:paraId="6E8E4AD9" w14:textId="77777777" w:rsidR="007F4ACA" w:rsidRDefault="007F4ACA" w:rsidP="007F4ACA">
      <w:pPr>
        <w:numPr>
          <w:ilvl w:val="12"/>
          <w:numId w:val="0"/>
        </w:numPr>
        <w:rPr>
          <w:b/>
          <w:sz w:val="32"/>
          <w:szCs w:val="32"/>
        </w:rPr>
      </w:pPr>
    </w:p>
    <w:p w14:paraId="63DA5606" w14:textId="77777777" w:rsidR="007F4ACA" w:rsidRDefault="007F4ACA" w:rsidP="007F4ACA">
      <w:pPr>
        <w:numPr>
          <w:ilvl w:val="12"/>
          <w:numId w:val="0"/>
        </w:numPr>
        <w:rPr>
          <w:b/>
          <w:sz w:val="32"/>
          <w:szCs w:val="32"/>
        </w:rPr>
      </w:pPr>
    </w:p>
    <w:p w14:paraId="4A23134C" w14:textId="77777777" w:rsidR="007F4ACA" w:rsidRDefault="007F4ACA" w:rsidP="007F4ACA">
      <w:pPr>
        <w:numPr>
          <w:ilvl w:val="12"/>
          <w:numId w:val="0"/>
        </w:numPr>
        <w:rPr>
          <w:b/>
          <w:sz w:val="32"/>
          <w:szCs w:val="32"/>
        </w:rPr>
      </w:pPr>
    </w:p>
    <w:p w14:paraId="3EA832C3" w14:textId="77777777" w:rsidR="007F4ACA" w:rsidRDefault="007F4ACA" w:rsidP="007F4ACA">
      <w:pPr>
        <w:numPr>
          <w:ilvl w:val="12"/>
          <w:numId w:val="0"/>
        </w:numPr>
        <w:rPr>
          <w:b/>
          <w:sz w:val="32"/>
          <w:szCs w:val="32"/>
        </w:rPr>
      </w:pPr>
    </w:p>
    <w:p w14:paraId="55B028BF" w14:textId="77777777" w:rsidR="007F4ACA" w:rsidRDefault="007F4ACA" w:rsidP="007F4ACA">
      <w:pPr>
        <w:numPr>
          <w:ilvl w:val="12"/>
          <w:numId w:val="0"/>
        </w:numPr>
        <w:rPr>
          <w:b/>
          <w:sz w:val="32"/>
          <w:szCs w:val="32"/>
        </w:rPr>
      </w:pPr>
    </w:p>
    <w:p w14:paraId="62181348" w14:textId="77777777" w:rsidR="007F4ACA" w:rsidRDefault="007F4ACA" w:rsidP="007F4ACA">
      <w:pPr>
        <w:numPr>
          <w:ilvl w:val="12"/>
          <w:numId w:val="0"/>
        </w:numPr>
        <w:rPr>
          <w:b/>
          <w:sz w:val="32"/>
          <w:szCs w:val="32"/>
        </w:rPr>
      </w:pPr>
    </w:p>
    <w:p w14:paraId="50A8A093" w14:textId="77777777" w:rsidR="007F4ACA" w:rsidRDefault="007F4ACA" w:rsidP="007F4ACA">
      <w:pPr>
        <w:numPr>
          <w:ilvl w:val="12"/>
          <w:numId w:val="0"/>
        </w:numPr>
        <w:rPr>
          <w:b/>
          <w:sz w:val="32"/>
          <w:szCs w:val="32"/>
        </w:rPr>
      </w:pPr>
    </w:p>
    <w:p w14:paraId="7025050F" w14:textId="77777777" w:rsidR="007F4ACA" w:rsidRDefault="007F4ACA" w:rsidP="007F4ACA">
      <w:pPr>
        <w:numPr>
          <w:ilvl w:val="12"/>
          <w:numId w:val="0"/>
        </w:numPr>
        <w:rPr>
          <w:b/>
          <w:sz w:val="32"/>
          <w:szCs w:val="32"/>
        </w:rPr>
      </w:pPr>
    </w:p>
    <w:p w14:paraId="57401299" w14:textId="77777777" w:rsidR="007F4ACA" w:rsidRDefault="007F4ACA" w:rsidP="007F4ACA">
      <w:pPr>
        <w:numPr>
          <w:ilvl w:val="12"/>
          <w:numId w:val="0"/>
        </w:numPr>
        <w:rPr>
          <w:b/>
          <w:sz w:val="32"/>
          <w:szCs w:val="32"/>
        </w:rPr>
      </w:pPr>
    </w:p>
    <w:p w14:paraId="033E754E" w14:textId="77777777" w:rsidR="00E65815" w:rsidRDefault="00E65815" w:rsidP="007F4ACA">
      <w:pPr>
        <w:numPr>
          <w:ilvl w:val="12"/>
          <w:numId w:val="0"/>
        </w:numPr>
        <w:rPr>
          <w:b/>
          <w:sz w:val="32"/>
          <w:szCs w:val="32"/>
        </w:rPr>
      </w:pPr>
    </w:p>
    <w:tbl>
      <w:tblPr>
        <w:tblpPr w:leftFromText="180" w:rightFromText="180" w:vertAnchor="text" w:horzAnchor="margin" w:tblpY="1171"/>
        <w:tblW w:w="12870" w:type="dxa"/>
        <w:tblBorders>
          <w:insideH w:val="single" w:sz="4" w:space="0" w:color="auto"/>
          <w:insideV w:val="single" w:sz="4" w:space="0" w:color="auto"/>
        </w:tblBorders>
        <w:tblLayout w:type="fixed"/>
        <w:tblLook w:val="04A0" w:firstRow="1" w:lastRow="0" w:firstColumn="1" w:lastColumn="0" w:noHBand="0" w:noVBand="1"/>
      </w:tblPr>
      <w:tblGrid>
        <w:gridCol w:w="2337"/>
        <w:gridCol w:w="811"/>
        <w:gridCol w:w="1081"/>
        <w:gridCol w:w="1081"/>
        <w:gridCol w:w="990"/>
        <w:gridCol w:w="1080"/>
        <w:gridCol w:w="1170"/>
        <w:gridCol w:w="990"/>
        <w:gridCol w:w="1080"/>
        <w:gridCol w:w="1080"/>
        <w:gridCol w:w="1170"/>
      </w:tblGrid>
      <w:tr w:rsidR="00E65815" w14:paraId="26CF6BAF" w14:textId="77777777" w:rsidTr="00E65815">
        <w:trPr>
          <w:trHeight w:val="181"/>
        </w:trPr>
        <w:tc>
          <w:tcPr>
            <w:tcW w:w="2337" w:type="dxa"/>
            <w:tcBorders>
              <w:top w:val="single" w:sz="4" w:space="0" w:color="auto"/>
              <w:left w:val="nil"/>
              <w:bottom w:val="nil"/>
              <w:right w:val="nil"/>
            </w:tcBorders>
            <w:vAlign w:val="center"/>
          </w:tcPr>
          <w:p w14:paraId="121E6AE9" w14:textId="77777777" w:rsidR="00E65815" w:rsidRDefault="00E65815" w:rsidP="00E65815">
            <w:pPr>
              <w:rPr>
                <w:rFonts w:eastAsia="Cambria"/>
                <w:color w:val="000000"/>
              </w:rPr>
            </w:pPr>
          </w:p>
        </w:tc>
        <w:tc>
          <w:tcPr>
            <w:tcW w:w="811" w:type="dxa"/>
            <w:tcBorders>
              <w:top w:val="single" w:sz="4" w:space="0" w:color="auto"/>
              <w:left w:val="nil"/>
              <w:bottom w:val="nil"/>
              <w:right w:val="nil"/>
            </w:tcBorders>
            <w:vAlign w:val="center"/>
          </w:tcPr>
          <w:p w14:paraId="33F833C1" w14:textId="77777777" w:rsidR="00E65815" w:rsidRDefault="00E65815" w:rsidP="00E65815">
            <w:pPr>
              <w:jc w:val="center"/>
              <w:rPr>
                <w:rFonts w:eastAsia="Cambria"/>
                <w:color w:val="000000"/>
              </w:rPr>
            </w:pPr>
          </w:p>
        </w:tc>
        <w:tc>
          <w:tcPr>
            <w:tcW w:w="3152" w:type="dxa"/>
            <w:gridSpan w:val="3"/>
            <w:tcBorders>
              <w:top w:val="single" w:sz="4" w:space="0" w:color="auto"/>
              <w:left w:val="nil"/>
              <w:bottom w:val="nil"/>
              <w:right w:val="nil"/>
            </w:tcBorders>
            <w:vAlign w:val="center"/>
            <w:hideMark/>
          </w:tcPr>
          <w:p w14:paraId="53E6350D" w14:textId="77777777" w:rsidR="00E65815" w:rsidRDefault="00E65815" w:rsidP="00E65815">
            <w:pPr>
              <w:jc w:val="center"/>
              <w:rPr>
                <w:rFonts w:eastAsia="Cambria"/>
                <w:color w:val="000000"/>
                <w:u w:val="single"/>
              </w:rPr>
            </w:pPr>
            <w:r>
              <w:rPr>
                <w:rFonts w:eastAsia="Cambria"/>
                <w:color w:val="000000"/>
                <w:u w:val="single"/>
              </w:rPr>
              <w:t>Farm Golf Club</w:t>
            </w:r>
          </w:p>
        </w:tc>
        <w:tc>
          <w:tcPr>
            <w:tcW w:w="5400" w:type="dxa"/>
            <w:gridSpan w:val="5"/>
            <w:tcBorders>
              <w:top w:val="single" w:sz="4" w:space="0" w:color="auto"/>
              <w:left w:val="nil"/>
              <w:bottom w:val="nil"/>
              <w:right w:val="nil"/>
            </w:tcBorders>
            <w:vAlign w:val="center"/>
            <w:hideMark/>
          </w:tcPr>
          <w:p w14:paraId="418E0791" w14:textId="77777777" w:rsidR="00E65815" w:rsidRDefault="00E65815" w:rsidP="00E65815">
            <w:pPr>
              <w:jc w:val="center"/>
              <w:rPr>
                <w:rFonts w:eastAsia="Cambria"/>
                <w:color w:val="000000"/>
                <w:u w:val="single"/>
              </w:rPr>
            </w:pPr>
            <w:r>
              <w:rPr>
                <w:rFonts w:eastAsia="Cambria"/>
                <w:color w:val="000000"/>
                <w:u w:val="single"/>
              </w:rPr>
              <w:t>Gettysvue Golf and Polo Club</w:t>
            </w:r>
          </w:p>
        </w:tc>
        <w:tc>
          <w:tcPr>
            <w:tcW w:w="1170" w:type="dxa"/>
            <w:tcBorders>
              <w:top w:val="single" w:sz="4" w:space="0" w:color="auto"/>
              <w:left w:val="nil"/>
              <w:bottom w:val="nil"/>
              <w:right w:val="nil"/>
            </w:tcBorders>
          </w:tcPr>
          <w:p w14:paraId="00C52956" w14:textId="77777777" w:rsidR="00E65815" w:rsidRDefault="00E65815" w:rsidP="00E65815">
            <w:pPr>
              <w:jc w:val="center"/>
              <w:rPr>
                <w:rFonts w:eastAsia="Cambria"/>
                <w:color w:val="000000"/>
              </w:rPr>
            </w:pPr>
          </w:p>
        </w:tc>
      </w:tr>
      <w:tr w:rsidR="00E65815" w14:paraId="7A9DE8D1" w14:textId="77777777" w:rsidTr="00E65815">
        <w:trPr>
          <w:trHeight w:val="181"/>
        </w:trPr>
        <w:tc>
          <w:tcPr>
            <w:tcW w:w="2337" w:type="dxa"/>
            <w:tcBorders>
              <w:top w:val="nil"/>
              <w:left w:val="nil"/>
              <w:bottom w:val="single" w:sz="4" w:space="0" w:color="auto"/>
              <w:right w:val="nil"/>
            </w:tcBorders>
            <w:vAlign w:val="bottom"/>
            <w:hideMark/>
          </w:tcPr>
          <w:p w14:paraId="7E62EF30" w14:textId="77777777" w:rsidR="00E65815" w:rsidRDefault="00E65815" w:rsidP="00E65815">
            <w:pPr>
              <w:rPr>
                <w:rFonts w:eastAsia="Cambria"/>
                <w:color w:val="000000"/>
              </w:rPr>
            </w:pPr>
            <w:r>
              <w:rPr>
                <w:rFonts w:eastAsia="Cambria"/>
                <w:color w:val="000000"/>
              </w:rPr>
              <w:t>Source</w:t>
            </w:r>
          </w:p>
        </w:tc>
        <w:tc>
          <w:tcPr>
            <w:tcW w:w="811" w:type="dxa"/>
            <w:tcBorders>
              <w:top w:val="nil"/>
              <w:left w:val="nil"/>
              <w:bottom w:val="single" w:sz="4" w:space="0" w:color="auto"/>
              <w:right w:val="nil"/>
            </w:tcBorders>
            <w:vAlign w:val="bottom"/>
            <w:hideMark/>
          </w:tcPr>
          <w:p w14:paraId="347F0F3E" w14:textId="77777777" w:rsidR="00E65815" w:rsidRDefault="00E65815" w:rsidP="00E65815">
            <w:pPr>
              <w:jc w:val="center"/>
              <w:rPr>
                <w:rFonts w:eastAsia="Cambria"/>
                <w:color w:val="000000"/>
              </w:rPr>
            </w:pPr>
            <w:r>
              <w:rPr>
                <w:rFonts w:eastAsia="Cambria"/>
                <w:color w:val="000000"/>
              </w:rPr>
              <w:t>df</w:t>
            </w:r>
          </w:p>
        </w:tc>
        <w:tc>
          <w:tcPr>
            <w:tcW w:w="1081" w:type="dxa"/>
            <w:tcBorders>
              <w:top w:val="nil"/>
              <w:left w:val="nil"/>
              <w:bottom w:val="single" w:sz="4" w:space="0" w:color="auto"/>
              <w:right w:val="nil"/>
            </w:tcBorders>
            <w:vAlign w:val="center"/>
            <w:hideMark/>
          </w:tcPr>
          <w:p w14:paraId="097896EB" w14:textId="77777777" w:rsidR="00E65815" w:rsidRDefault="00E65815" w:rsidP="00E65815">
            <w:pPr>
              <w:jc w:val="center"/>
              <w:rPr>
                <w:rFonts w:eastAsia="Cambria"/>
                <w:color w:val="000000"/>
              </w:rPr>
            </w:pPr>
            <w:r>
              <w:rPr>
                <w:rFonts w:eastAsia="Cambria"/>
                <w:color w:val="000000"/>
              </w:rPr>
              <w:t>OCT 30</w:t>
            </w:r>
          </w:p>
          <w:p w14:paraId="72425D3B" w14:textId="77777777" w:rsidR="00E65815" w:rsidRDefault="00E65815" w:rsidP="00E65815">
            <w:pPr>
              <w:jc w:val="center"/>
              <w:rPr>
                <w:rFonts w:eastAsia="Cambria"/>
                <w:color w:val="000000"/>
              </w:rPr>
            </w:pPr>
            <w:r>
              <w:rPr>
                <w:rFonts w:eastAsia="Cambria"/>
                <w:color w:val="000000"/>
              </w:rPr>
              <w:t>2015</w:t>
            </w:r>
          </w:p>
        </w:tc>
        <w:tc>
          <w:tcPr>
            <w:tcW w:w="1081" w:type="dxa"/>
            <w:tcBorders>
              <w:top w:val="nil"/>
              <w:left w:val="nil"/>
              <w:bottom w:val="single" w:sz="4" w:space="0" w:color="auto"/>
              <w:right w:val="nil"/>
            </w:tcBorders>
            <w:vAlign w:val="center"/>
            <w:hideMark/>
          </w:tcPr>
          <w:p w14:paraId="76FF928C" w14:textId="77777777" w:rsidR="00E65815" w:rsidRDefault="00E65815" w:rsidP="00E65815">
            <w:pPr>
              <w:jc w:val="center"/>
              <w:rPr>
                <w:rFonts w:eastAsia="Cambria"/>
                <w:color w:val="000000"/>
              </w:rPr>
            </w:pPr>
            <w:r>
              <w:rPr>
                <w:rFonts w:eastAsia="Cambria"/>
                <w:color w:val="000000"/>
              </w:rPr>
              <w:t>MAR 29</w:t>
            </w:r>
          </w:p>
          <w:p w14:paraId="45A5F746" w14:textId="77777777" w:rsidR="00E65815" w:rsidRDefault="00E65815" w:rsidP="00E65815">
            <w:pPr>
              <w:jc w:val="center"/>
              <w:rPr>
                <w:rFonts w:eastAsia="Cambria"/>
                <w:color w:val="000000"/>
              </w:rPr>
            </w:pPr>
            <w:r>
              <w:rPr>
                <w:rFonts w:eastAsia="Cambria"/>
                <w:color w:val="000000"/>
              </w:rPr>
              <w:t>2016</w:t>
            </w:r>
          </w:p>
        </w:tc>
        <w:tc>
          <w:tcPr>
            <w:tcW w:w="990" w:type="dxa"/>
            <w:tcBorders>
              <w:top w:val="nil"/>
              <w:left w:val="nil"/>
              <w:bottom w:val="single" w:sz="4" w:space="0" w:color="auto"/>
              <w:right w:val="nil"/>
            </w:tcBorders>
            <w:vAlign w:val="center"/>
            <w:hideMark/>
          </w:tcPr>
          <w:p w14:paraId="0B0C205C" w14:textId="77777777" w:rsidR="00E65815" w:rsidRDefault="00E65815" w:rsidP="00E65815">
            <w:pPr>
              <w:jc w:val="center"/>
              <w:rPr>
                <w:rFonts w:eastAsia="Cambria"/>
                <w:color w:val="000000"/>
              </w:rPr>
            </w:pPr>
            <w:r>
              <w:rPr>
                <w:rFonts w:eastAsia="Cambria"/>
                <w:color w:val="000000"/>
              </w:rPr>
              <w:t>MAY 6</w:t>
            </w:r>
          </w:p>
          <w:p w14:paraId="6B421A6C" w14:textId="77777777" w:rsidR="00E65815" w:rsidRDefault="00E65815" w:rsidP="00E65815">
            <w:pPr>
              <w:jc w:val="center"/>
              <w:rPr>
                <w:rFonts w:eastAsia="Cambria"/>
                <w:color w:val="000000"/>
              </w:rPr>
            </w:pPr>
            <w:r>
              <w:rPr>
                <w:rFonts w:eastAsia="Cambria"/>
                <w:color w:val="000000"/>
              </w:rPr>
              <w:t>2016</w:t>
            </w:r>
          </w:p>
        </w:tc>
        <w:tc>
          <w:tcPr>
            <w:tcW w:w="1080" w:type="dxa"/>
            <w:tcBorders>
              <w:top w:val="nil"/>
              <w:left w:val="nil"/>
              <w:bottom w:val="single" w:sz="4" w:space="0" w:color="auto"/>
              <w:right w:val="nil"/>
            </w:tcBorders>
            <w:vAlign w:val="center"/>
            <w:hideMark/>
          </w:tcPr>
          <w:p w14:paraId="61FC997E" w14:textId="77777777" w:rsidR="00E65815" w:rsidRDefault="00E65815" w:rsidP="00E65815">
            <w:pPr>
              <w:jc w:val="center"/>
              <w:rPr>
                <w:rFonts w:eastAsia="Cambria"/>
                <w:color w:val="000000"/>
              </w:rPr>
            </w:pPr>
            <w:r>
              <w:rPr>
                <w:rFonts w:eastAsia="Cambria"/>
                <w:color w:val="000000"/>
              </w:rPr>
              <w:t>OCT 14</w:t>
            </w:r>
          </w:p>
          <w:p w14:paraId="32996525" w14:textId="77777777" w:rsidR="00E65815" w:rsidRDefault="00E65815" w:rsidP="00E65815">
            <w:pPr>
              <w:jc w:val="center"/>
              <w:rPr>
                <w:rFonts w:eastAsia="Cambria"/>
                <w:color w:val="000000"/>
              </w:rPr>
            </w:pPr>
            <w:r>
              <w:rPr>
                <w:rFonts w:eastAsia="Cambria"/>
                <w:color w:val="000000"/>
              </w:rPr>
              <w:t>2015</w:t>
            </w:r>
          </w:p>
        </w:tc>
        <w:tc>
          <w:tcPr>
            <w:tcW w:w="1170" w:type="dxa"/>
            <w:tcBorders>
              <w:top w:val="nil"/>
              <w:left w:val="nil"/>
              <w:bottom w:val="single" w:sz="4" w:space="0" w:color="auto"/>
              <w:right w:val="nil"/>
            </w:tcBorders>
            <w:vAlign w:val="center"/>
            <w:hideMark/>
          </w:tcPr>
          <w:p w14:paraId="41CA0546" w14:textId="77777777" w:rsidR="00E65815" w:rsidRDefault="00E65815" w:rsidP="00E65815">
            <w:pPr>
              <w:jc w:val="center"/>
              <w:rPr>
                <w:rFonts w:eastAsia="Cambria"/>
                <w:color w:val="000000"/>
              </w:rPr>
            </w:pPr>
            <w:r>
              <w:rPr>
                <w:rFonts w:eastAsia="Cambria"/>
                <w:color w:val="000000"/>
              </w:rPr>
              <w:t>NOV 13</w:t>
            </w:r>
          </w:p>
          <w:p w14:paraId="7E39172E" w14:textId="77777777" w:rsidR="00E65815" w:rsidRDefault="00E65815" w:rsidP="00E65815">
            <w:pPr>
              <w:jc w:val="center"/>
              <w:rPr>
                <w:rFonts w:eastAsia="Cambria"/>
                <w:color w:val="000000"/>
              </w:rPr>
            </w:pPr>
            <w:r>
              <w:rPr>
                <w:rFonts w:eastAsia="Cambria"/>
                <w:color w:val="000000"/>
              </w:rPr>
              <w:t>2015</w:t>
            </w:r>
          </w:p>
        </w:tc>
        <w:tc>
          <w:tcPr>
            <w:tcW w:w="990" w:type="dxa"/>
            <w:tcBorders>
              <w:top w:val="nil"/>
              <w:left w:val="nil"/>
              <w:bottom w:val="single" w:sz="4" w:space="0" w:color="auto"/>
              <w:right w:val="nil"/>
            </w:tcBorders>
            <w:vAlign w:val="center"/>
            <w:hideMark/>
          </w:tcPr>
          <w:p w14:paraId="6F3B4E39" w14:textId="77777777" w:rsidR="00E65815" w:rsidRDefault="00E65815" w:rsidP="00E65815">
            <w:pPr>
              <w:jc w:val="center"/>
              <w:rPr>
                <w:rFonts w:eastAsia="Cambria"/>
                <w:color w:val="000000"/>
              </w:rPr>
            </w:pPr>
            <w:r>
              <w:rPr>
                <w:rFonts w:eastAsia="Cambria"/>
                <w:color w:val="000000"/>
              </w:rPr>
              <w:t>APR 11</w:t>
            </w:r>
          </w:p>
          <w:p w14:paraId="5134CCFA" w14:textId="77777777" w:rsidR="00E65815" w:rsidRDefault="00E65815" w:rsidP="00E65815">
            <w:pPr>
              <w:jc w:val="center"/>
              <w:rPr>
                <w:rFonts w:eastAsia="Cambria"/>
                <w:color w:val="000000"/>
              </w:rPr>
            </w:pPr>
            <w:r>
              <w:rPr>
                <w:rFonts w:eastAsia="Cambria"/>
                <w:color w:val="000000"/>
              </w:rPr>
              <w:t>2016</w:t>
            </w:r>
          </w:p>
        </w:tc>
        <w:tc>
          <w:tcPr>
            <w:tcW w:w="1080" w:type="dxa"/>
            <w:tcBorders>
              <w:top w:val="nil"/>
              <w:left w:val="nil"/>
              <w:bottom w:val="single" w:sz="4" w:space="0" w:color="auto"/>
              <w:right w:val="nil"/>
            </w:tcBorders>
            <w:vAlign w:val="center"/>
            <w:hideMark/>
          </w:tcPr>
          <w:p w14:paraId="71A87ECA" w14:textId="77777777" w:rsidR="00E65815" w:rsidRDefault="00E65815" w:rsidP="00E65815">
            <w:pPr>
              <w:jc w:val="center"/>
              <w:rPr>
                <w:rFonts w:eastAsia="Cambria"/>
                <w:color w:val="000000"/>
              </w:rPr>
            </w:pPr>
            <w:r>
              <w:rPr>
                <w:rFonts w:eastAsia="Cambria"/>
                <w:color w:val="000000"/>
              </w:rPr>
              <w:t>MAY 3</w:t>
            </w:r>
          </w:p>
          <w:p w14:paraId="681501C4" w14:textId="77777777" w:rsidR="00E65815" w:rsidRDefault="00E65815" w:rsidP="00E65815">
            <w:pPr>
              <w:jc w:val="center"/>
              <w:rPr>
                <w:rFonts w:eastAsia="Cambria"/>
                <w:color w:val="000000"/>
              </w:rPr>
            </w:pPr>
            <w:r>
              <w:rPr>
                <w:rFonts w:eastAsia="Cambria"/>
                <w:color w:val="000000"/>
              </w:rPr>
              <w:t>2016</w:t>
            </w:r>
          </w:p>
        </w:tc>
        <w:tc>
          <w:tcPr>
            <w:tcW w:w="1080" w:type="dxa"/>
            <w:tcBorders>
              <w:top w:val="nil"/>
              <w:left w:val="nil"/>
              <w:bottom w:val="single" w:sz="4" w:space="0" w:color="auto"/>
              <w:right w:val="nil"/>
            </w:tcBorders>
            <w:hideMark/>
          </w:tcPr>
          <w:p w14:paraId="08F1BC1C" w14:textId="77777777" w:rsidR="00E65815" w:rsidRDefault="00E65815" w:rsidP="00E65815">
            <w:pPr>
              <w:jc w:val="center"/>
              <w:rPr>
                <w:rFonts w:eastAsia="Cambria"/>
                <w:color w:val="000000"/>
              </w:rPr>
            </w:pPr>
            <w:r>
              <w:rPr>
                <w:rFonts w:eastAsia="Cambria"/>
                <w:color w:val="000000"/>
              </w:rPr>
              <w:t>MAY 23</w:t>
            </w:r>
          </w:p>
          <w:p w14:paraId="3CCA33F9" w14:textId="77777777" w:rsidR="00E65815" w:rsidRDefault="00E65815" w:rsidP="00E65815">
            <w:pPr>
              <w:jc w:val="center"/>
              <w:rPr>
                <w:rFonts w:eastAsia="Cambria"/>
                <w:color w:val="000000"/>
              </w:rPr>
            </w:pPr>
            <w:r>
              <w:rPr>
                <w:rFonts w:eastAsia="Cambria"/>
                <w:color w:val="000000"/>
              </w:rPr>
              <w:t>2016</w:t>
            </w:r>
          </w:p>
        </w:tc>
        <w:tc>
          <w:tcPr>
            <w:tcW w:w="1170" w:type="dxa"/>
            <w:tcBorders>
              <w:top w:val="nil"/>
              <w:left w:val="nil"/>
              <w:bottom w:val="single" w:sz="4" w:space="0" w:color="auto"/>
              <w:right w:val="nil"/>
            </w:tcBorders>
            <w:vAlign w:val="center"/>
            <w:hideMark/>
          </w:tcPr>
          <w:p w14:paraId="34389AF8" w14:textId="77777777" w:rsidR="00E65815" w:rsidRDefault="00E65815" w:rsidP="00E65815">
            <w:pPr>
              <w:jc w:val="center"/>
              <w:rPr>
                <w:rFonts w:eastAsia="Cambria"/>
                <w:color w:val="000000"/>
              </w:rPr>
            </w:pPr>
            <w:r>
              <w:rPr>
                <w:rFonts w:eastAsia="Cambria"/>
                <w:color w:val="000000"/>
              </w:rPr>
              <w:t>AUDPC</w:t>
            </w:r>
          </w:p>
        </w:tc>
      </w:tr>
      <w:tr w:rsidR="00E65815" w14:paraId="12E02F5D" w14:textId="77777777" w:rsidTr="00E65815">
        <w:trPr>
          <w:trHeight w:val="181"/>
        </w:trPr>
        <w:tc>
          <w:tcPr>
            <w:tcW w:w="2337" w:type="dxa"/>
            <w:tcBorders>
              <w:top w:val="single" w:sz="4" w:space="0" w:color="auto"/>
              <w:left w:val="nil"/>
              <w:bottom w:val="nil"/>
              <w:right w:val="nil"/>
            </w:tcBorders>
            <w:vAlign w:val="center"/>
            <w:hideMark/>
          </w:tcPr>
          <w:p w14:paraId="16F99A22" w14:textId="77777777" w:rsidR="00E65815" w:rsidRDefault="00E65815" w:rsidP="00E65815">
            <w:pPr>
              <w:rPr>
                <w:rFonts w:eastAsia="Cambria"/>
                <w:color w:val="000000"/>
              </w:rPr>
            </w:pPr>
            <w:r>
              <w:rPr>
                <w:rFonts w:eastAsia="Cambria"/>
                <w:color w:val="000000"/>
              </w:rPr>
              <w:t xml:space="preserve">Replication </w:t>
            </w:r>
          </w:p>
        </w:tc>
        <w:tc>
          <w:tcPr>
            <w:tcW w:w="811" w:type="dxa"/>
            <w:tcBorders>
              <w:top w:val="single" w:sz="4" w:space="0" w:color="auto"/>
              <w:left w:val="nil"/>
              <w:bottom w:val="nil"/>
              <w:right w:val="nil"/>
            </w:tcBorders>
            <w:vAlign w:val="center"/>
            <w:hideMark/>
          </w:tcPr>
          <w:p w14:paraId="009AB5BD" w14:textId="77777777" w:rsidR="00E65815" w:rsidRDefault="00E65815" w:rsidP="00E65815">
            <w:pPr>
              <w:jc w:val="center"/>
              <w:rPr>
                <w:rFonts w:eastAsia="Cambria"/>
                <w:color w:val="000000"/>
              </w:rPr>
            </w:pPr>
            <w:r>
              <w:rPr>
                <w:rFonts w:eastAsia="Cambria"/>
                <w:color w:val="000000"/>
              </w:rPr>
              <w:t>3</w:t>
            </w:r>
          </w:p>
        </w:tc>
        <w:tc>
          <w:tcPr>
            <w:tcW w:w="1081" w:type="dxa"/>
            <w:tcBorders>
              <w:top w:val="single" w:sz="4" w:space="0" w:color="auto"/>
              <w:left w:val="nil"/>
              <w:bottom w:val="nil"/>
              <w:right w:val="nil"/>
            </w:tcBorders>
            <w:vAlign w:val="center"/>
            <w:hideMark/>
          </w:tcPr>
          <w:p w14:paraId="4A3ACDA8" w14:textId="77777777" w:rsidR="00E65815" w:rsidRDefault="00E65815" w:rsidP="00E65815">
            <w:pPr>
              <w:jc w:val="center"/>
              <w:rPr>
                <w:rFonts w:eastAsia="Cambria"/>
                <w:color w:val="000000"/>
              </w:rPr>
            </w:pPr>
            <w:r>
              <w:rPr>
                <w:rFonts w:eastAsia="Cambria"/>
                <w:color w:val="000000"/>
              </w:rPr>
              <w:t>NS</w:t>
            </w:r>
            <w:r>
              <w:rPr>
                <w:rFonts w:eastAsia="Cambria"/>
                <w:color w:val="000000"/>
                <w:vertAlign w:val="superscript"/>
              </w:rPr>
              <w:t>a</w:t>
            </w:r>
          </w:p>
        </w:tc>
        <w:tc>
          <w:tcPr>
            <w:tcW w:w="1081" w:type="dxa"/>
            <w:tcBorders>
              <w:top w:val="single" w:sz="4" w:space="0" w:color="auto"/>
              <w:left w:val="nil"/>
              <w:bottom w:val="nil"/>
              <w:right w:val="nil"/>
            </w:tcBorders>
            <w:vAlign w:val="center"/>
            <w:hideMark/>
          </w:tcPr>
          <w:p w14:paraId="4CF07023" w14:textId="77777777" w:rsidR="00E65815" w:rsidRDefault="00E65815" w:rsidP="00E65815">
            <w:pPr>
              <w:jc w:val="center"/>
              <w:rPr>
                <w:rFonts w:eastAsia="Cambria"/>
                <w:color w:val="000000"/>
              </w:rPr>
            </w:pPr>
            <w:r>
              <w:rPr>
                <w:rFonts w:eastAsia="Cambria"/>
                <w:color w:val="000000"/>
              </w:rPr>
              <w:t>NS</w:t>
            </w:r>
          </w:p>
        </w:tc>
        <w:tc>
          <w:tcPr>
            <w:tcW w:w="990" w:type="dxa"/>
            <w:tcBorders>
              <w:top w:val="single" w:sz="4" w:space="0" w:color="auto"/>
              <w:left w:val="nil"/>
              <w:bottom w:val="nil"/>
              <w:right w:val="nil"/>
            </w:tcBorders>
            <w:vAlign w:val="center"/>
            <w:hideMark/>
          </w:tcPr>
          <w:p w14:paraId="3F0AC64E" w14:textId="77777777" w:rsidR="00E65815" w:rsidRDefault="00E65815" w:rsidP="00E65815">
            <w:pPr>
              <w:jc w:val="center"/>
              <w:rPr>
                <w:rFonts w:eastAsia="Cambria"/>
                <w:color w:val="000000"/>
              </w:rPr>
            </w:pPr>
            <w:r>
              <w:rPr>
                <w:rFonts w:eastAsia="Cambria"/>
                <w:color w:val="000000"/>
              </w:rPr>
              <w:t>NS</w:t>
            </w:r>
          </w:p>
        </w:tc>
        <w:tc>
          <w:tcPr>
            <w:tcW w:w="1080" w:type="dxa"/>
            <w:tcBorders>
              <w:top w:val="single" w:sz="4" w:space="0" w:color="auto"/>
              <w:left w:val="nil"/>
              <w:bottom w:val="nil"/>
              <w:right w:val="nil"/>
            </w:tcBorders>
            <w:vAlign w:val="center"/>
            <w:hideMark/>
          </w:tcPr>
          <w:p w14:paraId="1B668524" w14:textId="77777777" w:rsidR="00E65815" w:rsidRDefault="00E65815" w:rsidP="00E65815">
            <w:pPr>
              <w:jc w:val="center"/>
              <w:rPr>
                <w:rFonts w:eastAsia="Cambria"/>
                <w:color w:val="000000"/>
              </w:rPr>
            </w:pPr>
            <w:r>
              <w:rPr>
                <w:rFonts w:eastAsia="Cambria"/>
                <w:color w:val="000000"/>
              </w:rPr>
              <w:t>NS</w:t>
            </w:r>
          </w:p>
        </w:tc>
        <w:tc>
          <w:tcPr>
            <w:tcW w:w="1170" w:type="dxa"/>
            <w:tcBorders>
              <w:top w:val="single" w:sz="4" w:space="0" w:color="auto"/>
              <w:left w:val="nil"/>
              <w:bottom w:val="nil"/>
              <w:right w:val="nil"/>
            </w:tcBorders>
            <w:vAlign w:val="center"/>
            <w:hideMark/>
          </w:tcPr>
          <w:p w14:paraId="470E71A5" w14:textId="77777777" w:rsidR="00E65815" w:rsidRDefault="00E65815" w:rsidP="00E65815">
            <w:pPr>
              <w:jc w:val="center"/>
              <w:rPr>
                <w:rFonts w:eastAsia="Cambria"/>
                <w:color w:val="000000"/>
              </w:rPr>
            </w:pPr>
            <w:r>
              <w:rPr>
                <w:rFonts w:eastAsia="Cambria"/>
                <w:color w:val="000000"/>
              </w:rPr>
              <w:t>NS</w:t>
            </w:r>
          </w:p>
        </w:tc>
        <w:tc>
          <w:tcPr>
            <w:tcW w:w="990" w:type="dxa"/>
            <w:tcBorders>
              <w:top w:val="single" w:sz="4" w:space="0" w:color="auto"/>
              <w:left w:val="nil"/>
              <w:bottom w:val="nil"/>
              <w:right w:val="nil"/>
            </w:tcBorders>
            <w:vAlign w:val="center"/>
            <w:hideMark/>
          </w:tcPr>
          <w:p w14:paraId="102AB04B" w14:textId="77777777" w:rsidR="00E65815" w:rsidRDefault="00E65815" w:rsidP="00E65815">
            <w:pPr>
              <w:jc w:val="center"/>
              <w:rPr>
                <w:rFonts w:eastAsia="Cambria"/>
                <w:color w:val="000000"/>
              </w:rPr>
            </w:pPr>
            <w:r>
              <w:rPr>
                <w:rFonts w:eastAsia="Cambria"/>
                <w:color w:val="000000"/>
              </w:rPr>
              <w:t>NS</w:t>
            </w:r>
          </w:p>
        </w:tc>
        <w:tc>
          <w:tcPr>
            <w:tcW w:w="1080" w:type="dxa"/>
            <w:tcBorders>
              <w:top w:val="single" w:sz="4" w:space="0" w:color="auto"/>
              <w:left w:val="nil"/>
              <w:bottom w:val="nil"/>
              <w:right w:val="nil"/>
            </w:tcBorders>
            <w:vAlign w:val="center"/>
            <w:hideMark/>
          </w:tcPr>
          <w:p w14:paraId="50B9EF8F" w14:textId="77777777" w:rsidR="00E65815" w:rsidRDefault="00E65815" w:rsidP="00E65815">
            <w:pPr>
              <w:jc w:val="center"/>
              <w:rPr>
                <w:rFonts w:eastAsia="Cambria"/>
                <w:color w:val="000000"/>
              </w:rPr>
            </w:pPr>
            <w:r>
              <w:rPr>
                <w:rFonts w:eastAsia="Cambria"/>
                <w:color w:val="000000"/>
              </w:rPr>
              <w:t>NS</w:t>
            </w:r>
          </w:p>
        </w:tc>
        <w:tc>
          <w:tcPr>
            <w:tcW w:w="1080" w:type="dxa"/>
            <w:tcBorders>
              <w:top w:val="single" w:sz="4" w:space="0" w:color="auto"/>
              <w:left w:val="nil"/>
              <w:bottom w:val="nil"/>
              <w:right w:val="nil"/>
            </w:tcBorders>
            <w:hideMark/>
          </w:tcPr>
          <w:p w14:paraId="08281147" w14:textId="77777777" w:rsidR="00E65815" w:rsidRDefault="00E65815" w:rsidP="00E65815">
            <w:pPr>
              <w:jc w:val="center"/>
              <w:rPr>
                <w:rFonts w:eastAsia="Cambria"/>
                <w:color w:val="000000"/>
              </w:rPr>
            </w:pPr>
            <w:r>
              <w:rPr>
                <w:rFonts w:eastAsia="Cambria"/>
                <w:color w:val="000000"/>
              </w:rPr>
              <w:t>NS</w:t>
            </w:r>
          </w:p>
        </w:tc>
        <w:tc>
          <w:tcPr>
            <w:tcW w:w="1170" w:type="dxa"/>
            <w:tcBorders>
              <w:top w:val="single" w:sz="4" w:space="0" w:color="auto"/>
              <w:left w:val="nil"/>
              <w:bottom w:val="nil"/>
              <w:right w:val="nil"/>
            </w:tcBorders>
            <w:vAlign w:val="center"/>
            <w:hideMark/>
          </w:tcPr>
          <w:p w14:paraId="042B797C" w14:textId="77777777" w:rsidR="00E65815" w:rsidRDefault="00E65815" w:rsidP="00E65815">
            <w:pPr>
              <w:jc w:val="center"/>
              <w:rPr>
                <w:rFonts w:eastAsia="Cambria"/>
                <w:color w:val="000000"/>
              </w:rPr>
            </w:pPr>
            <w:r>
              <w:rPr>
                <w:rFonts w:eastAsia="Cambria"/>
                <w:color w:val="000000"/>
              </w:rPr>
              <w:t>NS</w:t>
            </w:r>
          </w:p>
        </w:tc>
      </w:tr>
      <w:tr w:rsidR="00E65815" w14:paraId="440DC846" w14:textId="77777777" w:rsidTr="00E65815">
        <w:trPr>
          <w:trHeight w:val="181"/>
        </w:trPr>
        <w:tc>
          <w:tcPr>
            <w:tcW w:w="2337" w:type="dxa"/>
            <w:tcBorders>
              <w:top w:val="nil"/>
              <w:bottom w:val="nil"/>
              <w:right w:val="nil"/>
            </w:tcBorders>
            <w:vAlign w:val="center"/>
            <w:hideMark/>
          </w:tcPr>
          <w:p w14:paraId="3D85C7CB" w14:textId="77777777" w:rsidR="00E65815" w:rsidRDefault="00E65815" w:rsidP="00E65815">
            <w:pPr>
              <w:rPr>
                <w:rFonts w:eastAsia="Cambria"/>
                <w:color w:val="000000"/>
              </w:rPr>
            </w:pPr>
            <w:r>
              <w:rPr>
                <w:rFonts w:eastAsia="Cambria"/>
                <w:color w:val="000000"/>
              </w:rPr>
              <w:t>Fungicide (F)</w:t>
            </w:r>
          </w:p>
        </w:tc>
        <w:tc>
          <w:tcPr>
            <w:tcW w:w="811" w:type="dxa"/>
            <w:tcBorders>
              <w:top w:val="nil"/>
              <w:left w:val="nil"/>
              <w:bottom w:val="nil"/>
              <w:right w:val="nil"/>
            </w:tcBorders>
            <w:vAlign w:val="center"/>
            <w:hideMark/>
          </w:tcPr>
          <w:p w14:paraId="504E9BC0" w14:textId="77777777" w:rsidR="00E65815" w:rsidRDefault="00E65815" w:rsidP="00E65815">
            <w:pPr>
              <w:jc w:val="center"/>
              <w:rPr>
                <w:rFonts w:eastAsia="Cambria"/>
                <w:color w:val="000000"/>
              </w:rPr>
            </w:pPr>
            <w:r>
              <w:rPr>
                <w:rFonts w:eastAsia="Cambria"/>
                <w:color w:val="000000"/>
              </w:rPr>
              <w:t>2</w:t>
            </w:r>
          </w:p>
        </w:tc>
        <w:tc>
          <w:tcPr>
            <w:tcW w:w="1081" w:type="dxa"/>
            <w:tcBorders>
              <w:top w:val="nil"/>
              <w:left w:val="nil"/>
              <w:bottom w:val="nil"/>
              <w:right w:val="nil"/>
            </w:tcBorders>
            <w:vAlign w:val="center"/>
            <w:hideMark/>
          </w:tcPr>
          <w:p w14:paraId="72B9E8E4" w14:textId="77777777" w:rsidR="00E65815" w:rsidRDefault="00E65815" w:rsidP="00E65815">
            <w:pPr>
              <w:jc w:val="center"/>
              <w:rPr>
                <w:rFonts w:eastAsia="Cambria"/>
                <w:color w:val="000000"/>
              </w:rPr>
            </w:pPr>
            <w:r>
              <w:rPr>
                <w:rFonts w:eastAsia="Cambria"/>
                <w:color w:val="000000"/>
              </w:rPr>
              <w:t>*</w:t>
            </w:r>
          </w:p>
        </w:tc>
        <w:tc>
          <w:tcPr>
            <w:tcW w:w="1081" w:type="dxa"/>
            <w:tcBorders>
              <w:top w:val="nil"/>
              <w:left w:val="nil"/>
              <w:bottom w:val="nil"/>
              <w:right w:val="nil"/>
            </w:tcBorders>
            <w:vAlign w:val="center"/>
            <w:hideMark/>
          </w:tcPr>
          <w:p w14:paraId="6128725B" w14:textId="77777777" w:rsidR="00E65815" w:rsidRDefault="00E65815" w:rsidP="00E65815">
            <w:pPr>
              <w:jc w:val="center"/>
              <w:rPr>
                <w:rFonts w:eastAsia="Cambria"/>
                <w:color w:val="000000"/>
              </w:rPr>
            </w:pPr>
            <w:r>
              <w:rPr>
                <w:rFonts w:eastAsia="Cambria"/>
                <w:color w:val="000000"/>
              </w:rPr>
              <w:t>*</w:t>
            </w:r>
          </w:p>
        </w:tc>
        <w:tc>
          <w:tcPr>
            <w:tcW w:w="990" w:type="dxa"/>
            <w:tcBorders>
              <w:top w:val="nil"/>
              <w:left w:val="nil"/>
              <w:bottom w:val="nil"/>
              <w:right w:val="nil"/>
            </w:tcBorders>
            <w:vAlign w:val="center"/>
            <w:hideMark/>
          </w:tcPr>
          <w:p w14:paraId="67B7ECBD" w14:textId="77777777" w:rsidR="00E65815" w:rsidRDefault="00E65815" w:rsidP="00E65815">
            <w:pPr>
              <w:jc w:val="center"/>
              <w:rPr>
                <w:rFonts w:eastAsia="Cambria"/>
                <w:color w:val="000000"/>
              </w:rPr>
            </w:pPr>
            <w:r>
              <w:rPr>
                <w:rFonts w:eastAsia="Cambria"/>
                <w:color w:val="000000"/>
              </w:rPr>
              <w:t>**</w:t>
            </w:r>
          </w:p>
        </w:tc>
        <w:tc>
          <w:tcPr>
            <w:tcW w:w="1080" w:type="dxa"/>
            <w:tcBorders>
              <w:top w:val="nil"/>
              <w:left w:val="nil"/>
              <w:bottom w:val="nil"/>
              <w:right w:val="nil"/>
            </w:tcBorders>
            <w:vAlign w:val="center"/>
            <w:hideMark/>
          </w:tcPr>
          <w:p w14:paraId="16020D24" w14:textId="77777777" w:rsidR="00E65815" w:rsidRDefault="00E65815" w:rsidP="00E65815">
            <w:pPr>
              <w:jc w:val="center"/>
              <w:rPr>
                <w:rFonts w:eastAsia="Cambria"/>
                <w:color w:val="000000"/>
              </w:rPr>
            </w:pPr>
            <w:r>
              <w:rPr>
                <w:rFonts w:eastAsia="Cambria"/>
                <w:color w:val="000000"/>
              </w:rPr>
              <w:t>NS</w:t>
            </w:r>
          </w:p>
        </w:tc>
        <w:tc>
          <w:tcPr>
            <w:tcW w:w="1170" w:type="dxa"/>
            <w:tcBorders>
              <w:top w:val="nil"/>
              <w:left w:val="nil"/>
              <w:bottom w:val="nil"/>
              <w:right w:val="nil"/>
            </w:tcBorders>
            <w:vAlign w:val="center"/>
            <w:hideMark/>
          </w:tcPr>
          <w:p w14:paraId="67BEE8EE" w14:textId="77777777" w:rsidR="00E65815" w:rsidRDefault="00E65815" w:rsidP="00E65815">
            <w:pPr>
              <w:jc w:val="center"/>
              <w:rPr>
                <w:rFonts w:eastAsia="Cambria"/>
                <w:color w:val="000000"/>
              </w:rPr>
            </w:pPr>
            <w:r>
              <w:rPr>
                <w:rFonts w:eastAsia="Cambria"/>
                <w:color w:val="000000"/>
              </w:rPr>
              <w:t>*</w:t>
            </w:r>
          </w:p>
        </w:tc>
        <w:tc>
          <w:tcPr>
            <w:tcW w:w="990" w:type="dxa"/>
            <w:tcBorders>
              <w:top w:val="nil"/>
              <w:left w:val="nil"/>
              <w:bottom w:val="nil"/>
              <w:right w:val="nil"/>
            </w:tcBorders>
            <w:vAlign w:val="center"/>
            <w:hideMark/>
          </w:tcPr>
          <w:p w14:paraId="21FADDE9" w14:textId="77777777" w:rsidR="00E65815" w:rsidRDefault="00E65815" w:rsidP="00E65815">
            <w:pPr>
              <w:jc w:val="center"/>
              <w:rPr>
                <w:rFonts w:eastAsia="Cambria"/>
                <w:color w:val="000000"/>
              </w:rPr>
            </w:pPr>
            <w:r>
              <w:rPr>
                <w:rFonts w:eastAsia="Cambria"/>
                <w:color w:val="000000"/>
              </w:rPr>
              <w:t>NS</w:t>
            </w:r>
          </w:p>
        </w:tc>
        <w:tc>
          <w:tcPr>
            <w:tcW w:w="1080" w:type="dxa"/>
            <w:tcBorders>
              <w:top w:val="nil"/>
              <w:left w:val="nil"/>
              <w:bottom w:val="nil"/>
              <w:right w:val="nil"/>
            </w:tcBorders>
            <w:vAlign w:val="center"/>
            <w:hideMark/>
          </w:tcPr>
          <w:p w14:paraId="301FF941" w14:textId="77777777" w:rsidR="00E65815" w:rsidRDefault="00E65815" w:rsidP="00E65815">
            <w:pPr>
              <w:jc w:val="center"/>
              <w:rPr>
                <w:rFonts w:eastAsia="Cambria"/>
                <w:color w:val="000000"/>
              </w:rPr>
            </w:pPr>
            <w:r>
              <w:rPr>
                <w:rFonts w:eastAsia="Cambria"/>
                <w:color w:val="000000"/>
              </w:rPr>
              <w:t>NS</w:t>
            </w:r>
          </w:p>
        </w:tc>
        <w:tc>
          <w:tcPr>
            <w:tcW w:w="1080" w:type="dxa"/>
            <w:tcBorders>
              <w:top w:val="nil"/>
              <w:left w:val="nil"/>
              <w:bottom w:val="nil"/>
              <w:right w:val="nil"/>
            </w:tcBorders>
            <w:hideMark/>
          </w:tcPr>
          <w:p w14:paraId="55AA02A3" w14:textId="77777777" w:rsidR="00E65815" w:rsidRDefault="00E65815" w:rsidP="00E65815">
            <w:pPr>
              <w:jc w:val="center"/>
              <w:rPr>
                <w:rFonts w:eastAsia="Cambria"/>
                <w:color w:val="000000"/>
              </w:rPr>
            </w:pPr>
            <w:r>
              <w:rPr>
                <w:rFonts w:eastAsia="Cambria"/>
                <w:color w:val="000000"/>
              </w:rPr>
              <w:t>NS</w:t>
            </w:r>
          </w:p>
        </w:tc>
        <w:tc>
          <w:tcPr>
            <w:tcW w:w="1170" w:type="dxa"/>
            <w:tcBorders>
              <w:top w:val="nil"/>
              <w:left w:val="nil"/>
              <w:bottom w:val="nil"/>
            </w:tcBorders>
            <w:vAlign w:val="center"/>
            <w:hideMark/>
          </w:tcPr>
          <w:p w14:paraId="763400C0" w14:textId="77777777" w:rsidR="00E65815" w:rsidRDefault="00E65815" w:rsidP="00E65815">
            <w:pPr>
              <w:jc w:val="center"/>
              <w:rPr>
                <w:rFonts w:eastAsia="Cambria"/>
                <w:color w:val="000000"/>
              </w:rPr>
            </w:pPr>
            <w:r>
              <w:rPr>
                <w:rFonts w:eastAsia="Cambria"/>
                <w:color w:val="000000"/>
              </w:rPr>
              <w:t>*</w:t>
            </w:r>
          </w:p>
        </w:tc>
      </w:tr>
      <w:tr w:rsidR="00E65815" w14:paraId="4FB70138" w14:textId="77777777" w:rsidTr="00E65815">
        <w:trPr>
          <w:trHeight w:val="181"/>
        </w:trPr>
        <w:tc>
          <w:tcPr>
            <w:tcW w:w="2337" w:type="dxa"/>
            <w:tcBorders>
              <w:top w:val="nil"/>
              <w:bottom w:val="nil"/>
              <w:right w:val="nil"/>
            </w:tcBorders>
            <w:vAlign w:val="center"/>
            <w:hideMark/>
          </w:tcPr>
          <w:p w14:paraId="5FC90F4D" w14:textId="77777777" w:rsidR="00E65815" w:rsidRDefault="00E65815" w:rsidP="00E65815">
            <w:pPr>
              <w:rPr>
                <w:rFonts w:eastAsia="Cambria"/>
                <w:color w:val="000000"/>
              </w:rPr>
            </w:pPr>
            <w:r>
              <w:rPr>
                <w:rFonts w:eastAsia="Cambria"/>
                <w:color w:val="000000"/>
              </w:rPr>
              <w:t>Surfactant (S)</w:t>
            </w:r>
          </w:p>
        </w:tc>
        <w:tc>
          <w:tcPr>
            <w:tcW w:w="811" w:type="dxa"/>
            <w:tcBorders>
              <w:top w:val="nil"/>
              <w:left w:val="nil"/>
              <w:bottom w:val="nil"/>
              <w:right w:val="nil"/>
            </w:tcBorders>
            <w:vAlign w:val="center"/>
            <w:hideMark/>
          </w:tcPr>
          <w:p w14:paraId="3F5CF010" w14:textId="77777777" w:rsidR="00E65815" w:rsidRDefault="00E65815" w:rsidP="00E65815">
            <w:pPr>
              <w:jc w:val="center"/>
              <w:rPr>
                <w:rFonts w:eastAsia="Cambria"/>
                <w:color w:val="000000"/>
              </w:rPr>
            </w:pPr>
            <w:r>
              <w:rPr>
                <w:rFonts w:eastAsia="Cambria"/>
                <w:color w:val="000000"/>
              </w:rPr>
              <w:t>1</w:t>
            </w:r>
          </w:p>
        </w:tc>
        <w:tc>
          <w:tcPr>
            <w:tcW w:w="1081" w:type="dxa"/>
            <w:tcBorders>
              <w:top w:val="nil"/>
              <w:left w:val="nil"/>
              <w:bottom w:val="nil"/>
              <w:right w:val="nil"/>
            </w:tcBorders>
            <w:vAlign w:val="center"/>
            <w:hideMark/>
          </w:tcPr>
          <w:p w14:paraId="6B726FA6" w14:textId="77777777" w:rsidR="00E65815" w:rsidRDefault="00E65815" w:rsidP="00E65815">
            <w:pPr>
              <w:jc w:val="center"/>
              <w:rPr>
                <w:rFonts w:eastAsia="Cambria"/>
                <w:color w:val="000000"/>
              </w:rPr>
            </w:pPr>
            <w:r>
              <w:rPr>
                <w:rFonts w:eastAsia="Cambria"/>
                <w:color w:val="000000"/>
              </w:rPr>
              <w:t>*</w:t>
            </w:r>
          </w:p>
        </w:tc>
        <w:tc>
          <w:tcPr>
            <w:tcW w:w="1081" w:type="dxa"/>
            <w:tcBorders>
              <w:top w:val="nil"/>
              <w:left w:val="nil"/>
              <w:bottom w:val="nil"/>
              <w:right w:val="nil"/>
            </w:tcBorders>
            <w:vAlign w:val="center"/>
            <w:hideMark/>
          </w:tcPr>
          <w:p w14:paraId="20322B58" w14:textId="77777777" w:rsidR="00E65815" w:rsidRDefault="00E65815" w:rsidP="00E65815">
            <w:pPr>
              <w:jc w:val="center"/>
              <w:rPr>
                <w:rFonts w:eastAsia="Cambria"/>
                <w:color w:val="000000"/>
              </w:rPr>
            </w:pPr>
            <w:r>
              <w:rPr>
                <w:rFonts w:eastAsia="Cambria"/>
                <w:color w:val="000000"/>
              </w:rPr>
              <w:t>NS</w:t>
            </w:r>
          </w:p>
        </w:tc>
        <w:tc>
          <w:tcPr>
            <w:tcW w:w="990" w:type="dxa"/>
            <w:tcBorders>
              <w:top w:val="nil"/>
              <w:left w:val="nil"/>
              <w:bottom w:val="nil"/>
              <w:right w:val="nil"/>
            </w:tcBorders>
            <w:vAlign w:val="center"/>
            <w:hideMark/>
          </w:tcPr>
          <w:p w14:paraId="3FB581FF" w14:textId="77777777" w:rsidR="00E65815" w:rsidRDefault="00E65815" w:rsidP="00E65815">
            <w:pPr>
              <w:jc w:val="center"/>
              <w:rPr>
                <w:rFonts w:eastAsia="Cambria"/>
                <w:color w:val="000000"/>
              </w:rPr>
            </w:pPr>
            <w:r>
              <w:rPr>
                <w:rFonts w:eastAsia="Cambria"/>
                <w:color w:val="000000"/>
              </w:rPr>
              <w:t>***</w:t>
            </w:r>
          </w:p>
        </w:tc>
        <w:tc>
          <w:tcPr>
            <w:tcW w:w="1080" w:type="dxa"/>
            <w:tcBorders>
              <w:top w:val="nil"/>
              <w:left w:val="nil"/>
              <w:bottom w:val="nil"/>
              <w:right w:val="nil"/>
            </w:tcBorders>
            <w:vAlign w:val="center"/>
            <w:hideMark/>
          </w:tcPr>
          <w:p w14:paraId="3148E1DD" w14:textId="77777777" w:rsidR="00E65815" w:rsidRDefault="00E65815" w:rsidP="00E65815">
            <w:pPr>
              <w:jc w:val="center"/>
              <w:rPr>
                <w:rFonts w:eastAsia="Cambria"/>
                <w:color w:val="000000"/>
              </w:rPr>
            </w:pPr>
            <w:r>
              <w:rPr>
                <w:rFonts w:eastAsia="Cambria"/>
                <w:color w:val="000000"/>
              </w:rPr>
              <w:t>NS</w:t>
            </w:r>
          </w:p>
        </w:tc>
        <w:tc>
          <w:tcPr>
            <w:tcW w:w="1170" w:type="dxa"/>
            <w:tcBorders>
              <w:top w:val="nil"/>
              <w:left w:val="nil"/>
              <w:bottom w:val="nil"/>
              <w:right w:val="nil"/>
            </w:tcBorders>
            <w:vAlign w:val="center"/>
            <w:hideMark/>
          </w:tcPr>
          <w:p w14:paraId="540DA709" w14:textId="77777777" w:rsidR="00E65815" w:rsidRDefault="00E65815" w:rsidP="00E65815">
            <w:pPr>
              <w:jc w:val="center"/>
              <w:rPr>
                <w:rFonts w:eastAsia="Cambria"/>
                <w:color w:val="000000"/>
              </w:rPr>
            </w:pPr>
            <w:r>
              <w:rPr>
                <w:rFonts w:eastAsia="Cambria"/>
                <w:color w:val="000000"/>
              </w:rPr>
              <w:t>NS</w:t>
            </w:r>
          </w:p>
        </w:tc>
        <w:tc>
          <w:tcPr>
            <w:tcW w:w="990" w:type="dxa"/>
            <w:tcBorders>
              <w:top w:val="nil"/>
              <w:left w:val="nil"/>
              <w:bottom w:val="nil"/>
              <w:right w:val="nil"/>
            </w:tcBorders>
            <w:vAlign w:val="center"/>
            <w:hideMark/>
          </w:tcPr>
          <w:p w14:paraId="2ACDF69D" w14:textId="77777777" w:rsidR="00E65815" w:rsidRDefault="00E65815" w:rsidP="00E65815">
            <w:pPr>
              <w:jc w:val="center"/>
              <w:rPr>
                <w:rFonts w:eastAsia="Cambria"/>
                <w:color w:val="000000"/>
              </w:rPr>
            </w:pPr>
            <w:r>
              <w:rPr>
                <w:rFonts w:eastAsia="Cambria"/>
                <w:color w:val="000000"/>
              </w:rPr>
              <w:t>NS</w:t>
            </w:r>
          </w:p>
        </w:tc>
        <w:tc>
          <w:tcPr>
            <w:tcW w:w="1080" w:type="dxa"/>
            <w:tcBorders>
              <w:top w:val="nil"/>
              <w:left w:val="nil"/>
              <w:bottom w:val="nil"/>
              <w:right w:val="nil"/>
            </w:tcBorders>
            <w:vAlign w:val="center"/>
            <w:hideMark/>
          </w:tcPr>
          <w:p w14:paraId="3A7A9F8E" w14:textId="77777777" w:rsidR="00E65815" w:rsidRDefault="00E65815" w:rsidP="00E65815">
            <w:pPr>
              <w:jc w:val="center"/>
              <w:rPr>
                <w:rFonts w:eastAsia="Cambria"/>
                <w:color w:val="000000"/>
              </w:rPr>
            </w:pPr>
            <w:r>
              <w:rPr>
                <w:rFonts w:eastAsia="Cambria"/>
                <w:color w:val="000000"/>
              </w:rPr>
              <w:t>NS</w:t>
            </w:r>
          </w:p>
        </w:tc>
        <w:tc>
          <w:tcPr>
            <w:tcW w:w="1080" w:type="dxa"/>
            <w:tcBorders>
              <w:top w:val="nil"/>
              <w:left w:val="nil"/>
              <w:bottom w:val="nil"/>
              <w:right w:val="nil"/>
            </w:tcBorders>
            <w:hideMark/>
          </w:tcPr>
          <w:p w14:paraId="0D47DF1C" w14:textId="77777777" w:rsidR="00E65815" w:rsidRDefault="00E65815" w:rsidP="00E65815">
            <w:pPr>
              <w:jc w:val="center"/>
              <w:rPr>
                <w:rFonts w:eastAsia="Cambria"/>
                <w:color w:val="000000"/>
              </w:rPr>
            </w:pPr>
            <w:r>
              <w:rPr>
                <w:rFonts w:eastAsia="Cambria"/>
                <w:color w:val="000000"/>
              </w:rPr>
              <w:t>***</w:t>
            </w:r>
          </w:p>
        </w:tc>
        <w:tc>
          <w:tcPr>
            <w:tcW w:w="1170" w:type="dxa"/>
            <w:tcBorders>
              <w:top w:val="nil"/>
              <w:left w:val="nil"/>
              <w:bottom w:val="nil"/>
            </w:tcBorders>
            <w:vAlign w:val="center"/>
            <w:hideMark/>
          </w:tcPr>
          <w:p w14:paraId="1946E474" w14:textId="77777777" w:rsidR="00E65815" w:rsidRDefault="00E65815" w:rsidP="00E65815">
            <w:pPr>
              <w:jc w:val="center"/>
              <w:rPr>
                <w:rFonts w:eastAsia="Cambria"/>
                <w:color w:val="000000"/>
              </w:rPr>
            </w:pPr>
            <w:r>
              <w:rPr>
                <w:rFonts w:eastAsia="Cambria"/>
                <w:color w:val="000000"/>
              </w:rPr>
              <w:t>***</w:t>
            </w:r>
          </w:p>
        </w:tc>
      </w:tr>
      <w:tr w:rsidR="00E65815" w14:paraId="7A19F0C6" w14:textId="77777777" w:rsidTr="00E65815">
        <w:trPr>
          <w:trHeight w:val="70"/>
        </w:trPr>
        <w:tc>
          <w:tcPr>
            <w:tcW w:w="2337" w:type="dxa"/>
            <w:tcBorders>
              <w:top w:val="nil"/>
              <w:left w:val="nil"/>
              <w:bottom w:val="single" w:sz="4" w:space="0" w:color="auto"/>
              <w:right w:val="nil"/>
            </w:tcBorders>
            <w:vAlign w:val="center"/>
            <w:hideMark/>
          </w:tcPr>
          <w:p w14:paraId="3AB69B55" w14:textId="77777777" w:rsidR="00E65815" w:rsidRDefault="00E65815" w:rsidP="00E65815">
            <w:pPr>
              <w:rPr>
                <w:rFonts w:eastAsia="Cambria"/>
                <w:color w:val="000000"/>
              </w:rPr>
            </w:pPr>
            <w:r>
              <w:rPr>
                <w:rFonts w:eastAsia="Cambria"/>
                <w:color w:val="000000"/>
              </w:rPr>
              <w:t>F x S</w:t>
            </w:r>
          </w:p>
        </w:tc>
        <w:tc>
          <w:tcPr>
            <w:tcW w:w="811" w:type="dxa"/>
            <w:tcBorders>
              <w:top w:val="nil"/>
              <w:left w:val="nil"/>
              <w:bottom w:val="single" w:sz="4" w:space="0" w:color="auto"/>
              <w:right w:val="nil"/>
            </w:tcBorders>
            <w:vAlign w:val="center"/>
            <w:hideMark/>
          </w:tcPr>
          <w:p w14:paraId="0A71EB7E" w14:textId="77777777" w:rsidR="00E65815" w:rsidRDefault="00E65815" w:rsidP="00E65815">
            <w:pPr>
              <w:jc w:val="center"/>
              <w:rPr>
                <w:rFonts w:eastAsia="Cambria"/>
                <w:color w:val="000000"/>
              </w:rPr>
            </w:pPr>
            <w:r>
              <w:rPr>
                <w:rFonts w:eastAsia="Cambria"/>
                <w:color w:val="000000"/>
              </w:rPr>
              <w:t>2</w:t>
            </w:r>
          </w:p>
        </w:tc>
        <w:tc>
          <w:tcPr>
            <w:tcW w:w="1081" w:type="dxa"/>
            <w:tcBorders>
              <w:top w:val="nil"/>
              <w:left w:val="nil"/>
              <w:bottom w:val="single" w:sz="4" w:space="0" w:color="auto"/>
              <w:right w:val="nil"/>
            </w:tcBorders>
            <w:vAlign w:val="center"/>
            <w:hideMark/>
          </w:tcPr>
          <w:p w14:paraId="4F63EB8F" w14:textId="77777777" w:rsidR="00E65815" w:rsidRDefault="00E65815" w:rsidP="00E65815">
            <w:pPr>
              <w:jc w:val="center"/>
              <w:rPr>
                <w:rFonts w:eastAsia="Cambria"/>
                <w:color w:val="000000"/>
              </w:rPr>
            </w:pPr>
            <w:r>
              <w:rPr>
                <w:rFonts w:eastAsia="Cambria"/>
                <w:color w:val="000000"/>
              </w:rPr>
              <w:t>NS</w:t>
            </w:r>
          </w:p>
        </w:tc>
        <w:tc>
          <w:tcPr>
            <w:tcW w:w="1081" w:type="dxa"/>
            <w:tcBorders>
              <w:top w:val="nil"/>
              <w:left w:val="nil"/>
              <w:bottom w:val="single" w:sz="4" w:space="0" w:color="auto"/>
              <w:right w:val="nil"/>
            </w:tcBorders>
            <w:vAlign w:val="center"/>
            <w:hideMark/>
          </w:tcPr>
          <w:p w14:paraId="47509BEC" w14:textId="77777777" w:rsidR="00E65815" w:rsidRDefault="00E65815" w:rsidP="00E65815">
            <w:pPr>
              <w:jc w:val="center"/>
              <w:rPr>
                <w:rFonts w:eastAsia="Cambria"/>
                <w:color w:val="000000"/>
              </w:rPr>
            </w:pPr>
            <w:r>
              <w:rPr>
                <w:rFonts w:eastAsia="Cambria"/>
                <w:color w:val="000000"/>
              </w:rPr>
              <w:t>NS</w:t>
            </w:r>
          </w:p>
        </w:tc>
        <w:tc>
          <w:tcPr>
            <w:tcW w:w="990" w:type="dxa"/>
            <w:tcBorders>
              <w:top w:val="nil"/>
              <w:left w:val="nil"/>
              <w:bottom w:val="single" w:sz="4" w:space="0" w:color="auto"/>
              <w:right w:val="nil"/>
            </w:tcBorders>
            <w:vAlign w:val="center"/>
            <w:hideMark/>
          </w:tcPr>
          <w:p w14:paraId="7A7A97CE" w14:textId="77777777" w:rsidR="00E65815" w:rsidRDefault="00E65815" w:rsidP="00E65815">
            <w:pPr>
              <w:jc w:val="center"/>
              <w:rPr>
                <w:rFonts w:eastAsia="Cambria"/>
                <w:color w:val="000000"/>
              </w:rPr>
            </w:pPr>
            <w:r>
              <w:rPr>
                <w:rFonts w:eastAsia="Cambria"/>
                <w:color w:val="000000"/>
              </w:rPr>
              <w:t>NS</w:t>
            </w:r>
          </w:p>
        </w:tc>
        <w:tc>
          <w:tcPr>
            <w:tcW w:w="1080" w:type="dxa"/>
            <w:tcBorders>
              <w:top w:val="nil"/>
              <w:left w:val="nil"/>
              <w:bottom w:val="single" w:sz="4" w:space="0" w:color="auto"/>
              <w:right w:val="nil"/>
            </w:tcBorders>
            <w:vAlign w:val="center"/>
            <w:hideMark/>
          </w:tcPr>
          <w:p w14:paraId="4C1EA954" w14:textId="77777777" w:rsidR="00E65815" w:rsidRDefault="00E65815" w:rsidP="00E65815">
            <w:pPr>
              <w:jc w:val="center"/>
              <w:rPr>
                <w:rFonts w:eastAsia="Cambria"/>
                <w:color w:val="000000"/>
              </w:rPr>
            </w:pPr>
            <w:r>
              <w:rPr>
                <w:rFonts w:eastAsia="Cambria"/>
                <w:color w:val="000000"/>
              </w:rPr>
              <w:t>*</w:t>
            </w:r>
          </w:p>
        </w:tc>
        <w:tc>
          <w:tcPr>
            <w:tcW w:w="1170" w:type="dxa"/>
            <w:tcBorders>
              <w:top w:val="nil"/>
              <w:left w:val="nil"/>
              <w:bottom w:val="single" w:sz="4" w:space="0" w:color="auto"/>
              <w:right w:val="nil"/>
            </w:tcBorders>
            <w:vAlign w:val="center"/>
            <w:hideMark/>
          </w:tcPr>
          <w:p w14:paraId="4F52E025" w14:textId="77777777" w:rsidR="00E65815" w:rsidRDefault="00E65815" w:rsidP="00E65815">
            <w:pPr>
              <w:jc w:val="center"/>
              <w:rPr>
                <w:rFonts w:eastAsia="Cambria"/>
                <w:color w:val="000000"/>
              </w:rPr>
            </w:pPr>
            <w:r>
              <w:rPr>
                <w:rFonts w:eastAsia="Cambria"/>
                <w:color w:val="000000"/>
              </w:rPr>
              <w:t>NS</w:t>
            </w:r>
          </w:p>
        </w:tc>
        <w:tc>
          <w:tcPr>
            <w:tcW w:w="990" w:type="dxa"/>
            <w:tcBorders>
              <w:top w:val="nil"/>
              <w:left w:val="nil"/>
              <w:bottom w:val="single" w:sz="4" w:space="0" w:color="auto"/>
              <w:right w:val="nil"/>
            </w:tcBorders>
            <w:vAlign w:val="center"/>
            <w:hideMark/>
          </w:tcPr>
          <w:p w14:paraId="396DC31C" w14:textId="77777777" w:rsidR="00E65815" w:rsidRDefault="00E65815" w:rsidP="00E65815">
            <w:pPr>
              <w:jc w:val="center"/>
              <w:rPr>
                <w:rFonts w:eastAsia="Cambria"/>
                <w:color w:val="000000"/>
              </w:rPr>
            </w:pPr>
            <w:r>
              <w:rPr>
                <w:rFonts w:eastAsia="Cambria"/>
                <w:color w:val="000000"/>
              </w:rPr>
              <w:t>NS</w:t>
            </w:r>
          </w:p>
        </w:tc>
        <w:tc>
          <w:tcPr>
            <w:tcW w:w="1080" w:type="dxa"/>
            <w:tcBorders>
              <w:top w:val="nil"/>
              <w:left w:val="nil"/>
              <w:bottom w:val="single" w:sz="4" w:space="0" w:color="auto"/>
              <w:right w:val="nil"/>
            </w:tcBorders>
            <w:vAlign w:val="center"/>
            <w:hideMark/>
          </w:tcPr>
          <w:p w14:paraId="42E2D094" w14:textId="77777777" w:rsidR="00E65815" w:rsidRDefault="00E65815" w:rsidP="00E65815">
            <w:pPr>
              <w:jc w:val="center"/>
              <w:rPr>
                <w:rFonts w:eastAsia="Cambria"/>
                <w:color w:val="000000"/>
              </w:rPr>
            </w:pPr>
            <w:r>
              <w:rPr>
                <w:rFonts w:eastAsia="Cambria"/>
                <w:color w:val="000000"/>
              </w:rPr>
              <w:t>NS</w:t>
            </w:r>
          </w:p>
        </w:tc>
        <w:tc>
          <w:tcPr>
            <w:tcW w:w="1080" w:type="dxa"/>
            <w:tcBorders>
              <w:top w:val="nil"/>
              <w:left w:val="nil"/>
              <w:bottom w:val="single" w:sz="4" w:space="0" w:color="auto"/>
              <w:right w:val="nil"/>
            </w:tcBorders>
            <w:hideMark/>
          </w:tcPr>
          <w:p w14:paraId="12689B94" w14:textId="77777777" w:rsidR="00E65815" w:rsidRDefault="00E65815" w:rsidP="00E65815">
            <w:pPr>
              <w:jc w:val="center"/>
              <w:rPr>
                <w:rFonts w:eastAsia="Cambria"/>
                <w:color w:val="000000"/>
              </w:rPr>
            </w:pPr>
            <w:r>
              <w:rPr>
                <w:rFonts w:eastAsia="Cambria"/>
                <w:color w:val="000000"/>
              </w:rPr>
              <w:t>**</w:t>
            </w:r>
          </w:p>
        </w:tc>
        <w:tc>
          <w:tcPr>
            <w:tcW w:w="1170" w:type="dxa"/>
            <w:tcBorders>
              <w:top w:val="nil"/>
              <w:left w:val="nil"/>
              <w:bottom w:val="single" w:sz="4" w:space="0" w:color="auto"/>
              <w:right w:val="nil"/>
            </w:tcBorders>
            <w:vAlign w:val="center"/>
            <w:hideMark/>
          </w:tcPr>
          <w:p w14:paraId="52254020" w14:textId="77777777" w:rsidR="00E65815" w:rsidRDefault="00E65815" w:rsidP="00E65815">
            <w:pPr>
              <w:jc w:val="center"/>
              <w:rPr>
                <w:rFonts w:eastAsia="Cambria"/>
                <w:color w:val="000000"/>
              </w:rPr>
            </w:pPr>
            <w:r>
              <w:rPr>
                <w:rFonts w:eastAsia="Cambria"/>
                <w:color w:val="000000"/>
              </w:rPr>
              <w:t>*</w:t>
            </w:r>
          </w:p>
        </w:tc>
      </w:tr>
      <w:tr w:rsidR="00E65815" w14:paraId="1B2FC7E5" w14:textId="77777777" w:rsidTr="00E65815">
        <w:trPr>
          <w:trHeight w:val="154"/>
        </w:trPr>
        <w:tc>
          <w:tcPr>
            <w:tcW w:w="12870" w:type="dxa"/>
            <w:gridSpan w:val="11"/>
            <w:tcBorders>
              <w:top w:val="nil"/>
              <w:bottom w:val="nil"/>
            </w:tcBorders>
            <w:vAlign w:val="center"/>
            <w:hideMark/>
          </w:tcPr>
          <w:p w14:paraId="1056519E" w14:textId="77777777" w:rsidR="00E65815" w:rsidRDefault="00E65815" w:rsidP="00E65815">
            <w:pPr>
              <w:rPr>
                <w:rFonts w:eastAsia="Cambria"/>
                <w:color w:val="000000"/>
              </w:rPr>
            </w:pPr>
            <w:r>
              <w:rPr>
                <w:rFonts w:eastAsia="Cambria"/>
                <w:color w:val="000000"/>
                <w:vertAlign w:val="superscript"/>
              </w:rPr>
              <w:t>a</w:t>
            </w:r>
            <w:r>
              <w:rPr>
                <w:rFonts w:eastAsia="Cambria"/>
                <w:color w:val="000000"/>
              </w:rPr>
              <w:t>NS = not significant.</w:t>
            </w:r>
          </w:p>
          <w:p w14:paraId="3504FB77" w14:textId="2C042371" w:rsidR="001007F9" w:rsidRDefault="001007F9" w:rsidP="00E65815">
            <w:pPr>
              <w:rPr>
                <w:rFonts w:eastAsia="Cambria"/>
                <w:color w:val="000000"/>
              </w:rPr>
            </w:pPr>
            <w:r>
              <w:rPr>
                <w:rFonts w:eastAsia="Cambria"/>
                <w:color w:val="000000"/>
              </w:rPr>
              <w:t>*,**,***, Significant at the p ≤0.05, 0.01, 0.001 level, respectively.</w:t>
            </w:r>
          </w:p>
        </w:tc>
      </w:tr>
    </w:tbl>
    <w:p w14:paraId="3E7ED010" w14:textId="6F9E6175" w:rsidR="00E65815" w:rsidRPr="001F55F1" w:rsidRDefault="00E65815" w:rsidP="001F55F1">
      <w:pPr>
        <w:pStyle w:val="Heading3"/>
        <w:rPr>
          <w:rFonts w:ascii="Times New Roman" w:hAnsi="Times New Roman" w:cs="Times New Roman"/>
          <w:color w:val="000000" w:themeColor="text1"/>
        </w:rPr>
      </w:pPr>
      <w:bookmarkStart w:id="139" w:name="_Toc466891199"/>
      <w:bookmarkStart w:id="140" w:name="_Toc466894881"/>
      <w:r w:rsidRPr="001F55F1">
        <w:rPr>
          <w:rFonts w:ascii="Times New Roman" w:hAnsi="Times New Roman" w:cs="Times New Roman"/>
          <w:color w:val="000000" w:themeColor="text1"/>
        </w:rPr>
        <w:t>Table 3.3</w:t>
      </w:r>
      <w:r w:rsidR="008D2855">
        <w:rPr>
          <w:rFonts w:ascii="Times New Roman" w:hAnsi="Times New Roman" w:cs="Times New Roman"/>
          <w:color w:val="000000" w:themeColor="text1"/>
        </w:rPr>
        <w:t>.</w:t>
      </w:r>
      <w:r w:rsidRPr="001F55F1">
        <w:rPr>
          <w:rFonts w:ascii="Times New Roman" w:hAnsi="Times New Roman" w:cs="Times New Roman"/>
          <w:color w:val="000000" w:themeColor="text1"/>
        </w:rPr>
        <w:t xml:space="preserve"> </w:t>
      </w:r>
      <w:r w:rsidRPr="008D2855">
        <w:rPr>
          <w:rFonts w:ascii="Times New Roman" w:hAnsi="Times New Roman" w:cs="Times New Roman"/>
          <w:b w:val="0"/>
          <w:color w:val="000000" w:themeColor="text1"/>
        </w:rPr>
        <w:t>Analysis of variance for large patch (</w:t>
      </w:r>
      <w:r w:rsidRPr="008D2855">
        <w:rPr>
          <w:rFonts w:ascii="Times New Roman" w:hAnsi="Times New Roman" w:cs="Times New Roman"/>
          <w:b w:val="0"/>
          <w:i/>
          <w:color w:val="000000" w:themeColor="text1"/>
        </w:rPr>
        <w:t>Rhizoctonia solani</w:t>
      </w:r>
      <w:r w:rsidRPr="008D2855">
        <w:rPr>
          <w:rFonts w:ascii="Times New Roman" w:hAnsi="Times New Roman" w:cs="Times New Roman"/>
          <w:b w:val="0"/>
          <w:color w:val="000000" w:themeColor="text1"/>
        </w:rPr>
        <w:t>) severity of Japanese lawngrass (</w:t>
      </w:r>
      <w:r w:rsidRPr="008D2855">
        <w:rPr>
          <w:rFonts w:ascii="Times New Roman" w:hAnsi="Times New Roman" w:cs="Times New Roman"/>
          <w:b w:val="0"/>
          <w:i/>
          <w:color w:val="000000" w:themeColor="text1"/>
        </w:rPr>
        <w:t>Zoysia japonica</w:t>
      </w:r>
      <w:r w:rsidRPr="008D2855">
        <w:rPr>
          <w:rFonts w:ascii="Times New Roman" w:hAnsi="Times New Roman" w:cs="Times New Roman"/>
          <w:b w:val="0"/>
          <w:color w:val="000000" w:themeColor="text1"/>
        </w:rPr>
        <w:t>) in response to azoxystrobin, flutolanil, and tebuconazole applied with and without surfactant additives. The AUDPC was pooled across locations. Research was conducted at Farm Golf Club and Gettysvue Golf and Polo Club in Dalton, GA, and Knoxville, TN, respectively during 2015-2016.</w:t>
      </w:r>
      <w:bookmarkEnd w:id="139"/>
      <w:bookmarkEnd w:id="140"/>
    </w:p>
    <w:p w14:paraId="6A15B232" w14:textId="77777777" w:rsidR="007F4ACA" w:rsidRDefault="007F4ACA" w:rsidP="007F4ACA">
      <w:pPr>
        <w:numPr>
          <w:ilvl w:val="12"/>
          <w:numId w:val="0"/>
        </w:numPr>
        <w:jc w:val="center"/>
        <w:rPr>
          <w:b/>
          <w:sz w:val="32"/>
          <w:szCs w:val="32"/>
        </w:rPr>
      </w:pPr>
    </w:p>
    <w:p w14:paraId="5D622033" w14:textId="77777777" w:rsidR="007F4ACA" w:rsidRDefault="007F4ACA" w:rsidP="007F4ACA">
      <w:pPr>
        <w:numPr>
          <w:ilvl w:val="12"/>
          <w:numId w:val="0"/>
        </w:numPr>
        <w:jc w:val="center"/>
        <w:rPr>
          <w:b/>
          <w:sz w:val="32"/>
          <w:szCs w:val="32"/>
        </w:rPr>
      </w:pPr>
    </w:p>
    <w:p w14:paraId="187A1DEB" w14:textId="77777777" w:rsidR="007F4ACA" w:rsidRDefault="007F4ACA" w:rsidP="007F4ACA">
      <w:pPr>
        <w:numPr>
          <w:ilvl w:val="12"/>
          <w:numId w:val="0"/>
        </w:numPr>
        <w:jc w:val="center"/>
        <w:rPr>
          <w:b/>
          <w:sz w:val="32"/>
          <w:szCs w:val="32"/>
        </w:rPr>
      </w:pPr>
    </w:p>
    <w:p w14:paraId="1FDA8E99" w14:textId="77777777" w:rsidR="007F4ACA" w:rsidRDefault="007F4ACA" w:rsidP="007F4ACA">
      <w:pPr>
        <w:numPr>
          <w:ilvl w:val="12"/>
          <w:numId w:val="0"/>
        </w:numPr>
        <w:jc w:val="center"/>
        <w:rPr>
          <w:b/>
          <w:sz w:val="32"/>
          <w:szCs w:val="32"/>
        </w:rPr>
      </w:pPr>
    </w:p>
    <w:p w14:paraId="1E9D4F56" w14:textId="77777777" w:rsidR="007F4ACA" w:rsidRDefault="007F4ACA" w:rsidP="007F4ACA">
      <w:pPr>
        <w:numPr>
          <w:ilvl w:val="12"/>
          <w:numId w:val="0"/>
        </w:numPr>
        <w:jc w:val="center"/>
        <w:rPr>
          <w:b/>
          <w:sz w:val="32"/>
          <w:szCs w:val="32"/>
        </w:rPr>
      </w:pPr>
    </w:p>
    <w:p w14:paraId="13F96239" w14:textId="77777777" w:rsidR="007F4ACA" w:rsidRDefault="007F4ACA" w:rsidP="007F4ACA">
      <w:pPr>
        <w:numPr>
          <w:ilvl w:val="12"/>
          <w:numId w:val="0"/>
        </w:numPr>
        <w:rPr>
          <w:b/>
          <w:sz w:val="32"/>
          <w:szCs w:val="32"/>
        </w:rPr>
      </w:pPr>
    </w:p>
    <w:p w14:paraId="6139DF39" w14:textId="77777777" w:rsidR="007F4ACA" w:rsidRDefault="007F4ACA" w:rsidP="007F4ACA">
      <w:pPr>
        <w:numPr>
          <w:ilvl w:val="12"/>
          <w:numId w:val="0"/>
        </w:numPr>
        <w:jc w:val="center"/>
        <w:rPr>
          <w:b/>
          <w:sz w:val="32"/>
          <w:szCs w:val="32"/>
        </w:rPr>
      </w:pPr>
    </w:p>
    <w:p w14:paraId="53A8557E" w14:textId="77777777" w:rsidR="00A70ED3" w:rsidRDefault="00A70ED3" w:rsidP="007F4ACA">
      <w:pPr>
        <w:numPr>
          <w:ilvl w:val="12"/>
          <w:numId w:val="0"/>
        </w:numPr>
        <w:jc w:val="center"/>
        <w:rPr>
          <w:b/>
          <w:sz w:val="32"/>
          <w:szCs w:val="32"/>
        </w:rPr>
      </w:pPr>
    </w:p>
    <w:p w14:paraId="7BE4AC58" w14:textId="77777777" w:rsidR="00A70ED3" w:rsidRDefault="00A70ED3" w:rsidP="007F4ACA">
      <w:pPr>
        <w:numPr>
          <w:ilvl w:val="12"/>
          <w:numId w:val="0"/>
        </w:numPr>
        <w:jc w:val="center"/>
        <w:rPr>
          <w:b/>
          <w:sz w:val="32"/>
          <w:szCs w:val="32"/>
        </w:rPr>
      </w:pPr>
    </w:p>
    <w:p w14:paraId="0EB4A98D" w14:textId="77777777" w:rsidR="00A70ED3" w:rsidRDefault="00A70ED3" w:rsidP="007F4ACA">
      <w:pPr>
        <w:numPr>
          <w:ilvl w:val="12"/>
          <w:numId w:val="0"/>
        </w:numPr>
        <w:jc w:val="center"/>
        <w:rPr>
          <w:b/>
          <w:sz w:val="32"/>
          <w:szCs w:val="32"/>
        </w:rPr>
      </w:pPr>
    </w:p>
    <w:p w14:paraId="43D94A2F" w14:textId="77777777" w:rsidR="00A70ED3" w:rsidRDefault="00A70ED3" w:rsidP="007F4ACA">
      <w:pPr>
        <w:numPr>
          <w:ilvl w:val="12"/>
          <w:numId w:val="0"/>
        </w:numPr>
        <w:jc w:val="center"/>
        <w:rPr>
          <w:b/>
          <w:sz w:val="32"/>
          <w:szCs w:val="32"/>
        </w:rPr>
      </w:pPr>
    </w:p>
    <w:p w14:paraId="14C5DE80" w14:textId="77777777" w:rsidR="007F4ACA" w:rsidRDefault="007F4ACA" w:rsidP="000203E4">
      <w:pPr>
        <w:numPr>
          <w:ilvl w:val="12"/>
          <w:numId w:val="0"/>
        </w:numPr>
        <w:rPr>
          <w:b/>
          <w:sz w:val="32"/>
          <w:szCs w:val="32"/>
        </w:rPr>
      </w:pPr>
    </w:p>
    <w:p w14:paraId="0D60C360" w14:textId="1501ED58" w:rsidR="00E65815" w:rsidRPr="001F55F1" w:rsidRDefault="00E65815" w:rsidP="001F55F1">
      <w:pPr>
        <w:pStyle w:val="Heading3"/>
        <w:rPr>
          <w:rFonts w:ascii="Times New Roman" w:hAnsi="Times New Roman" w:cs="Times New Roman"/>
          <w:color w:val="000000" w:themeColor="text1"/>
          <w:sz w:val="32"/>
          <w:szCs w:val="32"/>
        </w:rPr>
      </w:pPr>
      <w:bookmarkStart w:id="141" w:name="_Toc466891200"/>
      <w:bookmarkStart w:id="142" w:name="_Toc466894882"/>
      <w:r w:rsidRPr="001F55F1">
        <w:rPr>
          <w:rFonts w:ascii="Times New Roman" w:hAnsi="Times New Roman" w:cs="Times New Roman"/>
          <w:color w:val="000000" w:themeColor="text1"/>
        </w:rPr>
        <w:lastRenderedPageBreak/>
        <w:t>Table 3.4</w:t>
      </w:r>
      <w:r w:rsidR="001F55F1">
        <w:rPr>
          <w:rFonts w:ascii="Times New Roman" w:hAnsi="Times New Roman" w:cs="Times New Roman"/>
          <w:color w:val="000000" w:themeColor="text1"/>
        </w:rPr>
        <w:t>.</w:t>
      </w:r>
      <w:r w:rsidRPr="001F55F1">
        <w:rPr>
          <w:rFonts w:ascii="Times New Roman" w:hAnsi="Times New Roman" w:cs="Times New Roman"/>
          <w:color w:val="000000" w:themeColor="text1"/>
        </w:rPr>
        <w:t xml:space="preserve"> </w:t>
      </w:r>
      <w:r w:rsidRPr="008D2855">
        <w:rPr>
          <w:rFonts w:ascii="Times New Roman" w:hAnsi="Times New Roman" w:cs="Times New Roman"/>
          <w:b w:val="0"/>
          <w:color w:val="000000" w:themeColor="text1"/>
        </w:rPr>
        <w:t>Analysis of variance (pooled across experimental runs) for large patch (</w:t>
      </w:r>
      <w:r w:rsidRPr="008D2855">
        <w:rPr>
          <w:rFonts w:ascii="Times New Roman" w:hAnsi="Times New Roman" w:cs="Times New Roman"/>
          <w:b w:val="0"/>
          <w:i/>
          <w:color w:val="000000" w:themeColor="text1"/>
        </w:rPr>
        <w:t>Rhizoctonia solani</w:t>
      </w:r>
      <w:r w:rsidRPr="008D2855">
        <w:rPr>
          <w:rFonts w:ascii="Times New Roman" w:hAnsi="Times New Roman" w:cs="Times New Roman"/>
          <w:b w:val="0"/>
          <w:color w:val="000000" w:themeColor="text1"/>
        </w:rPr>
        <w:t>) severity of Japanese lawngrass (</w:t>
      </w:r>
      <w:r w:rsidRPr="008D2855">
        <w:rPr>
          <w:rFonts w:ascii="Times New Roman" w:hAnsi="Times New Roman" w:cs="Times New Roman"/>
          <w:b w:val="0"/>
          <w:i/>
          <w:color w:val="000000" w:themeColor="text1"/>
        </w:rPr>
        <w:t>Zoysia japonica</w:t>
      </w:r>
      <w:r w:rsidRPr="008D2855">
        <w:rPr>
          <w:rFonts w:ascii="Times New Roman" w:hAnsi="Times New Roman" w:cs="Times New Roman"/>
          <w:b w:val="0"/>
          <w:color w:val="000000" w:themeColor="text1"/>
        </w:rPr>
        <w:t>) in response to azoxystrobin, flutolanil, and tebuconazole applied with and without surfactant additives. Research was conducted under greenhouse and growth chamber conditions in Knoxville, TN during 2016.</w:t>
      </w:r>
      <w:bookmarkEnd w:id="141"/>
      <w:bookmarkEnd w:id="142"/>
    </w:p>
    <w:tbl>
      <w:tblPr>
        <w:tblpPr w:leftFromText="180" w:rightFromText="180" w:vertAnchor="text" w:horzAnchor="margin" w:tblpY="152"/>
        <w:tblW w:w="8775" w:type="dxa"/>
        <w:tblBorders>
          <w:insideH w:val="single" w:sz="4" w:space="0" w:color="auto"/>
          <w:insideV w:val="single" w:sz="4" w:space="0" w:color="auto"/>
        </w:tblBorders>
        <w:tblLayout w:type="fixed"/>
        <w:tblLook w:val="04A0" w:firstRow="1" w:lastRow="0" w:firstColumn="1" w:lastColumn="0" w:noHBand="0" w:noVBand="1"/>
      </w:tblPr>
      <w:tblGrid>
        <w:gridCol w:w="2770"/>
        <w:gridCol w:w="872"/>
        <w:gridCol w:w="1269"/>
        <w:gridCol w:w="1269"/>
        <w:gridCol w:w="1269"/>
        <w:gridCol w:w="1326"/>
      </w:tblGrid>
      <w:tr w:rsidR="007F4ACA" w14:paraId="7F5441B0" w14:textId="77777777" w:rsidTr="00A70ED3">
        <w:trPr>
          <w:trHeight w:val="184"/>
        </w:trPr>
        <w:tc>
          <w:tcPr>
            <w:tcW w:w="2770" w:type="dxa"/>
            <w:tcBorders>
              <w:top w:val="single" w:sz="4" w:space="0" w:color="auto"/>
              <w:left w:val="nil"/>
              <w:bottom w:val="nil"/>
              <w:right w:val="nil"/>
            </w:tcBorders>
            <w:vAlign w:val="center"/>
          </w:tcPr>
          <w:p w14:paraId="5BA6E908" w14:textId="77777777" w:rsidR="007F4ACA" w:rsidRDefault="007F4ACA">
            <w:pPr>
              <w:rPr>
                <w:rFonts w:eastAsia="Cambria"/>
                <w:color w:val="000000"/>
              </w:rPr>
            </w:pPr>
            <w:bookmarkStart w:id="143" w:name="OLE_LINK3"/>
          </w:p>
        </w:tc>
        <w:tc>
          <w:tcPr>
            <w:tcW w:w="872" w:type="dxa"/>
            <w:tcBorders>
              <w:top w:val="single" w:sz="4" w:space="0" w:color="auto"/>
              <w:left w:val="nil"/>
              <w:bottom w:val="nil"/>
              <w:right w:val="nil"/>
            </w:tcBorders>
            <w:vAlign w:val="center"/>
          </w:tcPr>
          <w:p w14:paraId="2D46C2FB" w14:textId="77777777" w:rsidR="007F4ACA" w:rsidRDefault="007F4ACA">
            <w:pPr>
              <w:rPr>
                <w:rFonts w:eastAsia="Cambria"/>
                <w:color w:val="000000"/>
              </w:rPr>
            </w:pPr>
          </w:p>
        </w:tc>
        <w:tc>
          <w:tcPr>
            <w:tcW w:w="5133" w:type="dxa"/>
            <w:gridSpan w:val="4"/>
            <w:tcBorders>
              <w:top w:val="single" w:sz="4" w:space="0" w:color="auto"/>
              <w:left w:val="nil"/>
              <w:bottom w:val="single" w:sz="4" w:space="0" w:color="auto"/>
              <w:right w:val="nil"/>
            </w:tcBorders>
            <w:vAlign w:val="center"/>
            <w:hideMark/>
          </w:tcPr>
          <w:p w14:paraId="0EB2E051" w14:textId="77777777" w:rsidR="007F4ACA" w:rsidRDefault="007F4ACA">
            <w:pPr>
              <w:jc w:val="center"/>
              <w:rPr>
                <w:rFonts w:eastAsia="Cambria"/>
                <w:color w:val="000000"/>
              </w:rPr>
            </w:pPr>
            <w:r>
              <w:rPr>
                <w:rFonts w:eastAsia="Cambria"/>
                <w:color w:val="000000"/>
              </w:rPr>
              <w:t>Large patch severity</w:t>
            </w:r>
          </w:p>
        </w:tc>
      </w:tr>
      <w:tr w:rsidR="007F4ACA" w14:paraId="05920B5C" w14:textId="77777777" w:rsidTr="00A70ED3">
        <w:trPr>
          <w:trHeight w:val="184"/>
        </w:trPr>
        <w:tc>
          <w:tcPr>
            <w:tcW w:w="2770" w:type="dxa"/>
            <w:tcBorders>
              <w:top w:val="single" w:sz="4" w:space="0" w:color="auto"/>
              <w:left w:val="nil"/>
              <w:bottom w:val="nil"/>
              <w:right w:val="nil"/>
            </w:tcBorders>
            <w:vAlign w:val="center"/>
          </w:tcPr>
          <w:p w14:paraId="5E68FAF7" w14:textId="77777777" w:rsidR="007F4ACA" w:rsidRDefault="007F4ACA">
            <w:pPr>
              <w:rPr>
                <w:rFonts w:eastAsia="Cambria"/>
                <w:color w:val="000000"/>
              </w:rPr>
            </w:pPr>
          </w:p>
        </w:tc>
        <w:tc>
          <w:tcPr>
            <w:tcW w:w="872" w:type="dxa"/>
            <w:tcBorders>
              <w:top w:val="single" w:sz="4" w:space="0" w:color="auto"/>
              <w:left w:val="nil"/>
              <w:bottom w:val="nil"/>
              <w:right w:val="nil"/>
            </w:tcBorders>
            <w:vAlign w:val="center"/>
          </w:tcPr>
          <w:p w14:paraId="7C70C3A6" w14:textId="77777777" w:rsidR="007F4ACA" w:rsidRDefault="007F4ACA">
            <w:pPr>
              <w:rPr>
                <w:rFonts w:eastAsia="Cambria"/>
                <w:color w:val="000000"/>
              </w:rPr>
            </w:pPr>
          </w:p>
        </w:tc>
        <w:tc>
          <w:tcPr>
            <w:tcW w:w="5133" w:type="dxa"/>
            <w:gridSpan w:val="4"/>
            <w:tcBorders>
              <w:top w:val="single" w:sz="4" w:space="0" w:color="auto"/>
              <w:left w:val="nil"/>
              <w:bottom w:val="nil"/>
              <w:right w:val="nil"/>
            </w:tcBorders>
            <w:hideMark/>
          </w:tcPr>
          <w:p w14:paraId="0D0EA30E" w14:textId="77777777" w:rsidR="007F4ACA" w:rsidRDefault="007F4ACA">
            <w:pPr>
              <w:jc w:val="center"/>
              <w:rPr>
                <w:rFonts w:eastAsia="Cambria"/>
                <w:color w:val="000000"/>
              </w:rPr>
            </w:pPr>
            <w:r>
              <w:rPr>
                <w:rFonts w:eastAsia="Cambria"/>
                <w:color w:val="000000"/>
              </w:rPr>
              <w:t>- Days after trial initiation -</w:t>
            </w:r>
          </w:p>
        </w:tc>
      </w:tr>
      <w:tr w:rsidR="007F4ACA" w14:paraId="34622839" w14:textId="77777777" w:rsidTr="00A70ED3">
        <w:trPr>
          <w:trHeight w:val="184"/>
        </w:trPr>
        <w:tc>
          <w:tcPr>
            <w:tcW w:w="2770" w:type="dxa"/>
            <w:tcBorders>
              <w:top w:val="nil"/>
              <w:left w:val="nil"/>
              <w:bottom w:val="single" w:sz="4" w:space="0" w:color="auto"/>
              <w:right w:val="nil"/>
            </w:tcBorders>
            <w:vAlign w:val="center"/>
            <w:hideMark/>
          </w:tcPr>
          <w:p w14:paraId="4ECA6F89" w14:textId="77777777" w:rsidR="007F4ACA" w:rsidRDefault="007F4ACA">
            <w:pPr>
              <w:rPr>
                <w:rFonts w:eastAsia="Cambria"/>
                <w:color w:val="000000"/>
              </w:rPr>
            </w:pPr>
            <w:r>
              <w:rPr>
                <w:rFonts w:eastAsia="Cambria"/>
                <w:color w:val="000000"/>
              </w:rPr>
              <w:t>Source</w:t>
            </w:r>
          </w:p>
        </w:tc>
        <w:tc>
          <w:tcPr>
            <w:tcW w:w="872" w:type="dxa"/>
            <w:tcBorders>
              <w:top w:val="nil"/>
              <w:left w:val="nil"/>
              <w:bottom w:val="single" w:sz="4" w:space="0" w:color="auto"/>
              <w:right w:val="nil"/>
            </w:tcBorders>
            <w:vAlign w:val="center"/>
            <w:hideMark/>
          </w:tcPr>
          <w:p w14:paraId="4725AD91" w14:textId="77777777" w:rsidR="007F4ACA" w:rsidRDefault="007F4ACA">
            <w:pPr>
              <w:jc w:val="center"/>
              <w:rPr>
                <w:rFonts w:eastAsia="Cambria"/>
                <w:color w:val="000000"/>
              </w:rPr>
            </w:pPr>
            <w:r>
              <w:rPr>
                <w:rFonts w:eastAsia="Cambria"/>
                <w:color w:val="000000"/>
              </w:rPr>
              <w:t>df</w:t>
            </w:r>
          </w:p>
        </w:tc>
        <w:tc>
          <w:tcPr>
            <w:tcW w:w="1269" w:type="dxa"/>
            <w:tcBorders>
              <w:top w:val="nil"/>
              <w:left w:val="nil"/>
              <w:bottom w:val="single" w:sz="4" w:space="0" w:color="auto"/>
              <w:right w:val="nil"/>
            </w:tcBorders>
            <w:vAlign w:val="center"/>
            <w:hideMark/>
          </w:tcPr>
          <w:p w14:paraId="0B806281" w14:textId="77777777" w:rsidR="007F4ACA" w:rsidRDefault="007F4ACA">
            <w:pPr>
              <w:jc w:val="center"/>
              <w:rPr>
                <w:rFonts w:eastAsia="Cambria"/>
                <w:color w:val="000000"/>
              </w:rPr>
            </w:pPr>
            <w:r>
              <w:rPr>
                <w:rFonts w:eastAsia="Cambria"/>
                <w:color w:val="000000"/>
              </w:rPr>
              <w:t>7</w:t>
            </w:r>
          </w:p>
        </w:tc>
        <w:tc>
          <w:tcPr>
            <w:tcW w:w="1269" w:type="dxa"/>
            <w:tcBorders>
              <w:top w:val="nil"/>
              <w:left w:val="nil"/>
              <w:bottom w:val="single" w:sz="4" w:space="0" w:color="auto"/>
              <w:right w:val="nil"/>
            </w:tcBorders>
            <w:vAlign w:val="center"/>
            <w:hideMark/>
          </w:tcPr>
          <w:p w14:paraId="574FA5A3" w14:textId="77777777" w:rsidR="007F4ACA" w:rsidRDefault="007F4ACA">
            <w:pPr>
              <w:jc w:val="center"/>
              <w:rPr>
                <w:rFonts w:eastAsia="Cambria"/>
                <w:color w:val="000000"/>
              </w:rPr>
            </w:pPr>
            <w:r>
              <w:rPr>
                <w:rFonts w:eastAsia="Cambria"/>
                <w:color w:val="000000"/>
              </w:rPr>
              <w:t>14</w:t>
            </w:r>
          </w:p>
        </w:tc>
        <w:tc>
          <w:tcPr>
            <w:tcW w:w="1269" w:type="dxa"/>
            <w:tcBorders>
              <w:top w:val="nil"/>
              <w:left w:val="nil"/>
              <w:bottom w:val="single" w:sz="4" w:space="0" w:color="auto"/>
              <w:right w:val="nil"/>
            </w:tcBorders>
            <w:vAlign w:val="center"/>
            <w:hideMark/>
          </w:tcPr>
          <w:p w14:paraId="25922F97" w14:textId="77777777" w:rsidR="007F4ACA" w:rsidRDefault="007F4ACA">
            <w:pPr>
              <w:jc w:val="center"/>
              <w:rPr>
                <w:rFonts w:eastAsia="Cambria"/>
                <w:color w:val="000000"/>
              </w:rPr>
            </w:pPr>
            <w:r>
              <w:rPr>
                <w:rFonts w:eastAsia="Cambria"/>
                <w:color w:val="000000"/>
              </w:rPr>
              <w:t>21</w:t>
            </w:r>
          </w:p>
        </w:tc>
        <w:tc>
          <w:tcPr>
            <w:tcW w:w="1326" w:type="dxa"/>
            <w:tcBorders>
              <w:top w:val="nil"/>
              <w:left w:val="nil"/>
              <w:bottom w:val="single" w:sz="4" w:space="0" w:color="auto"/>
              <w:right w:val="nil"/>
            </w:tcBorders>
            <w:vAlign w:val="center"/>
            <w:hideMark/>
          </w:tcPr>
          <w:p w14:paraId="7438715E" w14:textId="77777777" w:rsidR="007F4ACA" w:rsidRDefault="007F4ACA">
            <w:pPr>
              <w:jc w:val="center"/>
              <w:rPr>
                <w:rFonts w:eastAsia="Cambria"/>
                <w:color w:val="000000"/>
              </w:rPr>
            </w:pPr>
            <w:r>
              <w:rPr>
                <w:rFonts w:eastAsia="Cambria"/>
                <w:color w:val="000000"/>
              </w:rPr>
              <w:t>28</w:t>
            </w:r>
          </w:p>
        </w:tc>
      </w:tr>
      <w:tr w:rsidR="007F4ACA" w14:paraId="14E0C1CB" w14:textId="77777777" w:rsidTr="00A70ED3">
        <w:trPr>
          <w:trHeight w:val="184"/>
        </w:trPr>
        <w:tc>
          <w:tcPr>
            <w:tcW w:w="2770" w:type="dxa"/>
            <w:tcBorders>
              <w:top w:val="single" w:sz="4" w:space="0" w:color="auto"/>
              <w:left w:val="nil"/>
              <w:bottom w:val="nil"/>
              <w:right w:val="nil"/>
            </w:tcBorders>
            <w:vAlign w:val="center"/>
            <w:hideMark/>
          </w:tcPr>
          <w:p w14:paraId="34ADDCF6" w14:textId="77777777" w:rsidR="007F4ACA" w:rsidRDefault="007F4ACA">
            <w:pPr>
              <w:rPr>
                <w:rFonts w:eastAsia="Cambria"/>
                <w:color w:val="000000"/>
              </w:rPr>
            </w:pPr>
            <w:r>
              <w:rPr>
                <w:rFonts w:eastAsia="Cambria"/>
                <w:color w:val="000000"/>
              </w:rPr>
              <w:t xml:space="preserve">Replication </w:t>
            </w:r>
          </w:p>
        </w:tc>
        <w:tc>
          <w:tcPr>
            <w:tcW w:w="872" w:type="dxa"/>
            <w:tcBorders>
              <w:top w:val="single" w:sz="4" w:space="0" w:color="auto"/>
              <w:left w:val="nil"/>
              <w:bottom w:val="nil"/>
              <w:right w:val="nil"/>
            </w:tcBorders>
            <w:vAlign w:val="center"/>
            <w:hideMark/>
          </w:tcPr>
          <w:p w14:paraId="0D02A36F" w14:textId="77777777" w:rsidR="007F4ACA" w:rsidRDefault="007F4ACA">
            <w:pPr>
              <w:jc w:val="center"/>
              <w:rPr>
                <w:rFonts w:eastAsia="Cambria"/>
                <w:color w:val="000000"/>
              </w:rPr>
            </w:pPr>
            <w:r>
              <w:rPr>
                <w:rFonts w:eastAsia="Cambria"/>
                <w:color w:val="000000"/>
              </w:rPr>
              <w:t>4</w:t>
            </w:r>
          </w:p>
        </w:tc>
        <w:tc>
          <w:tcPr>
            <w:tcW w:w="1269" w:type="dxa"/>
            <w:tcBorders>
              <w:top w:val="single" w:sz="4" w:space="0" w:color="auto"/>
              <w:left w:val="nil"/>
              <w:bottom w:val="nil"/>
              <w:right w:val="nil"/>
            </w:tcBorders>
            <w:vAlign w:val="center"/>
            <w:hideMark/>
          </w:tcPr>
          <w:p w14:paraId="3944998A" w14:textId="77777777" w:rsidR="007F4ACA" w:rsidRDefault="007F4ACA">
            <w:pPr>
              <w:jc w:val="center"/>
              <w:rPr>
                <w:rFonts w:eastAsia="Cambria"/>
                <w:color w:val="000000"/>
              </w:rPr>
            </w:pPr>
            <w:r>
              <w:rPr>
                <w:rFonts w:eastAsia="Cambria"/>
                <w:color w:val="000000"/>
              </w:rPr>
              <w:t>NS</w:t>
            </w:r>
            <w:r>
              <w:rPr>
                <w:rFonts w:eastAsia="Cambria"/>
                <w:color w:val="000000"/>
                <w:vertAlign w:val="superscript"/>
              </w:rPr>
              <w:t>a</w:t>
            </w:r>
          </w:p>
        </w:tc>
        <w:tc>
          <w:tcPr>
            <w:tcW w:w="1269" w:type="dxa"/>
            <w:tcBorders>
              <w:top w:val="single" w:sz="4" w:space="0" w:color="auto"/>
              <w:left w:val="nil"/>
              <w:bottom w:val="nil"/>
              <w:right w:val="nil"/>
            </w:tcBorders>
            <w:vAlign w:val="center"/>
            <w:hideMark/>
          </w:tcPr>
          <w:p w14:paraId="17C31029" w14:textId="77777777" w:rsidR="007F4ACA" w:rsidRDefault="007F4ACA">
            <w:pPr>
              <w:jc w:val="center"/>
              <w:rPr>
                <w:rFonts w:eastAsia="Cambria"/>
                <w:color w:val="000000"/>
              </w:rPr>
            </w:pPr>
            <w:r>
              <w:rPr>
                <w:rFonts w:eastAsia="Cambria"/>
                <w:color w:val="000000"/>
              </w:rPr>
              <w:t>NS</w:t>
            </w:r>
          </w:p>
        </w:tc>
        <w:tc>
          <w:tcPr>
            <w:tcW w:w="1269" w:type="dxa"/>
            <w:tcBorders>
              <w:top w:val="single" w:sz="4" w:space="0" w:color="auto"/>
              <w:left w:val="nil"/>
              <w:bottom w:val="nil"/>
              <w:right w:val="nil"/>
            </w:tcBorders>
            <w:vAlign w:val="center"/>
            <w:hideMark/>
          </w:tcPr>
          <w:p w14:paraId="314FC43F" w14:textId="77777777" w:rsidR="007F4ACA" w:rsidRDefault="007F4ACA">
            <w:pPr>
              <w:jc w:val="center"/>
              <w:rPr>
                <w:rFonts w:eastAsia="Cambria"/>
                <w:color w:val="000000"/>
              </w:rPr>
            </w:pPr>
            <w:r>
              <w:rPr>
                <w:rFonts w:eastAsia="Cambria"/>
                <w:color w:val="000000"/>
              </w:rPr>
              <w:t>NS</w:t>
            </w:r>
          </w:p>
        </w:tc>
        <w:tc>
          <w:tcPr>
            <w:tcW w:w="1326" w:type="dxa"/>
            <w:tcBorders>
              <w:top w:val="single" w:sz="4" w:space="0" w:color="auto"/>
              <w:left w:val="nil"/>
              <w:bottom w:val="nil"/>
              <w:right w:val="nil"/>
            </w:tcBorders>
            <w:vAlign w:val="center"/>
            <w:hideMark/>
          </w:tcPr>
          <w:p w14:paraId="5C286613" w14:textId="77777777" w:rsidR="007F4ACA" w:rsidRDefault="007F4ACA">
            <w:pPr>
              <w:jc w:val="center"/>
              <w:rPr>
                <w:rFonts w:eastAsia="Cambria"/>
                <w:color w:val="000000"/>
              </w:rPr>
            </w:pPr>
            <w:r>
              <w:rPr>
                <w:rFonts w:eastAsia="Cambria"/>
                <w:color w:val="000000"/>
              </w:rPr>
              <w:t>NS</w:t>
            </w:r>
          </w:p>
        </w:tc>
      </w:tr>
      <w:tr w:rsidR="007F4ACA" w14:paraId="53B613FD" w14:textId="77777777" w:rsidTr="00A70ED3">
        <w:trPr>
          <w:trHeight w:val="184"/>
        </w:trPr>
        <w:tc>
          <w:tcPr>
            <w:tcW w:w="2770" w:type="dxa"/>
            <w:tcBorders>
              <w:top w:val="nil"/>
              <w:bottom w:val="nil"/>
              <w:right w:val="nil"/>
            </w:tcBorders>
            <w:vAlign w:val="center"/>
            <w:hideMark/>
          </w:tcPr>
          <w:p w14:paraId="0D7748E3" w14:textId="77777777" w:rsidR="007F4ACA" w:rsidRDefault="007F4ACA">
            <w:pPr>
              <w:rPr>
                <w:rFonts w:eastAsia="Cambria"/>
                <w:color w:val="000000"/>
              </w:rPr>
            </w:pPr>
            <w:r>
              <w:rPr>
                <w:rFonts w:eastAsia="Cambria"/>
                <w:color w:val="000000"/>
              </w:rPr>
              <w:t>Fungicide (F)</w:t>
            </w:r>
          </w:p>
        </w:tc>
        <w:tc>
          <w:tcPr>
            <w:tcW w:w="872" w:type="dxa"/>
            <w:tcBorders>
              <w:top w:val="nil"/>
              <w:left w:val="nil"/>
              <w:bottom w:val="nil"/>
              <w:right w:val="nil"/>
            </w:tcBorders>
            <w:vAlign w:val="center"/>
            <w:hideMark/>
          </w:tcPr>
          <w:p w14:paraId="3433F286" w14:textId="77777777" w:rsidR="007F4ACA" w:rsidRDefault="007F4ACA">
            <w:pPr>
              <w:jc w:val="center"/>
              <w:rPr>
                <w:rFonts w:eastAsia="Cambria"/>
                <w:color w:val="000000"/>
              </w:rPr>
            </w:pPr>
            <w:r>
              <w:rPr>
                <w:rFonts w:eastAsia="Cambria"/>
                <w:color w:val="000000"/>
              </w:rPr>
              <w:t>2</w:t>
            </w:r>
          </w:p>
        </w:tc>
        <w:tc>
          <w:tcPr>
            <w:tcW w:w="1269" w:type="dxa"/>
            <w:tcBorders>
              <w:top w:val="nil"/>
              <w:left w:val="nil"/>
              <w:bottom w:val="nil"/>
              <w:right w:val="nil"/>
            </w:tcBorders>
            <w:vAlign w:val="center"/>
            <w:hideMark/>
          </w:tcPr>
          <w:p w14:paraId="47EBD226" w14:textId="77777777" w:rsidR="007F4ACA" w:rsidRDefault="007F4ACA">
            <w:pPr>
              <w:jc w:val="center"/>
              <w:rPr>
                <w:rFonts w:eastAsia="Cambria"/>
                <w:color w:val="000000"/>
              </w:rPr>
            </w:pPr>
            <w:r>
              <w:rPr>
                <w:rFonts w:eastAsia="Cambria"/>
                <w:color w:val="000000"/>
              </w:rPr>
              <w:t>NS</w:t>
            </w:r>
          </w:p>
        </w:tc>
        <w:tc>
          <w:tcPr>
            <w:tcW w:w="1269" w:type="dxa"/>
            <w:tcBorders>
              <w:top w:val="nil"/>
              <w:left w:val="nil"/>
              <w:bottom w:val="nil"/>
              <w:right w:val="nil"/>
            </w:tcBorders>
            <w:vAlign w:val="center"/>
            <w:hideMark/>
          </w:tcPr>
          <w:p w14:paraId="3CE9E2FB" w14:textId="77777777" w:rsidR="007F4ACA" w:rsidRDefault="007F4ACA">
            <w:pPr>
              <w:jc w:val="center"/>
              <w:rPr>
                <w:rFonts w:eastAsia="Cambria"/>
                <w:color w:val="000000"/>
              </w:rPr>
            </w:pPr>
            <w:r>
              <w:rPr>
                <w:rFonts w:eastAsia="Cambria"/>
                <w:color w:val="000000"/>
              </w:rPr>
              <w:t>NS</w:t>
            </w:r>
          </w:p>
        </w:tc>
        <w:tc>
          <w:tcPr>
            <w:tcW w:w="1269" w:type="dxa"/>
            <w:tcBorders>
              <w:top w:val="nil"/>
              <w:left w:val="nil"/>
              <w:bottom w:val="nil"/>
              <w:right w:val="nil"/>
            </w:tcBorders>
            <w:vAlign w:val="center"/>
            <w:hideMark/>
          </w:tcPr>
          <w:p w14:paraId="73B59597" w14:textId="77777777" w:rsidR="007F4ACA" w:rsidRDefault="007F4ACA">
            <w:pPr>
              <w:jc w:val="center"/>
              <w:rPr>
                <w:rFonts w:eastAsia="Cambria"/>
                <w:color w:val="000000"/>
              </w:rPr>
            </w:pPr>
            <w:r>
              <w:rPr>
                <w:rFonts w:eastAsia="Cambria"/>
                <w:color w:val="000000"/>
              </w:rPr>
              <w:t>**</w:t>
            </w:r>
          </w:p>
        </w:tc>
        <w:tc>
          <w:tcPr>
            <w:tcW w:w="1326" w:type="dxa"/>
            <w:tcBorders>
              <w:top w:val="nil"/>
              <w:left w:val="nil"/>
              <w:bottom w:val="nil"/>
            </w:tcBorders>
            <w:vAlign w:val="center"/>
            <w:hideMark/>
          </w:tcPr>
          <w:p w14:paraId="1838BCF7" w14:textId="77777777" w:rsidR="007F4ACA" w:rsidRDefault="007F4ACA">
            <w:pPr>
              <w:jc w:val="center"/>
              <w:rPr>
                <w:rFonts w:eastAsia="Cambria"/>
                <w:color w:val="000000"/>
              </w:rPr>
            </w:pPr>
            <w:r>
              <w:rPr>
                <w:rFonts w:eastAsia="Cambria"/>
                <w:color w:val="000000"/>
              </w:rPr>
              <w:t>***</w:t>
            </w:r>
          </w:p>
        </w:tc>
      </w:tr>
      <w:tr w:rsidR="007F4ACA" w14:paraId="2818DA46" w14:textId="77777777" w:rsidTr="00A70ED3">
        <w:trPr>
          <w:trHeight w:val="184"/>
        </w:trPr>
        <w:tc>
          <w:tcPr>
            <w:tcW w:w="2770" w:type="dxa"/>
            <w:tcBorders>
              <w:top w:val="nil"/>
              <w:bottom w:val="nil"/>
              <w:right w:val="nil"/>
            </w:tcBorders>
            <w:vAlign w:val="center"/>
            <w:hideMark/>
          </w:tcPr>
          <w:p w14:paraId="0B29BCF6" w14:textId="77777777" w:rsidR="007F4ACA" w:rsidRDefault="007F4ACA">
            <w:pPr>
              <w:rPr>
                <w:rFonts w:eastAsia="Cambria"/>
                <w:color w:val="000000"/>
              </w:rPr>
            </w:pPr>
            <w:r>
              <w:rPr>
                <w:rFonts w:eastAsia="Cambria"/>
                <w:color w:val="000000"/>
              </w:rPr>
              <w:t>Surfactant (S)</w:t>
            </w:r>
          </w:p>
        </w:tc>
        <w:tc>
          <w:tcPr>
            <w:tcW w:w="872" w:type="dxa"/>
            <w:tcBorders>
              <w:top w:val="nil"/>
              <w:left w:val="nil"/>
              <w:bottom w:val="nil"/>
              <w:right w:val="nil"/>
            </w:tcBorders>
            <w:vAlign w:val="center"/>
            <w:hideMark/>
          </w:tcPr>
          <w:p w14:paraId="5B42D9FF" w14:textId="77777777" w:rsidR="007F4ACA" w:rsidRDefault="007F4ACA">
            <w:pPr>
              <w:jc w:val="center"/>
              <w:rPr>
                <w:rFonts w:eastAsia="Cambria"/>
                <w:color w:val="000000"/>
              </w:rPr>
            </w:pPr>
            <w:r>
              <w:rPr>
                <w:rFonts w:eastAsia="Cambria"/>
                <w:color w:val="000000"/>
              </w:rPr>
              <w:t>3</w:t>
            </w:r>
          </w:p>
        </w:tc>
        <w:tc>
          <w:tcPr>
            <w:tcW w:w="1269" w:type="dxa"/>
            <w:tcBorders>
              <w:top w:val="nil"/>
              <w:left w:val="nil"/>
              <w:bottom w:val="nil"/>
              <w:right w:val="nil"/>
            </w:tcBorders>
            <w:vAlign w:val="center"/>
            <w:hideMark/>
          </w:tcPr>
          <w:p w14:paraId="2EB1E10E" w14:textId="77777777" w:rsidR="007F4ACA" w:rsidRDefault="007F4ACA">
            <w:pPr>
              <w:jc w:val="center"/>
              <w:rPr>
                <w:rFonts w:eastAsia="Cambria"/>
                <w:color w:val="000000"/>
              </w:rPr>
            </w:pPr>
            <w:r>
              <w:rPr>
                <w:rFonts w:eastAsia="Cambria"/>
                <w:color w:val="000000"/>
              </w:rPr>
              <w:t>NS</w:t>
            </w:r>
          </w:p>
        </w:tc>
        <w:tc>
          <w:tcPr>
            <w:tcW w:w="1269" w:type="dxa"/>
            <w:tcBorders>
              <w:top w:val="nil"/>
              <w:left w:val="nil"/>
              <w:bottom w:val="nil"/>
              <w:right w:val="nil"/>
            </w:tcBorders>
            <w:vAlign w:val="center"/>
            <w:hideMark/>
          </w:tcPr>
          <w:p w14:paraId="7913B29F" w14:textId="77777777" w:rsidR="007F4ACA" w:rsidRDefault="007F4ACA">
            <w:pPr>
              <w:jc w:val="center"/>
              <w:rPr>
                <w:rFonts w:eastAsia="Cambria"/>
                <w:color w:val="000000"/>
              </w:rPr>
            </w:pPr>
            <w:r>
              <w:rPr>
                <w:rFonts w:eastAsia="Cambria"/>
                <w:color w:val="000000"/>
              </w:rPr>
              <w:t>NS</w:t>
            </w:r>
          </w:p>
        </w:tc>
        <w:tc>
          <w:tcPr>
            <w:tcW w:w="1269" w:type="dxa"/>
            <w:tcBorders>
              <w:top w:val="nil"/>
              <w:left w:val="nil"/>
              <w:bottom w:val="nil"/>
              <w:right w:val="nil"/>
            </w:tcBorders>
            <w:vAlign w:val="center"/>
            <w:hideMark/>
          </w:tcPr>
          <w:p w14:paraId="03B8641E" w14:textId="77777777" w:rsidR="007F4ACA" w:rsidRDefault="007F4ACA">
            <w:pPr>
              <w:jc w:val="center"/>
              <w:rPr>
                <w:rFonts w:eastAsia="Cambria"/>
                <w:color w:val="000000"/>
              </w:rPr>
            </w:pPr>
            <w:r>
              <w:rPr>
                <w:rFonts w:eastAsia="Cambria"/>
                <w:color w:val="000000"/>
              </w:rPr>
              <w:t>NS</w:t>
            </w:r>
          </w:p>
        </w:tc>
        <w:tc>
          <w:tcPr>
            <w:tcW w:w="1326" w:type="dxa"/>
            <w:tcBorders>
              <w:top w:val="nil"/>
              <w:left w:val="nil"/>
              <w:bottom w:val="nil"/>
            </w:tcBorders>
            <w:vAlign w:val="center"/>
            <w:hideMark/>
          </w:tcPr>
          <w:p w14:paraId="53E58B2B" w14:textId="77777777" w:rsidR="007F4ACA" w:rsidRDefault="007F4ACA">
            <w:pPr>
              <w:jc w:val="center"/>
              <w:rPr>
                <w:rFonts w:eastAsia="Cambria"/>
                <w:color w:val="000000"/>
              </w:rPr>
            </w:pPr>
            <w:r>
              <w:rPr>
                <w:rFonts w:eastAsia="Cambria"/>
                <w:color w:val="000000"/>
              </w:rPr>
              <w:t>*</w:t>
            </w:r>
          </w:p>
        </w:tc>
      </w:tr>
      <w:tr w:rsidR="007F4ACA" w14:paraId="495EB9DC" w14:textId="77777777" w:rsidTr="00A70ED3">
        <w:trPr>
          <w:trHeight w:val="184"/>
        </w:trPr>
        <w:tc>
          <w:tcPr>
            <w:tcW w:w="2770" w:type="dxa"/>
            <w:tcBorders>
              <w:top w:val="nil"/>
              <w:left w:val="nil"/>
              <w:bottom w:val="single" w:sz="4" w:space="0" w:color="auto"/>
              <w:right w:val="nil"/>
            </w:tcBorders>
            <w:vAlign w:val="center"/>
            <w:hideMark/>
          </w:tcPr>
          <w:p w14:paraId="5C7A6740" w14:textId="77777777" w:rsidR="007F4ACA" w:rsidRDefault="007F4ACA">
            <w:pPr>
              <w:rPr>
                <w:rFonts w:eastAsia="Cambria"/>
                <w:color w:val="000000"/>
              </w:rPr>
            </w:pPr>
            <w:r>
              <w:rPr>
                <w:rFonts w:eastAsia="Cambria"/>
                <w:color w:val="000000"/>
              </w:rPr>
              <w:t>F x S</w:t>
            </w:r>
          </w:p>
        </w:tc>
        <w:tc>
          <w:tcPr>
            <w:tcW w:w="872" w:type="dxa"/>
            <w:tcBorders>
              <w:top w:val="nil"/>
              <w:left w:val="nil"/>
              <w:bottom w:val="single" w:sz="4" w:space="0" w:color="auto"/>
              <w:right w:val="nil"/>
            </w:tcBorders>
            <w:vAlign w:val="center"/>
            <w:hideMark/>
          </w:tcPr>
          <w:p w14:paraId="5ED7E873" w14:textId="77777777" w:rsidR="007F4ACA" w:rsidRDefault="007F4ACA">
            <w:pPr>
              <w:jc w:val="center"/>
              <w:rPr>
                <w:rFonts w:eastAsia="Cambria"/>
                <w:color w:val="000000"/>
              </w:rPr>
            </w:pPr>
            <w:r>
              <w:rPr>
                <w:rFonts w:eastAsia="Cambria"/>
                <w:color w:val="000000"/>
              </w:rPr>
              <w:t>6</w:t>
            </w:r>
          </w:p>
        </w:tc>
        <w:tc>
          <w:tcPr>
            <w:tcW w:w="1269" w:type="dxa"/>
            <w:tcBorders>
              <w:top w:val="nil"/>
              <w:left w:val="nil"/>
              <w:bottom w:val="single" w:sz="4" w:space="0" w:color="auto"/>
              <w:right w:val="nil"/>
            </w:tcBorders>
            <w:vAlign w:val="center"/>
            <w:hideMark/>
          </w:tcPr>
          <w:p w14:paraId="1BFD7AB1" w14:textId="77777777" w:rsidR="007F4ACA" w:rsidRDefault="007F4ACA">
            <w:pPr>
              <w:jc w:val="center"/>
              <w:rPr>
                <w:rFonts w:eastAsia="Cambria"/>
                <w:color w:val="000000"/>
              </w:rPr>
            </w:pPr>
            <w:r>
              <w:rPr>
                <w:rFonts w:eastAsia="Cambria"/>
                <w:color w:val="000000"/>
              </w:rPr>
              <w:t>NS</w:t>
            </w:r>
          </w:p>
        </w:tc>
        <w:tc>
          <w:tcPr>
            <w:tcW w:w="1269" w:type="dxa"/>
            <w:tcBorders>
              <w:top w:val="nil"/>
              <w:left w:val="nil"/>
              <w:bottom w:val="single" w:sz="4" w:space="0" w:color="auto"/>
              <w:right w:val="nil"/>
            </w:tcBorders>
            <w:vAlign w:val="center"/>
            <w:hideMark/>
          </w:tcPr>
          <w:p w14:paraId="665895E4" w14:textId="77777777" w:rsidR="007F4ACA" w:rsidRDefault="007F4ACA">
            <w:pPr>
              <w:jc w:val="center"/>
              <w:rPr>
                <w:rFonts w:eastAsia="Cambria"/>
                <w:color w:val="000000"/>
              </w:rPr>
            </w:pPr>
            <w:r>
              <w:rPr>
                <w:rFonts w:eastAsia="Cambria"/>
                <w:color w:val="000000"/>
              </w:rPr>
              <w:t>NS</w:t>
            </w:r>
          </w:p>
        </w:tc>
        <w:tc>
          <w:tcPr>
            <w:tcW w:w="1269" w:type="dxa"/>
            <w:tcBorders>
              <w:top w:val="nil"/>
              <w:left w:val="nil"/>
              <w:bottom w:val="single" w:sz="4" w:space="0" w:color="auto"/>
              <w:right w:val="nil"/>
            </w:tcBorders>
            <w:vAlign w:val="center"/>
            <w:hideMark/>
          </w:tcPr>
          <w:p w14:paraId="6F7B3181" w14:textId="77777777" w:rsidR="007F4ACA" w:rsidRDefault="007F4ACA">
            <w:pPr>
              <w:jc w:val="center"/>
              <w:rPr>
                <w:rFonts w:eastAsia="Cambria"/>
                <w:color w:val="000000"/>
              </w:rPr>
            </w:pPr>
            <w:r>
              <w:rPr>
                <w:rFonts w:eastAsia="Cambria"/>
                <w:color w:val="000000"/>
              </w:rPr>
              <w:t>NS</w:t>
            </w:r>
          </w:p>
        </w:tc>
        <w:tc>
          <w:tcPr>
            <w:tcW w:w="1326" w:type="dxa"/>
            <w:tcBorders>
              <w:top w:val="nil"/>
              <w:left w:val="nil"/>
              <w:bottom w:val="single" w:sz="4" w:space="0" w:color="auto"/>
              <w:right w:val="nil"/>
            </w:tcBorders>
            <w:vAlign w:val="center"/>
            <w:hideMark/>
          </w:tcPr>
          <w:p w14:paraId="64270E5C" w14:textId="77777777" w:rsidR="007F4ACA" w:rsidRDefault="007F4ACA">
            <w:pPr>
              <w:jc w:val="center"/>
              <w:rPr>
                <w:rFonts w:eastAsia="Cambria"/>
                <w:color w:val="000000"/>
              </w:rPr>
            </w:pPr>
            <w:r>
              <w:rPr>
                <w:rFonts w:eastAsia="Cambria"/>
                <w:color w:val="000000"/>
              </w:rPr>
              <w:t>NS</w:t>
            </w:r>
          </w:p>
        </w:tc>
      </w:tr>
      <w:tr w:rsidR="00730F9B" w14:paraId="5A2AC89A" w14:textId="77777777" w:rsidTr="007A790E">
        <w:trPr>
          <w:trHeight w:val="156"/>
        </w:trPr>
        <w:tc>
          <w:tcPr>
            <w:tcW w:w="8775" w:type="dxa"/>
            <w:gridSpan w:val="6"/>
            <w:tcBorders>
              <w:top w:val="single" w:sz="4" w:space="0" w:color="auto"/>
              <w:left w:val="nil"/>
              <w:bottom w:val="nil"/>
              <w:right w:val="nil"/>
            </w:tcBorders>
            <w:hideMark/>
          </w:tcPr>
          <w:p w14:paraId="520D0FFA" w14:textId="79BB5EB5" w:rsidR="00730F9B" w:rsidRDefault="00730F9B" w:rsidP="00730F9B">
            <w:pPr>
              <w:rPr>
                <w:rFonts w:eastAsia="Cambria"/>
                <w:color w:val="000000"/>
              </w:rPr>
            </w:pPr>
            <w:r w:rsidRPr="002006A3">
              <w:rPr>
                <w:vertAlign w:val="superscript"/>
              </w:rPr>
              <w:t>a</w:t>
            </w:r>
            <w:r w:rsidRPr="002B04D6">
              <w:t>NS = not significant.</w:t>
            </w:r>
          </w:p>
        </w:tc>
      </w:tr>
      <w:tr w:rsidR="00730F9B" w14:paraId="6A1A3E59" w14:textId="77777777" w:rsidTr="007A790E">
        <w:trPr>
          <w:trHeight w:val="156"/>
        </w:trPr>
        <w:tc>
          <w:tcPr>
            <w:tcW w:w="8775" w:type="dxa"/>
            <w:gridSpan w:val="6"/>
            <w:tcBorders>
              <w:top w:val="nil"/>
              <w:bottom w:val="nil"/>
            </w:tcBorders>
            <w:hideMark/>
          </w:tcPr>
          <w:p w14:paraId="365EB388" w14:textId="746961C9" w:rsidR="00730F9B" w:rsidRDefault="00730F9B" w:rsidP="00730F9B">
            <w:pPr>
              <w:rPr>
                <w:rFonts w:eastAsia="Cambria"/>
                <w:color w:val="000000"/>
              </w:rPr>
            </w:pPr>
            <w:r w:rsidRPr="002B04D6">
              <w:t>*,**,***, Significant at the p ≤0.05, 0.01, 0.001 level, respectively.</w:t>
            </w:r>
          </w:p>
        </w:tc>
      </w:tr>
      <w:bookmarkEnd w:id="143"/>
    </w:tbl>
    <w:p w14:paraId="315DF632" w14:textId="77777777" w:rsidR="007F4ACA" w:rsidRDefault="007F4ACA" w:rsidP="007F4ACA">
      <w:pPr>
        <w:numPr>
          <w:ilvl w:val="12"/>
          <w:numId w:val="0"/>
        </w:numPr>
        <w:jc w:val="center"/>
        <w:rPr>
          <w:b/>
          <w:sz w:val="32"/>
          <w:szCs w:val="32"/>
        </w:rPr>
      </w:pPr>
    </w:p>
    <w:p w14:paraId="7CBAA85D" w14:textId="77777777" w:rsidR="007F4ACA" w:rsidRDefault="007F4ACA" w:rsidP="007F4ACA">
      <w:pPr>
        <w:numPr>
          <w:ilvl w:val="12"/>
          <w:numId w:val="0"/>
        </w:numPr>
        <w:jc w:val="center"/>
        <w:rPr>
          <w:b/>
          <w:sz w:val="32"/>
          <w:szCs w:val="32"/>
        </w:rPr>
      </w:pPr>
    </w:p>
    <w:p w14:paraId="1FD9ED93" w14:textId="77777777" w:rsidR="007F4ACA" w:rsidRDefault="007F4ACA" w:rsidP="007F4ACA">
      <w:pPr>
        <w:numPr>
          <w:ilvl w:val="12"/>
          <w:numId w:val="0"/>
        </w:numPr>
        <w:jc w:val="center"/>
        <w:rPr>
          <w:b/>
          <w:sz w:val="32"/>
          <w:szCs w:val="32"/>
        </w:rPr>
      </w:pPr>
    </w:p>
    <w:p w14:paraId="067BE890" w14:textId="77777777" w:rsidR="007F4ACA" w:rsidRDefault="007F4ACA" w:rsidP="007F4ACA">
      <w:pPr>
        <w:numPr>
          <w:ilvl w:val="12"/>
          <w:numId w:val="0"/>
        </w:numPr>
        <w:jc w:val="center"/>
        <w:rPr>
          <w:b/>
          <w:sz w:val="32"/>
          <w:szCs w:val="32"/>
        </w:rPr>
      </w:pPr>
    </w:p>
    <w:p w14:paraId="5A958CB7" w14:textId="77777777" w:rsidR="007F4ACA" w:rsidRDefault="007F4ACA" w:rsidP="007F4ACA">
      <w:pPr>
        <w:numPr>
          <w:ilvl w:val="12"/>
          <w:numId w:val="0"/>
        </w:numPr>
        <w:jc w:val="center"/>
        <w:rPr>
          <w:b/>
          <w:sz w:val="32"/>
          <w:szCs w:val="32"/>
        </w:rPr>
      </w:pPr>
    </w:p>
    <w:p w14:paraId="36442F5C" w14:textId="77777777" w:rsidR="007F4ACA" w:rsidRDefault="007F4ACA" w:rsidP="007F4ACA">
      <w:pPr>
        <w:numPr>
          <w:ilvl w:val="12"/>
          <w:numId w:val="0"/>
        </w:numPr>
        <w:jc w:val="center"/>
        <w:rPr>
          <w:b/>
          <w:sz w:val="32"/>
          <w:szCs w:val="32"/>
        </w:rPr>
      </w:pPr>
    </w:p>
    <w:p w14:paraId="70D99EF5" w14:textId="77777777" w:rsidR="007F4ACA" w:rsidRDefault="007F4ACA" w:rsidP="007F4ACA">
      <w:pPr>
        <w:numPr>
          <w:ilvl w:val="12"/>
          <w:numId w:val="0"/>
        </w:numPr>
        <w:jc w:val="center"/>
        <w:rPr>
          <w:b/>
          <w:sz w:val="32"/>
          <w:szCs w:val="32"/>
        </w:rPr>
      </w:pPr>
    </w:p>
    <w:p w14:paraId="67B4023B" w14:textId="77777777" w:rsidR="007F4ACA" w:rsidRDefault="007F4ACA" w:rsidP="007F4ACA">
      <w:pPr>
        <w:numPr>
          <w:ilvl w:val="12"/>
          <w:numId w:val="0"/>
        </w:numPr>
        <w:jc w:val="center"/>
        <w:rPr>
          <w:b/>
          <w:sz w:val="32"/>
          <w:szCs w:val="32"/>
        </w:rPr>
      </w:pPr>
    </w:p>
    <w:p w14:paraId="7FC67A8E" w14:textId="77777777" w:rsidR="007F4ACA" w:rsidRDefault="007F4ACA" w:rsidP="007F4ACA">
      <w:pPr>
        <w:numPr>
          <w:ilvl w:val="12"/>
          <w:numId w:val="0"/>
        </w:numPr>
        <w:jc w:val="center"/>
        <w:rPr>
          <w:b/>
          <w:sz w:val="32"/>
          <w:szCs w:val="32"/>
        </w:rPr>
      </w:pPr>
    </w:p>
    <w:p w14:paraId="7C5893B7" w14:textId="77777777" w:rsidR="007F4ACA" w:rsidRDefault="007F4ACA" w:rsidP="007F4ACA">
      <w:pPr>
        <w:numPr>
          <w:ilvl w:val="12"/>
          <w:numId w:val="0"/>
        </w:numPr>
        <w:jc w:val="center"/>
        <w:rPr>
          <w:b/>
          <w:sz w:val="32"/>
          <w:szCs w:val="32"/>
        </w:rPr>
      </w:pPr>
    </w:p>
    <w:p w14:paraId="6D27D6AD" w14:textId="77777777" w:rsidR="007F4ACA" w:rsidRDefault="007F4ACA" w:rsidP="007F4ACA">
      <w:pPr>
        <w:numPr>
          <w:ilvl w:val="12"/>
          <w:numId w:val="0"/>
        </w:numPr>
        <w:jc w:val="center"/>
        <w:rPr>
          <w:b/>
          <w:sz w:val="32"/>
          <w:szCs w:val="32"/>
        </w:rPr>
      </w:pPr>
    </w:p>
    <w:p w14:paraId="2C63AD26" w14:textId="77777777" w:rsidR="007F4ACA" w:rsidRDefault="007F4ACA" w:rsidP="007F4ACA">
      <w:pPr>
        <w:numPr>
          <w:ilvl w:val="12"/>
          <w:numId w:val="0"/>
        </w:numPr>
        <w:jc w:val="center"/>
        <w:rPr>
          <w:b/>
          <w:sz w:val="32"/>
          <w:szCs w:val="32"/>
        </w:rPr>
      </w:pPr>
    </w:p>
    <w:p w14:paraId="06F65FDA" w14:textId="77777777" w:rsidR="007F4ACA" w:rsidRDefault="007F4ACA" w:rsidP="007F4ACA">
      <w:pPr>
        <w:numPr>
          <w:ilvl w:val="12"/>
          <w:numId w:val="0"/>
        </w:numPr>
        <w:jc w:val="center"/>
        <w:rPr>
          <w:b/>
          <w:sz w:val="32"/>
          <w:szCs w:val="32"/>
        </w:rPr>
      </w:pPr>
    </w:p>
    <w:p w14:paraId="34C7E7E4" w14:textId="77777777" w:rsidR="007F4ACA" w:rsidRDefault="007F4ACA" w:rsidP="007F4ACA">
      <w:pPr>
        <w:numPr>
          <w:ilvl w:val="12"/>
          <w:numId w:val="0"/>
        </w:numPr>
        <w:jc w:val="center"/>
        <w:rPr>
          <w:b/>
          <w:sz w:val="32"/>
          <w:szCs w:val="32"/>
        </w:rPr>
      </w:pPr>
    </w:p>
    <w:p w14:paraId="7417EA6B" w14:textId="77777777" w:rsidR="007F4ACA" w:rsidRDefault="007F4ACA" w:rsidP="007F4ACA">
      <w:pPr>
        <w:numPr>
          <w:ilvl w:val="12"/>
          <w:numId w:val="0"/>
        </w:numPr>
        <w:jc w:val="center"/>
        <w:rPr>
          <w:b/>
          <w:sz w:val="32"/>
          <w:szCs w:val="32"/>
        </w:rPr>
      </w:pPr>
    </w:p>
    <w:p w14:paraId="54890DD8" w14:textId="77777777" w:rsidR="007F4ACA" w:rsidRDefault="007F4ACA" w:rsidP="007F4ACA">
      <w:pPr>
        <w:numPr>
          <w:ilvl w:val="12"/>
          <w:numId w:val="0"/>
        </w:numPr>
        <w:jc w:val="center"/>
        <w:rPr>
          <w:b/>
          <w:sz w:val="32"/>
          <w:szCs w:val="32"/>
        </w:rPr>
      </w:pPr>
    </w:p>
    <w:p w14:paraId="28E504CA" w14:textId="77777777" w:rsidR="007F4ACA" w:rsidRDefault="007F4ACA" w:rsidP="007F4ACA">
      <w:pPr>
        <w:numPr>
          <w:ilvl w:val="12"/>
          <w:numId w:val="0"/>
        </w:numPr>
        <w:jc w:val="center"/>
        <w:rPr>
          <w:b/>
          <w:sz w:val="32"/>
          <w:szCs w:val="32"/>
        </w:rPr>
      </w:pPr>
    </w:p>
    <w:p w14:paraId="74F593BE" w14:textId="77777777" w:rsidR="007F4ACA" w:rsidRDefault="007F4ACA" w:rsidP="007F4ACA">
      <w:pPr>
        <w:numPr>
          <w:ilvl w:val="12"/>
          <w:numId w:val="0"/>
        </w:numPr>
        <w:jc w:val="center"/>
        <w:rPr>
          <w:b/>
          <w:sz w:val="32"/>
          <w:szCs w:val="32"/>
        </w:rPr>
      </w:pPr>
    </w:p>
    <w:p w14:paraId="0C31E27A" w14:textId="77777777" w:rsidR="007F4ACA" w:rsidRDefault="007F4ACA" w:rsidP="007F4ACA">
      <w:pPr>
        <w:numPr>
          <w:ilvl w:val="12"/>
          <w:numId w:val="0"/>
        </w:numPr>
        <w:jc w:val="center"/>
        <w:rPr>
          <w:b/>
          <w:sz w:val="32"/>
          <w:szCs w:val="32"/>
        </w:rPr>
      </w:pPr>
    </w:p>
    <w:p w14:paraId="70CA1EEF" w14:textId="77777777" w:rsidR="007F4ACA" w:rsidRDefault="007F4ACA" w:rsidP="007F4ACA">
      <w:pPr>
        <w:numPr>
          <w:ilvl w:val="12"/>
          <w:numId w:val="0"/>
        </w:numPr>
        <w:jc w:val="center"/>
        <w:rPr>
          <w:b/>
          <w:sz w:val="32"/>
          <w:szCs w:val="32"/>
        </w:rPr>
      </w:pPr>
    </w:p>
    <w:p w14:paraId="487D2D5F" w14:textId="77777777" w:rsidR="00A70ED3" w:rsidRDefault="00A70ED3" w:rsidP="000203E4">
      <w:pPr>
        <w:numPr>
          <w:ilvl w:val="12"/>
          <w:numId w:val="0"/>
        </w:numPr>
        <w:rPr>
          <w:b/>
          <w:sz w:val="32"/>
          <w:szCs w:val="32"/>
        </w:rPr>
      </w:pPr>
    </w:p>
    <w:p w14:paraId="04A94153" w14:textId="05FAF900" w:rsidR="007F4ACA" w:rsidRPr="001F55F1" w:rsidRDefault="00E65815" w:rsidP="001F55F1">
      <w:pPr>
        <w:pStyle w:val="Heading3"/>
        <w:rPr>
          <w:rFonts w:asciiTheme="minorHAnsi" w:hAnsiTheme="minorHAnsi" w:cstheme="minorHAnsi"/>
          <w:color w:val="000000" w:themeColor="text1"/>
          <w:sz w:val="32"/>
          <w:szCs w:val="32"/>
        </w:rPr>
      </w:pPr>
      <w:bookmarkStart w:id="144" w:name="_Toc466891201"/>
      <w:bookmarkStart w:id="145" w:name="_Toc466894883"/>
      <w:r w:rsidRPr="001F55F1">
        <w:rPr>
          <w:rFonts w:asciiTheme="minorHAnsi" w:hAnsiTheme="minorHAnsi" w:cstheme="minorHAnsi"/>
          <w:color w:val="000000" w:themeColor="text1"/>
        </w:rPr>
        <w:lastRenderedPageBreak/>
        <w:t>Table 3.5</w:t>
      </w:r>
      <w:r w:rsidR="001F55F1" w:rsidRPr="001F55F1">
        <w:rPr>
          <w:rFonts w:asciiTheme="minorHAnsi" w:hAnsiTheme="minorHAnsi" w:cstheme="minorHAnsi"/>
          <w:color w:val="000000" w:themeColor="text1"/>
        </w:rPr>
        <w:t>.</w:t>
      </w:r>
      <w:r w:rsidRPr="001F55F1">
        <w:rPr>
          <w:rFonts w:asciiTheme="minorHAnsi" w:hAnsiTheme="minorHAnsi" w:cstheme="minorHAnsi"/>
          <w:color w:val="000000" w:themeColor="text1"/>
        </w:rPr>
        <w:t xml:space="preserve"> </w:t>
      </w:r>
      <w:r w:rsidRPr="008D2855">
        <w:rPr>
          <w:rFonts w:asciiTheme="minorHAnsi" w:hAnsiTheme="minorHAnsi" w:cstheme="minorHAnsi"/>
          <w:b w:val="0"/>
          <w:color w:val="000000" w:themeColor="text1"/>
        </w:rPr>
        <w:t>Analysis of variance (pooled across experimental runs) of spray deposition characteristics of surface coverage, and percent incidence of stem and sheath coverage severity on Japanese lawngrass (</w:t>
      </w:r>
      <w:r w:rsidRPr="008D2855">
        <w:rPr>
          <w:rFonts w:asciiTheme="minorHAnsi" w:hAnsiTheme="minorHAnsi" w:cstheme="minorHAnsi"/>
          <w:b w:val="0"/>
          <w:i/>
          <w:color w:val="000000" w:themeColor="text1"/>
        </w:rPr>
        <w:t>Zoysia japonica</w:t>
      </w:r>
      <w:r w:rsidRPr="008D2855">
        <w:rPr>
          <w:rFonts w:asciiTheme="minorHAnsi" w:hAnsiTheme="minorHAnsi" w:cstheme="minorHAnsi"/>
          <w:b w:val="0"/>
          <w:color w:val="000000" w:themeColor="text1"/>
        </w:rPr>
        <w:t>) in response to various spray rate volumes and surfactant additives. Treatments were applied under greenhouse and spray chamber conditions in Knoxville, TN during 2016.</w:t>
      </w:r>
      <w:bookmarkEnd w:id="144"/>
      <w:bookmarkEnd w:id="145"/>
    </w:p>
    <w:tbl>
      <w:tblPr>
        <w:tblpPr w:leftFromText="180" w:rightFromText="180" w:vertAnchor="text" w:horzAnchor="margin" w:tblpY="152"/>
        <w:tblW w:w="9540" w:type="dxa"/>
        <w:tblBorders>
          <w:insideH w:val="single" w:sz="4" w:space="0" w:color="auto"/>
          <w:insideV w:val="single" w:sz="4" w:space="0" w:color="auto"/>
        </w:tblBorders>
        <w:tblLayout w:type="fixed"/>
        <w:tblLook w:val="04A0" w:firstRow="1" w:lastRow="0" w:firstColumn="1" w:lastColumn="0" w:noHBand="0" w:noVBand="1"/>
      </w:tblPr>
      <w:tblGrid>
        <w:gridCol w:w="2536"/>
        <w:gridCol w:w="798"/>
        <w:gridCol w:w="2068"/>
        <w:gridCol w:w="2069"/>
        <w:gridCol w:w="2069"/>
      </w:tblGrid>
      <w:tr w:rsidR="007F4ACA" w14:paraId="43BDD2A5" w14:textId="77777777" w:rsidTr="00A70ED3">
        <w:trPr>
          <w:trHeight w:val="182"/>
        </w:trPr>
        <w:tc>
          <w:tcPr>
            <w:tcW w:w="2536" w:type="dxa"/>
            <w:tcBorders>
              <w:top w:val="single" w:sz="4" w:space="0" w:color="auto"/>
              <w:left w:val="nil"/>
              <w:bottom w:val="single" w:sz="4" w:space="0" w:color="auto"/>
              <w:right w:val="nil"/>
            </w:tcBorders>
            <w:vAlign w:val="center"/>
            <w:hideMark/>
          </w:tcPr>
          <w:p w14:paraId="43B81D35" w14:textId="77777777" w:rsidR="007F4ACA" w:rsidRDefault="007F4ACA">
            <w:pPr>
              <w:rPr>
                <w:rFonts w:eastAsia="Cambria"/>
                <w:color w:val="000000"/>
              </w:rPr>
            </w:pPr>
            <w:bookmarkStart w:id="146" w:name="OLE_LINK1"/>
            <w:r>
              <w:rPr>
                <w:rFonts w:eastAsia="Cambria"/>
                <w:color w:val="000000"/>
              </w:rPr>
              <w:t>Source</w:t>
            </w:r>
          </w:p>
        </w:tc>
        <w:tc>
          <w:tcPr>
            <w:tcW w:w="798" w:type="dxa"/>
            <w:tcBorders>
              <w:top w:val="single" w:sz="4" w:space="0" w:color="auto"/>
              <w:left w:val="nil"/>
              <w:bottom w:val="single" w:sz="4" w:space="0" w:color="auto"/>
              <w:right w:val="nil"/>
            </w:tcBorders>
            <w:vAlign w:val="center"/>
            <w:hideMark/>
          </w:tcPr>
          <w:p w14:paraId="09454B08" w14:textId="77777777" w:rsidR="007F4ACA" w:rsidRDefault="007F4ACA">
            <w:pPr>
              <w:jc w:val="center"/>
              <w:rPr>
                <w:rFonts w:eastAsia="Cambria"/>
                <w:color w:val="000000"/>
              </w:rPr>
            </w:pPr>
            <w:r>
              <w:rPr>
                <w:rFonts w:eastAsia="Cambria"/>
                <w:color w:val="000000"/>
              </w:rPr>
              <w:t>df</w:t>
            </w:r>
          </w:p>
        </w:tc>
        <w:tc>
          <w:tcPr>
            <w:tcW w:w="2068" w:type="dxa"/>
            <w:tcBorders>
              <w:top w:val="single" w:sz="4" w:space="0" w:color="auto"/>
              <w:left w:val="nil"/>
              <w:bottom w:val="single" w:sz="4" w:space="0" w:color="auto"/>
              <w:right w:val="nil"/>
            </w:tcBorders>
            <w:vAlign w:val="center"/>
            <w:hideMark/>
          </w:tcPr>
          <w:p w14:paraId="425C1E0A" w14:textId="77777777" w:rsidR="007F4ACA" w:rsidRDefault="007F4ACA">
            <w:pPr>
              <w:jc w:val="center"/>
              <w:rPr>
                <w:rFonts w:eastAsia="Cambria"/>
                <w:color w:val="000000"/>
              </w:rPr>
            </w:pPr>
            <w:r>
              <w:rPr>
                <w:rFonts w:eastAsia="Cambria"/>
                <w:color w:val="000000"/>
              </w:rPr>
              <w:t xml:space="preserve">Surface coverage  </w:t>
            </w:r>
          </w:p>
        </w:tc>
        <w:tc>
          <w:tcPr>
            <w:tcW w:w="2069" w:type="dxa"/>
            <w:tcBorders>
              <w:top w:val="single" w:sz="4" w:space="0" w:color="auto"/>
              <w:left w:val="nil"/>
              <w:bottom w:val="single" w:sz="4" w:space="0" w:color="auto"/>
              <w:right w:val="nil"/>
            </w:tcBorders>
            <w:vAlign w:val="center"/>
            <w:hideMark/>
          </w:tcPr>
          <w:p w14:paraId="62F93EF2" w14:textId="77777777" w:rsidR="007F4ACA" w:rsidRDefault="007F4ACA">
            <w:pPr>
              <w:jc w:val="center"/>
              <w:rPr>
                <w:rFonts w:eastAsia="Cambria"/>
                <w:color w:val="000000"/>
              </w:rPr>
            </w:pPr>
            <w:r>
              <w:rPr>
                <w:rFonts w:eastAsia="Cambria"/>
                <w:color w:val="000000"/>
              </w:rPr>
              <w:t>Sheath coverage</w:t>
            </w:r>
          </w:p>
        </w:tc>
        <w:tc>
          <w:tcPr>
            <w:tcW w:w="2069" w:type="dxa"/>
            <w:tcBorders>
              <w:top w:val="single" w:sz="4" w:space="0" w:color="auto"/>
              <w:left w:val="nil"/>
              <w:bottom w:val="single" w:sz="4" w:space="0" w:color="auto"/>
              <w:right w:val="nil"/>
            </w:tcBorders>
            <w:vAlign w:val="center"/>
            <w:hideMark/>
          </w:tcPr>
          <w:p w14:paraId="0EF0B78A" w14:textId="77777777" w:rsidR="007F4ACA" w:rsidRDefault="007F4ACA">
            <w:pPr>
              <w:jc w:val="center"/>
              <w:rPr>
                <w:rFonts w:eastAsia="Cambria"/>
                <w:color w:val="000000"/>
              </w:rPr>
            </w:pPr>
            <w:r>
              <w:rPr>
                <w:rFonts w:eastAsia="Cambria"/>
                <w:color w:val="000000"/>
              </w:rPr>
              <w:t>Stem Coverage</w:t>
            </w:r>
          </w:p>
        </w:tc>
      </w:tr>
      <w:tr w:rsidR="007F4ACA" w14:paraId="07E63EAF" w14:textId="77777777" w:rsidTr="00A70ED3">
        <w:trPr>
          <w:trHeight w:val="182"/>
        </w:trPr>
        <w:tc>
          <w:tcPr>
            <w:tcW w:w="2536" w:type="dxa"/>
            <w:tcBorders>
              <w:top w:val="single" w:sz="4" w:space="0" w:color="auto"/>
              <w:left w:val="nil"/>
              <w:bottom w:val="nil"/>
              <w:right w:val="nil"/>
            </w:tcBorders>
            <w:vAlign w:val="center"/>
            <w:hideMark/>
          </w:tcPr>
          <w:p w14:paraId="6446CF8B" w14:textId="77777777" w:rsidR="007F4ACA" w:rsidRDefault="007F4ACA">
            <w:pPr>
              <w:rPr>
                <w:rFonts w:eastAsia="Cambria"/>
                <w:color w:val="000000"/>
              </w:rPr>
            </w:pPr>
            <w:r>
              <w:rPr>
                <w:rFonts w:eastAsia="Cambria"/>
                <w:color w:val="000000"/>
              </w:rPr>
              <w:t xml:space="preserve">Replication </w:t>
            </w:r>
          </w:p>
        </w:tc>
        <w:tc>
          <w:tcPr>
            <w:tcW w:w="798" w:type="dxa"/>
            <w:tcBorders>
              <w:top w:val="single" w:sz="4" w:space="0" w:color="auto"/>
              <w:left w:val="nil"/>
              <w:bottom w:val="nil"/>
              <w:right w:val="nil"/>
            </w:tcBorders>
            <w:vAlign w:val="center"/>
            <w:hideMark/>
          </w:tcPr>
          <w:p w14:paraId="0B94EBE7" w14:textId="77777777" w:rsidR="007F4ACA" w:rsidRDefault="007F4ACA">
            <w:pPr>
              <w:jc w:val="center"/>
              <w:rPr>
                <w:rFonts w:eastAsia="Cambria"/>
                <w:color w:val="000000"/>
              </w:rPr>
            </w:pPr>
            <w:r>
              <w:rPr>
                <w:rFonts w:eastAsia="Cambria"/>
                <w:color w:val="000000"/>
              </w:rPr>
              <w:t>4</w:t>
            </w:r>
          </w:p>
        </w:tc>
        <w:tc>
          <w:tcPr>
            <w:tcW w:w="2068" w:type="dxa"/>
            <w:tcBorders>
              <w:top w:val="single" w:sz="4" w:space="0" w:color="auto"/>
              <w:left w:val="nil"/>
              <w:bottom w:val="nil"/>
              <w:right w:val="nil"/>
            </w:tcBorders>
            <w:vAlign w:val="center"/>
            <w:hideMark/>
          </w:tcPr>
          <w:p w14:paraId="6B2ABFAD" w14:textId="77777777" w:rsidR="007F4ACA" w:rsidRDefault="007F4ACA">
            <w:pPr>
              <w:jc w:val="center"/>
              <w:rPr>
                <w:rFonts w:eastAsia="Cambria"/>
                <w:color w:val="000000"/>
              </w:rPr>
            </w:pPr>
            <w:r>
              <w:rPr>
                <w:rFonts w:eastAsia="Cambria"/>
                <w:color w:val="000000"/>
              </w:rPr>
              <w:t>NS</w:t>
            </w:r>
            <w:r>
              <w:rPr>
                <w:rFonts w:eastAsia="Cambria"/>
                <w:color w:val="000000"/>
                <w:vertAlign w:val="superscript"/>
              </w:rPr>
              <w:t>a</w:t>
            </w:r>
          </w:p>
        </w:tc>
        <w:tc>
          <w:tcPr>
            <w:tcW w:w="2069" w:type="dxa"/>
            <w:tcBorders>
              <w:top w:val="single" w:sz="4" w:space="0" w:color="auto"/>
              <w:left w:val="nil"/>
              <w:bottom w:val="nil"/>
              <w:right w:val="nil"/>
            </w:tcBorders>
            <w:vAlign w:val="center"/>
            <w:hideMark/>
          </w:tcPr>
          <w:p w14:paraId="620849FB" w14:textId="77777777" w:rsidR="007F4ACA" w:rsidRDefault="007F4ACA">
            <w:pPr>
              <w:jc w:val="center"/>
              <w:rPr>
                <w:rFonts w:eastAsia="Cambria"/>
                <w:color w:val="000000"/>
              </w:rPr>
            </w:pPr>
            <w:r>
              <w:rPr>
                <w:rFonts w:eastAsia="Cambria"/>
                <w:color w:val="000000"/>
              </w:rPr>
              <w:t>NS</w:t>
            </w:r>
          </w:p>
        </w:tc>
        <w:tc>
          <w:tcPr>
            <w:tcW w:w="2069" w:type="dxa"/>
            <w:tcBorders>
              <w:top w:val="single" w:sz="4" w:space="0" w:color="auto"/>
              <w:left w:val="nil"/>
              <w:bottom w:val="nil"/>
              <w:right w:val="nil"/>
            </w:tcBorders>
            <w:vAlign w:val="center"/>
            <w:hideMark/>
          </w:tcPr>
          <w:p w14:paraId="730AFF04" w14:textId="77777777" w:rsidR="007F4ACA" w:rsidRDefault="007F4ACA">
            <w:pPr>
              <w:jc w:val="center"/>
              <w:rPr>
                <w:rFonts w:eastAsia="Cambria"/>
                <w:color w:val="000000"/>
              </w:rPr>
            </w:pPr>
            <w:r>
              <w:rPr>
                <w:rFonts w:eastAsia="Cambria"/>
                <w:color w:val="000000"/>
              </w:rPr>
              <w:t>NS</w:t>
            </w:r>
          </w:p>
        </w:tc>
      </w:tr>
      <w:tr w:rsidR="007F4ACA" w14:paraId="71DC3EA2" w14:textId="77777777" w:rsidTr="00A70ED3">
        <w:trPr>
          <w:trHeight w:val="182"/>
        </w:trPr>
        <w:tc>
          <w:tcPr>
            <w:tcW w:w="2536" w:type="dxa"/>
            <w:tcBorders>
              <w:top w:val="nil"/>
              <w:bottom w:val="nil"/>
              <w:right w:val="nil"/>
            </w:tcBorders>
            <w:vAlign w:val="center"/>
            <w:hideMark/>
          </w:tcPr>
          <w:p w14:paraId="26FF675D" w14:textId="4B1E73FE" w:rsidR="007F4ACA" w:rsidRDefault="00F100DF">
            <w:pPr>
              <w:rPr>
                <w:rFonts w:eastAsia="Cambria"/>
                <w:color w:val="000000"/>
              </w:rPr>
            </w:pPr>
            <w:r>
              <w:rPr>
                <w:rFonts w:eastAsia="Cambria"/>
                <w:color w:val="000000"/>
              </w:rPr>
              <w:t>Spray rate volume (V)</w:t>
            </w:r>
          </w:p>
        </w:tc>
        <w:tc>
          <w:tcPr>
            <w:tcW w:w="798" w:type="dxa"/>
            <w:tcBorders>
              <w:top w:val="nil"/>
              <w:left w:val="nil"/>
              <w:bottom w:val="nil"/>
              <w:right w:val="nil"/>
            </w:tcBorders>
            <w:vAlign w:val="center"/>
            <w:hideMark/>
          </w:tcPr>
          <w:p w14:paraId="2F2D1F92" w14:textId="77777777" w:rsidR="007F4ACA" w:rsidRDefault="007F4ACA">
            <w:pPr>
              <w:jc w:val="center"/>
              <w:rPr>
                <w:rFonts w:eastAsia="Cambria"/>
                <w:color w:val="000000"/>
              </w:rPr>
            </w:pPr>
            <w:r>
              <w:rPr>
                <w:rFonts w:eastAsia="Cambria"/>
                <w:color w:val="000000"/>
              </w:rPr>
              <w:t>2</w:t>
            </w:r>
          </w:p>
        </w:tc>
        <w:tc>
          <w:tcPr>
            <w:tcW w:w="2068" w:type="dxa"/>
            <w:tcBorders>
              <w:top w:val="nil"/>
              <w:left w:val="nil"/>
              <w:bottom w:val="nil"/>
              <w:right w:val="nil"/>
            </w:tcBorders>
            <w:vAlign w:val="center"/>
            <w:hideMark/>
          </w:tcPr>
          <w:p w14:paraId="7120F422" w14:textId="77777777" w:rsidR="007F4ACA" w:rsidRDefault="007F4ACA">
            <w:pPr>
              <w:jc w:val="center"/>
              <w:rPr>
                <w:rFonts w:eastAsia="Cambria"/>
                <w:color w:val="000000"/>
              </w:rPr>
            </w:pPr>
            <w:r>
              <w:rPr>
                <w:rFonts w:eastAsia="Cambria"/>
                <w:color w:val="000000"/>
              </w:rPr>
              <w:t>***</w:t>
            </w:r>
          </w:p>
        </w:tc>
        <w:tc>
          <w:tcPr>
            <w:tcW w:w="2069" w:type="dxa"/>
            <w:tcBorders>
              <w:top w:val="nil"/>
              <w:left w:val="nil"/>
              <w:bottom w:val="nil"/>
              <w:right w:val="nil"/>
            </w:tcBorders>
            <w:vAlign w:val="center"/>
            <w:hideMark/>
          </w:tcPr>
          <w:p w14:paraId="1842C33A" w14:textId="77777777" w:rsidR="007F4ACA" w:rsidRDefault="007F4ACA">
            <w:pPr>
              <w:jc w:val="center"/>
              <w:rPr>
                <w:rFonts w:eastAsia="Cambria"/>
                <w:color w:val="000000"/>
              </w:rPr>
            </w:pPr>
            <w:r>
              <w:rPr>
                <w:rFonts w:eastAsia="Cambria"/>
                <w:color w:val="000000"/>
              </w:rPr>
              <w:t>***</w:t>
            </w:r>
          </w:p>
        </w:tc>
        <w:tc>
          <w:tcPr>
            <w:tcW w:w="2069" w:type="dxa"/>
            <w:tcBorders>
              <w:top w:val="nil"/>
              <w:left w:val="nil"/>
              <w:bottom w:val="nil"/>
            </w:tcBorders>
            <w:vAlign w:val="center"/>
            <w:hideMark/>
          </w:tcPr>
          <w:p w14:paraId="544839BF" w14:textId="77777777" w:rsidR="007F4ACA" w:rsidRDefault="007F4ACA">
            <w:pPr>
              <w:jc w:val="center"/>
              <w:rPr>
                <w:rFonts w:eastAsia="Cambria"/>
                <w:color w:val="000000"/>
              </w:rPr>
            </w:pPr>
            <w:r>
              <w:rPr>
                <w:rFonts w:eastAsia="Cambria"/>
                <w:color w:val="000000"/>
              </w:rPr>
              <w:t>***</w:t>
            </w:r>
          </w:p>
        </w:tc>
      </w:tr>
      <w:tr w:rsidR="007F4ACA" w14:paraId="3D65E51B" w14:textId="77777777" w:rsidTr="00A70ED3">
        <w:trPr>
          <w:trHeight w:val="182"/>
        </w:trPr>
        <w:tc>
          <w:tcPr>
            <w:tcW w:w="2536" w:type="dxa"/>
            <w:tcBorders>
              <w:top w:val="nil"/>
              <w:bottom w:val="nil"/>
              <w:right w:val="nil"/>
            </w:tcBorders>
            <w:vAlign w:val="center"/>
            <w:hideMark/>
          </w:tcPr>
          <w:p w14:paraId="295BBC6C" w14:textId="77777777" w:rsidR="007F4ACA" w:rsidRDefault="007F4ACA">
            <w:pPr>
              <w:rPr>
                <w:rFonts w:eastAsia="Cambria"/>
                <w:color w:val="000000"/>
              </w:rPr>
            </w:pPr>
            <w:r>
              <w:rPr>
                <w:rFonts w:eastAsia="Cambria"/>
                <w:color w:val="000000"/>
              </w:rPr>
              <w:t>Surfactant (S)</w:t>
            </w:r>
          </w:p>
        </w:tc>
        <w:tc>
          <w:tcPr>
            <w:tcW w:w="798" w:type="dxa"/>
            <w:tcBorders>
              <w:top w:val="nil"/>
              <w:left w:val="nil"/>
              <w:bottom w:val="nil"/>
              <w:right w:val="nil"/>
            </w:tcBorders>
            <w:vAlign w:val="center"/>
            <w:hideMark/>
          </w:tcPr>
          <w:p w14:paraId="3F58408B" w14:textId="77777777" w:rsidR="007F4ACA" w:rsidRDefault="007F4ACA">
            <w:pPr>
              <w:jc w:val="center"/>
              <w:rPr>
                <w:rFonts w:eastAsia="Cambria"/>
                <w:color w:val="000000"/>
              </w:rPr>
            </w:pPr>
            <w:r>
              <w:rPr>
                <w:rFonts w:eastAsia="Cambria"/>
                <w:color w:val="000000"/>
              </w:rPr>
              <w:t>3</w:t>
            </w:r>
          </w:p>
        </w:tc>
        <w:tc>
          <w:tcPr>
            <w:tcW w:w="2068" w:type="dxa"/>
            <w:tcBorders>
              <w:top w:val="nil"/>
              <w:left w:val="nil"/>
              <w:bottom w:val="nil"/>
              <w:right w:val="nil"/>
            </w:tcBorders>
            <w:vAlign w:val="center"/>
            <w:hideMark/>
          </w:tcPr>
          <w:p w14:paraId="37B0EF03" w14:textId="77777777" w:rsidR="007F4ACA" w:rsidRDefault="007F4ACA">
            <w:pPr>
              <w:jc w:val="center"/>
              <w:rPr>
                <w:rFonts w:eastAsia="Cambria"/>
                <w:color w:val="000000"/>
              </w:rPr>
            </w:pPr>
            <w:r>
              <w:rPr>
                <w:rFonts w:eastAsia="Cambria"/>
                <w:color w:val="000000"/>
              </w:rPr>
              <w:t>**</w:t>
            </w:r>
          </w:p>
        </w:tc>
        <w:tc>
          <w:tcPr>
            <w:tcW w:w="2069" w:type="dxa"/>
            <w:tcBorders>
              <w:top w:val="nil"/>
              <w:left w:val="nil"/>
              <w:bottom w:val="nil"/>
              <w:right w:val="nil"/>
            </w:tcBorders>
            <w:vAlign w:val="center"/>
            <w:hideMark/>
          </w:tcPr>
          <w:p w14:paraId="19CE09C1" w14:textId="77777777" w:rsidR="007F4ACA" w:rsidRDefault="007F4ACA">
            <w:pPr>
              <w:jc w:val="center"/>
              <w:rPr>
                <w:rFonts w:eastAsia="Cambria"/>
                <w:color w:val="000000"/>
              </w:rPr>
            </w:pPr>
            <w:r>
              <w:rPr>
                <w:rFonts w:eastAsia="Cambria"/>
                <w:color w:val="000000"/>
              </w:rPr>
              <w:t>**</w:t>
            </w:r>
          </w:p>
        </w:tc>
        <w:tc>
          <w:tcPr>
            <w:tcW w:w="2069" w:type="dxa"/>
            <w:tcBorders>
              <w:top w:val="nil"/>
              <w:left w:val="nil"/>
              <w:bottom w:val="nil"/>
            </w:tcBorders>
            <w:vAlign w:val="center"/>
            <w:hideMark/>
          </w:tcPr>
          <w:p w14:paraId="1058E56B" w14:textId="77777777" w:rsidR="007F4ACA" w:rsidRDefault="007F4ACA">
            <w:pPr>
              <w:jc w:val="center"/>
              <w:rPr>
                <w:rFonts w:eastAsia="Cambria"/>
                <w:color w:val="000000"/>
              </w:rPr>
            </w:pPr>
            <w:r>
              <w:rPr>
                <w:rFonts w:eastAsia="Cambria"/>
                <w:color w:val="000000"/>
              </w:rPr>
              <w:t>NS</w:t>
            </w:r>
          </w:p>
        </w:tc>
      </w:tr>
      <w:tr w:rsidR="007F4ACA" w14:paraId="53F1F4F2" w14:textId="77777777" w:rsidTr="00A70ED3">
        <w:trPr>
          <w:trHeight w:val="182"/>
        </w:trPr>
        <w:tc>
          <w:tcPr>
            <w:tcW w:w="2536" w:type="dxa"/>
            <w:tcBorders>
              <w:top w:val="nil"/>
              <w:left w:val="nil"/>
              <w:bottom w:val="single" w:sz="4" w:space="0" w:color="auto"/>
              <w:right w:val="nil"/>
            </w:tcBorders>
            <w:vAlign w:val="center"/>
            <w:hideMark/>
          </w:tcPr>
          <w:p w14:paraId="09130F3C" w14:textId="77777777" w:rsidR="007F4ACA" w:rsidRDefault="007F4ACA">
            <w:pPr>
              <w:rPr>
                <w:rFonts w:eastAsia="Cambria"/>
                <w:color w:val="000000"/>
              </w:rPr>
            </w:pPr>
            <w:r>
              <w:rPr>
                <w:rFonts w:eastAsia="Cambria"/>
                <w:color w:val="000000"/>
              </w:rPr>
              <w:t>F x S</w:t>
            </w:r>
          </w:p>
        </w:tc>
        <w:tc>
          <w:tcPr>
            <w:tcW w:w="798" w:type="dxa"/>
            <w:tcBorders>
              <w:top w:val="nil"/>
              <w:left w:val="nil"/>
              <w:bottom w:val="single" w:sz="4" w:space="0" w:color="auto"/>
              <w:right w:val="nil"/>
            </w:tcBorders>
            <w:vAlign w:val="center"/>
            <w:hideMark/>
          </w:tcPr>
          <w:p w14:paraId="3B3C1CC8" w14:textId="77777777" w:rsidR="007F4ACA" w:rsidRDefault="007F4ACA">
            <w:pPr>
              <w:jc w:val="center"/>
              <w:rPr>
                <w:rFonts w:eastAsia="Cambria"/>
                <w:color w:val="000000"/>
              </w:rPr>
            </w:pPr>
            <w:r>
              <w:rPr>
                <w:rFonts w:eastAsia="Cambria"/>
                <w:color w:val="000000"/>
              </w:rPr>
              <w:t>6</w:t>
            </w:r>
          </w:p>
        </w:tc>
        <w:tc>
          <w:tcPr>
            <w:tcW w:w="2068" w:type="dxa"/>
            <w:tcBorders>
              <w:top w:val="nil"/>
              <w:left w:val="nil"/>
              <w:bottom w:val="single" w:sz="4" w:space="0" w:color="auto"/>
              <w:right w:val="nil"/>
            </w:tcBorders>
            <w:vAlign w:val="center"/>
            <w:hideMark/>
          </w:tcPr>
          <w:p w14:paraId="0C28F00A" w14:textId="77777777" w:rsidR="007F4ACA" w:rsidRDefault="007F4ACA">
            <w:pPr>
              <w:jc w:val="center"/>
              <w:rPr>
                <w:rFonts w:eastAsia="Cambria"/>
                <w:color w:val="000000"/>
              </w:rPr>
            </w:pPr>
            <w:r>
              <w:rPr>
                <w:rFonts w:eastAsia="Cambria"/>
                <w:color w:val="000000"/>
              </w:rPr>
              <w:t>***</w:t>
            </w:r>
          </w:p>
        </w:tc>
        <w:tc>
          <w:tcPr>
            <w:tcW w:w="2069" w:type="dxa"/>
            <w:tcBorders>
              <w:top w:val="nil"/>
              <w:left w:val="nil"/>
              <w:bottom w:val="single" w:sz="4" w:space="0" w:color="auto"/>
              <w:right w:val="nil"/>
            </w:tcBorders>
            <w:vAlign w:val="center"/>
            <w:hideMark/>
          </w:tcPr>
          <w:p w14:paraId="198D58C5" w14:textId="77777777" w:rsidR="007F4ACA" w:rsidRDefault="007F4ACA">
            <w:pPr>
              <w:jc w:val="center"/>
              <w:rPr>
                <w:rFonts w:eastAsia="Cambria"/>
                <w:color w:val="000000"/>
              </w:rPr>
            </w:pPr>
            <w:r>
              <w:rPr>
                <w:rFonts w:eastAsia="Cambria"/>
                <w:color w:val="000000"/>
              </w:rPr>
              <w:t>NS</w:t>
            </w:r>
          </w:p>
        </w:tc>
        <w:tc>
          <w:tcPr>
            <w:tcW w:w="2069" w:type="dxa"/>
            <w:tcBorders>
              <w:top w:val="nil"/>
              <w:left w:val="nil"/>
              <w:bottom w:val="single" w:sz="4" w:space="0" w:color="auto"/>
              <w:right w:val="nil"/>
            </w:tcBorders>
            <w:vAlign w:val="center"/>
            <w:hideMark/>
          </w:tcPr>
          <w:p w14:paraId="5E934CB0" w14:textId="77777777" w:rsidR="007F4ACA" w:rsidRDefault="007F4ACA">
            <w:pPr>
              <w:jc w:val="center"/>
              <w:rPr>
                <w:rFonts w:eastAsia="Cambria"/>
                <w:color w:val="000000"/>
              </w:rPr>
            </w:pPr>
            <w:r>
              <w:rPr>
                <w:rFonts w:eastAsia="Cambria"/>
                <w:color w:val="000000"/>
              </w:rPr>
              <w:t>NS</w:t>
            </w:r>
          </w:p>
        </w:tc>
      </w:tr>
      <w:tr w:rsidR="002006A3" w14:paraId="5E6E63A2" w14:textId="77777777" w:rsidTr="009719BD">
        <w:trPr>
          <w:trHeight w:val="155"/>
        </w:trPr>
        <w:tc>
          <w:tcPr>
            <w:tcW w:w="9540" w:type="dxa"/>
            <w:gridSpan w:val="5"/>
            <w:tcBorders>
              <w:top w:val="single" w:sz="4" w:space="0" w:color="auto"/>
              <w:left w:val="nil"/>
              <w:bottom w:val="nil"/>
              <w:right w:val="nil"/>
            </w:tcBorders>
            <w:hideMark/>
          </w:tcPr>
          <w:p w14:paraId="044ECF2B" w14:textId="16588A0D" w:rsidR="002006A3" w:rsidRDefault="002006A3" w:rsidP="002006A3">
            <w:pPr>
              <w:rPr>
                <w:rFonts w:eastAsia="Cambria"/>
                <w:color w:val="000000"/>
              </w:rPr>
            </w:pPr>
            <w:r w:rsidRPr="002006A3">
              <w:rPr>
                <w:vertAlign w:val="superscript"/>
              </w:rPr>
              <w:t>a</w:t>
            </w:r>
            <w:r w:rsidRPr="00AF0B11">
              <w:t>NS = not significant.</w:t>
            </w:r>
          </w:p>
        </w:tc>
      </w:tr>
      <w:tr w:rsidR="002006A3" w14:paraId="7F84E0A9" w14:textId="77777777" w:rsidTr="009719BD">
        <w:trPr>
          <w:trHeight w:val="155"/>
        </w:trPr>
        <w:tc>
          <w:tcPr>
            <w:tcW w:w="9540" w:type="dxa"/>
            <w:gridSpan w:val="5"/>
            <w:tcBorders>
              <w:top w:val="nil"/>
              <w:bottom w:val="nil"/>
            </w:tcBorders>
            <w:hideMark/>
          </w:tcPr>
          <w:p w14:paraId="4BF134D6" w14:textId="7EA73935" w:rsidR="002006A3" w:rsidRDefault="002006A3" w:rsidP="002006A3">
            <w:pPr>
              <w:rPr>
                <w:rFonts w:eastAsia="Cambria"/>
                <w:color w:val="000000"/>
              </w:rPr>
            </w:pPr>
            <w:r w:rsidRPr="00AF0B11">
              <w:t>*,**,***, Significant at the p ≤0.05, 0.01, 0.001 level, respectively.</w:t>
            </w:r>
          </w:p>
        </w:tc>
      </w:tr>
      <w:bookmarkEnd w:id="146"/>
    </w:tbl>
    <w:p w14:paraId="61B3DC05" w14:textId="77777777" w:rsidR="007F4ACA" w:rsidRDefault="007F4ACA" w:rsidP="007F4ACA">
      <w:pPr>
        <w:numPr>
          <w:ilvl w:val="12"/>
          <w:numId w:val="0"/>
        </w:numPr>
        <w:jc w:val="center"/>
        <w:rPr>
          <w:b/>
          <w:sz w:val="32"/>
          <w:szCs w:val="32"/>
        </w:rPr>
      </w:pPr>
    </w:p>
    <w:p w14:paraId="4C0CA80C" w14:textId="77777777" w:rsidR="007F4ACA" w:rsidRDefault="007F4ACA" w:rsidP="007F4ACA">
      <w:pPr>
        <w:numPr>
          <w:ilvl w:val="12"/>
          <w:numId w:val="0"/>
        </w:numPr>
        <w:jc w:val="center"/>
        <w:rPr>
          <w:b/>
          <w:sz w:val="32"/>
          <w:szCs w:val="32"/>
        </w:rPr>
      </w:pPr>
    </w:p>
    <w:p w14:paraId="1C97B458" w14:textId="77777777" w:rsidR="007F4ACA" w:rsidRDefault="007F4ACA" w:rsidP="007F4ACA">
      <w:pPr>
        <w:numPr>
          <w:ilvl w:val="12"/>
          <w:numId w:val="0"/>
        </w:numPr>
        <w:jc w:val="center"/>
        <w:rPr>
          <w:b/>
          <w:sz w:val="32"/>
          <w:szCs w:val="32"/>
        </w:rPr>
      </w:pPr>
    </w:p>
    <w:p w14:paraId="02EE6199" w14:textId="77777777" w:rsidR="007F4ACA" w:rsidRDefault="007F4ACA" w:rsidP="007F4ACA">
      <w:pPr>
        <w:numPr>
          <w:ilvl w:val="12"/>
          <w:numId w:val="0"/>
        </w:numPr>
        <w:jc w:val="center"/>
        <w:rPr>
          <w:b/>
          <w:sz w:val="32"/>
          <w:szCs w:val="32"/>
        </w:rPr>
      </w:pPr>
    </w:p>
    <w:p w14:paraId="0E22E4F4" w14:textId="77777777" w:rsidR="007F4ACA" w:rsidRDefault="007F4ACA" w:rsidP="007F4ACA">
      <w:pPr>
        <w:numPr>
          <w:ilvl w:val="12"/>
          <w:numId w:val="0"/>
        </w:numPr>
        <w:jc w:val="center"/>
        <w:rPr>
          <w:b/>
          <w:sz w:val="32"/>
          <w:szCs w:val="32"/>
        </w:rPr>
      </w:pPr>
    </w:p>
    <w:p w14:paraId="6BB62B39" w14:textId="77777777" w:rsidR="007F4ACA" w:rsidRDefault="007F4ACA" w:rsidP="007F4ACA">
      <w:pPr>
        <w:numPr>
          <w:ilvl w:val="12"/>
          <w:numId w:val="0"/>
        </w:numPr>
        <w:jc w:val="center"/>
        <w:rPr>
          <w:b/>
          <w:sz w:val="32"/>
          <w:szCs w:val="32"/>
        </w:rPr>
      </w:pPr>
    </w:p>
    <w:p w14:paraId="46A51E98" w14:textId="77777777" w:rsidR="007F4ACA" w:rsidRDefault="007F4ACA" w:rsidP="007F4ACA">
      <w:pPr>
        <w:numPr>
          <w:ilvl w:val="12"/>
          <w:numId w:val="0"/>
        </w:numPr>
        <w:jc w:val="center"/>
        <w:rPr>
          <w:b/>
          <w:sz w:val="32"/>
          <w:szCs w:val="32"/>
        </w:rPr>
      </w:pPr>
    </w:p>
    <w:p w14:paraId="479394D8" w14:textId="77777777" w:rsidR="007F4ACA" w:rsidRDefault="007F4ACA" w:rsidP="007F4ACA">
      <w:pPr>
        <w:numPr>
          <w:ilvl w:val="12"/>
          <w:numId w:val="0"/>
        </w:numPr>
        <w:jc w:val="center"/>
        <w:rPr>
          <w:b/>
          <w:sz w:val="32"/>
          <w:szCs w:val="32"/>
        </w:rPr>
      </w:pPr>
    </w:p>
    <w:p w14:paraId="03C20454" w14:textId="77777777" w:rsidR="007F4ACA" w:rsidRDefault="007F4ACA" w:rsidP="007F4ACA">
      <w:pPr>
        <w:numPr>
          <w:ilvl w:val="12"/>
          <w:numId w:val="0"/>
        </w:numPr>
        <w:jc w:val="center"/>
        <w:rPr>
          <w:b/>
          <w:sz w:val="32"/>
          <w:szCs w:val="32"/>
        </w:rPr>
      </w:pPr>
    </w:p>
    <w:p w14:paraId="452CC688" w14:textId="77777777" w:rsidR="007F4ACA" w:rsidRDefault="007F4ACA" w:rsidP="007F4ACA">
      <w:pPr>
        <w:numPr>
          <w:ilvl w:val="12"/>
          <w:numId w:val="0"/>
        </w:numPr>
        <w:jc w:val="center"/>
        <w:rPr>
          <w:b/>
          <w:sz w:val="32"/>
          <w:szCs w:val="32"/>
        </w:rPr>
      </w:pPr>
    </w:p>
    <w:p w14:paraId="61C93C33" w14:textId="77777777" w:rsidR="007F4ACA" w:rsidRDefault="007F4ACA" w:rsidP="007F4ACA">
      <w:pPr>
        <w:numPr>
          <w:ilvl w:val="12"/>
          <w:numId w:val="0"/>
        </w:numPr>
        <w:jc w:val="center"/>
        <w:rPr>
          <w:b/>
          <w:sz w:val="32"/>
          <w:szCs w:val="32"/>
        </w:rPr>
      </w:pPr>
    </w:p>
    <w:p w14:paraId="001766D8" w14:textId="77777777" w:rsidR="007F4ACA" w:rsidRDefault="007F4ACA" w:rsidP="007F4ACA">
      <w:pPr>
        <w:numPr>
          <w:ilvl w:val="12"/>
          <w:numId w:val="0"/>
        </w:numPr>
        <w:jc w:val="center"/>
        <w:rPr>
          <w:b/>
          <w:sz w:val="32"/>
          <w:szCs w:val="32"/>
        </w:rPr>
      </w:pPr>
    </w:p>
    <w:p w14:paraId="1CD118AE" w14:textId="77777777" w:rsidR="007F4ACA" w:rsidRDefault="007F4ACA" w:rsidP="007F4ACA">
      <w:pPr>
        <w:numPr>
          <w:ilvl w:val="12"/>
          <w:numId w:val="0"/>
        </w:numPr>
        <w:jc w:val="center"/>
        <w:rPr>
          <w:b/>
          <w:sz w:val="32"/>
          <w:szCs w:val="32"/>
        </w:rPr>
      </w:pPr>
    </w:p>
    <w:p w14:paraId="1CAC8522" w14:textId="77777777" w:rsidR="007F4ACA" w:rsidRDefault="007F4ACA" w:rsidP="007F4ACA">
      <w:pPr>
        <w:numPr>
          <w:ilvl w:val="12"/>
          <w:numId w:val="0"/>
        </w:numPr>
        <w:jc w:val="center"/>
        <w:rPr>
          <w:b/>
          <w:sz w:val="32"/>
          <w:szCs w:val="32"/>
        </w:rPr>
      </w:pPr>
    </w:p>
    <w:p w14:paraId="217C3A20" w14:textId="77777777" w:rsidR="007F4ACA" w:rsidRDefault="007F4ACA" w:rsidP="007F4ACA">
      <w:pPr>
        <w:numPr>
          <w:ilvl w:val="12"/>
          <w:numId w:val="0"/>
        </w:numPr>
        <w:jc w:val="center"/>
        <w:rPr>
          <w:b/>
          <w:sz w:val="32"/>
          <w:szCs w:val="32"/>
        </w:rPr>
      </w:pPr>
    </w:p>
    <w:p w14:paraId="35CEB01F" w14:textId="77777777" w:rsidR="007F4ACA" w:rsidRDefault="007F4ACA" w:rsidP="007F4ACA">
      <w:pPr>
        <w:numPr>
          <w:ilvl w:val="12"/>
          <w:numId w:val="0"/>
        </w:numPr>
        <w:jc w:val="center"/>
        <w:rPr>
          <w:b/>
          <w:sz w:val="32"/>
          <w:szCs w:val="32"/>
        </w:rPr>
      </w:pPr>
    </w:p>
    <w:p w14:paraId="55476E93" w14:textId="77777777" w:rsidR="007F4ACA" w:rsidRDefault="007F4ACA" w:rsidP="007F4ACA">
      <w:pPr>
        <w:numPr>
          <w:ilvl w:val="12"/>
          <w:numId w:val="0"/>
        </w:numPr>
        <w:rPr>
          <w:b/>
          <w:sz w:val="32"/>
          <w:szCs w:val="32"/>
        </w:rPr>
      </w:pPr>
    </w:p>
    <w:p w14:paraId="3069EB06" w14:textId="77777777" w:rsidR="007F4ACA" w:rsidRDefault="007F4ACA" w:rsidP="007F4ACA">
      <w:pPr>
        <w:numPr>
          <w:ilvl w:val="12"/>
          <w:numId w:val="0"/>
        </w:numPr>
        <w:jc w:val="center"/>
        <w:rPr>
          <w:b/>
          <w:sz w:val="32"/>
          <w:szCs w:val="32"/>
        </w:rPr>
      </w:pPr>
      <w:r>
        <w:rPr>
          <w:b/>
          <w:noProof/>
          <w:sz w:val="32"/>
          <w:szCs w:val="32"/>
        </w:rPr>
        <w:lastRenderedPageBreak/>
        <w:drawing>
          <wp:inline distT="0" distB="0" distL="0" distR="0" wp14:anchorId="2BBA36CB" wp14:editId="256AA329">
            <wp:extent cx="7953375" cy="4238625"/>
            <wp:effectExtent l="0" t="0" r="9525" b="9525"/>
            <wp:docPr id="12" name="Picture 1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53375" cy="4238625"/>
                    </a:xfrm>
                    <a:prstGeom prst="rect">
                      <a:avLst/>
                    </a:prstGeom>
                    <a:noFill/>
                    <a:ln>
                      <a:noFill/>
                    </a:ln>
                  </pic:spPr>
                </pic:pic>
              </a:graphicData>
            </a:graphic>
          </wp:inline>
        </w:drawing>
      </w:r>
    </w:p>
    <w:p w14:paraId="6A6A150D" w14:textId="77777777" w:rsidR="007F4ACA" w:rsidRDefault="007F4ACA" w:rsidP="007F4ACA">
      <w:pPr>
        <w:numPr>
          <w:ilvl w:val="12"/>
          <w:numId w:val="0"/>
        </w:numPr>
        <w:jc w:val="center"/>
        <w:rPr>
          <w:b/>
          <w:sz w:val="32"/>
          <w:szCs w:val="32"/>
        </w:rPr>
      </w:pPr>
    </w:p>
    <w:p w14:paraId="3847517D" w14:textId="490DD152" w:rsidR="00794C81" w:rsidRDefault="007F4ACA" w:rsidP="008D2855">
      <w:pPr>
        <w:pStyle w:val="Heading3"/>
        <w:rPr>
          <w:rFonts w:ascii="Times New Roman" w:hAnsi="Times New Roman" w:cs="Times New Roman"/>
          <w:b w:val="0"/>
          <w:color w:val="000000" w:themeColor="text1"/>
        </w:rPr>
        <w:sectPr w:rsidR="00794C81" w:rsidSect="009E5EF0">
          <w:pgSz w:w="15840" w:h="12240" w:orient="landscape"/>
          <w:pgMar w:top="1440" w:right="1440" w:bottom="1440" w:left="1440" w:header="720" w:footer="1440" w:gutter="0"/>
          <w:cols w:space="720"/>
          <w:docGrid w:linePitch="360"/>
        </w:sectPr>
      </w:pPr>
      <w:bookmarkStart w:id="147" w:name="_Toc466894884"/>
      <w:r w:rsidRPr="008D2855">
        <w:rPr>
          <w:rFonts w:ascii="Times New Roman" w:hAnsi="Times New Roman" w:cs="Times New Roman"/>
          <w:color w:val="000000" w:themeColor="text1"/>
        </w:rPr>
        <w:t xml:space="preserve">Figure 3.1. </w:t>
      </w:r>
      <w:r w:rsidRPr="008D2855">
        <w:rPr>
          <w:rFonts w:ascii="Times New Roman" w:hAnsi="Times New Roman" w:cs="Times New Roman"/>
          <w:b w:val="0"/>
          <w:color w:val="000000" w:themeColor="text1"/>
        </w:rPr>
        <w:t xml:space="preserve">Climate data for Dalton, GA, (a-b) and Knoxville, TN, (c-d) during the experimental </w:t>
      </w:r>
      <w:r w:rsidR="00F100DF" w:rsidRPr="008D2855">
        <w:rPr>
          <w:rFonts w:ascii="Times New Roman" w:hAnsi="Times New Roman" w:cs="Times New Roman"/>
          <w:b w:val="0"/>
          <w:color w:val="000000" w:themeColor="text1"/>
        </w:rPr>
        <w:t>period from fall 2015 (a-c) through spring 2016 (b-d).</w:t>
      </w:r>
      <w:r w:rsidRPr="008D2855">
        <w:rPr>
          <w:rFonts w:ascii="Times New Roman" w:hAnsi="Times New Roman" w:cs="Times New Roman"/>
          <w:b w:val="0"/>
          <w:color w:val="000000" w:themeColor="text1"/>
        </w:rPr>
        <w:t xml:space="preserve"> Data was collected from Weather Underground weather stations in </w:t>
      </w:r>
      <w:r w:rsidR="00794C81">
        <w:rPr>
          <w:rFonts w:ascii="Times New Roman" w:hAnsi="Times New Roman" w:cs="Times New Roman"/>
          <w:b w:val="0"/>
          <w:color w:val="000000" w:themeColor="text1"/>
        </w:rPr>
        <w:t>Chatsworth, GA, and Alcoa, TN.</w:t>
      </w:r>
      <w:bookmarkEnd w:id="147"/>
    </w:p>
    <w:p w14:paraId="111A0E61" w14:textId="77777777" w:rsidR="007F4ACA" w:rsidRDefault="007F4ACA" w:rsidP="007F4ACA">
      <w:pPr>
        <w:numPr>
          <w:ilvl w:val="12"/>
          <w:numId w:val="0"/>
        </w:numPr>
        <w:rPr>
          <w:noProof/>
        </w:rPr>
      </w:pPr>
    </w:p>
    <w:p w14:paraId="2FA647A0" w14:textId="77777777" w:rsidR="005C4355" w:rsidRDefault="005C4355" w:rsidP="007F4ACA">
      <w:pPr>
        <w:numPr>
          <w:ilvl w:val="12"/>
          <w:numId w:val="0"/>
        </w:numPr>
        <w:rPr>
          <w:noProof/>
        </w:rPr>
      </w:pPr>
      <w:r>
        <w:rPr>
          <w:noProof/>
        </w:rPr>
        <w:drawing>
          <wp:inline distT="0" distB="0" distL="0" distR="0" wp14:anchorId="7BED0889" wp14:editId="4F6D713F">
            <wp:extent cx="5461434" cy="3848100"/>
            <wp:effectExtent l="0" t="0" r="0" b="0"/>
            <wp:docPr id="14" name="Picture 14" descr="C:\Users\jbenelli\AppData\Local\Microsoft\Windows\Temporary Internet Files\Content.Word\Figure 2 - Volume Field Dat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jbenelli\AppData\Local\Microsoft\Windows\Temporary Internet Files\Content.Word\Figure 2 - Volume Field Dates.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61434" cy="3848100"/>
                    </a:xfrm>
                    <a:prstGeom prst="rect">
                      <a:avLst/>
                    </a:prstGeom>
                    <a:noFill/>
                    <a:ln>
                      <a:noFill/>
                    </a:ln>
                  </pic:spPr>
                </pic:pic>
              </a:graphicData>
            </a:graphic>
          </wp:inline>
        </w:drawing>
      </w:r>
    </w:p>
    <w:p w14:paraId="19169B4C" w14:textId="77777777" w:rsidR="005C4355" w:rsidRDefault="005C4355" w:rsidP="007F4ACA">
      <w:pPr>
        <w:numPr>
          <w:ilvl w:val="12"/>
          <w:numId w:val="0"/>
        </w:numPr>
        <w:rPr>
          <w:noProof/>
        </w:rPr>
      </w:pPr>
    </w:p>
    <w:p w14:paraId="135061BE" w14:textId="77777777" w:rsidR="005C4355" w:rsidRDefault="005C4355" w:rsidP="007F4ACA">
      <w:pPr>
        <w:numPr>
          <w:ilvl w:val="12"/>
          <w:numId w:val="0"/>
        </w:numPr>
        <w:rPr>
          <w:b/>
        </w:rPr>
      </w:pPr>
    </w:p>
    <w:p w14:paraId="0DC2732B" w14:textId="7E16F7E7" w:rsidR="007F4ACA" w:rsidRPr="008D2855" w:rsidRDefault="007F4ACA" w:rsidP="008D2855">
      <w:pPr>
        <w:pStyle w:val="Heading3"/>
        <w:rPr>
          <w:rFonts w:asciiTheme="minorHAnsi" w:hAnsiTheme="minorHAnsi" w:cstheme="minorHAnsi"/>
          <w:color w:val="000000" w:themeColor="text1"/>
        </w:rPr>
      </w:pPr>
      <w:bookmarkStart w:id="148" w:name="_Toc466894885"/>
      <w:r w:rsidRPr="008D2855">
        <w:rPr>
          <w:rFonts w:asciiTheme="minorHAnsi" w:hAnsiTheme="minorHAnsi" w:cstheme="minorHAnsi"/>
          <w:color w:val="000000" w:themeColor="text1"/>
        </w:rPr>
        <w:t xml:space="preserve">Figure 3.2. </w:t>
      </w:r>
      <w:bookmarkStart w:id="149" w:name="OLE_LINK5"/>
      <w:r w:rsidRPr="008D2855">
        <w:rPr>
          <w:rFonts w:asciiTheme="minorHAnsi" w:hAnsiTheme="minorHAnsi" w:cstheme="minorHAnsi"/>
          <w:b w:val="0"/>
          <w:color w:val="000000" w:themeColor="text1"/>
        </w:rPr>
        <w:t>Large patch (</w:t>
      </w:r>
      <w:r w:rsidRPr="008D2855">
        <w:rPr>
          <w:rFonts w:asciiTheme="minorHAnsi" w:hAnsiTheme="minorHAnsi" w:cstheme="minorHAnsi"/>
          <w:b w:val="0"/>
          <w:i/>
          <w:color w:val="000000" w:themeColor="text1"/>
        </w:rPr>
        <w:t>Rhizoctonia solani</w:t>
      </w:r>
      <w:r w:rsidRPr="008D2855">
        <w:rPr>
          <w:rFonts w:asciiTheme="minorHAnsi" w:hAnsiTheme="minorHAnsi" w:cstheme="minorHAnsi"/>
          <w:b w:val="0"/>
          <w:color w:val="000000" w:themeColor="text1"/>
        </w:rPr>
        <w:t>) severity in response to applications of azoxystrobin (0.61 kg ai ha</w:t>
      </w:r>
      <w:r w:rsidRPr="008D2855">
        <w:rPr>
          <w:rFonts w:asciiTheme="minorHAnsi" w:hAnsiTheme="minorHAnsi" w:cstheme="minorHAnsi"/>
          <w:b w:val="0"/>
          <w:color w:val="000000" w:themeColor="text1"/>
          <w:vertAlign w:val="superscript"/>
        </w:rPr>
        <w:t>-1</w:t>
      </w:r>
      <w:r w:rsidRPr="008D2855">
        <w:rPr>
          <w:rFonts w:asciiTheme="minorHAnsi" w:hAnsiTheme="minorHAnsi" w:cstheme="minorHAnsi"/>
          <w:b w:val="0"/>
          <w:color w:val="000000" w:themeColor="text1"/>
        </w:rPr>
        <w:t xml:space="preserve">) </w:t>
      </w:r>
      <w:r w:rsidR="00AD50A8" w:rsidRPr="008D2855">
        <w:rPr>
          <w:rFonts w:asciiTheme="minorHAnsi" w:hAnsiTheme="minorHAnsi" w:cstheme="minorHAnsi"/>
          <w:b w:val="0"/>
          <w:color w:val="000000" w:themeColor="text1"/>
        </w:rPr>
        <w:t xml:space="preserve">at </w:t>
      </w:r>
      <w:r w:rsidRPr="008D2855">
        <w:rPr>
          <w:rFonts w:asciiTheme="minorHAnsi" w:hAnsiTheme="minorHAnsi" w:cstheme="minorHAnsi"/>
          <w:b w:val="0"/>
          <w:color w:val="000000" w:themeColor="text1"/>
        </w:rPr>
        <w:t xml:space="preserve">various spray rate volumes in Dalton, GA (a), and Knoxville, TN (b). Treatments were initiated on 18 SEP and reapplied on 14 OCT and 11 APR in Knoxville, TN. At Dalton, GA, treatments were initiated on 1 OCT and reapplied on 29 OCT and 29 MAR. </w:t>
      </w:r>
      <w:r w:rsidR="008C2111" w:rsidRPr="008D2855">
        <w:rPr>
          <w:rFonts w:asciiTheme="minorHAnsi" w:hAnsiTheme="minorHAnsi" w:cstheme="minorHAnsi"/>
          <w:b w:val="0"/>
          <w:color w:val="000000" w:themeColor="text1"/>
        </w:rPr>
        <w:t>Asterisks indicate significance levels at the p ≤ 0.05, 0.01, and 0.001 level, respectively. B</w:t>
      </w:r>
      <w:r w:rsidRPr="008D2855">
        <w:rPr>
          <w:rFonts w:asciiTheme="minorHAnsi" w:hAnsiTheme="minorHAnsi" w:cstheme="minorHAnsi"/>
          <w:b w:val="0"/>
          <w:color w:val="000000" w:themeColor="text1"/>
        </w:rPr>
        <w:t>ars represent the standard error of</w:t>
      </w:r>
      <w:r w:rsidR="008C2111" w:rsidRPr="008D2855">
        <w:rPr>
          <w:rFonts w:asciiTheme="minorHAnsi" w:hAnsiTheme="minorHAnsi" w:cstheme="minorHAnsi"/>
          <w:b w:val="0"/>
          <w:color w:val="000000" w:themeColor="text1"/>
        </w:rPr>
        <w:t xml:space="preserve"> the</w:t>
      </w:r>
      <w:r w:rsidRPr="008D2855">
        <w:rPr>
          <w:rFonts w:asciiTheme="minorHAnsi" w:hAnsiTheme="minorHAnsi" w:cstheme="minorHAnsi"/>
          <w:b w:val="0"/>
          <w:color w:val="000000" w:themeColor="text1"/>
        </w:rPr>
        <w:t xml:space="preserve"> mean.</w:t>
      </w:r>
      <w:bookmarkEnd w:id="148"/>
      <w:bookmarkEnd w:id="149"/>
    </w:p>
    <w:p w14:paraId="77C8F47C" w14:textId="77777777" w:rsidR="007F4ACA" w:rsidRDefault="007F4ACA" w:rsidP="007F4ACA">
      <w:pPr>
        <w:numPr>
          <w:ilvl w:val="12"/>
          <w:numId w:val="0"/>
        </w:numPr>
        <w:rPr>
          <w:b/>
          <w:noProof/>
        </w:rPr>
      </w:pPr>
    </w:p>
    <w:p w14:paraId="73583E44" w14:textId="77777777" w:rsidR="005C4355" w:rsidRDefault="005C4355" w:rsidP="007F4ACA">
      <w:pPr>
        <w:numPr>
          <w:ilvl w:val="12"/>
          <w:numId w:val="0"/>
        </w:numPr>
        <w:rPr>
          <w:b/>
          <w:noProof/>
        </w:rPr>
      </w:pPr>
    </w:p>
    <w:p w14:paraId="1B59B569" w14:textId="77777777" w:rsidR="005C4355" w:rsidRDefault="005C4355" w:rsidP="007F4ACA">
      <w:pPr>
        <w:numPr>
          <w:ilvl w:val="12"/>
          <w:numId w:val="0"/>
        </w:numPr>
        <w:rPr>
          <w:b/>
          <w:noProof/>
        </w:rPr>
      </w:pPr>
    </w:p>
    <w:p w14:paraId="5B91369D" w14:textId="77777777" w:rsidR="005C4355" w:rsidRDefault="005C4355" w:rsidP="007F4ACA">
      <w:pPr>
        <w:numPr>
          <w:ilvl w:val="12"/>
          <w:numId w:val="0"/>
        </w:numPr>
        <w:rPr>
          <w:b/>
          <w:noProof/>
        </w:rPr>
      </w:pPr>
      <w:r>
        <w:rPr>
          <w:noProof/>
        </w:rPr>
        <w:lastRenderedPageBreak/>
        <w:drawing>
          <wp:inline distT="0" distB="0" distL="0" distR="0" wp14:anchorId="349E52EE" wp14:editId="38E05485">
            <wp:extent cx="2944215" cy="3733800"/>
            <wp:effectExtent l="0" t="0" r="0" b="0"/>
            <wp:docPr id="15" name="Picture 15" descr="C:\Users\jbenelli\AppData\Local\Microsoft\Windows\Temporary Internet Files\Content.Word\Figure 3 - Volume Field AUDP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jbenelli\AppData\Local\Microsoft\Windows\Temporary Internet Files\Content.Word\Figure 3 - Volume Field AUDPC.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44215" cy="3733800"/>
                    </a:xfrm>
                    <a:prstGeom prst="rect">
                      <a:avLst/>
                    </a:prstGeom>
                    <a:noFill/>
                    <a:ln>
                      <a:noFill/>
                    </a:ln>
                  </pic:spPr>
                </pic:pic>
              </a:graphicData>
            </a:graphic>
          </wp:inline>
        </w:drawing>
      </w:r>
    </w:p>
    <w:p w14:paraId="6CE90B16" w14:textId="77777777" w:rsidR="007F4ACA" w:rsidRDefault="007F4ACA" w:rsidP="007F4ACA">
      <w:pPr>
        <w:numPr>
          <w:ilvl w:val="12"/>
          <w:numId w:val="0"/>
        </w:numPr>
        <w:rPr>
          <w:b/>
        </w:rPr>
      </w:pPr>
    </w:p>
    <w:p w14:paraId="435B33F8" w14:textId="2022CB55" w:rsidR="007F4ACA" w:rsidRPr="008D2855" w:rsidRDefault="007F4ACA" w:rsidP="008D2855">
      <w:pPr>
        <w:pStyle w:val="Heading3"/>
        <w:rPr>
          <w:rFonts w:asciiTheme="minorHAnsi" w:hAnsiTheme="minorHAnsi" w:cstheme="minorHAnsi"/>
          <w:color w:val="000000" w:themeColor="text1"/>
        </w:rPr>
      </w:pPr>
      <w:bookmarkStart w:id="150" w:name="_Toc466894886"/>
      <w:r w:rsidRPr="008D2855">
        <w:rPr>
          <w:rFonts w:asciiTheme="minorHAnsi" w:hAnsiTheme="minorHAnsi" w:cstheme="minorHAnsi"/>
          <w:color w:val="000000" w:themeColor="text1"/>
        </w:rPr>
        <w:t xml:space="preserve">Figure 3.3. </w:t>
      </w:r>
      <w:r w:rsidRPr="008D2855">
        <w:rPr>
          <w:rFonts w:asciiTheme="minorHAnsi" w:hAnsiTheme="minorHAnsi" w:cstheme="minorHAnsi"/>
          <w:b w:val="0"/>
          <w:color w:val="000000" w:themeColor="text1"/>
        </w:rPr>
        <w:t>Measurements of the Area Under the Disease Progress Curve (AUDPC) for large patch (</w:t>
      </w:r>
      <w:r w:rsidRPr="008D2855">
        <w:rPr>
          <w:rFonts w:asciiTheme="minorHAnsi" w:hAnsiTheme="minorHAnsi" w:cstheme="minorHAnsi"/>
          <w:b w:val="0"/>
          <w:i/>
          <w:color w:val="000000" w:themeColor="text1"/>
        </w:rPr>
        <w:t>Rhizoctonia solani</w:t>
      </w:r>
      <w:r w:rsidRPr="008D2855">
        <w:rPr>
          <w:rFonts w:asciiTheme="minorHAnsi" w:hAnsiTheme="minorHAnsi" w:cstheme="minorHAnsi"/>
          <w:b w:val="0"/>
          <w:color w:val="000000" w:themeColor="text1"/>
        </w:rPr>
        <w:t>) severity (pooled across locations) in response to applications of azoxystrobin (0.61 kg ai ha</w:t>
      </w:r>
      <w:r w:rsidRPr="008D2855">
        <w:rPr>
          <w:rFonts w:asciiTheme="minorHAnsi" w:hAnsiTheme="minorHAnsi" w:cstheme="minorHAnsi"/>
          <w:b w:val="0"/>
          <w:color w:val="000000" w:themeColor="text1"/>
          <w:vertAlign w:val="superscript"/>
        </w:rPr>
        <w:t>-1</w:t>
      </w:r>
      <w:r w:rsidRPr="008D2855">
        <w:rPr>
          <w:rFonts w:asciiTheme="minorHAnsi" w:hAnsiTheme="minorHAnsi" w:cstheme="minorHAnsi"/>
          <w:b w:val="0"/>
          <w:color w:val="000000" w:themeColor="text1"/>
        </w:rPr>
        <w:t>) applied at various spray rate volumes. Treatment means followed by same letter do not significantly differ according t</w:t>
      </w:r>
      <w:r w:rsidR="008C2111" w:rsidRPr="008D2855">
        <w:rPr>
          <w:rFonts w:asciiTheme="minorHAnsi" w:hAnsiTheme="minorHAnsi" w:cstheme="minorHAnsi"/>
          <w:b w:val="0"/>
          <w:color w:val="000000" w:themeColor="text1"/>
        </w:rPr>
        <w:t>o Fisher’s LSD (p=0.05). B</w:t>
      </w:r>
      <w:r w:rsidRPr="008D2855">
        <w:rPr>
          <w:rFonts w:asciiTheme="minorHAnsi" w:hAnsiTheme="minorHAnsi" w:cstheme="minorHAnsi"/>
          <w:b w:val="0"/>
          <w:color w:val="000000" w:themeColor="text1"/>
        </w:rPr>
        <w:t>ars represent the standard error of</w:t>
      </w:r>
      <w:r w:rsidR="008C2111" w:rsidRPr="008D2855">
        <w:rPr>
          <w:rFonts w:asciiTheme="minorHAnsi" w:hAnsiTheme="minorHAnsi" w:cstheme="minorHAnsi"/>
          <w:b w:val="0"/>
          <w:color w:val="000000" w:themeColor="text1"/>
        </w:rPr>
        <w:t xml:space="preserve"> the</w:t>
      </w:r>
      <w:r w:rsidRPr="008D2855">
        <w:rPr>
          <w:rFonts w:asciiTheme="minorHAnsi" w:hAnsiTheme="minorHAnsi" w:cstheme="minorHAnsi"/>
          <w:b w:val="0"/>
          <w:color w:val="000000" w:themeColor="text1"/>
        </w:rPr>
        <w:t xml:space="preserve"> mean.</w:t>
      </w:r>
      <w:bookmarkEnd w:id="150"/>
    </w:p>
    <w:p w14:paraId="1CE57701" w14:textId="77777777" w:rsidR="007F4ACA" w:rsidRDefault="007F4ACA" w:rsidP="007F4ACA">
      <w:pPr>
        <w:numPr>
          <w:ilvl w:val="12"/>
          <w:numId w:val="0"/>
        </w:numPr>
        <w:rPr>
          <w:b/>
        </w:rPr>
      </w:pPr>
    </w:p>
    <w:p w14:paraId="00A288AC" w14:textId="77777777" w:rsidR="008D2855" w:rsidRDefault="008D2855" w:rsidP="007F4ACA">
      <w:pPr>
        <w:numPr>
          <w:ilvl w:val="12"/>
          <w:numId w:val="0"/>
        </w:numPr>
        <w:rPr>
          <w:b/>
        </w:rPr>
      </w:pPr>
    </w:p>
    <w:p w14:paraId="7661E448" w14:textId="77777777" w:rsidR="008D2855" w:rsidRDefault="008D2855" w:rsidP="007F4ACA">
      <w:pPr>
        <w:numPr>
          <w:ilvl w:val="12"/>
          <w:numId w:val="0"/>
        </w:numPr>
        <w:rPr>
          <w:b/>
        </w:rPr>
      </w:pPr>
    </w:p>
    <w:p w14:paraId="247F8808" w14:textId="77777777" w:rsidR="008D2855" w:rsidRDefault="008D2855" w:rsidP="007F4ACA">
      <w:pPr>
        <w:numPr>
          <w:ilvl w:val="12"/>
          <w:numId w:val="0"/>
        </w:numPr>
        <w:rPr>
          <w:b/>
        </w:rPr>
      </w:pPr>
    </w:p>
    <w:p w14:paraId="4B92733F" w14:textId="77777777" w:rsidR="008D2855" w:rsidRDefault="008D2855" w:rsidP="007F4ACA">
      <w:pPr>
        <w:numPr>
          <w:ilvl w:val="12"/>
          <w:numId w:val="0"/>
        </w:numPr>
        <w:rPr>
          <w:b/>
        </w:rPr>
      </w:pPr>
    </w:p>
    <w:p w14:paraId="4C5C17A5" w14:textId="77777777" w:rsidR="008D2855" w:rsidRDefault="008D2855" w:rsidP="007F4ACA">
      <w:pPr>
        <w:numPr>
          <w:ilvl w:val="12"/>
          <w:numId w:val="0"/>
        </w:numPr>
        <w:rPr>
          <w:b/>
        </w:rPr>
      </w:pPr>
    </w:p>
    <w:p w14:paraId="0403F408" w14:textId="77777777" w:rsidR="008D2855" w:rsidRDefault="008D2855" w:rsidP="007F4ACA">
      <w:pPr>
        <w:numPr>
          <w:ilvl w:val="12"/>
          <w:numId w:val="0"/>
        </w:numPr>
        <w:rPr>
          <w:b/>
        </w:rPr>
      </w:pPr>
    </w:p>
    <w:p w14:paraId="26B57747" w14:textId="77777777" w:rsidR="008D2855" w:rsidRDefault="008D2855" w:rsidP="007F4ACA">
      <w:pPr>
        <w:numPr>
          <w:ilvl w:val="12"/>
          <w:numId w:val="0"/>
        </w:numPr>
        <w:rPr>
          <w:b/>
        </w:rPr>
      </w:pPr>
    </w:p>
    <w:p w14:paraId="1AADA441" w14:textId="77777777" w:rsidR="008D2855" w:rsidRDefault="008D2855" w:rsidP="007F4ACA">
      <w:pPr>
        <w:numPr>
          <w:ilvl w:val="12"/>
          <w:numId w:val="0"/>
        </w:numPr>
        <w:rPr>
          <w:b/>
        </w:rPr>
      </w:pPr>
    </w:p>
    <w:p w14:paraId="2C1421AF" w14:textId="17516367" w:rsidR="00794C81" w:rsidRDefault="00794C81" w:rsidP="00794C81">
      <w:pPr>
        <w:pStyle w:val="Heading3"/>
        <w:rPr>
          <w:rFonts w:asciiTheme="minorHAnsi" w:hAnsiTheme="minorHAnsi" w:cstheme="minorHAnsi"/>
          <w:color w:val="000000" w:themeColor="text1"/>
        </w:rPr>
      </w:pPr>
      <w:bookmarkStart w:id="151" w:name="_Toc466894887"/>
      <w:r>
        <w:rPr>
          <w:noProof/>
        </w:rPr>
        <w:lastRenderedPageBreak/>
        <w:drawing>
          <wp:inline distT="0" distB="0" distL="0" distR="0" wp14:anchorId="285F1E64" wp14:editId="641DB01A">
            <wp:extent cx="3752850" cy="4461353"/>
            <wp:effectExtent l="0" t="0" r="0" b="0"/>
            <wp:docPr id="16" name="Picture 16" descr="C:\Users\jbenelli\AppData\Local\Microsoft\Windows\Temporary Internet Files\Content.Word\Figure 4 - Volume GH Pooled Volum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jbenelli\AppData\Local\Microsoft\Windows\Temporary Internet Files\Content.Word\Figure 4 - Volume GH Pooled Volume.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58523" cy="4468097"/>
                    </a:xfrm>
                    <a:prstGeom prst="rect">
                      <a:avLst/>
                    </a:prstGeom>
                    <a:noFill/>
                    <a:ln>
                      <a:noFill/>
                    </a:ln>
                  </pic:spPr>
                </pic:pic>
              </a:graphicData>
            </a:graphic>
          </wp:inline>
        </w:drawing>
      </w:r>
      <w:bookmarkEnd w:id="151"/>
    </w:p>
    <w:p w14:paraId="61F9C41D" w14:textId="77777777" w:rsidR="00794C81" w:rsidRDefault="00794C81" w:rsidP="00794C81">
      <w:pPr>
        <w:pStyle w:val="Heading3"/>
        <w:rPr>
          <w:rFonts w:asciiTheme="minorHAnsi" w:hAnsiTheme="minorHAnsi" w:cstheme="minorHAnsi"/>
          <w:color w:val="000000" w:themeColor="text1"/>
        </w:rPr>
      </w:pPr>
    </w:p>
    <w:p w14:paraId="79D81C95" w14:textId="7A574F2C" w:rsidR="00794C81" w:rsidRPr="00794C81" w:rsidRDefault="00794C81" w:rsidP="00794C81">
      <w:pPr>
        <w:pStyle w:val="Heading3"/>
        <w:rPr>
          <w:rFonts w:asciiTheme="minorHAnsi" w:hAnsiTheme="minorHAnsi" w:cstheme="minorHAnsi"/>
          <w:b w:val="0"/>
          <w:color w:val="000000" w:themeColor="text1"/>
        </w:rPr>
      </w:pPr>
      <w:bookmarkStart w:id="152" w:name="_Toc466894888"/>
      <w:r w:rsidRPr="00794C81">
        <w:rPr>
          <w:rFonts w:asciiTheme="minorHAnsi" w:hAnsiTheme="minorHAnsi" w:cstheme="minorHAnsi"/>
          <w:color w:val="000000" w:themeColor="text1"/>
        </w:rPr>
        <w:t>Figure 3.4.</w:t>
      </w:r>
      <w:r w:rsidRPr="00794C81">
        <w:rPr>
          <w:rFonts w:asciiTheme="minorHAnsi" w:hAnsiTheme="minorHAnsi" w:cstheme="minorHAnsi"/>
          <w:b w:val="0"/>
          <w:color w:val="000000" w:themeColor="text1"/>
        </w:rPr>
        <w:t xml:space="preserve"> Large patch (</w:t>
      </w:r>
      <w:r w:rsidRPr="00794C81">
        <w:rPr>
          <w:rFonts w:asciiTheme="minorHAnsi" w:hAnsiTheme="minorHAnsi" w:cstheme="minorHAnsi"/>
          <w:b w:val="0"/>
          <w:i/>
          <w:color w:val="000000" w:themeColor="text1"/>
        </w:rPr>
        <w:t>Rhizoctonia solani</w:t>
      </w:r>
      <w:r w:rsidRPr="00794C81">
        <w:rPr>
          <w:rFonts w:asciiTheme="minorHAnsi" w:hAnsiTheme="minorHAnsi" w:cstheme="minorHAnsi"/>
          <w:b w:val="0"/>
          <w:color w:val="000000" w:themeColor="text1"/>
        </w:rPr>
        <w:t>) severity (pooled across fungicides and experimental runs) in response to various spray rate volumes under growth chamber conditions. The fungicides azoxystrobin, flutolanil, and tebuconazole were applied once at 0.46, 3.51, and 0.62 kg ai ha</w:t>
      </w:r>
      <w:r w:rsidRPr="00794C81">
        <w:rPr>
          <w:rFonts w:asciiTheme="minorHAnsi" w:hAnsiTheme="minorHAnsi" w:cstheme="minorHAnsi"/>
          <w:b w:val="0"/>
          <w:color w:val="000000" w:themeColor="text1"/>
          <w:vertAlign w:val="superscript"/>
        </w:rPr>
        <w:t>-1</w:t>
      </w:r>
      <w:r w:rsidRPr="00794C81">
        <w:rPr>
          <w:rFonts w:asciiTheme="minorHAnsi" w:hAnsiTheme="minorHAnsi" w:cstheme="minorHAnsi"/>
          <w:b w:val="0"/>
          <w:color w:val="000000" w:themeColor="text1"/>
        </w:rPr>
        <w:t>, respectively. Asterisks indicate significance levels at the p ≤ 0.05, 0.01, and 0.001 level, respectively. Bars represent the standard error of the mean.</w:t>
      </w:r>
      <w:bookmarkEnd w:id="152"/>
    </w:p>
    <w:p w14:paraId="02B0AF6E" w14:textId="0EA94194" w:rsidR="008D2855" w:rsidRDefault="008D2855" w:rsidP="008D2855">
      <w:pPr>
        <w:numPr>
          <w:ilvl w:val="12"/>
          <w:numId w:val="0"/>
        </w:numPr>
        <w:rPr>
          <w:color w:val="000000" w:themeColor="text1"/>
        </w:rPr>
      </w:pPr>
    </w:p>
    <w:p w14:paraId="35310683" w14:textId="77777777" w:rsidR="007F4ACA" w:rsidRDefault="007F4ACA" w:rsidP="007F4ACA">
      <w:pPr>
        <w:numPr>
          <w:ilvl w:val="12"/>
          <w:numId w:val="0"/>
        </w:numPr>
        <w:rPr>
          <w:b/>
        </w:rPr>
      </w:pPr>
      <w:r>
        <w:rPr>
          <w:b/>
          <w:noProof/>
        </w:rPr>
        <w:lastRenderedPageBreak/>
        <w:drawing>
          <wp:inline distT="0" distB="0" distL="0" distR="0" wp14:anchorId="66EFEBEE" wp14:editId="1D3B0A31">
            <wp:extent cx="4638675" cy="4133850"/>
            <wp:effectExtent l="0" t="0" r="0" b="0"/>
            <wp:docPr id="8" name="Picture 8" descr="Figure 5 - GH Volume x tr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5 - GH Volume x trt 2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38675" cy="4133850"/>
                    </a:xfrm>
                    <a:prstGeom prst="rect">
                      <a:avLst/>
                    </a:prstGeom>
                    <a:noFill/>
                    <a:ln>
                      <a:noFill/>
                    </a:ln>
                  </pic:spPr>
                </pic:pic>
              </a:graphicData>
            </a:graphic>
          </wp:inline>
        </w:drawing>
      </w:r>
    </w:p>
    <w:p w14:paraId="34D39CEB" w14:textId="77777777" w:rsidR="007F4ACA" w:rsidRDefault="007F4ACA" w:rsidP="007F4ACA">
      <w:pPr>
        <w:numPr>
          <w:ilvl w:val="12"/>
          <w:numId w:val="0"/>
        </w:numPr>
        <w:rPr>
          <w:b/>
        </w:rPr>
      </w:pPr>
    </w:p>
    <w:p w14:paraId="3537A83B" w14:textId="2B3BDA8F" w:rsidR="007F4ACA" w:rsidRPr="00794C81" w:rsidRDefault="007F4ACA" w:rsidP="00794C81">
      <w:pPr>
        <w:pStyle w:val="Heading3"/>
        <w:rPr>
          <w:rFonts w:asciiTheme="minorHAnsi" w:hAnsiTheme="minorHAnsi" w:cstheme="minorHAnsi"/>
          <w:b w:val="0"/>
          <w:color w:val="000000" w:themeColor="text1"/>
        </w:rPr>
      </w:pPr>
      <w:bookmarkStart w:id="153" w:name="_Toc466894889"/>
      <w:r w:rsidRPr="00794C81">
        <w:rPr>
          <w:rFonts w:asciiTheme="minorHAnsi" w:hAnsiTheme="minorHAnsi" w:cstheme="minorHAnsi"/>
          <w:color w:val="000000" w:themeColor="text1"/>
        </w:rPr>
        <w:t>Figure 3.5.</w:t>
      </w:r>
      <w:r w:rsidRPr="00794C81">
        <w:rPr>
          <w:rFonts w:asciiTheme="minorHAnsi" w:hAnsiTheme="minorHAnsi" w:cstheme="minorHAnsi"/>
          <w:b w:val="0"/>
          <w:color w:val="000000" w:themeColor="text1"/>
        </w:rPr>
        <w:t xml:space="preserve"> Large patch (</w:t>
      </w:r>
      <w:r w:rsidRPr="00794C81">
        <w:rPr>
          <w:rFonts w:asciiTheme="minorHAnsi" w:hAnsiTheme="minorHAnsi" w:cstheme="minorHAnsi"/>
          <w:b w:val="0"/>
          <w:i/>
          <w:color w:val="000000" w:themeColor="text1"/>
        </w:rPr>
        <w:t>Rhizoctonia solani</w:t>
      </w:r>
      <w:r w:rsidRPr="00794C81">
        <w:rPr>
          <w:rFonts w:asciiTheme="minorHAnsi" w:hAnsiTheme="minorHAnsi" w:cstheme="minorHAnsi"/>
          <w:b w:val="0"/>
          <w:color w:val="000000" w:themeColor="text1"/>
        </w:rPr>
        <w:t xml:space="preserve">) severity at 28 days after treatment (pooled across experimental runs) in response to fungicides applied at four spray rate volumes. Treatment means followed by same letter do not significantly differ according to Fisher’s LSD (p=0.05). </w:t>
      </w:r>
      <w:r w:rsidR="008C2111" w:rsidRPr="00794C81">
        <w:rPr>
          <w:rFonts w:asciiTheme="minorHAnsi" w:hAnsiTheme="minorHAnsi" w:cstheme="minorHAnsi"/>
          <w:b w:val="0"/>
          <w:color w:val="000000" w:themeColor="text1"/>
        </w:rPr>
        <w:t>B</w:t>
      </w:r>
      <w:r w:rsidRPr="00794C81">
        <w:rPr>
          <w:rFonts w:asciiTheme="minorHAnsi" w:hAnsiTheme="minorHAnsi" w:cstheme="minorHAnsi"/>
          <w:b w:val="0"/>
          <w:color w:val="000000" w:themeColor="text1"/>
        </w:rPr>
        <w:t>ars represent the standard error of</w:t>
      </w:r>
      <w:r w:rsidR="008C2111" w:rsidRPr="00794C81">
        <w:rPr>
          <w:rFonts w:asciiTheme="minorHAnsi" w:hAnsiTheme="minorHAnsi" w:cstheme="minorHAnsi"/>
          <w:b w:val="0"/>
          <w:color w:val="000000" w:themeColor="text1"/>
        </w:rPr>
        <w:t xml:space="preserve"> the</w:t>
      </w:r>
      <w:r w:rsidRPr="00794C81">
        <w:rPr>
          <w:rFonts w:asciiTheme="minorHAnsi" w:hAnsiTheme="minorHAnsi" w:cstheme="minorHAnsi"/>
          <w:b w:val="0"/>
          <w:color w:val="000000" w:themeColor="text1"/>
        </w:rPr>
        <w:t xml:space="preserve"> mean.</w:t>
      </w:r>
      <w:bookmarkEnd w:id="153"/>
    </w:p>
    <w:p w14:paraId="333DB680" w14:textId="77777777" w:rsidR="007F4ACA" w:rsidRDefault="007F4ACA" w:rsidP="007F4ACA">
      <w:pPr>
        <w:numPr>
          <w:ilvl w:val="12"/>
          <w:numId w:val="0"/>
        </w:numPr>
        <w:rPr>
          <w:b/>
        </w:rPr>
      </w:pPr>
    </w:p>
    <w:p w14:paraId="1DF0262F" w14:textId="57E2AF43" w:rsidR="00794C81" w:rsidRDefault="00794C81" w:rsidP="00794C81">
      <w:pPr>
        <w:pStyle w:val="Heading3"/>
        <w:rPr>
          <w:rFonts w:ascii="Times New Roman" w:hAnsi="Times New Roman" w:cs="Times New Roman"/>
          <w:color w:val="000000" w:themeColor="text1"/>
        </w:rPr>
      </w:pPr>
      <w:bookmarkStart w:id="154" w:name="_Toc466894890"/>
      <w:r>
        <w:rPr>
          <w:noProof/>
        </w:rPr>
        <w:lastRenderedPageBreak/>
        <w:drawing>
          <wp:inline distT="0" distB="0" distL="0" distR="0" wp14:anchorId="2E6A705D" wp14:editId="44655D27">
            <wp:extent cx="4676775" cy="3676650"/>
            <wp:effectExtent l="0" t="0" r="0" b="0"/>
            <wp:docPr id="17" name="Picture 17" descr="C:\Users\jbenelli\AppData\Local\Microsoft\Windows\Temporary Internet Files\Content.Word\Figure 6 - Surf Field AUDP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jbenelli\AppData\Local\Microsoft\Windows\Temporary Internet Files\Content.Word\Figure 6 - Surf Field AUDPC.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76775" cy="3676650"/>
                    </a:xfrm>
                    <a:prstGeom prst="rect">
                      <a:avLst/>
                    </a:prstGeom>
                    <a:noFill/>
                    <a:ln>
                      <a:noFill/>
                    </a:ln>
                  </pic:spPr>
                </pic:pic>
              </a:graphicData>
            </a:graphic>
          </wp:inline>
        </w:drawing>
      </w:r>
      <w:bookmarkEnd w:id="154"/>
    </w:p>
    <w:p w14:paraId="39E77F94" w14:textId="77777777" w:rsidR="00794C81" w:rsidRPr="00794C81" w:rsidRDefault="00794C81" w:rsidP="00794C81">
      <w:pPr>
        <w:pStyle w:val="Heading3"/>
        <w:rPr>
          <w:rFonts w:ascii="Times New Roman" w:hAnsi="Times New Roman" w:cs="Times New Roman"/>
          <w:b w:val="0"/>
          <w:color w:val="000000" w:themeColor="text1"/>
        </w:rPr>
      </w:pPr>
      <w:bookmarkStart w:id="155" w:name="_Toc466894891"/>
      <w:r w:rsidRPr="00794C81">
        <w:rPr>
          <w:rFonts w:ascii="Times New Roman" w:hAnsi="Times New Roman" w:cs="Times New Roman"/>
          <w:color w:val="000000" w:themeColor="text1"/>
        </w:rPr>
        <w:t>Figure 3.6.</w:t>
      </w:r>
      <w:r w:rsidRPr="00794C81">
        <w:rPr>
          <w:rFonts w:ascii="Times New Roman" w:hAnsi="Times New Roman" w:cs="Times New Roman"/>
          <w:b w:val="0"/>
          <w:color w:val="000000" w:themeColor="text1"/>
        </w:rPr>
        <w:t xml:space="preserve"> Measurements of the Area Under the Disease Progress Curve (AUDPC) for large patch (</w:t>
      </w:r>
      <w:r w:rsidRPr="00794C81">
        <w:rPr>
          <w:rFonts w:ascii="Times New Roman" w:hAnsi="Times New Roman" w:cs="Times New Roman"/>
          <w:b w:val="0"/>
          <w:i/>
          <w:color w:val="000000" w:themeColor="text1"/>
        </w:rPr>
        <w:t>Rhizoctonia solani</w:t>
      </w:r>
      <w:r w:rsidRPr="00794C81">
        <w:rPr>
          <w:rFonts w:ascii="Times New Roman" w:hAnsi="Times New Roman" w:cs="Times New Roman"/>
          <w:b w:val="0"/>
          <w:color w:val="000000" w:themeColor="text1"/>
        </w:rPr>
        <w:t>) severity (pooled across locations) in response to fungicides applied with or without an organosilicone surfactant (0.25% v/v). Treatment means followed by same letter do not significantly differ according to Fisher’s LSD (p=0.05). Bars represent the standard error of the mean.</w:t>
      </w:r>
      <w:bookmarkEnd w:id="155"/>
    </w:p>
    <w:p w14:paraId="5E5C3745" w14:textId="7159C599" w:rsidR="005C4355" w:rsidRDefault="005C4355" w:rsidP="007F4ACA">
      <w:pPr>
        <w:numPr>
          <w:ilvl w:val="12"/>
          <w:numId w:val="0"/>
        </w:numPr>
        <w:rPr>
          <w:b/>
          <w:noProof/>
        </w:rPr>
      </w:pPr>
    </w:p>
    <w:p w14:paraId="2B00CE44" w14:textId="77777777" w:rsidR="007F4ACA" w:rsidRDefault="007F4ACA" w:rsidP="007F4ACA">
      <w:pPr>
        <w:numPr>
          <w:ilvl w:val="12"/>
          <w:numId w:val="0"/>
        </w:numPr>
        <w:rPr>
          <w:b/>
        </w:rPr>
      </w:pPr>
      <w:r>
        <w:rPr>
          <w:b/>
          <w:noProof/>
        </w:rPr>
        <w:lastRenderedPageBreak/>
        <w:drawing>
          <wp:inline distT="0" distB="0" distL="0" distR="0" wp14:anchorId="0E156D58" wp14:editId="67107C25">
            <wp:extent cx="2486025" cy="4324350"/>
            <wp:effectExtent l="0" t="0" r="0" b="0"/>
            <wp:docPr id="6" name="Picture 6" descr="Figure 7 - Surf GH Surf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7 - Surf GH Surf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86025" cy="4324350"/>
                    </a:xfrm>
                    <a:prstGeom prst="rect">
                      <a:avLst/>
                    </a:prstGeom>
                    <a:noFill/>
                    <a:ln>
                      <a:noFill/>
                    </a:ln>
                  </pic:spPr>
                </pic:pic>
              </a:graphicData>
            </a:graphic>
          </wp:inline>
        </w:drawing>
      </w:r>
    </w:p>
    <w:p w14:paraId="50EB925C" w14:textId="3224254F" w:rsidR="006C1C3A" w:rsidRDefault="007F4ACA" w:rsidP="006C1C3A">
      <w:pPr>
        <w:pStyle w:val="Heading3"/>
        <w:rPr>
          <w:rFonts w:ascii="Times New Roman" w:hAnsi="Times New Roman" w:cs="Times New Roman"/>
          <w:b w:val="0"/>
          <w:color w:val="000000" w:themeColor="text1"/>
        </w:rPr>
        <w:sectPr w:rsidR="006C1C3A" w:rsidSect="00794C81">
          <w:pgSz w:w="12240" w:h="15840"/>
          <w:pgMar w:top="1440" w:right="1440" w:bottom="1440" w:left="1440" w:header="720" w:footer="1440" w:gutter="0"/>
          <w:cols w:space="720"/>
          <w:docGrid w:linePitch="360"/>
        </w:sectPr>
      </w:pPr>
      <w:bookmarkStart w:id="156" w:name="_Toc466894892"/>
      <w:r w:rsidRPr="006C1C3A">
        <w:rPr>
          <w:rFonts w:ascii="Times New Roman" w:hAnsi="Times New Roman" w:cs="Times New Roman"/>
          <w:color w:val="000000" w:themeColor="text1"/>
        </w:rPr>
        <w:t>Figure 3.7.</w:t>
      </w:r>
      <w:r w:rsidRPr="006C1C3A">
        <w:rPr>
          <w:rFonts w:ascii="Times New Roman" w:hAnsi="Times New Roman" w:cs="Times New Roman"/>
          <w:b w:val="0"/>
          <w:color w:val="000000" w:themeColor="text1"/>
        </w:rPr>
        <w:t xml:space="preserve"> Influence of adjuvants (pooled across fungicides and experimental runs) on large patch (</w:t>
      </w:r>
      <w:r w:rsidRPr="006C1C3A">
        <w:rPr>
          <w:rFonts w:ascii="Times New Roman" w:hAnsi="Times New Roman" w:cs="Times New Roman"/>
          <w:b w:val="0"/>
          <w:i/>
          <w:color w:val="000000" w:themeColor="text1"/>
        </w:rPr>
        <w:t>Rhizoctonia solani</w:t>
      </w:r>
      <w:r w:rsidRPr="006C1C3A">
        <w:rPr>
          <w:rFonts w:ascii="Times New Roman" w:hAnsi="Times New Roman" w:cs="Times New Roman"/>
          <w:b w:val="0"/>
          <w:color w:val="000000" w:themeColor="text1"/>
        </w:rPr>
        <w:t>) severity under growth chamber conditions. Each adjuvant was applied at 0.25% v/v and mixed with fungicides azoxystrobin, flutolanil, and tebuconazole at a spray rate volume of 748 L ha</w:t>
      </w:r>
      <w:r w:rsidRPr="006C1C3A">
        <w:rPr>
          <w:rFonts w:ascii="Times New Roman" w:hAnsi="Times New Roman" w:cs="Times New Roman"/>
          <w:b w:val="0"/>
          <w:color w:val="000000" w:themeColor="text1"/>
          <w:vertAlign w:val="superscript"/>
        </w:rPr>
        <w:t>-1</w:t>
      </w:r>
      <w:r w:rsidRPr="006C1C3A">
        <w:rPr>
          <w:rFonts w:ascii="Times New Roman" w:hAnsi="Times New Roman" w:cs="Times New Roman"/>
          <w:b w:val="0"/>
          <w:color w:val="000000" w:themeColor="text1"/>
        </w:rPr>
        <w:t xml:space="preserve">. Treatment means followed by same letter do not significantly differ according to Fisher’s LSD (p=0.05). </w:t>
      </w:r>
      <w:r w:rsidR="008C2111" w:rsidRPr="006C1C3A">
        <w:rPr>
          <w:rFonts w:ascii="Times New Roman" w:hAnsi="Times New Roman" w:cs="Times New Roman"/>
          <w:b w:val="0"/>
          <w:color w:val="000000" w:themeColor="text1"/>
        </w:rPr>
        <w:t>B</w:t>
      </w:r>
      <w:r w:rsidRPr="006C1C3A">
        <w:rPr>
          <w:rFonts w:ascii="Times New Roman" w:hAnsi="Times New Roman" w:cs="Times New Roman"/>
          <w:b w:val="0"/>
          <w:color w:val="000000" w:themeColor="text1"/>
        </w:rPr>
        <w:t xml:space="preserve">ars represent the standard error of </w:t>
      </w:r>
      <w:r w:rsidR="008C2111" w:rsidRPr="006C1C3A">
        <w:rPr>
          <w:rFonts w:ascii="Times New Roman" w:hAnsi="Times New Roman" w:cs="Times New Roman"/>
          <w:b w:val="0"/>
          <w:color w:val="000000" w:themeColor="text1"/>
        </w:rPr>
        <w:t xml:space="preserve">the </w:t>
      </w:r>
      <w:r w:rsidR="006C1C3A">
        <w:rPr>
          <w:rFonts w:ascii="Times New Roman" w:hAnsi="Times New Roman" w:cs="Times New Roman"/>
          <w:b w:val="0"/>
          <w:color w:val="000000" w:themeColor="text1"/>
        </w:rPr>
        <w:t>mean</w:t>
      </w:r>
      <w:bookmarkEnd w:id="156"/>
    </w:p>
    <w:p w14:paraId="3326BDBF" w14:textId="77777777" w:rsidR="007F4ACA" w:rsidRDefault="007F4ACA" w:rsidP="007F4ACA">
      <w:pPr>
        <w:numPr>
          <w:ilvl w:val="12"/>
          <w:numId w:val="0"/>
        </w:numPr>
        <w:rPr>
          <w:b/>
        </w:rPr>
      </w:pPr>
    </w:p>
    <w:p w14:paraId="073A0F20" w14:textId="3C612C7A" w:rsidR="00402D40" w:rsidRDefault="00402D40" w:rsidP="007F4ACA">
      <w:pPr>
        <w:numPr>
          <w:ilvl w:val="12"/>
          <w:numId w:val="0"/>
        </w:numPr>
        <w:rPr>
          <w:b/>
        </w:rPr>
      </w:pPr>
      <w:r>
        <w:object w:dxaOrig="15809" w:dyaOrig="7620" w14:anchorId="624B48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5.65pt;height:301.65pt" o:ole="">
            <v:imagedata r:id="rId18" o:title=""/>
          </v:shape>
          <o:OLEObject Type="Embed" ProgID="Prism7.Document" ShapeID="_x0000_i1025" DrawAspect="Content" ObjectID="_1540806475" r:id="rId19"/>
        </w:object>
      </w:r>
    </w:p>
    <w:p w14:paraId="40B5DBCF" w14:textId="77777777" w:rsidR="00402D40" w:rsidRDefault="00402D40" w:rsidP="007F4ACA">
      <w:pPr>
        <w:numPr>
          <w:ilvl w:val="12"/>
          <w:numId w:val="0"/>
        </w:numPr>
        <w:rPr>
          <w:b/>
        </w:rPr>
      </w:pPr>
    </w:p>
    <w:p w14:paraId="15118972" w14:textId="4575A21B" w:rsidR="006C1C3A" w:rsidRDefault="007F4ACA" w:rsidP="006C1C3A">
      <w:pPr>
        <w:pStyle w:val="Heading3"/>
        <w:rPr>
          <w:rFonts w:asciiTheme="minorHAnsi" w:hAnsiTheme="minorHAnsi" w:cstheme="minorHAnsi"/>
          <w:b w:val="0"/>
          <w:color w:val="000000" w:themeColor="text1"/>
        </w:rPr>
        <w:sectPr w:rsidR="006C1C3A" w:rsidSect="006C1C3A">
          <w:pgSz w:w="15840" w:h="12240" w:orient="landscape"/>
          <w:pgMar w:top="1440" w:right="1440" w:bottom="1440" w:left="1440" w:header="720" w:footer="1440" w:gutter="0"/>
          <w:cols w:space="720"/>
          <w:docGrid w:linePitch="360"/>
        </w:sectPr>
      </w:pPr>
      <w:bookmarkStart w:id="157" w:name="_Toc466894893"/>
      <w:r w:rsidRPr="006C1C3A">
        <w:rPr>
          <w:rFonts w:asciiTheme="minorHAnsi" w:hAnsiTheme="minorHAnsi" w:cstheme="minorHAnsi"/>
          <w:color w:val="000000" w:themeColor="text1"/>
        </w:rPr>
        <w:t xml:space="preserve">Figure 3.8. </w:t>
      </w:r>
      <w:r w:rsidRPr="006C1C3A">
        <w:rPr>
          <w:rFonts w:asciiTheme="minorHAnsi" w:hAnsiTheme="minorHAnsi" w:cstheme="minorHAnsi"/>
          <w:b w:val="0"/>
          <w:color w:val="000000" w:themeColor="text1"/>
        </w:rPr>
        <w:t xml:space="preserve">Spray deposition measurements on Japanese lawngrass (Zoysia japonica) stems (a), sheaths (b), and leaf surfaces (c) in response to various spray rate volumes (pooled across surfactant additives and experimental runs). Treatment means followed by same letter do not significantly differ according to Fisher’s LSD (p=0.05). </w:t>
      </w:r>
      <w:r w:rsidR="008C2111" w:rsidRPr="006C1C3A">
        <w:rPr>
          <w:rFonts w:asciiTheme="minorHAnsi" w:hAnsiTheme="minorHAnsi" w:cstheme="minorHAnsi"/>
          <w:b w:val="0"/>
          <w:color w:val="000000" w:themeColor="text1"/>
        </w:rPr>
        <w:t>B</w:t>
      </w:r>
      <w:r w:rsidRPr="006C1C3A">
        <w:rPr>
          <w:rFonts w:asciiTheme="minorHAnsi" w:hAnsiTheme="minorHAnsi" w:cstheme="minorHAnsi"/>
          <w:b w:val="0"/>
          <w:color w:val="000000" w:themeColor="text1"/>
        </w:rPr>
        <w:t xml:space="preserve">ars represent the standard error of </w:t>
      </w:r>
      <w:r w:rsidR="008C2111" w:rsidRPr="006C1C3A">
        <w:rPr>
          <w:rFonts w:asciiTheme="minorHAnsi" w:hAnsiTheme="minorHAnsi" w:cstheme="minorHAnsi"/>
          <w:b w:val="0"/>
          <w:color w:val="000000" w:themeColor="text1"/>
        </w:rPr>
        <w:t xml:space="preserve">the </w:t>
      </w:r>
      <w:r w:rsidR="006C1C3A">
        <w:rPr>
          <w:rFonts w:asciiTheme="minorHAnsi" w:hAnsiTheme="minorHAnsi" w:cstheme="minorHAnsi"/>
          <w:b w:val="0"/>
          <w:color w:val="000000" w:themeColor="text1"/>
        </w:rPr>
        <w:t>mean</w:t>
      </w:r>
      <w:bookmarkEnd w:id="157"/>
      <w:r w:rsidR="000203E4">
        <w:rPr>
          <w:rFonts w:asciiTheme="minorHAnsi" w:hAnsiTheme="minorHAnsi" w:cstheme="minorHAnsi"/>
          <w:b w:val="0"/>
          <w:color w:val="000000" w:themeColor="text1"/>
        </w:rPr>
        <w:t>.</w:t>
      </w:r>
    </w:p>
    <w:p w14:paraId="3EBC3746" w14:textId="77777777" w:rsidR="007F4ACA" w:rsidRDefault="007F4ACA" w:rsidP="007F4ACA">
      <w:pPr>
        <w:numPr>
          <w:ilvl w:val="12"/>
          <w:numId w:val="0"/>
        </w:numPr>
        <w:rPr>
          <w:b/>
        </w:rPr>
      </w:pPr>
    </w:p>
    <w:p w14:paraId="55A145D4" w14:textId="77777777" w:rsidR="007F4ACA" w:rsidRDefault="007F4ACA" w:rsidP="007F4ACA">
      <w:pPr>
        <w:numPr>
          <w:ilvl w:val="12"/>
          <w:numId w:val="0"/>
        </w:numPr>
        <w:rPr>
          <w:b/>
        </w:rPr>
      </w:pPr>
      <w:r>
        <w:rPr>
          <w:b/>
          <w:noProof/>
        </w:rPr>
        <w:drawing>
          <wp:inline distT="0" distB="0" distL="0" distR="0" wp14:anchorId="177D7918" wp14:editId="439B482A">
            <wp:extent cx="4410075" cy="3933825"/>
            <wp:effectExtent l="0" t="0" r="0" b="0"/>
            <wp:docPr id="4" name="Picture 4" descr="Figure 9 - deposition inte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9 - deposition interactio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10075" cy="3933825"/>
                    </a:xfrm>
                    <a:prstGeom prst="rect">
                      <a:avLst/>
                    </a:prstGeom>
                    <a:noFill/>
                    <a:ln>
                      <a:noFill/>
                    </a:ln>
                  </pic:spPr>
                </pic:pic>
              </a:graphicData>
            </a:graphic>
          </wp:inline>
        </w:drawing>
      </w:r>
    </w:p>
    <w:p w14:paraId="2700C835" w14:textId="77777777" w:rsidR="007F4ACA" w:rsidRDefault="007F4ACA" w:rsidP="007F4ACA">
      <w:pPr>
        <w:numPr>
          <w:ilvl w:val="12"/>
          <w:numId w:val="0"/>
        </w:numPr>
        <w:rPr>
          <w:b/>
        </w:rPr>
      </w:pPr>
    </w:p>
    <w:p w14:paraId="640D6C33" w14:textId="64172759" w:rsidR="00E1144C" w:rsidRPr="006C1C3A" w:rsidRDefault="007F4ACA" w:rsidP="006C1C3A">
      <w:pPr>
        <w:pStyle w:val="Heading3"/>
        <w:rPr>
          <w:rFonts w:asciiTheme="minorHAnsi" w:hAnsiTheme="minorHAnsi" w:cstheme="minorHAnsi"/>
          <w:b w:val="0"/>
          <w:color w:val="000000" w:themeColor="text1"/>
        </w:rPr>
        <w:sectPr w:rsidR="00E1144C" w:rsidRPr="006C1C3A" w:rsidSect="006C1C3A">
          <w:pgSz w:w="12240" w:h="15840"/>
          <w:pgMar w:top="1440" w:right="1440" w:bottom="1440" w:left="1440" w:header="720" w:footer="1440" w:gutter="0"/>
          <w:cols w:space="720"/>
          <w:docGrid w:linePitch="360"/>
        </w:sectPr>
      </w:pPr>
      <w:bookmarkStart w:id="158" w:name="_Toc466894894"/>
      <w:r w:rsidRPr="006C1C3A">
        <w:rPr>
          <w:rFonts w:asciiTheme="minorHAnsi" w:hAnsiTheme="minorHAnsi" w:cstheme="minorHAnsi"/>
          <w:color w:val="000000" w:themeColor="text1"/>
        </w:rPr>
        <w:t>Figure 3.9.</w:t>
      </w:r>
      <w:r w:rsidRPr="006C1C3A">
        <w:rPr>
          <w:rFonts w:asciiTheme="minorHAnsi" w:hAnsiTheme="minorHAnsi" w:cstheme="minorHAnsi"/>
          <w:b w:val="0"/>
          <w:color w:val="000000" w:themeColor="text1"/>
        </w:rPr>
        <w:t xml:space="preserve"> Leaf surface deposition (pooled across experimental runs) in response to various spray rate volumes applied with or without an organosilicone surfactant (0.25% v/v). Treatment means followed by same letter do not significantly differ according t</w:t>
      </w:r>
      <w:r w:rsidR="00FE607C" w:rsidRPr="006C1C3A">
        <w:rPr>
          <w:rFonts w:asciiTheme="minorHAnsi" w:hAnsiTheme="minorHAnsi" w:cstheme="minorHAnsi"/>
          <w:b w:val="0"/>
          <w:color w:val="000000" w:themeColor="text1"/>
        </w:rPr>
        <w:t>o Fisher’s LSD (p=0.05). B</w:t>
      </w:r>
      <w:r w:rsidRPr="006C1C3A">
        <w:rPr>
          <w:rFonts w:asciiTheme="minorHAnsi" w:hAnsiTheme="minorHAnsi" w:cstheme="minorHAnsi"/>
          <w:b w:val="0"/>
          <w:color w:val="000000" w:themeColor="text1"/>
        </w:rPr>
        <w:t>ars repres</w:t>
      </w:r>
      <w:r w:rsidR="00E1144C" w:rsidRPr="006C1C3A">
        <w:rPr>
          <w:rFonts w:asciiTheme="minorHAnsi" w:hAnsiTheme="minorHAnsi" w:cstheme="minorHAnsi"/>
          <w:b w:val="0"/>
          <w:color w:val="000000" w:themeColor="text1"/>
        </w:rPr>
        <w:t xml:space="preserve">ent the standard error of </w:t>
      </w:r>
      <w:r w:rsidR="00FE607C" w:rsidRPr="006C1C3A">
        <w:rPr>
          <w:rFonts w:asciiTheme="minorHAnsi" w:hAnsiTheme="minorHAnsi" w:cstheme="minorHAnsi"/>
          <w:b w:val="0"/>
          <w:color w:val="000000" w:themeColor="text1"/>
        </w:rPr>
        <w:t xml:space="preserve">the </w:t>
      </w:r>
      <w:r w:rsidR="00E1144C" w:rsidRPr="006C1C3A">
        <w:rPr>
          <w:rFonts w:asciiTheme="minorHAnsi" w:hAnsiTheme="minorHAnsi" w:cstheme="minorHAnsi"/>
          <w:b w:val="0"/>
          <w:color w:val="000000" w:themeColor="text1"/>
        </w:rPr>
        <w:t>mean.</w:t>
      </w:r>
      <w:bookmarkEnd w:id="158"/>
    </w:p>
    <w:p w14:paraId="4CD8CEB5" w14:textId="77777777" w:rsidR="000203E4" w:rsidRDefault="000203E4" w:rsidP="006C1C3A">
      <w:pPr>
        <w:pStyle w:val="Heading2"/>
      </w:pPr>
      <w:bookmarkStart w:id="159" w:name="_Toc353890923"/>
      <w:bookmarkStart w:id="160" w:name="_Toc466885931"/>
      <w:bookmarkStart w:id="161" w:name="_Toc466890566"/>
      <w:bookmarkStart w:id="162" w:name="_Toc466891202"/>
      <w:bookmarkStart w:id="163" w:name="_Toc466894895"/>
    </w:p>
    <w:p w14:paraId="347EDAFC" w14:textId="77777777" w:rsidR="000203E4" w:rsidRDefault="000203E4" w:rsidP="006C1C3A">
      <w:pPr>
        <w:pStyle w:val="Heading2"/>
      </w:pPr>
    </w:p>
    <w:p w14:paraId="01A3B83D" w14:textId="77777777" w:rsidR="000203E4" w:rsidRDefault="000203E4" w:rsidP="006C1C3A">
      <w:pPr>
        <w:pStyle w:val="Heading2"/>
      </w:pPr>
    </w:p>
    <w:p w14:paraId="00DFA29A" w14:textId="77777777" w:rsidR="000203E4" w:rsidRDefault="000203E4" w:rsidP="006C1C3A">
      <w:pPr>
        <w:pStyle w:val="Heading2"/>
      </w:pPr>
    </w:p>
    <w:p w14:paraId="1E6DA865" w14:textId="77777777" w:rsidR="000203E4" w:rsidRDefault="000203E4" w:rsidP="006C1C3A">
      <w:pPr>
        <w:pStyle w:val="Heading2"/>
      </w:pPr>
    </w:p>
    <w:p w14:paraId="6FE1DD60" w14:textId="77777777" w:rsidR="000203E4" w:rsidRDefault="000203E4" w:rsidP="006C1C3A">
      <w:pPr>
        <w:pStyle w:val="Heading2"/>
      </w:pPr>
    </w:p>
    <w:p w14:paraId="088E6942" w14:textId="77777777" w:rsidR="00545E5A" w:rsidRDefault="00545E5A" w:rsidP="006C1C3A">
      <w:pPr>
        <w:pStyle w:val="Heading2"/>
      </w:pPr>
    </w:p>
    <w:p w14:paraId="5A68BC3A" w14:textId="77777777" w:rsidR="00545E5A" w:rsidRDefault="00545E5A" w:rsidP="006C1C3A">
      <w:pPr>
        <w:pStyle w:val="Heading2"/>
      </w:pPr>
    </w:p>
    <w:p w14:paraId="71FCBD49" w14:textId="35A751E3" w:rsidR="007F4ACA" w:rsidRDefault="00A9087D" w:rsidP="006C1C3A">
      <w:pPr>
        <w:pStyle w:val="Heading2"/>
      </w:pPr>
      <w:r>
        <w:t>CHAPTER IV</w:t>
      </w:r>
      <w:r w:rsidR="005F4FDE">
        <w:br/>
      </w:r>
      <w:r w:rsidR="005F4FDE">
        <w:br/>
      </w:r>
      <w:r w:rsidR="007F4ACA">
        <w:t>CONCLUSIONS</w:t>
      </w:r>
      <w:bookmarkEnd w:id="159"/>
      <w:bookmarkEnd w:id="160"/>
      <w:bookmarkEnd w:id="161"/>
      <w:bookmarkEnd w:id="162"/>
      <w:bookmarkEnd w:id="163"/>
    </w:p>
    <w:p w14:paraId="6E8D8731" w14:textId="77777777" w:rsidR="00A9087D" w:rsidRDefault="00A9087D" w:rsidP="00A9087D"/>
    <w:p w14:paraId="468866E6" w14:textId="77777777" w:rsidR="00A9087D" w:rsidRDefault="00A9087D" w:rsidP="00A9087D"/>
    <w:p w14:paraId="79E06862" w14:textId="77777777" w:rsidR="00A9087D" w:rsidRDefault="00A9087D" w:rsidP="00A9087D"/>
    <w:p w14:paraId="311167D8" w14:textId="77777777" w:rsidR="00A9087D" w:rsidRDefault="00A9087D" w:rsidP="00A9087D"/>
    <w:p w14:paraId="03C9A735" w14:textId="77777777" w:rsidR="00A9087D" w:rsidRDefault="00A9087D" w:rsidP="00A9087D"/>
    <w:p w14:paraId="6A2058A5" w14:textId="77777777" w:rsidR="00A9087D" w:rsidRDefault="00A9087D" w:rsidP="00A9087D"/>
    <w:p w14:paraId="75F59B36" w14:textId="77777777" w:rsidR="00A9087D" w:rsidRDefault="00A9087D" w:rsidP="00A9087D"/>
    <w:p w14:paraId="6A506EAF" w14:textId="77777777" w:rsidR="00A9087D" w:rsidRDefault="00A9087D" w:rsidP="00A9087D"/>
    <w:p w14:paraId="2AB32A62" w14:textId="77777777" w:rsidR="00A9087D" w:rsidRDefault="00A9087D" w:rsidP="00A9087D"/>
    <w:p w14:paraId="366DC047" w14:textId="77777777" w:rsidR="00A9087D" w:rsidRDefault="00A9087D" w:rsidP="00A9087D"/>
    <w:p w14:paraId="2B7632FE" w14:textId="77777777" w:rsidR="00A9087D" w:rsidRDefault="00A9087D" w:rsidP="00A9087D"/>
    <w:p w14:paraId="708F13E3" w14:textId="77777777" w:rsidR="00A9087D" w:rsidRDefault="00A9087D" w:rsidP="00A9087D"/>
    <w:p w14:paraId="3BFACE98" w14:textId="77777777" w:rsidR="00A9087D" w:rsidRDefault="00A9087D" w:rsidP="00A9087D"/>
    <w:p w14:paraId="1FD4830C" w14:textId="77777777" w:rsidR="00A9087D" w:rsidRDefault="00A9087D" w:rsidP="00A9087D"/>
    <w:p w14:paraId="36B4376E" w14:textId="77777777" w:rsidR="00A9087D" w:rsidRDefault="00A9087D" w:rsidP="00A9087D"/>
    <w:p w14:paraId="3ABF4928" w14:textId="77777777" w:rsidR="00A9087D" w:rsidRDefault="00A9087D" w:rsidP="00A9087D"/>
    <w:p w14:paraId="57666756" w14:textId="77777777" w:rsidR="00A9087D" w:rsidRDefault="00A9087D" w:rsidP="00A9087D"/>
    <w:p w14:paraId="0E9725FD" w14:textId="77777777" w:rsidR="00A9087D" w:rsidRDefault="00A9087D" w:rsidP="00A9087D"/>
    <w:p w14:paraId="579902EC" w14:textId="77777777" w:rsidR="00A9087D" w:rsidRDefault="00A9087D" w:rsidP="00A9087D"/>
    <w:p w14:paraId="2411F16D" w14:textId="77777777" w:rsidR="00A9087D" w:rsidRDefault="00A9087D" w:rsidP="00A9087D"/>
    <w:p w14:paraId="5F67A655" w14:textId="77777777" w:rsidR="00A9087D" w:rsidRDefault="00A9087D" w:rsidP="00A9087D"/>
    <w:p w14:paraId="2664EC83" w14:textId="77777777" w:rsidR="00A9087D" w:rsidRDefault="00A9087D" w:rsidP="00A9087D"/>
    <w:p w14:paraId="08D22B12" w14:textId="77777777" w:rsidR="00A9087D" w:rsidRDefault="00A9087D" w:rsidP="00A9087D"/>
    <w:p w14:paraId="01CAFDFA" w14:textId="77777777" w:rsidR="00A9087D" w:rsidRDefault="00A9087D" w:rsidP="00A9087D"/>
    <w:p w14:paraId="339DD4CF" w14:textId="3F119673" w:rsidR="00A9087D" w:rsidRDefault="00A9087D" w:rsidP="005F4FDE">
      <w:pPr>
        <w:pStyle w:val="Heading2"/>
      </w:pPr>
      <w:bookmarkStart w:id="164" w:name="_Toc466885932"/>
      <w:bookmarkStart w:id="165" w:name="_Toc466890567"/>
      <w:bookmarkStart w:id="166" w:name="_Toc466891203"/>
      <w:bookmarkStart w:id="167" w:name="_Toc466894896"/>
      <w:r w:rsidRPr="00A9087D">
        <w:lastRenderedPageBreak/>
        <w:t>CONCLUSIONS</w:t>
      </w:r>
      <w:bookmarkEnd w:id="164"/>
      <w:bookmarkEnd w:id="165"/>
      <w:bookmarkEnd w:id="166"/>
      <w:bookmarkEnd w:id="167"/>
    </w:p>
    <w:p w14:paraId="64CD8055" w14:textId="77777777" w:rsidR="005F4FDE" w:rsidRPr="005F4FDE" w:rsidRDefault="005F4FDE" w:rsidP="005F4FDE"/>
    <w:p w14:paraId="19B6687E" w14:textId="208449A1" w:rsidR="007F4ACA" w:rsidRDefault="007F4ACA" w:rsidP="006C1C3A">
      <w:pPr>
        <w:numPr>
          <w:ilvl w:val="12"/>
          <w:numId w:val="0"/>
        </w:numPr>
        <w:spacing w:line="480" w:lineRule="auto"/>
        <w:ind w:firstLine="720"/>
      </w:pPr>
      <w:r>
        <w:t xml:space="preserve">Large patch epidemics are common on Japanese lawngrass (JLG; </w:t>
      </w:r>
      <w:r w:rsidRPr="007E48C3">
        <w:rPr>
          <w:i/>
        </w:rPr>
        <w:t>Zoysia japonica</w:t>
      </w:r>
      <w:r>
        <w:t xml:space="preserve">) landscapes in the transition zone </w:t>
      </w:r>
      <w:r w:rsidR="001E584E">
        <w:t xml:space="preserve">of the </w:t>
      </w:r>
      <w:r>
        <w:t xml:space="preserve">United States. Despite the use of fungicide sprays, difficulties in </w:t>
      </w:r>
      <w:r w:rsidR="00195099">
        <w:t>controlling</w:t>
      </w:r>
      <w:r>
        <w:t xml:space="preserve"> these epidemics have been observed. Research is warranted that improves spray application strategies that result in greater fungicidal control of large patch epidemics. Experiments were conducted to (I) identify the most critical application deposition site for fungicidal control of large patch; (II) determine spray application techn</w:t>
      </w:r>
      <w:r w:rsidR="001E584E">
        <w:t>iques that result in the greatest</w:t>
      </w:r>
      <w:r>
        <w:t xml:space="preserve"> deposition on plant parts identified in the first objective; and (III) determine if the improved spray application techniques result in greater large patch control under field and growth chamber conditions. </w:t>
      </w:r>
    </w:p>
    <w:p w14:paraId="05D36738" w14:textId="30B0F467" w:rsidR="007F4ACA" w:rsidRDefault="007F4ACA" w:rsidP="007F4ACA">
      <w:pPr>
        <w:numPr>
          <w:ilvl w:val="12"/>
          <w:numId w:val="0"/>
        </w:numPr>
        <w:spacing w:line="480" w:lineRule="auto"/>
        <w:ind w:firstLine="720"/>
        <w:rPr>
          <w:color w:val="000000"/>
        </w:rPr>
      </w:pPr>
      <w:r>
        <w:t xml:space="preserve">In the first experiment, </w:t>
      </w:r>
      <w:r>
        <w:rPr>
          <w:color w:val="000000"/>
        </w:rPr>
        <w:t xml:space="preserve">JLG treated with fungicides deposited in the lower plant canopy (sheath or stem) exhibited significantly </w:t>
      </w:r>
      <w:r w:rsidR="005206ED">
        <w:rPr>
          <w:color w:val="000000"/>
        </w:rPr>
        <w:t>reduced</w:t>
      </w:r>
      <w:r>
        <w:rPr>
          <w:color w:val="000000"/>
        </w:rPr>
        <w:t xml:space="preserve"> large patch severity compared to JLG receiving upper canopy (leaf) applications on most rating dates. The fungicides azoxystrobin, flutolanil, and tebuconazole applied on the leaf resulted in a range </w:t>
      </w:r>
      <w:r w:rsidR="007E48C3">
        <w:rPr>
          <w:color w:val="000000"/>
        </w:rPr>
        <w:t>between</w:t>
      </w:r>
      <w:r>
        <w:rPr>
          <w:color w:val="000000"/>
        </w:rPr>
        <w:t xml:space="preserve"> 35-75% large patch severity </w:t>
      </w:r>
      <w:r w:rsidR="007E48C3">
        <w:rPr>
          <w:color w:val="000000"/>
        </w:rPr>
        <w:t>when pooled across</w:t>
      </w:r>
      <w:r>
        <w:rPr>
          <w:color w:val="000000"/>
        </w:rPr>
        <w:t xml:space="preserve"> experimental runs. When these fungicides were applied on the stem and sheath, large patch severity ranged from 2-30%. Chlorothalonil, a contact fungicide, was least affected by the target site of application on most rating dates. This experiment demonstrated that lowe</w:t>
      </w:r>
      <w:r w:rsidR="005206ED">
        <w:rPr>
          <w:color w:val="000000"/>
        </w:rPr>
        <w:t>r canopy fungicide deposition was</w:t>
      </w:r>
      <w:r>
        <w:rPr>
          <w:color w:val="000000"/>
        </w:rPr>
        <w:t xml:space="preserve"> more critical than upper canopy deposition for </w:t>
      </w:r>
      <w:r w:rsidR="001E584E">
        <w:rPr>
          <w:color w:val="000000"/>
        </w:rPr>
        <w:t xml:space="preserve">greater </w:t>
      </w:r>
      <w:r>
        <w:rPr>
          <w:color w:val="000000"/>
        </w:rPr>
        <w:t xml:space="preserve">large patch control. </w:t>
      </w:r>
    </w:p>
    <w:p w14:paraId="1A2B80B9" w14:textId="219A9DAF" w:rsidR="007F4ACA" w:rsidRDefault="007F4ACA" w:rsidP="007F4ACA">
      <w:pPr>
        <w:numPr>
          <w:ilvl w:val="12"/>
          <w:numId w:val="0"/>
        </w:numPr>
        <w:spacing w:line="480" w:lineRule="auto"/>
        <w:ind w:firstLine="720"/>
        <w:rPr>
          <w:color w:val="000000"/>
        </w:rPr>
      </w:pPr>
      <w:r>
        <w:rPr>
          <w:color w:val="000000"/>
        </w:rPr>
        <w:t>The next phase of research involved identifying spray application techniques that result</w:t>
      </w:r>
      <w:r w:rsidR="005206ED">
        <w:rPr>
          <w:color w:val="000000"/>
        </w:rPr>
        <w:t>ed</w:t>
      </w:r>
      <w:r>
        <w:rPr>
          <w:color w:val="000000"/>
        </w:rPr>
        <w:t xml:space="preserve"> in more fungicide solution being deposited lower in the plant canopy. In this experiment, four spray rate volumes (93, 374, 748, and 1496 L ha</w:t>
      </w:r>
      <w:r w:rsidRPr="007E48C3">
        <w:rPr>
          <w:color w:val="000000"/>
          <w:vertAlign w:val="superscript"/>
        </w:rPr>
        <w:t>-1</w:t>
      </w:r>
      <w:r>
        <w:rPr>
          <w:color w:val="000000"/>
        </w:rPr>
        <w:t xml:space="preserve">) were applied with and without an </w:t>
      </w:r>
      <w:r>
        <w:rPr>
          <w:color w:val="000000"/>
        </w:rPr>
        <w:lastRenderedPageBreak/>
        <w:t xml:space="preserve">organosilicone surfactant. These applications were made on JLG plants in the greenhouse using a spray chamber. After treatment, JLG plants were measured for leaf surface coverage and the percentage of stems and sheaths that contained spray deposits. The use of a fluorescent tracer and black light illumination </w:t>
      </w:r>
      <w:r w:rsidR="005206ED">
        <w:rPr>
          <w:color w:val="000000"/>
        </w:rPr>
        <w:t>aided in identification of spray deposits. The effect of s</w:t>
      </w:r>
      <w:r>
        <w:rPr>
          <w:color w:val="000000"/>
        </w:rPr>
        <w:t xml:space="preserve">pray rate volume </w:t>
      </w:r>
      <w:r w:rsidR="007E48C3">
        <w:rPr>
          <w:color w:val="000000"/>
        </w:rPr>
        <w:t>exhibited</w:t>
      </w:r>
      <w:r w:rsidR="005206ED">
        <w:rPr>
          <w:color w:val="000000"/>
        </w:rPr>
        <w:t xml:space="preserve"> a</w:t>
      </w:r>
      <w:r>
        <w:rPr>
          <w:color w:val="000000"/>
        </w:rPr>
        <w:t xml:space="preserve"> greater impact than surfactant additives at increa</w:t>
      </w:r>
      <w:r w:rsidR="00A9658E">
        <w:rPr>
          <w:color w:val="000000"/>
        </w:rPr>
        <w:t>sing the spray deposition on</w:t>
      </w:r>
      <w:r>
        <w:rPr>
          <w:color w:val="000000"/>
        </w:rPr>
        <w:t xml:space="preserve"> stems and sheaths. Higher spray rate volumes increased the percentage of stems and sheaths that contained spray deposits by as much as 35% compared to the lowest spray rate volume. This research identified that higher spray rate volumes applied with or without an organosilicone surfactant aid in greater spray deposition in the lower canopy of JLG. </w:t>
      </w:r>
    </w:p>
    <w:p w14:paraId="11F60796" w14:textId="5F257A08" w:rsidR="007F4ACA" w:rsidRDefault="007F4ACA" w:rsidP="007F4ACA">
      <w:pPr>
        <w:numPr>
          <w:ilvl w:val="12"/>
          <w:numId w:val="0"/>
        </w:numPr>
        <w:spacing w:line="480" w:lineRule="auto"/>
        <w:ind w:firstLine="720"/>
        <w:rPr>
          <w:color w:val="000000"/>
        </w:rPr>
      </w:pPr>
      <w:r>
        <w:rPr>
          <w:color w:val="000000"/>
        </w:rPr>
        <w:t>Various spray rate volumes an</w:t>
      </w:r>
      <w:r w:rsidR="00A9658E">
        <w:rPr>
          <w:color w:val="000000"/>
        </w:rPr>
        <w:t>d surfactant additives were</w:t>
      </w:r>
      <w:r>
        <w:rPr>
          <w:color w:val="000000"/>
        </w:rPr>
        <w:t xml:space="preserve"> evaluated for large patch control under field and growth chamber conditions. The four spray rate volumes (93, 374, 748, and 1496 L ha</w:t>
      </w:r>
      <w:r w:rsidRPr="007E48C3">
        <w:rPr>
          <w:color w:val="000000"/>
          <w:vertAlign w:val="superscript"/>
        </w:rPr>
        <w:t>-1</w:t>
      </w:r>
      <w:r>
        <w:rPr>
          <w:color w:val="000000"/>
        </w:rPr>
        <w:t xml:space="preserve">) and two adjuvants (organosilicone surfactant and a modified vegetable oil adjuvant) were applied with three fungicides (azoxystrobin, flutolanil, and tebuconazole) </w:t>
      </w:r>
      <w:r w:rsidR="00A9658E">
        <w:rPr>
          <w:color w:val="000000"/>
        </w:rPr>
        <w:t>to determine the effect on</w:t>
      </w:r>
      <w:r>
        <w:rPr>
          <w:color w:val="000000"/>
        </w:rPr>
        <w:t xml:space="preserve"> large patch severity. In general, </w:t>
      </w:r>
      <w:r w:rsidR="005206ED">
        <w:rPr>
          <w:color w:val="000000"/>
        </w:rPr>
        <w:t>increased</w:t>
      </w:r>
      <w:r w:rsidR="007E48C3">
        <w:rPr>
          <w:color w:val="000000"/>
        </w:rPr>
        <w:t xml:space="preserve"> spray rate volume resulted in</w:t>
      </w:r>
      <w:r>
        <w:rPr>
          <w:color w:val="000000"/>
        </w:rPr>
        <w:t xml:space="preserve"> significant </w:t>
      </w:r>
      <w:r w:rsidR="007E48C3">
        <w:rPr>
          <w:color w:val="000000"/>
        </w:rPr>
        <w:t>decreases</w:t>
      </w:r>
      <w:r>
        <w:rPr>
          <w:color w:val="000000"/>
        </w:rPr>
        <w:t xml:space="preserve"> in large patch severity under field and growth chamber conditions. The highest spray rate volume (1496 L ha</w:t>
      </w:r>
      <w:r w:rsidRPr="007E48C3">
        <w:rPr>
          <w:color w:val="000000"/>
          <w:vertAlign w:val="superscript"/>
        </w:rPr>
        <w:t>-1</w:t>
      </w:r>
      <w:r>
        <w:rPr>
          <w:color w:val="000000"/>
        </w:rPr>
        <w:t>) resulted in a 20% reduction on large patch severity compared to the lowest spray rate volume (93 L ha</w:t>
      </w:r>
      <w:r w:rsidRPr="00EC3A8F">
        <w:rPr>
          <w:color w:val="000000"/>
          <w:vertAlign w:val="superscript"/>
        </w:rPr>
        <w:t>-1</w:t>
      </w:r>
      <w:r>
        <w:rPr>
          <w:color w:val="000000"/>
        </w:rPr>
        <w:t>). Large patch control was less affected by the use of adjuvants compared to spray rate volume. However, pooled across fungicides, an organosilicone surfactant improved fungicide efficacy by 4% compared to the modified vegetable oil adjuvant and the no adjuvant treatment.</w:t>
      </w:r>
    </w:p>
    <w:p w14:paraId="268DB8D2" w14:textId="2115836F" w:rsidR="007F4ACA" w:rsidRDefault="007F4ACA" w:rsidP="007F4ACA">
      <w:pPr>
        <w:numPr>
          <w:ilvl w:val="12"/>
          <w:numId w:val="0"/>
        </w:numPr>
        <w:spacing w:line="480" w:lineRule="auto"/>
        <w:ind w:firstLine="720"/>
        <w:rPr>
          <w:color w:val="000000"/>
        </w:rPr>
      </w:pPr>
      <w:r>
        <w:rPr>
          <w:color w:val="000000"/>
        </w:rPr>
        <w:t>This research demonstrated that lowe</w:t>
      </w:r>
      <w:r w:rsidR="005206ED">
        <w:rPr>
          <w:color w:val="000000"/>
        </w:rPr>
        <w:t>r canopy fungicide deposition was</w:t>
      </w:r>
      <w:r>
        <w:rPr>
          <w:color w:val="000000"/>
        </w:rPr>
        <w:t xml:space="preserve"> more important in reducing large patch severity compared to upper canopy deposition. Increases in spray rate </w:t>
      </w:r>
      <w:r>
        <w:rPr>
          <w:color w:val="000000"/>
        </w:rPr>
        <w:lastRenderedPageBreak/>
        <w:t>volume may help enable more spray solution being penetrated into the lower plant canopy compared to lower spray rate volumes. In field and growth chamber experiments, in</w:t>
      </w:r>
      <w:r w:rsidR="005206ED">
        <w:rPr>
          <w:color w:val="000000"/>
        </w:rPr>
        <w:t>creased spray rate volume was</w:t>
      </w:r>
      <w:r>
        <w:rPr>
          <w:color w:val="000000"/>
        </w:rPr>
        <w:t xml:space="preserve"> critical in reducing large patch severity with azoxystrobin, flutolanil, and tebuconazole. The effects of </w:t>
      </w:r>
      <w:r w:rsidR="00EC3A8F">
        <w:rPr>
          <w:color w:val="000000"/>
        </w:rPr>
        <w:t xml:space="preserve">adjuvants </w:t>
      </w:r>
      <w:r>
        <w:rPr>
          <w:color w:val="000000"/>
        </w:rPr>
        <w:t>on spray solution deposi</w:t>
      </w:r>
      <w:r w:rsidR="005206ED">
        <w:rPr>
          <w:color w:val="000000"/>
        </w:rPr>
        <w:t>tion and large patch control were</w:t>
      </w:r>
      <w:r>
        <w:rPr>
          <w:color w:val="000000"/>
        </w:rPr>
        <w:t xml:space="preserve"> less clear. However, more research is needed on the combination of higher spray rate volumes and </w:t>
      </w:r>
      <w:r w:rsidR="00EC3A8F">
        <w:rPr>
          <w:color w:val="000000"/>
        </w:rPr>
        <w:t>adjuvants</w:t>
      </w:r>
      <w:r>
        <w:rPr>
          <w:color w:val="000000"/>
        </w:rPr>
        <w:t xml:space="preserve"> on turfgrass safety and large patch control under variable environmental combinations.</w:t>
      </w:r>
    </w:p>
    <w:p w14:paraId="25F81407" w14:textId="77777777" w:rsidR="007F4ACA" w:rsidRDefault="007F4ACA" w:rsidP="007F4ACA">
      <w:pPr>
        <w:numPr>
          <w:ilvl w:val="12"/>
          <w:numId w:val="0"/>
        </w:numPr>
        <w:spacing w:line="480" w:lineRule="auto"/>
        <w:ind w:firstLine="720"/>
        <w:rPr>
          <w:color w:val="000000"/>
        </w:rPr>
      </w:pPr>
    </w:p>
    <w:p w14:paraId="39250BD0" w14:textId="77777777" w:rsidR="007F4ACA" w:rsidRDefault="007F4ACA" w:rsidP="007F4ACA">
      <w:pPr>
        <w:numPr>
          <w:ilvl w:val="12"/>
          <w:numId w:val="0"/>
        </w:numPr>
        <w:spacing w:line="480" w:lineRule="auto"/>
        <w:ind w:firstLine="720"/>
        <w:rPr>
          <w:color w:val="000000"/>
        </w:rPr>
      </w:pPr>
    </w:p>
    <w:p w14:paraId="5D42F809" w14:textId="77777777" w:rsidR="007F4ACA" w:rsidRDefault="007F4ACA" w:rsidP="007F4ACA">
      <w:pPr>
        <w:pStyle w:val="Caption"/>
        <w:rPr>
          <w:sz w:val="32"/>
          <w:szCs w:val="32"/>
        </w:rPr>
      </w:pPr>
    </w:p>
    <w:p w14:paraId="6D326A6D" w14:textId="77777777" w:rsidR="00E1144C" w:rsidRDefault="00E1144C" w:rsidP="00E1144C"/>
    <w:p w14:paraId="4229CCC9" w14:textId="77777777" w:rsidR="00E1144C" w:rsidRDefault="00E1144C" w:rsidP="00E1144C"/>
    <w:p w14:paraId="58A21827" w14:textId="77777777" w:rsidR="00E1144C" w:rsidRDefault="00E1144C" w:rsidP="00E1144C"/>
    <w:p w14:paraId="5D8587E7" w14:textId="77777777" w:rsidR="00E1144C" w:rsidRDefault="00E1144C" w:rsidP="00E1144C"/>
    <w:p w14:paraId="66BB8CCC" w14:textId="77777777" w:rsidR="00E1144C" w:rsidRDefault="00E1144C" w:rsidP="00E1144C"/>
    <w:p w14:paraId="44154CD2" w14:textId="77777777" w:rsidR="00E1144C" w:rsidRDefault="00E1144C" w:rsidP="00E1144C"/>
    <w:p w14:paraId="0030DE8C" w14:textId="77777777" w:rsidR="00E1144C" w:rsidRDefault="00E1144C" w:rsidP="00E1144C"/>
    <w:p w14:paraId="6DD6548F" w14:textId="77777777" w:rsidR="00E1144C" w:rsidRDefault="00E1144C" w:rsidP="00E1144C"/>
    <w:p w14:paraId="5276D887" w14:textId="77777777" w:rsidR="00E1144C" w:rsidRDefault="00E1144C" w:rsidP="00E1144C"/>
    <w:p w14:paraId="345D8E88" w14:textId="77777777" w:rsidR="00E1144C" w:rsidRDefault="00E1144C" w:rsidP="00E1144C"/>
    <w:p w14:paraId="0431C8EF" w14:textId="77777777" w:rsidR="00E1144C" w:rsidRDefault="00E1144C" w:rsidP="00E1144C"/>
    <w:p w14:paraId="04F61DEB" w14:textId="77777777" w:rsidR="00E1144C" w:rsidRDefault="00E1144C" w:rsidP="00E1144C"/>
    <w:p w14:paraId="70E67079" w14:textId="77777777" w:rsidR="00E1144C" w:rsidRDefault="00E1144C" w:rsidP="00E1144C"/>
    <w:p w14:paraId="5375C353" w14:textId="77777777" w:rsidR="00E1144C" w:rsidRDefault="00E1144C" w:rsidP="00E1144C"/>
    <w:p w14:paraId="67D31A3F" w14:textId="77777777" w:rsidR="00E1144C" w:rsidRDefault="00E1144C" w:rsidP="00E1144C"/>
    <w:p w14:paraId="28A2CD96" w14:textId="77777777" w:rsidR="00E1144C" w:rsidRDefault="00E1144C" w:rsidP="00E1144C"/>
    <w:p w14:paraId="08B5C026" w14:textId="77777777" w:rsidR="00E1144C" w:rsidRDefault="00E1144C" w:rsidP="00E1144C"/>
    <w:p w14:paraId="2716C000" w14:textId="77777777" w:rsidR="00344E7B" w:rsidRDefault="00344E7B" w:rsidP="00E1144C"/>
    <w:p w14:paraId="2ED090C7" w14:textId="77777777" w:rsidR="00344E7B" w:rsidRDefault="00344E7B" w:rsidP="00E1144C"/>
    <w:p w14:paraId="124EDCD1" w14:textId="77777777" w:rsidR="00344E7B" w:rsidRDefault="00344E7B" w:rsidP="00E1144C"/>
    <w:p w14:paraId="7679EC14" w14:textId="77777777" w:rsidR="00344E7B" w:rsidRDefault="00344E7B" w:rsidP="00E1144C"/>
    <w:p w14:paraId="3F991E50" w14:textId="77777777" w:rsidR="00E1144C" w:rsidRPr="00E1144C" w:rsidRDefault="00E1144C" w:rsidP="00E1144C"/>
    <w:p w14:paraId="702CB8DA" w14:textId="77777777" w:rsidR="0003520C" w:rsidRDefault="0003520C" w:rsidP="007F4ACA">
      <w:pPr>
        <w:pStyle w:val="Heading1"/>
      </w:pPr>
      <w:bookmarkStart w:id="168" w:name="_Toc353890924"/>
    </w:p>
    <w:p w14:paraId="7EBC8292" w14:textId="77777777" w:rsidR="0003520C" w:rsidRDefault="0003520C" w:rsidP="007F4ACA">
      <w:pPr>
        <w:pStyle w:val="Heading1"/>
      </w:pPr>
    </w:p>
    <w:p w14:paraId="20EA1327" w14:textId="77777777" w:rsidR="007F4ACA" w:rsidRDefault="007F4ACA" w:rsidP="005F4FDE">
      <w:pPr>
        <w:pStyle w:val="Heading2"/>
      </w:pPr>
      <w:bookmarkStart w:id="169" w:name="_Toc466885933"/>
      <w:bookmarkStart w:id="170" w:name="_Toc466890568"/>
      <w:bookmarkStart w:id="171" w:name="_Toc466891204"/>
      <w:bookmarkStart w:id="172" w:name="_Toc466894897"/>
      <w:r>
        <w:lastRenderedPageBreak/>
        <w:t>VITA</w:t>
      </w:r>
      <w:bookmarkEnd w:id="168"/>
      <w:bookmarkEnd w:id="169"/>
      <w:bookmarkEnd w:id="170"/>
      <w:bookmarkEnd w:id="171"/>
      <w:bookmarkEnd w:id="172"/>
    </w:p>
    <w:p w14:paraId="4EED793D" w14:textId="77777777" w:rsidR="007F4ACA" w:rsidRDefault="007F4ACA" w:rsidP="007F4ACA"/>
    <w:p w14:paraId="0750EA3D" w14:textId="35D0770D" w:rsidR="007F4ACA" w:rsidRDefault="007F4ACA" w:rsidP="00EC3A8F">
      <w:pPr>
        <w:pStyle w:val="Caption"/>
        <w:spacing w:line="480" w:lineRule="auto"/>
        <w:ind w:firstLine="720"/>
        <w:rPr>
          <w:b w:val="0"/>
          <w:sz w:val="24"/>
        </w:rPr>
      </w:pPr>
      <w:r>
        <w:rPr>
          <w:b w:val="0"/>
          <w:sz w:val="24"/>
        </w:rPr>
        <w:t>Jesse J Benelli was born on February 11</w:t>
      </w:r>
      <w:r>
        <w:rPr>
          <w:b w:val="0"/>
          <w:sz w:val="24"/>
          <w:vertAlign w:val="superscript"/>
        </w:rPr>
        <w:t>th</w:t>
      </w:r>
      <w:r w:rsidR="00EC3A8F">
        <w:rPr>
          <w:b w:val="0"/>
          <w:sz w:val="24"/>
        </w:rPr>
        <w:t xml:space="preserve">, 1984 in Bath, </w:t>
      </w:r>
      <w:r>
        <w:rPr>
          <w:b w:val="0"/>
          <w:sz w:val="24"/>
        </w:rPr>
        <w:t xml:space="preserve">NY, to Donald and Carol Benelli. Raised in Wellsboro, PA, he attended Wellsboro Area High School and graduated in 2002. In 2007, Jesse graduated from Penn State University majoring in Turfgrass Science. </w:t>
      </w:r>
      <w:r w:rsidR="00EC3A8F">
        <w:rPr>
          <w:b w:val="0"/>
          <w:sz w:val="24"/>
        </w:rPr>
        <w:t xml:space="preserve">During college, Jesse was employed with Tyoga Country Club, Meadowlands Country Club, State College Elks Country Club, and Gettysvue Golf and Polo Club. </w:t>
      </w:r>
      <w:r>
        <w:rPr>
          <w:b w:val="0"/>
          <w:sz w:val="24"/>
        </w:rPr>
        <w:t>After graduation, Jesse was a research technician for the Penn State Turfgrass Pathology program until 2010. Jesse joined Dr. Brandon Horvath’s Turfgrass Pathology program in the summer of 2010 to earn his M.S. and Ph.D. degrees. After graduating with h</w:t>
      </w:r>
      <w:r w:rsidR="00EC3A8F">
        <w:rPr>
          <w:b w:val="0"/>
          <w:sz w:val="24"/>
        </w:rPr>
        <w:t xml:space="preserve">is Ph.D. degree, Jesse </w:t>
      </w:r>
      <w:r w:rsidR="00A9658E">
        <w:rPr>
          <w:b w:val="0"/>
          <w:sz w:val="24"/>
        </w:rPr>
        <w:t>will</w:t>
      </w:r>
      <w:r>
        <w:rPr>
          <w:b w:val="0"/>
          <w:sz w:val="24"/>
        </w:rPr>
        <w:t xml:space="preserve"> be the Direct</w:t>
      </w:r>
      <w:r w:rsidR="001007F9">
        <w:rPr>
          <w:b w:val="0"/>
          <w:sz w:val="24"/>
        </w:rPr>
        <w:t>or</w:t>
      </w:r>
      <w:r>
        <w:rPr>
          <w:b w:val="0"/>
          <w:sz w:val="24"/>
        </w:rPr>
        <w:t xml:space="preserve"> of Turfgrass Programs for the Chicago District Golf Association. </w:t>
      </w:r>
    </w:p>
    <w:p w14:paraId="4636C7CE" w14:textId="77777777" w:rsidR="007F4ACA" w:rsidRDefault="007F4ACA" w:rsidP="007F4ACA">
      <w:pPr>
        <w:pStyle w:val="Caption"/>
        <w:spacing w:line="480" w:lineRule="auto"/>
        <w:ind w:firstLine="720"/>
        <w:rPr>
          <w:rFonts w:ascii="Arial" w:hAnsi="Arial" w:cs="Arial"/>
        </w:rPr>
      </w:pPr>
      <w:r>
        <w:rPr>
          <w:b w:val="0"/>
          <w:sz w:val="24"/>
        </w:rPr>
        <w:t xml:space="preserve"> </w:t>
      </w:r>
    </w:p>
    <w:p w14:paraId="3E9BF2AB" w14:textId="77777777" w:rsidR="007F4ACA" w:rsidRDefault="007F4ACA" w:rsidP="00213EEF">
      <w:bookmarkStart w:id="173" w:name="_GoBack"/>
      <w:bookmarkEnd w:id="173"/>
    </w:p>
    <w:sectPr w:rsidR="007F4ACA" w:rsidSect="006C1C3A">
      <w:pgSz w:w="12240" w:h="15840"/>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3EB44" w14:textId="77777777" w:rsidR="002F2826" w:rsidRDefault="002F2826" w:rsidP="00164E5D">
      <w:r>
        <w:separator/>
      </w:r>
    </w:p>
  </w:endnote>
  <w:endnote w:type="continuationSeparator" w:id="0">
    <w:p w14:paraId="4943710B" w14:textId="77777777" w:rsidR="002F2826" w:rsidRDefault="002F2826" w:rsidP="00164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PMincho">
    <w:panose1 w:val="02020600040205080304"/>
    <w:charset w:val="80"/>
    <w:family w:val="roman"/>
    <w:pitch w:val="variable"/>
    <w:sig w:usb0="E00002FF" w:usb1="6AC7FDFB" w:usb2="00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 Pro W3">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0850965"/>
      <w:docPartObj>
        <w:docPartGallery w:val="Page Numbers (Bottom of Page)"/>
        <w:docPartUnique/>
      </w:docPartObj>
    </w:sdtPr>
    <w:sdtEndPr>
      <w:rPr>
        <w:noProof/>
      </w:rPr>
    </w:sdtEndPr>
    <w:sdtContent>
      <w:p w14:paraId="23696DB8" w14:textId="77777777" w:rsidR="001007F9" w:rsidRDefault="001007F9">
        <w:pPr>
          <w:pStyle w:val="Footer"/>
          <w:jc w:val="right"/>
        </w:pPr>
        <w:r>
          <w:fldChar w:fldCharType="begin"/>
        </w:r>
        <w:r>
          <w:instrText xml:space="preserve"> PAGE   \* MERGEFORMAT </w:instrText>
        </w:r>
        <w:r>
          <w:fldChar w:fldCharType="separate"/>
        </w:r>
        <w:r w:rsidR="002006A3">
          <w:rPr>
            <w:noProof/>
          </w:rPr>
          <w:t>iv</w:t>
        </w:r>
        <w:r>
          <w:rPr>
            <w:noProof/>
          </w:rPr>
          <w:fldChar w:fldCharType="end"/>
        </w:r>
      </w:p>
    </w:sdtContent>
  </w:sdt>
  <w:p w14:paraId="1EA2FA12" w14:textId="77777777" w:rsidR="001007F9" w:rsidRDefault="001007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397718" w14:textId="77777777" w:rsidR="002F2826" w:rsidRDefault="002F2826" w:rsidP="00164E5D">
      <w:r>
        <w:separator/>
      </w:r>
    </w:p>
  </w:footnote>
  <w:footnote w:type="continuationSeparator" w:id="0">
    <w:p w14:paraId="497085B0" w14:textId="77777777" w:rsidR="002F2826" w:rsidRDefault="002F2826" w:rsidP="00164E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EEF"/>
    <w:rsid w:val="0000231B"/>
    <w:rsid w:val="000026F4"/>
    <w:rsid w:val="00004C05"/>
    <w:rsid w:val="0001538F"/>
    <w:rsid w:val="00017412"/>
    <w:rsid w:val="000203E4"/>
    <w:rsid w:val="0002680A"/>
    <w:rsid w:val="0003520C"/>
    <w:rsid w:val="000370B4"/>
    <w:rsid w:val="00062F6D"/>
    <w:rsid w:val="00064D1C"/>
    <w:rsid w:val="000720CB"/>
    <w:rsid w:val="00073D88"/>
    <w:rsid w:val="000749B7"/>
    <w:rsid w:val="00080DBE"/>
    <w:rsid w:val="00085A63"/>
    <w:rsid w:val="000A6A3C"/>
    <w:rsid w:val="000B60A0"/>
    <w:rsid w:val="000B7A56"/>
    <w:rsid w:val="001007F9"/>
    <w:rsid w:val="00104B81"/>
    <w:rsid w:val="00125FCE"/>
    <w:rsid w:val="00141688"/>
    <w:rsid w:val="001441E9"/>
    <w:rsid w:val="00151012"/>
    <w:rsid w:val="00155D18"/>
    <w:rsid w:val="00164D3B"/>
    <w:rsid w:val="00164E5D"/>
    <w:rsid w:val="001670E0"/>
    <w:rsid w:val="0017003E"/>
    <w:rsid w:val="00190D0A"/>
    <w:rsid w:val="00195099"/>
    <w:rsid w:val="001B58AD"/>
    <w:rsid w:val="001B7EE6"/>
    <w:rsid w:val="001C20DB"/>
    <w:rsid w:val="001D2DF0"/>
    <w:rsid w:val="001D7734"/>
    <w:rsid w:val="001D7F2F"/>
    <w:rsid w:val="001E584E"/>
    <w:rsid w:val="001F227A"/>
    <w:rsid w:val="001F55F1"/>
    <w:rsid w:val="001F6127"/>
    <w:rsid w:val="002006A3"/>
    <w:rsid w:val="00203654"/>
    <w:rsid w:val="00213EEF"/>
    <w:rsid w:val="0021528C"/>
    <w:rsid w:val="00224442"/>
    <w:rsid w:val="00247721"/>
    <w:rsid w:val="002571AD"/>
    <w:rsid w:val="00257569"/>
    <w:rsid w:val="00276C17"/>
    <w:rsid w:val="002F2826"/>
    <w:rsid w:val="0032490D"/>
    <w:rsid w:val="003254E1"/>
    <w:rsid w:val="00326989"/>
    <w:rsid w:val="00344E7B"/>
    <w:rsid w:val="00346EA5"/>
    <w:rsid w:val="00354327"/>
    <w:rsid w:val="003703B3"/>
    <w:rsid w:val="00382BA7"/>
    <w:rsid w:val="00386676"/>
    <w:rsid w:val="00386B7D"/>
    <w:rsid w:val="003A080D"/>
    <w:rsid w:val="003B18C9"/>
    <w:rsid w:val="003C081D"/>
    <w:rsid w:val="003C4BD7"/>
    <w:rsid w:val="00402D40"/>
    <w:rsid w:val="004138AE"/>
    <w:rsid w:val="004228D1"/>
    <w:rsid w:val="004257D4"/>
    <w:rsid w:val="00435BB3"/>
    <w:rsid w:val="0044089B"/>
    <w:rsid w:val="004467F0"/>
    <w:rsid w:val="00470DFB"/>
    <w:rsid w:val="00480990"/>
    <w:rsid w:val="00490BB8"/>
    <w:rsid w:val="00491825"/>
    <w:rsid w:val="00492BF3"/>
    <w:rsid w:val="004B5EE6"/>
    <w:rsid w:val="004C213B"/>
    <w:rsid w:val="004C38BA"/>
    <w:rsid w:val="004D6FD5"/>
    <w:rsid w:val="005206ED"/>
    <w:rsid w:val="005224AD"/>
    <w:rsid w:val="00522DF6"/>
    <w:rsid w:val="0052352E"/>
    <w:rsid w:val="00540FE0"/>
    <w:rsid w:val="00543AC0"/>
    <w:rsid w:val="00545E5A"/>
    <w:rsid w:val="00551527"/>
    <w:rsid w:val="00591904"/>
    <w:rsid w:val="00592BA0"/>
    <w:rsid w:val="005A38BC"/>
    <w:rsid w:val="005C1813"/>
    <w:rsid w:val="005C4355"/>
    <w:rsid w:val="005E7AD0"/>
    <w:rsid w:val="005F4FDE"/>
    <w:rsid w:val="00624B29"/>
    <w:rsid w:val="0063073C"/>
    <w:rsid w:val="00637A23"/>
    <w:rsid w:val="00646E13"/>
    <w:rsid w:val="006510B0"/>
    <w:rsid w:val="00665D3F"/>
    <w:rsid w:val="006707D7"/>
    <w:rsid w:val="00673178"/>
    <w:rsid w:val="00673501"/>
    <w:rsid w:val="006742ED"/>
    <w:rsid w:val="00674F3A"/>
    <w:rsid w:val="00682A91"/>
    <w:rsid w:val="00686C39"/>
    <w:rsid w:val="006C09AA"/>
    <w:rsid w:val="006C1C3A"/>
    <w:rsid w:val="006D40EC"/>
    <w:rsid w:val="006D5A7A"/>
    <w:rsid w:val="006E2CC1"/>
    <w:rsid w:val="006E3E4D"/>
    <w:rsid w:val="006F4BFB"/>
    <w:rsid w:val="00703579"/>
    <w:rsid w:val="007124D7"/>
    <w:rsid w:val="007201E3"/>
    <w:rsid w:val="0072085F"/>
    <w:rsid w:val="0073098D"/>
    <w:rsid w:val="00730F9B"/>
    <w:rsid w:val="00733B96"/>
    <w:rsid w:val="00733DE0"/>
    <w:rsid w:val="00744B5C"/>
    <w:rsid w:val="00773CF0"/>
    <w:rsid w:val="00794C81"/>
    <w:rsid w:val="007A115A"/>
    <w:rsid w:val="007A4FFA"/>
    <w:rsid w:val="007E436F"/>
    <w:rsid w:val="007E48C3"/>
    <w:rsid w:val="007F3C5A"/>
    <w:rsid w:val="007F4ACA"/>
    <w:rsid w:val="00801370"/>
    <w:rsid w:val="00812009"/>
    <w:rsid w:val="00855093"/>
    <w:rsid w:val="008637DA"/>
    <w:rsid w:val="008B02DE"/>
    <w:rsid w:val="008B4B67"/>
    <w:rsid w:val="008B4D08"/>
    <w:rsid w:val="008B50BA"/>
    <w:rsid w:val="008C2111"/>
    <w:rsid w:val="008C6C27"/>
    <w:rsid w:val="008D2855"/>
    <w:rsid w:val="008D4EC8"/>
    <w:rsid w:val="008E1E31"/>
    <w:rsid w:val="008E2EB6"/>
    <w:rsid w:val="008F0025"/>
    <w:rsid w:val="008F2C7C"/>
    <w:rsid w:val="008F3E04"/>
    <w:rsid w:val="009017E3"/>
    <w:rsid w:val="00901AE1"/>
    <w:rsid w:val="00910C37"/>
    <w:rsid w:val="00913CFD"/>
    <w:rsid w:val="00932039"/>
    <w:rsid w:val="009365A3"/>
    <w:rsid w:val="009529B2"/>
    <w:rsid w:val="009536D0"/>
    <w:rsid w:val="00964EB5"/>
    <w:rsid w:val="00971CA8"/>
    <w:rsid w:val="00973A6A"/>
    <w:rsid w:val="0098374F"/>
    <w:rsid w:val="00985206"/>
    <w:rsid w:val="009A55A3"/>
    <w:rsid w:val="009C7C91"/>
    <w:rsid w:val="009D1C92"/>
    <w:rsid w:val="009E03EF"/>
    <w:rsid w:val="009E401D"/>
    <w:rsid w:val="009E5EF0"/>
    <w:rsid w:val="009F078F"/>
    <w:rsid w:val="00A064D2"/>
    <w:rsid w:val="00A079E7"/>
    <w:rsid w:val="00A26D80"/>
    <w:rsid w:val="00A27DD0"/>
    <w:rsid w:val="00A31DAD"/>
    <w:rsid w:val="00A60671"/>
    <w:rsid w:val="00A70ED3"/>
    <w:rsid w:val="00A726C9"/>
    <w:rsid w:val="00A76293"/>
    <w:rsid w:val="00A9087D"/>
    <w:rsid w:val="00A923CB"/>
    <w:rsid w:val="00A9658E"/>
    <w:rsid w:val="00AA2230"/>
    <w:rsid w:val="00AD50A8"/>
    <w:rsid w:val="00AE0883"/>
    <w:rsid w:val="00AF4618"/>
    <w:rsid w:val="00B154C7"/>
    <w:rsid w:val="00B16686"/>
    <w:rsid w:val="00B228A5"/>
    <w:rsid w:val="00B25487"/>
    <w:rsid w:val="00B272E6"/>
    <w:rsid w:val="00B40B1F"/>
    <w:rsid w:val="00B64E4A"/>
    <w:rsid w:val="00B655D7"/>
    <w:rsid w:val="00B65B7E"/>
    <w:rsid w:val="00B747D9"/>
    <w:rsid w:val="00B76635"/>
    <w:rsid w:val="00B80B41"/>
    <w:rsid w:val="00BA3C7B"/>
    <w:rsid w:val="00BB082D"/>
    <w:rsid w:val="00BC0060"/>
    <w:rsid w:val="00BD04A5"/>
    <w:rsid w:val="00BE6904"/>
    <w:rsid w:val="00C53DC4"/>
    <w:rsid w:val="00C71385"/>
    <w:rsid w:val="00C71A67"/>
    <w:rsid w:val="00C950E0"/>
    <w:rsid w:val="00CB64BA"/>
    <w:rsid w:val="00CC00D9"/>
    <w:rsid w:val="00CD0545"/>
    <w:rsid w:val="00CD0F06"/>
    <w:rsid w:val="00D15043"/>
    <w:rsid w:val="00D36369"/>
    <w:rsid w:val="00D646FF"/>
    <w:rsid w:val="00D64BE8"/>
    <w:rsid w:val="00D6648B"/>
    <w:rsid w:val="00D76ACF"/>
    <w:rsid w:val="00D77C80"/>
    <w:rsid w:val="00D83908"/>
    <w:rsid w:val="00D86C03"/>
    <w:rsid w:val="00DB4B20"/>
    <w:rsid w:val="00DD416B"/>
    <w:rsid w:val="00DE2A21"/>
    <w:rsid w:val="00DF2FE7"/>
    <w:rsid w:val="00E04049"/>
    <w:rsid w:val="00E0751E"/>
    <w:rsid w:val="00E1144C"/>
    <w:rsid w:val="00E15ADC"/>
    <w:rsid w:val="00E20566"/>
    <w:rsid w:val="00E213E5"/>
    <w:rsid w:val="00E2783B"/>
    <w:rsid w:val="00E47827"/>
    <w:rsid w:val="00E62714"/>
    <w:rsid w:val="00E65815"/>
    <w:rsid w:val="00E76AFD"/>
    <w:rsid w:val="00EA06BF"/>
    <w:rsid w:val="00EA2CEC"/>
    <w:rsid w:val="00EA666E"/>
    <w:rsid w:val="00EC3A8F"/>
    <w:rsid w:val="00EC4C6A"/>
    <w:rsid w:val="00EE7AEE"/>
    <w:rsid w:val="00F100DF"/>
    <w:rsid w:val="00F177F7"/>
    <w:rsid w:val="00F2061B"/>
    <w:rsid w:val="00F208EB"/>
    <w:rsid w:val="00F2787B"/>
    <w:rsid w:val="00F30254"/>
    <w:rsid w:val="00F75CEE"/>
    <w:rsid w:val="00F77380"/>
    <w:rsid w:val="00F8305B"/>
    <w:rsid w:val="00F83673"/>
    <w:rsid w:val="00F83754"/>
    <w:rsid w:val="00F93690"/>
    <w:rsid w:val="00FC7A09"/>
    <w:rsid w:val="00FD024C"/>
    <w:rsid w:val="00FE60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B8B51E"/>
  <w15:docId w15:val="{099FF028-AB24-4B79-868B-5CA93276C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EE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F4ACA"/>
    <w:pPr>
      <w:autoSpaceDE w:val="0"/>
      <w:autoSpaceDN w:val="0"/>
      <w:adjustRightInd w:val="0"/>
      <w:jc w:val="center"/>
      <w:outlineLvl w:val="0"/>
    </w:pPr>
    <w:rPr>
      <w:b/>
      <w:bCs/>
      <w:caps/>
      <w:sz w:val="32"/>
    </w:rPr>
  </w:style>
  <w:style w:type="paragraph" w:styleId="Heading2">
    <w:name w:val="heading 2"/>
    <w:basedOn w:val="Normal"/>
    <w:next w:val="Normal"/>
    <w:link w:val="Heading2Char"/>
    <w:unhideWhenUsed/>
    <w:qFormat/>
    <w:rsid w:val="00551527"/>
    <w:pPr>
      <w:keepNext/>
      <w:spacing w:before="240" w:after="60"/>
      <w:jc w:val="center"/>
      <w:outlineLvl w:val="1"/>
    </w:pPr>
    <w:rPr>
      <w:rFonts w:cs="Arial"/>
      <w:b/>
      <w:bCs/>
      <w:iCs/>
      <w:caps/>
      <w:color w:val="000000" w:themeColor="text1"/>
      <w:sz w:val="28"/>
      <w:szCs w:val="28"/>
    </w:rPr>
  </w:style>
  <w:style w:type="paragraph" w:styleId="Heading3">
    <w:name w:val="heading 3"/>
    <w:basedOn w:val="Normal"/>
    <w:next w:val="Normal"/>
    <w:link w:val="Heading3Char"/>
    <w:uiPriority w:val="9"/>
    <w:unhideWhenUsed/>
    <w:qFormat/>
    <w:rsid w:val="00551527"/>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80DBE"/>
    <w:rPr>
      <w:rFonts w:cstheme="minorHAnsi"/>
      <w:caps/>
      <w:noProof/>
      <w:color w:val="0000FF"/>
      <w:u w:val="single"/>
    </w:rPr>
  </w:style>
  <w:style w:type="paragraph" w:styleId="TOC1">
    <w:name w:val="toc 1"/>
    <w:basedOn w:val="Normal"/>
    <w:next w:val="Normal"/>
    <w:autoRedefine/>
    <w:uiPriority w:val="39"/>
    <w:rsid w:val="00257569"/>
    <w:pPr>
      <w:tabs>
        <w:tab w:val="right" w:leader="dot" w:pos="8630"/>
      </w:tabs>
      <w:ind w:right="720"/>
    </w:pPr>
    <w:rPr>
      <w:b/>
      <w:noProof/>
    </w:rPr>
  </w:style>
  <w:style w:type="paragraph" w:styleId="TOC2">
    <w:name w:val="toc 2"/>
    <w:basedOn w:val="Normal"/>
    <w:next w:val="Normal"/>
    <w:autoRedefine/>
    <w:uiPriority w:val="39"/>
    <w:rsid w:val="00470DFB"/>
    <w:pPr>
      <w:tabs>
        <w:tab w:val="right" w:leader="dot" w:pos="9360"/>
      </w:tabs>
      <w:spacing w:line="360" w:lineRule="auto"/>
    </w:pPr>
  </w:style>
  <w:style w:type="paragraph" w:styleId="TOC3">
    <w:name w:val="toc 3"/>
    <w:basedOn w:val="Normal"/>
    <w:next w:val="Normal"/>
    <w:autoRedefine/>
    <w:uiPriority w:val="39"/>
    <w:rsid w:val="000720CB"/>
    <w:pPr>
      <w:tabs>
        <w:tab w:val="right" w:leader="dot" w:pos="9360"/>
      </w:tabs>
      <w:spacing w:line="360" w:lineRule="auto"/>
    </w:pPr>
  </w:style>
  <w:style w:type="paragraph" w:customStyle="1" w:styleId="xmsonormal">
    <w:name w:val="x_msonormal"/>
    <w:basedOn w:val="Normal"/>
    <w:rsid w:val="00213EEF"/>
    <w:pPr>
      <w:spacing w:before="100" w:beforeAutospacing="1" w:after="100" w:afterAutospacing="1"/>
    </w:pPr>
  </w:style>
  <w:style w:type="character" w:customStyle="1" w:styleId="Heading1Char">
    <w:name w:val="Heading 1 Char"/>
    <w:basedOn w:val="DefaultParagraphFont"/>
    <w:link w:val="Heading1"/>
    <w:rsid w:val="007F4ACA"/>
    <w:rPr>
      <w:rFonts w:ascii="Times New Roman" w:eastAsia="Times New Roman" w:hAnsi="Times New Roman" w:cs="Times New Roman"/>
      <w:b/>
      <w:bCs/>
      <w:caps/>
      <w:sz w:val="32"/>
      <w:szCs w:val="24"/>
    </w:rPr>
  </w:style>
  <w:style w:type="character" w:customStyle="1" w:styleId="Heading2Char">
    <w:name w:val="Heading 2 Char"/>
    <w:basedOn w:val="DefaultParagraphFont"/>
    <w:link w:val="Heading2"/>
    <w:rsid w:val="00551527"/>
    <w:rPr>
      <w:rFonts w:ascii="Times New Roman" w:eastAsia="Times New Roman" w:hAnsi="Times New Roman" w:cs="Arial"/>
      <w:b/>
      <w:bCs/>
      <w:iCs/>
      <w:caps/>
      <w:color w:val="000000" w:themeColor="text1"/>
      <w:sz w:val="28"/>
      <w:szCs w:val="28"/>
    </w:rPr>
  </w:style>
  <w:style w:type="paragraph" w:styleId="Caption">
    <w:name w:val="caption"/>
    <w:basedOn w:val="Normal"/>
    <w:next w:val="Normal"/>
    <w:semiHidden/>
    <w:unhideWhenUsed/>
    <w:qFormat/>
    <w:rsid w:val="007F4ACA"/>
    <w:pPr>
      <w:spacing w:before="120" w:after="120"/>
    </w:pPr>
    <w:rPr>
      <w:b/>
      <w:bCs/>
      <w:sz w:val="20"/>
      <w:szCs w:val="20"/>
    </w:rPr>
  </w:style>
  <w:style w:type="paragraph" w:styleId="BalloonText">
    <w:name w:val="Balloon Text"/>
    <w:basedOn w:val="Normal"/>
    <w:link w:val="BalloonTextChar"/>
    <w:uiPriority w:val="99"/>
    <w:semiHidden/>
    <w:unhideWhenUsed/>
    <w:rsid w:val="007F4ACA"/>
    <w:rPr>
      <w:rFonts w:ascii="Tahoma" w:hAnsi="Tahoma" w:cs="Tahoma"/>
      <w:sz w:val="16"/>
      <w:szCs w:val="16"/>
    </w:rPr>
  </w:style>
  <w:style w:type="character" w:customStyle="1" w:styleId="BalloonTextChar">
    <w:name w:val="Balloon Text Char"/>
    <w:basedOn w:val="DefaultParagraphFont"/>
    <w:link w:val="BalloonText"/>
    <w:uiPriority w:val="99"/>
    <w:semiHidden/>
    <w:rsid w:val="007F4ACA"/>
    <w:rPr>
      <w:rFonts w:ascii="Tahoma" w:eastAsia="Times New Roman" w:hAnsi="Tahoma" w:cs="Tahoma"/>
      <w:sz w:val="16"/>
      <w:szCs w:val="16"/>
    </w:rPr>
  </w:style>
  <w:style w:type="character" w:styleId="LineNumber">
    <w:name w:val="line number"/>
    <w:basedOn w:val="DefaultParagraphFont"/>
    <w:uiPriority w:val="99"/>
    <w:semiHidden/>
    <w:unhideWhenUsed/>
    <w:rsid w:val="007F4ACA"/>
  </w:style>
  <w:style w:type="paragraph" w:styleId="Header">
    <w:name w:val="header"/>
    <w:basedOn w:val="Normal"/>
    <w:link w:val="HeaderChar"/>
    <w:uiPriority w:val="99"/>
    <w:unhideWhenUsed/>
    <w:rsid w:val="00164E5D"/>
    <w:pPr>
      <w:tabs>
        <w:tab w:val="center" w:pos="4680"/>
        <w:tab w:val="right" w:pos="9360"/>
      </w:tabs>
    </w:pPr>
  </w:style>
  <w:style w:type="character" w:customStyle="1" w:styleId="HeaderChar">
    <w:name w:val="Header Char"/>
    <w:basedOn w:val="DefaultParagraphFont"/>
    <w:link w:val="Header"/>
    <w:uiPriority w:val="99"/>
    <w:rsid w:val="00164E5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4E5D"/>
    <w:pPr>
      <w:tabs>
        <w:tab w:val="center" w:pos="4680"/>
        <w:tab w:val="right" w:pos="9360"/>
      </w:tabs>
    </w:pPr>
  </w:style>
  <w:style w:type="character" w:customStyle="1" w:styleId="FooterChar">
    <w:name w:val="Footer Char"/>
    <w:basedOn w:val="DefaultParagraphFont"/>
    <w:link w:val="Footer"/>
    <w:uiPriority w:val="99"/>
    <w:rsid w:val="00164E5D"/>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86C03"/>
    <w:rPr>
      <w:sz w:val="18"/>
      <w:szCs w:val="18"/>
    </w:rPr>
  </w:style>
  <w:style w:type="paragraph" w:styleId="CommentText">
    <w:name w:val="annotation text"/>
    <w:basedOn w:val="Normal"/>
    <w:link w:val="CommentTextChar"/>
    <w:uiPriority w:val="99"/>
    <w:semiHidden/>
    <w:unhideWhenUsed/>
    <w:rsid w:val="00D86C03"/>
  </w:style>
  <w:style w:type="character" w:customStyle="1" w:styleId="CommentTextChar">
    <w:name w:val="Comment Text Char"/>
    <w:basedOn w:val="DefaultParagraphFont"/>
    <w:link w:val="CommentText"/>
    <w:uiPriority w:val="99"/>
    <w:semiHidden/>
    <w:rsid w:val="00D86C03"/>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86C03"/>
    <w:rPr>
      <w:b/>
      <w:bCs/>
      <w:sz w:val="20"/>
      <w:szCs w:val="20"/>
    </w:rPr>
  </w:style>
  <w:style w:type="character" w:customStyle="1" w:styleId="CommentSubjectChar">
    <w:name w:val="Comment Subject Char"/>
    <w:basedOn w:val="CommentTextChar"/>
    <w:link w:val="CommentSubject"/>
    <w:uiPriority w:val="99"/>
    <w:semiHidden/>
    <w:rsid w:val="00D86C03"/>
    <w:rPr>
      <w:rFonts w:ascii="Times New Roman" w:eastAsia="Times New Roman" w:hAnsi="Times New Roman" w:cs="Times New Roman"/>
      <w:b/>
      <w:bCs/>
      <w:sz w:val="20"/>
      <w:szCs w:val="20"/>
    </w:rPr>
  </w:style>
  <w:style w:type="paragraph" w:styleId="TOCHeading">
    <w:name w:val="TOC Heading"/>
    <w:basedOn w:val="Heading1"/>
    <w:next w:val="Normal"/>
    <w:uiPriority w:val="39"/>
    <w:unhideWhenUsed/>
    <w:qFormat/>
    <w:rsid w:val="000B7A56"/>
    <w:pPr>
      <w:keepNext/>
      <w:keepLines/>
      <w:autoSpaceDE/>
      <w:autoSpaceDN/>
      <w:adjustRightInd/>
      <w:spacing w:before="480"/>
      <w:jc w:val="left"/>
      <w:outlineLvl w:val="9"/>
    </w:pPr>
    <w:rPr>
      <w:rFonts w:asciiTheme="majorHAnsi" w:eastAsiaTheme="majorEastAsia" w:hAnsiTheme="majorHAnsi" w:cstheme="majorBidi"/>
      <w:caps w:val="0"/>
      <w:color w:val="2E74B5" w:themeColor="accent1" w:themeShade="BF"/>
      <w:sz w:val="28"/>
      <w:szCs w:val="28"/>
    </w:rPr>
  </w:style>
  <w:style w:type="character" w:customStyle="1" w:styleId="Heading3Char">
    <w:name w:val="Heading 3 Char"/>
    <w:basedOn w:val="DefaultParagraphFont"/>
    <w:link w:val="Heading3"/>
    <w:uiPriority w:val="9"/>
    <w:rsid w:val="00551527"/>
    <w:rPr>
      <w:rFonts w:asciiTheme="majorHAnsi" w:eastAsiaTheme="majorEastAsia" w:hAnsiTheme="majorHAnsi" w:cstheme="majorBidi"/>
      <w:b/>
      <w:bCs/>
      <w:color w:val="5B9BD5"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41182">
      <w:bodyDiv w:val="1"/>
      <w:marLeft w:val="0"/>
      <w:marRight w:val="0"/>
      <w:marTop w:val="0"/>
      <w:marBottom w:val="0"/>
      <w:divBdr>
        <w:top w:val="none" w:sz="0" w:space="0" w:color="auto"/>
        <w:left w:val="none" w:sz="0" w:space="0" w:color="auto"/>
        <w:bottom w:val="none" w:sz="0" w:space="0" w:color="auto"/>
        <w:right w:val="none" w:sz="0" w:space="0" w:color="auto"/>
      </w:divBdr>
    </w:div>
    <w:div w:id="1313019727">
      <w:bodyDiv w:val="1"/>
      <w:marLeft w:val="0"/>
      <w:marRight w:val="0"/>
      <w:marTop w:val="0"/>
      <w:marBottom w:val="0"/>
      <w:divBdr>
        <w:top w:val="none" w:sz="0" w:space="0" w:color="auto"/>
        <w:left w:val="none" w:sz="0" w:space="0" w:color="auto"/>
        <w:bottom w:val="none" w:sz="0" w:space="0" w:color="auto"/>
        <w:right w:val="none" w:sz="0" w:space="0" w:color="auto"/>
      </w:divBdr>
    </w:div>
    <w:div w:id="1504590717">
      <w:bodyDiv w:val="1"/>
      <w:marLeft w:val="0"/>
      <w:marRight w:val="0"/>
      <w:marTop w:val="0"/>
      <w:marBottom w:val="0"/>
      <w:divBdr>
        <w:top w:val="none" w:sz="0" w:space="0" w:color="auto"/>
        <w:left w:val="none" w:sz="0" w:space="0" w:color="auto"/>
        <w:bottom w:val="none" w:sz="0" w:space="0" w:color="auto"/>
        <w:right w:val="none" w:sz="0" w:space="0" w:color="auto"/>
      </w:divBdr>
    </w:div>
    <w:div w:id="159292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18"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5.tiff"/><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tif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AAF45-59BB-46B3-9405-FD3A8197A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18078</Words>
  <Characters>103049</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120886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benelli</dc:creator>
  <cp:lastModifiedBy>benelli</cp:lastModifiedBy>
  <cp:revision>2</cp:revision>
  <cp:lastPrinted>2016-11-07T20:56:00Z</cp:lastPrinted>
  <dcterms:created xsi:type="dcterms:W3CDTF">2016-11-16T18:01:00Z</dcterms:created>
  <dcterms:modified xsi:type="dcterms:W3CDTF">2016-11-16T18:01:00Z</dcterms:modified>
</cp:coreProperties>
</file>