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drawings/drawing1.xml" ContentType="application/vnd.openxmlformats-officedocument.drawingml.chartshapes+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B6BDA8"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
          <w:bCs/>
          <w:sz w:val="36"/>
          <w:szCs w:val="36"/>
        </w:rPr>
      </w:pPr>
      <w:r w:rsidRPr="00292E5A">
        <w:rPr>
          <w:rFonts w:ascii="Times New Roman" w:hAnsi="Times New Roman" w:cs="Times New Roman"/>
          <w:b/>
          <w:bCs/>
          <w:sz w:val="36"/>
          <w:szCs w:val="36"/>
        </w:rPr>
        <w:t xml:space="preserve">Alternative </w:t>
      </w:r>
      <w:r w:rsidRPr="00292E5A">
        <w:rPr>
          <w:rFonts w:ascii="Times New Roman" w:hAnsi="Times New Roman" w:cs="Times New Roman"/>
          <w:b/>
          <w:bCs/>
          <w:i/>
          <w:sz w:val="36"/>
          <w:szCs w:val="36"/>
        </w:rPr>
        <w:t>Poa</w:t>
      </w:r>
      <w:r w:rsidRPr="00292E5A">
        <w:rPr>
          <w:rFonts w:ascii="Times New Roman" w:hAnsi="Times New Roman" w:cs="Times New Roman"/>
          <w:b/>
          <w:bCs/>
          <w:sz w:val="36"/>
          <w:szCs w:val="36"/>
        </w:rPr>
        <w:t xml:space="preserve"> Species as Permanent and Temporary Turfgrasses in the Transition Zone</w:t>
      </w:r>
    </w:p>
    <w:p w14:paraId="3696A083"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
          <w:bCs/>
          <w:sz w:val="36"/>
          <w:szCs w:val="36"/>
        </w:rPr>
      </w:pPr>
    </w:p>
    <w:p w14:paraId="4B988A32"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
          <w:bCs/>
          <w:sz w:val="36"/>
          <w:szCs w:val="36"/>
        </w:rPr>
      </w:pPr>
    </w:p>
    <w:p w14:paraId="35FA7A61"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
          <w:bCs/>
          <w:sz w:val="36"/>
          <w:szCs w:val="36"/>
        </w:rPr>
      </w:pPr>
    </w:p>
    <w:p w14:paraId="6535A963"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
          <w:bCs/>
          <w:sz w:val="36"/>
          <w:szCs w:val="36"/>
        </w:rPr>
      </w:pPr>
    </w:p>
    <w:p w14:paraId="56B0261C"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
          <w:bCs/>
          <w:sz w:val="36"/>
          <w:szCs w:val="36"/>
        </w:rPr>
      </w:pPr>
    </w:p>
    <w:p w14:paraId="3EB2F6A2"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
          <w:bCs/>
          <w:sz w:val="36"/>
          <w:szCs w:val="36"/>
        </w:rPr>
      </w:pPr>
    </w:p>
    <w:p w14:paraId="72AC855B"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p>
    <w:p w14:paraId="5F84F276"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p>
    <w:p w14:paraId="0A568332"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p>
    <w:p w14:paraId="33F3BEFA"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r w:rsidRPr="00292E5A">
        <w:rPr>
          <w:rFonts w:ascii="Times New Roman" w:hAnsi="Times New Roman" w:cs="Times New Roman"/>
          <w:bCs/>
          <w:sz w:val="36"/>
          <w:szCs w:val="36"/>
        </w:rPr>
        <w:t xml:space="preserve">A Thesis Presented for the </w:t>
      </w:r>
    </w:p>
    <w:p w14:paraId="28F23DEF"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r w:rsidRPr="00292E5A">
        <w:rPr>
          <w:rFonts w:ascii="Times New Roman" w:hAnsi="Times New Roman" w:cs="Times New Roman"/>
          <w:bCs/>
          <w:sz w:val="36"/>
          <w:szCs w:val="36"/>
        </w:rPr>
        <w:t>Master of Science</w:t>
      </w:r>
    </w:p>
    <w:p w14:paraId="703ECDBE"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r w:rsidRPr="00292E5A">
        <w:rPr>
          <w:rFonts w:ascii="Times New Roman" w:hAnsi="Times New Roman" w:cs="Times New Roman"/>
          <w:bCs/>
          <w:sz w:val="36"/>
          <w:szCs w:val="36"/>
        </w:rPr>
        <w:t>Degree</w:t>
      </w:r>
    </w:p>
    <w:p w14:paraId="3467DCA6"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r w:rsidRPr="00292E5A">
        <w:rPr>
          <w:rFonts w:ascii="Times New Roman" w:hAnsi="Times New Roman" w:cs="Times New Roman"/>
          <w:bCs/>
          <w:sz w:val="36"/>
          <w:szCs w:val="36"/>
        </w:rPr>
        <w:t>The University of Tennessee, Knoxville</w:t>
      </w:r>
    </w:p>
    <w:p w14:paraId="0F889211"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p>
    <w:p w14:paraId="05584DC7"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p>
    <w:p w14:paraId="27AC763B"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p>
    <w:p w14:paraId="1E406BFC"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p>
    <w:p w14:paraId="287B5F04"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p>
    <w:p w14:paraId="1FF8E656"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p>
    <w:p w14:paraId="2AA92877"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p>
    <w:p w14:paraId="3682320D"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p>
    <w:p w14:paraId="3BC6E7E0"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p>
    <w:p w14:paraId="58BA5D55"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p>
    <w:p w14:paraId="009B615F"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p>
    <w:p w14:paraId="63F324AB" w14:textId="77777777" w:rsidR="006919A1" w:rsidRPr="00292E5A" w:rsidRDefault="006919A1" w:rsidP="006919A1">
      <w:pPr>
        <w:autoSpaceDE w:val="0"/>
        <w:autoSpaceDN w:val="0"/>
        <w:adjustRightInd w:val="0"/>
        <w:spacing w:after="0" w:line="240" w:lineRule="auto"/>
        <w:jc w:val="center"/>
        <w:rPr>
          <w:rFonts w:ascii="Times New Roman" w:hAnsi="Times New Roman" w:cs="Times New Roman"/>
          <w:bCs/>
          <w:sz w:val="36"/>
          <w:szCs w:val="36"/>
        </w:rPr>
      </w:pPr>
      <w:r w:rsidRPr="00292E5A">
        <w:rPr>
          <w:rFonts w:ascii="Times New Roman" w:hAnsi="Times New Roman" w:cs="Times New Roman"/>
          <w:bCs/>
          <w:sz w:val="36"/>
          <w:szCs w:val="36"/>
        </w:rPr>
        <w:t>Samuel Lucas Freshour</w:t>
      </w:r>
    </w:p>
    <w:p w14:paraId="01D2A5F1" w14:textId="77777777" w:rsidR="006919A1" w:rsidRDefault="006919A1" w:rsidP="006919A1">
      <w:pPr>
        <w:autoSpaceDE w:val="0"/>
        <w:autoSpaceDN w:val="0"/>
        <w:adjustRightInd w:val="0"/>
        <w:spacing w:after="0" w:line="240" w:lineRule="auto"/>
        <w:jc w:val="center"/>
        <w:rPr>
          <w:rFonts w:ascii="Times New Roman" w:hAnsi="Times New Roman" w:cs="Times New Roman"/>
          <w:bCs/>
          <w:sz w:val="36"/>
          <w:szCs w:val="36"/>
        </w:rPr>
      </w:pPr>
      <w:r>
        <w:rPr>
          <w:rFonts w:ascii="Times New Roman" w:hAnsi="Times New Roman" w:cs="Times New Roman"/>
          <w:bCs/>
          <w:sz w:val="36"/>
          <w:szCs w:val="36"/>
        </w:rPr>
        <w:t>May</w:t>
      </w:r>
      <w:r w:rsidRPr="00292E5A">
        <w:rPr>
          <w:rFonts w:ascii="Times New Roman" w:hAnsi="Times New Roman" w:cs="Times New Roman"/>
          <w:bCs/>
          <w:sz w:val="36"/>
          <w:szCs w:val="36"/>
        </w:rPr>
        <w:t xml:space="preserve"> </w:t>
      </w:r>
      <w:r>
        <w:rPr>
          <w:rFonts w:ascii="Times New Roman" w:hAnsi="Times New Roman" w:cs="Times New Roman"/>
          <w:bCs/>
          <w:sz w:val="36"/>
          <w:szCs w:val="36"/>
        </w:rPr>
        <w:t>2013</w:t>
      </w:r>
    </w:p>
    <w:p w14:paraId="0934CA1F" w14:textId="77777777" w:rsidR="006919A1" w:rsidRDefault="006919A1" w:rsidP="006919A1">
      <w:pPr>
        <w:autoSpaceDE w:val="0"/>
        <w:autoSpaceDN w:val="0"/>
        <w:adjustRightInd w:val="0"/>
        <w:spacing w:after="0" w:line="240" w:lineRule="auto"/>
        <w:jc w:val="center"/>
        <w:rPr>
          <w:rFonts w:ascii="Times New Roman" w:hAnsi="Times New Roman" w:cs="Times New Roman"/>
          <w:bCs/>
          <w:sz w:val="36"/>
          <w:szCs w:val="36"/>
        </w:rPr>
        <w:sectPr w:rsidR="006919A1" w:rsidSect="006919A1">
          <w:footerReference w:type="default" r:id="rId9"/>
          <w:pgSz w:w="12240" w:h="15840"/>
          <w:pgMar w:top="1440" w:right="1440" w:bottom="1440" w:left="1440" w:header="720" w:footer="720" w:gutter="0"/>
          <w:cols w:space="720"/>
          <w:titlePg/>
          <w:docGrid w:linePitch="360"/>
        </w:sectPr>
      </w:pPr>
    </w:p>
    <w:p w14:paraId="493ACA40" w14:textId="77777777" w:rsidR="006919A1" w:rsidRPr="001611F2" w:rsidRDefault="006919A1" w:rsidP="006919A1">
      <w:pPr>
        <w:autoSpaceDE w:val="0"/>
        <w:autoSpaceDN w:val="0"/>
        <w:adjustRightInd w:val="0"/>
        <w:spacing w:after="0" w:line="480" w:lineRule="auto"/>
        <w:jc w:val="center"/>
        <w:rPr>
          <w:rFonts w:ascii="Times New Roman" w:hAnsi="Times New Roman" w:cs="Times New Roman"/>
          <w:b/>
          <w:sz w:val="28"/>
        </w:rPr>
      </w:pPr>
      <w:r w:rsidRPr="00826B96">
        <w:rPr>
          <w:rFonts w:ascii="Times New Roman" w:hAnsi="Times New Roman" w:cs="Times New Roman"/>
          <w:b/>
          <w:sz w:val="28"/>
        </w:rPr>
        <w:lastRenderedPageBreak/>
        <w:t>DEDICATION</w:t>
      </w:r>
    </w:p>
    <w:p w14:paraId="6F6DD28D" w14:textId="77777777" w:rsidR="006919A1" w:rsidRDefault="006919A1" w:rsidP="006919A1">
      <w:pPr>
        <w:spacing w:line="480" w:lineRule="auto"/>
        <w:rPr>
          <w:rFonts w:ascii="Times New Roman" w:hAnsi="Times New Roman" w:cs="Times New Roman"/>
          <w:sz w:val="24"/>
        </w:rPr>
      </w:pPr>
      <w:r w:rsidRPr="00826B96">
        <w:rPr>
          <w:rFonts w:ascii="Times New Roman" w:hAnsi="Times New Roman" w:cs="Times New Roman"/>
          <w:sz w:val="24"/>
        </w:rPr>
        <w:tab/>
        <w:t>I dedicate this Thesis to my parents, Kerry and Celisa, for instilling a strong work ethic upon me that is largely responsible for making this work possible. Knowing I had their support gave me peace of mind through even the hardest of time.</w:t>
      </w:r>
      <w:r>
        <w:rPr>
          <w:rFonts w:ascii="Times New Roman" w:hAnsi="Times New Roman" w:cs="Times New Roman"/>
          <w:sz w:val="24"/>
        </w:rPr>
        <w:t xml:space="preserve"> Also, to the love of my life, best friend, and wife Chun Hu, thank you for giving me the strength to carry on.</w:t>
      </w:r>
    </w:p>
    <w:p w14:paraId="63336FEB" w14:textId="77777777" w:rsidR="006919A1" w:rsidRPr="001611F2" w:rsidRDefault="006919A1" w:rsidP="006919A1">
      <w:pPr>
        <w:rPr>
          <w:rFonts w:ascii="Times New Roman" w:hAnsi="Times New Roman" w:cs="Times New Roman"/>
          <w:sz w:val="24"/>
        </w:rPr>
      </w:pPr>
      <w:r>
        <w:rPr>
          <w:rFonts w:ascii="Times New Roman" w:hAnsi="Times New Roman" w:cs="Times New Roman"/>
          <w:sz w:val="24"/>
        </w:rPr>
        <w:br w:type="page"/>
      </w:r>
    </w:p>
    <w:p w14:paraId="47597E96" w14:textId="77777777" w:rsidR="006919A1" w:rsidRPr="004B0CAA" w:rsidRDefault="006919A1" w:rsidP="006919A1">
      <w:pPr>
        <w:spacing w:after="0" w:line="480" w:lineRule="auto"/>
        <w:jc w:val="center"/>
        <w:rPr>
          <w:rFonts w:ascii="Times New Roman" w:hAnsi="Times New Roman" w:cs="Times New Roman"/>
          <w:b/>
          <w:sz w:val="28"/>
        </w:rPr>
      </w:pPr>
      <w:r w:rsidRPr="00826B96">
        <w:rPr>
          <w:rFonts w:ascii="Times New Roman" w:hAnsi="Times New Roman" w:cs="Times New Roman"/>
          <w:b/>
          <w:sz w:val="28"/>
        </w:rPr>
        <w:lastRenderedPageBreak/>
        <w:t>ACKNOWLEDGEMENTS</w:t>
      </w:r>
    </w:p>
    <w:p w14:paraId="4F5A0FC4" w14:textId="77777777" w:rsidR="006919A1" w:rsidRPr="004B0CAA" w:rsidRDefault="006919A1" w:rsidP="006919A1">
      <w:pPr>
        <w:spacing w:line="480" w:lineRule="auto"/>
        <w:contextualSpacing/>
        <w:rPr>
          <w:rFonts w:ascii="Times New Roman" w:eastAsiaTheme="minorHAnsi" w:hAnsi="Times New Roman" w:cs="Times New Roman"/>
          <w:sz w:val="24"/>
        </w:rPr>
      </w:pPr>
      <w:r w:rsidRPr="004B0CAA">
        <w:rPr>
          <w:rFonts w:ascii="Times New Roman" w:hAnsi="Times New Roman" w:cs="Times New Roman"/>
          <w:b/>
          <w:sz w:val="28"/>
        </w:rPr>
        <w:tab/>
      </w:r>
      <w:r w:rsidRPr="004B0CAA">
        <w:rPr>
          <w:rFonts w:ascii="Times New Roman" w:eastAsiaTheme="minorHAnsi" w:hAnsi="Times New Roman" w:cs="Times New Roman"/>
          <w:sz w:val="24"/>
        </w:rPr>
        <w:t xml:space="preserve">For their support and guidance at the University of Tennessee I wish to express sincere appreciation to my graduate </w:t>
      </w:r>
      <w:r>
        <w:rPr>
          <w:rFonts w:ascii="Times New Roman" w:eastAsiaTheme="minorHAnsi" w:hAnsi="Times New Roman" w:cs="Times New Roman"/>
          <w:sz w:val="24"/>
        </w:rPr>
        <w:t>committee members: Dr. Melodee L</w:t>
      </w:r>
      <w:r w:rsidRPr="004B0CAA">
        <w:rPr>
          <w:rFonts w:ascii="Times New Roman" w:eastAsiaTheme="minorHAnsi" w:hAnsi="Times New Roman" w:cs="Times New Roman"/>
          <w:sz w:val="24"/>
        </w:rPr>
        <w:t>. Fraser, Dr. Brandon J. Horvath, and Dr. Thomas J. Samples. Also, I give special thanks to my advisor Dr. John C. Sorochan, for his guidance, support, friendship, and for giving me the opportunity to pursue a master’s degree under his direction.</w:t>
      </w:r>
    </w:p>
    <w:p w14:paraId="4D1BB2C9" w14:textId="77777777" w:rsidR="006919A1" w:rsidRPr="004B0CAA" w:rsidRDefault="006919A1" w:rsidP="006919A1">
      <w:pPr>
        <w:spacing w:line="480" w:lineRule="auto"/>
        <w:contextualSpacing/>
        <w:rPr>
          <w:rFonts w:ascii="Times New Roman" w:eastAsiaTheme="minorHAnsi" w:hAnsi="Times New Roman" w:cs="Times New Roman"/>
          <w:sz w:val="24"/>
        </w:rPr>
      </w:pPr>
      <w:r w:rsidRPr="004B0CAA">
        <w:rPr>
          <w:rFonts w:ascii="Times New Roman" w:eastAsiaTheme="minorHAnsi" w:hAnsi="Times New Roman" w:cs="Times New Roman"/>
          <w:sz w:val="24"/>
        </w:rPr>
        <w:tab/>
        <w:t>I also give special thanks to Adam Thoms, Will Haselbaur, Matt Elmore, Chun Hu, Johnny Parham, Dr. Jim Brosnan, Greg Breeden for their guidance, much needed assistance, and the friendships I have gained. They helped to make this research possible and their fellowship helped to make my time at the University of Tennessee enjoyable.</w:t>
      </w:r>
    </w:p>
    <w:p w14:paraId="3AA6A807" w14:textId="77777777" w:rsidR="006919A1" w:rsidRPr="004B0CAA" w:rsidRDefault="006919A1" w:rsidP="006919A1">
      <w:pPr>
        <w:spacing w:line="480" w:lineRule="auto"/>
        <w:contextualSpacing/>
        <w:rPr>
          <w:rFonts w:ascii="Times New Roman" w:eastAsiaTheme="minorHAnsi" w:hAnsi="Times New Roman" w:cs="Times New Roman"/>
          <w:sz w:val="24"/>
        </w:rPr>
      </w:pPr>
      <w:r w:rsidRPr="004B0CAA">
        <w:rPr>
          <w:rFonts w:ascii="Times New Roman" w:eastAsiaTheme="minorHAnsi" w:hAnsi="Times New Roman" w:cs="Times New Roman"/>
          <w:sz w:val="24"/>
        </w:rPr>
        <w:tab/>
        <w:t xml:space="preserve"> I give thanks to </w:t>
      </w:r>
      <w:r>
        <w:rPr>
          <w:rFonts w:ascii="Times New Roman" w:eastAsiaTheme="minorHAnsi" w:hAnsi="Times New Roman" w:cs="Times New Roman"/>
          <w:sz w:val="24"/>
        </w:rPr>
        <w:t xml:space="preserve">Kyley Dickson, </w:t>
      </w:r>
      <w:r w:rsidRPr="004B0CAA">
        <w:rPr>
          <w:rFonts w:ascii="Times New Roman" w:eastAsiaTheme="minorHAnsi" w:hAnsi="Times New Roman" w:cs="Times New Roman"/>
          <w:sz w:val="24"/>
        </w:rPr>
        <w:t>Sean Elverd, Tony Cortes, Cory Yursic, and Jake Reagan for the assistance that helped make this research possible.</w:t>
      </w:r>
    </w:p>
    <w:p w14:paraId="2688FAAC" w14:textId="77777777" w:rsidR="006919A1" w:rsidRPr="004B0CAA" w:rsidRDefault="006919A1" w:rsidP="006919A1">
      <w:pPr>
        <w:spacing w:line="480" w:lineRule="auto"/>
        <w:contextualSpacing/>
        <w:rPr>
          <w:rFonts w:ascii="Times New Roman" w:eastAsiaTheme="minorHAnsi" w:hAnsi="Times New Roman" w:cs="Times New Roman"/>
          <w:sz w:val="24"/>
        </w:rPr>
      </w:pPr>
      <w:r w:rsidRPr="004B0CAA">
        <w:rPr>
          <w:rFonts w:ascii="Times New Roman" w:eastAsiaTheme="minorHAnsi" w:hAnsi="Times New Roman" w:cs="Times New Roman"/>
          <w:sz w:val="24"/>
        </w:rPr>
        <w:tab/>
        <w:t>Lastly I would like to thank the East Tennessee Research and Education Center staff for their support.</w:t>
      </w:r>
    </w:p>
    <w:p w14:paraId="70056210" w14:textId="77777777" w:rsidR="006919A1" w:rsidRPr="001611F2" w:rsidRDefault="006919A1" w:rsidP="006919A1">
      <w:pPr>
        <w:rPr>
          <w:rFonts w:ascii="Times New Roman" w:hAnsi="Times New Roman" w:cs="Times New Roman"/>
          <w:b/>
          <w:sz w:val="24"/>
          <w:szCs w:val="24"/>
        </w:rPr>
      </w:pPr>
      <w:r>
        <w:rPr>
          <w:rFonts w:ascii="Times New Roman" w:hAnsi="Times New Roman" w:cs="Times New Roman"/>
          <w:b/>
          <w:sz w:val="24"/>
          <w:szCs w:val="24"/>
        </w:rPr>
        <w:br w:type="page"/>
      </w:r>
    </w:p>
    <w:p w14:paraId="198FE7E4" w14:textId="77777777" w:rsidR="006919A1" w:rsidRPr="00826B96" w:rsidRDefault="006919A1" w:rsidP="006919A1">
      <w:pPr>
        <w:spacing w:line="480" w:lineRule="auto"/>
        <w:contextualSpacing/>
        <w:jc w:val="center"/>
        <w:rPr>
          <w:rFonts w:ascii="Times New Roman" w:hAnsi="Times New Roman" w:cs="Times New Roman"/>
          <w:b/>
          <w:sz w:val="28"/>
          <w:szCs w:val="24"/>
        </w:rPr>
      </w:pPr>
      <w:r>
        <w:rPr>
          <w:rFonts w:ascii="Times New Roman" w:hAnsi="Times New Roman" w:cs="Times New Roman"/>
          <w:b/>
          <w:sz w:val="28"/>
          <w:szCs w:val="24"/>
        </w:rPr>
        <w:lastRenderedPageBreak/>
        <w:t>ABSTRACT</w:t>
      </w:r>
    </w:p>
    <w:p w14:paraId="40BFD4D8" w14:textId="77777777" w:rsidR="006919A1" w:rsidRPr="001D4470" w:rsidRDefault="006919A1" w:rsidP="006919A1">
      <w:pPr>
        <w:spacing w:line="480" w:lineRule="auto"/>
        <w:rPr>
          <w:rFonts w:ascii="Times New Roman" w:hAnsi="Times New Roman" w:cs="Times New Roman"/>
          <w:sz w:val="24"/>
          <w:szCs w:val="24"/>
        </w:rPr>
      </w:pPr>
      <w:r w:rsidRPr="003B525C">
        <w:rPr>
          <w:rFonts w:ascii="Times New Roman" w:hAnsi="Times New Roman" w:cs="Times New Roman"/>
          <w:b/>
          <w:sz w:val="24"/>
          <w:szCs w:val="24"/>
        </w:rPr>
        <w:tab/>
      </w:r>
      <w:r>
        <w:rPr>
          <w:rFonts w:ascii="Times New Roman" w:hAnsi="Times New Roman" w:cs="Times New Roman"/>
          <w:sz w:val="24"/>
          <w:szCs w:val="24"/>
        </w:rPr>
        <w:t>As restrictions on water, fertilizer, and pesticide use increase, along with public pressure, turfgrass practitioners will need ways to meet the challenges of reduced inputs while still maintaining acceptable turf quality.  Proper selection of turfgrass species and cultivars that are adapted to the climate, intended use, and level of expectation is the best and first line of defense for reduced input situations. The objective of this study was to evaluate alternative species from the bluegrass (</w:t>
      </w:r>
      <w:r w:rsidRPr="003C0227">
        <w:rPr>
          <w:rFonts w:ascii="Times New Roman" w:hAnsi="Times New Roman" w:cs="Times New Roman"/>
          <w:i/>
          <w:sz w:val="24"/>
          <w:szCs w:val="24"/>
        </w:rPr>
        <w:t>Poa</w:t>
      </w:r>
      <w:r>
        <w:rPr>
          <w:rFonts w:ascii="Times New Roman" w:hAnsi="Times New Roman" w:cs="Times New Roman"/>
          <w:sz w:val="24"/>
          <w:szCs w:val="24"/>
        </w:rPr>
        <w:t xml:space="preserve">) genus for their performance as both permanent and temporary winter turfgrass species. In 2010 and 2011, 45 different treatments consisting of 37 different bluegrasses were established from seed in greenhouse grown plugs and transplanted into native soil in Knoxville, TN. Each treatment was evaluated monthly for percent green cover for a one year period.  Bluegrasses were grouped by growth habit. In both years </w:t>
      </w:r>
      <w:r w:rsidRPr="000E0EF6">
        <w:rPr>
          <w:rFonts w:ascii="Times New Roman" w:hAnsi="Times New Roman" w:cs="Times New Roman"/>
          <w:i/>
          <w:sz w:val="24"/>
          <w:szCs w:val="24"/>
        </w:rPr>
        <w:t>P</w:t>
      </w:r>
      <w:r>
        <w:rPr>
          <w:rFonts w:ascii="Times New Roman" w:hAnsi="Times New Roman" w:cs="Times New Roman"/>
          <w:i/>
          <w:sz w:val="24"/>
          <w:szCs w:val="24"/>
        </w:rPr>
        <w:t>.</w:t>
      </w:r>
      <w:r w:rsidRPr="000E0EF6">
        <w:rPr>
          <w:rFonts w:ascii="Times New Roman" w:hAnsi="Times New Roman" w:cs="Times New Roman"/>
          <w:i/>
          <w:sz w:val="24"/>
          <w:szCs w:val="24"/>
        </w:rPr>
        <w:t xml:space="preserve"> stiriaca</w:t>
      </w:r>
      <w:r>
        <w:rPr>
          <w:rFonts w:ascii="Times New Roman" w:hAnsi="Times New Roman" w:cs="Times New Roman"/>
          <w:sz w:val="24"/>
          <w:szCs w:val="24"/>
        </w:rPr>
        <w:t xml:space="preserve"> </w:t>
      </w:r>
      <w:r w:rsidRPr="000E0EF6">
        <w:rPr>
          <w:rFonts w:ascii="Times New Roman" w:hAnsi="Times New Roman" w:cs="Times New Roman"/>
          <w:sz w:val="24"/>
          <w:szCs w:val="24"/>
        </w:rPr>
        <w:t>Fritsch &amp; Hayek</w:t>
      </w:r>
      <w:r>
        <w:rPr>
          <w:rFonts w:ascii="Times New Roman" w:hAnsi="Times New Roman" w:cs="Times New Roman"/>
          <w:sz w:val="24"/>
          <w:szCs w:val="24"/>
        </w:rPr>
        <w:t xml:space="preserve"> and </w:t>
      </w:r>
      <w:r w:rsidRPr="000E0EF6">
        <w:rPr>
          <w:rFonts w:ascii="Times New Roman" w:hAnsi="Times New Roman" w:cs="Times New Roman"/>
          <w:i/>
          <w:sz w:val="24"/>
          <w:szCs w:val="24"/>
        </w:rPr>
        <w:t>P. maniototo</w:t>
      </w:r>
      <w:r>
        <w:rPr>
          <w:rFonts w:ascii="Times New Roman" w:hAnsi="Times New Roman" w:cs="Times New Roman"/>
          <w:sz w:val="24"/>
          <w:szCs w:val="24"/>
        </w:rPr>
        <w:t xml:space="preserve"> Petrie were in the top statistical category along with three cultivars of Kentucky bluegrass (</w:t>
      </w:r>
      <w:r w:rsidRPr="002974EF">
        <w:rPr>
          <w:rFonts w:ascii="Times New Roman" w:hAnsi="Times New Roman" w:cs="Times New Roman"/>
          <w:i/>
          <w:sz w:val="24"/>
          <w:szCs w:val="24"/>
        </w:rPr>
        <w:t>P. pratensis</w:t>
      </w:r>
      <w:r>
        <w:rPr>
          <w:rFonts w:ascii="Times New Roman" w:hAnsi="Times New Roman" w:cs="Times New Roman"/>
          <w:sz w:val="24"/>
          <w:szCs w:val="24"/>
        </w:rPr>
        <w:t xml:space="preserve"> L.) and one hybrid (</w:t>
      </w:r>
      <w:r w:rsidRPr="00BF1E02">
        <w:rPr>
          <w:rFonts w:ascii="Times New Roman" w:hAnsi="Times New Roman" w:cs="Times New Roman"/>
          <w:i/>
          <w:sz w:val="24"/>
          <w:szCs w:val="24"/>
        </w:rPr>
        <w:t>P. arachnifera</w:t>
      </w:r>
      <w:r>
        <w:rPr>
          <w:rFonts w:ascii="Times New Roman" w:hAnsi="Times New Roman" w:cs="Times New Roman"/>
          <w:sz w:val="24"/>
          <w:szCs w:val="24"/>
        </w:rPr>
        <w:t xml:space="preserve"> Torr. x </w:t>
      </w:r>
      <w:r>
        <w:rPr>
          <w:rFonts w:ascii="Times New Roman" w:hAnsi="Times New Roman" w:cs="Times New Roman"/>
          <w:i/>
          <w:sz w:val="24"/>
          <w:szCs w:val="24"/>
        </w:rPr>
        <w:t>P. pratensis</w:t>
      </w:r>
      <w:r>
        <w:rPr>
          <w:rFonts w:ascii="Times New Roman" w:hAnsi="Times New Roman" w:cs="Times New Roman"/>
          <w:sz w:val="24"/>
          <w:szCs w:val="24"/>
        </w:rPr>
        <w:t xml:space="preserve">). This indicated that there were alternative </w:t>
      </w:r>
      <w:r w:rsidRPr="003C0227">
        <w:rPr>
          <w:rFonts w:ascii="Times New Roman" w:hAnsi="Times New Roman" w:cs="Times New Roman"/>
          <w:i/>
          <w:sz w:val="24"/>
          <w:szCs w:val="24"/>
        </w:rPr>
        <w:t>Poa</w:t>
      </w:r>
      <w:r>
        <w:rPr>
          <w:rFonts w:ascii="Times New Roman" w:hAnsi="Times New Roman" w:cs="Times New Roman"/>
          <w:sz w:val="24"/>
          <w:szCs w:val="24"/>
        </w:rPr>
        <w:t xml:space="preserve"> species capable of maintaining cover similar to that of Kentucky bluegrass. A second study initiated in 2010 and repeated in 2011 examined </w:t>
      </w:r>
      <w:r w:rsidRPr="00BF1E02">
        <w:rPr>
          <w:rFonts w:ascii="Times New Roman" w:hAnsi="Times New Roman" w:cs="Times New Roman"/>
          <w:i/>
          <w:sz w:val="24"/>
          <w:szCs w:val="24"/>
        </w:rPr>
        <w:t>P. nemoralis</w:t>
      </w:r>
      <w:r>
        <w:rPr>
          <w:rFonts w:ascii="Times New Roman" w:hAnsi="Times New Roman" w:cs="Times New Roman"/>
          <w:sz w:val="24"/>
          <w:szCs w:val="24"/>
        </w:rPr>
        <w:t xml:space="preserve"> L. for its performance as a winter overseeding species on three bermudagrass (</w:t>
      </w:r>
      <w:r w:rsidRPr="00BF1E02">
        <w:rPr>
          <w:rFonts w:ascii="Times New Roman" w:hAnsi="Times New Roman" w:cs="Times New Roman"/>
          <w:i/>
          <w:sz w:val="24"/>
          <w:szCs w:val="24"/>
        </w:rPr>
        <w:t>Cynodon</w:t>
      </w:r>
      <w:r>
        <w:rPr>
          <w:rFonts w:ascii="Times New Roman" w:hAnsi="Times New Roman" w:cs="Times New Roman"/>
          <w:sz w:val="24"/>
          <w:szCs w:val="24"/>
        </w:rPr>
        <w:t xml:space="preserve"> spp.) </w:t>
      </w:r>
      <w:r>
        <w:rPr>
          <w:rFonts w:ascii="Times New Roman" w:hAnsi="Times New Roman" w:cs="Times New Roman"/>
          <w:color w:val="222222"/>
          <w:sz w:val="24"/>
          <w:szCs w:val="20"/>
        </w:rPr>
        <w:t xml:space="preserve">systems; putting greens, fairways, and sports fields. </w:t>
      </w:r>
      <w:proofErr w:type="gramStart"/>
      <w:r w:rsidRPr="00BF1E02">
        <w:rPr>
          <w:rFonts w:ascii="Times New Roman" w:hAnsi="Times New Roman" w:cs="Times New Roman"/>
          <w:i/>
          <w:sz w:val="24"/>
          <w:szCs w:val="24"/>
        </w:rPr>
        <w:t>P. supina</w:t>
      </w:r>
      <w:r>
        <w:rPr>
          <w:rFonts w:ascii="Times New Roman" w:hAnsi="Times New Roman" w:cs="Times New Roman"/>
          <w:sz w:val="24"/>
          <w:szCs w:val="24"/>
        </w:rPr>
        <w:t xml:space="preserve"> Shrad.</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tested only on a putting green, where it was found to both establish and transition too slowly, while being over competitive against the bermudagrass.  </w:t>
      </w:r>
      <w:r w:rsidRPr="001D4470">
        <w:rPr>
          <w:rFonts w:ascii="Times New Roman" w:hAnsi="Times New Roman" w:cs="Times New Roman"/>
          <w:i/>
          <w:sz w:val="24"/>
          <w:szCs w:val="24"/>
        </w:rPr>
        <w:t>P. nemoralis</w:t>
      </w:r>
      <w:r>
        <w:rPr>
          <w:rFonts w:ascii="Times New Roman" w:hAnsi="Times New Roman" w:cs="Times New Roman"/>
          <w:i/>
          <w:sz w:val="24"/>
          <w:szCs w:val="24"/>
        </w:rPr>
        <w:t xml:space="preserve"> </w:t>
      </w:r>
      <w:r>
        <w:rPr>
          <w:rFonts w:ascii="Times New Roman" w:hAnsi="Times New Roman" w:cs="Times New Roman"/>
          <w:sz w:val="24"/>
          <w:szCs w:val="24"/>
        </w:rPr>
        <w:t>provided acceptable cover in the 2010 season and transitioned well without the use of herbicides; however, during the 2011 season this species failed to provide acceptable cover. In the fairway and sports turf studies, perennial ryegrass (</w:t>
      </w:r>
      <w:r w:rsidRPr="001D5599">
        <w:rPr>
          <w:rFonts w:ascii="Times New Roman" w:hAnsi="Times New Roman" w:cs="Times New Roman"/>
          <w:i/>
          <w:sz w:val="24"/>
          <w:szCs w:val="24"/>
        </w:rPr>
        <w:t>Lolium perenne</w:t>
      </w:r>
      <w:r>
        <w:rPr>
          <w:rFonts w:ascii="Times New Roman" w:hAnsi="Times New Roman" w:cs="Times New Roman"/>
          <w:sz w:val="24"/>
          <w:szCs w:val="24"/>
        </w:rPr>
        <w:t xml:space="preserve"> L.) and intermediate ryegrass (</w:t>
      </w:r>
      <w:r w:rsidRPr="001D4470">
        <w:rPr>
          <w:rFonts w:ascii="Times New Roman" w:hAnsi="Times New Roman" w:cs="Times New Roman"/>
          <w:i/>
          <w:sz w:val="24"/>
          <w:szCs w:val="24"/>
        </w:rPr>
        <w:t>L. perenne</w:t>
      </w:r>
      <w:r>
        <w:rPr>
          <w:rFonts w:ascii="Times New Roman" w:hAnsi="Times New Roman" w:cs="Times New Roman"/>
          <w:sz w:val="24"/>
          <w:szCs w:val="24"/>
        </w:rPr>
        <w:t xml:space="preserve"> x </w:t>
      </w:r>
      <w:r w:rsidRPr="001D4470">
        <w:rPr>
          <w:rFonts w:ascii="Times New Roman" w:hAnsi="Times New Roman" w:cs="Times New Roman"/>
          <w:i/>
          <w:sz w:val="24"/>
          <w:szCs w:val="24"/>
        </w:rPr>
        <w:t>L. multiflorum</w:t>
      </w:r>
      <w:r>
        <w:rPr>
          <w:rFonts w:ascii="Times New Roman" w:hAnsi="Times New Roman" w:cs="Times New Roman"/>
          <w:sz w:val="24"/>
          <w:szCs w:val="24"/>
        </w:rPr>
        <w:t xml:space="preserve"> </w:t>
      </w:r>
      <w:r>
        <w:rPr>
          <w:rFonts w:ascii="Times New Roman" w:hAnsi="Times New Roman" w:cs="Times New Roman"/>
          <w:sz w:val="24"/>
          <w:szCs w:val="24"/>
        </w:rPr>
        <w:lastRenderedPageBreak/>
        <w:t>L.) maintained the highest percent green cover</w:t>
      </w:r>
      <w:r w:rsidRPr="00B226DA">
        <w:rPr>
          <w:rFonts w:ascii="Times New Roman" w:hAnsi="Times New Roman" w:cs="Times New Roman"/>
          <w:i/>
          <w:sz w:val="24"/>
          <w:szCs w:val="24"/>
        </w:rPr>
        <w:t>. P. nemoralis</w:t>
      </w:r>
      <w:r>
        <w:rPr>
          <w:rFonts w:ascii="Times New Roman" w:hAnsi="Times New Roman" w:cs="Times New Roman"/>
          <w:sz w:val="24"/>
          <w:szCs w:val="24"/>
        </w:rPr>
        <w:t xml:space="preserve"> did not provide acceptable cover in either year of both studies. </w:t>
      </w:r>
    </w:p>
    <w:p w14:paraId="1A553318" w14:textId="77777777" w:rsidR="006919A1" w:rsidRPr="00AD3E03" w:rsidRDefault="006919A1" w:rsidP="006919A1">
      <w:pPr>
        <w:rPr>
          <w:rFonts w:ascii="Times New Roman" w:hAnsi="Times New Roman" w:cs="Times New Roman"/>
          <w:sz w:val="24"/>
          <w:szCs w:val="24"/>
        </w:rPr>
      </w:pPr>
      <w:r w:rsidRPr="003B525C">
        <w:rPr>
          <w:rFonts w:ascii="Times New Roman" w:hAnsi="Times New Roman" w:cs="Times New Roman"/>
          <w:sz w:val="24"/>
          <w:szCs w:val="24"/>
        </w:rPr>
        <w:br w:type="page"/>
      </w:r>
    </w:p>
    <w:p w14:paraId="5195E447" w14:textId="77777777" w:rsidR="006919A1" w:rsidRDefault="00E906AE" w:rsidP="00E906AE">
      <w:pPr>
        <w:jc w:val="center"/>
        <w:rPr>
          <w:rFonts w:ascii="Times New Roman" w:hAnsi="Times New Roman" w:cs="Times New Roman"/>
          <w:b/>
          <w:sz w:val="28"/>
        </w:rPr>
      </w:pPr>
      <w:r>
        <w:rPr>
          <w:rFonts w:ascii="Times New Roman" w:hAnsi="Times New Roman" w:cs="Times New Roman"/>
          <w:b/>
          <w:sz w:val="28"/>
        </w:rPr>
        <w:lastRenderedPageBreak/>
        <w:t>I</w:t>
      </w:r>
      <w:r w:rsidR="00DC6980">
        <w:rPr>
          <w:rFonts w:ascii="Times New Roman" w:hAnsi="Times New Roman" w:cs="Times New Roman"/>
          <w:b/>
          <w:sz w:val="28"/>
        </w:rPr>
        <w:t>NTRODUCTION</w:t>
      </w:r>
    </w:p>
    <w:p w14:paraId="7E635959" w14:textId="77777777" w:rsidR="005E613B" w:rsidRDefault="005E613B" w:rsidP="00E906AE">
      <w:pPr>
        <w:jc w:val="center"/>
        <w:rPr>
          <w:rFonts w:ascii="Times New Roman" w:hAnsi="Times New Roman" w:cs="Times New Roman"/>
          <w:b/>
          <w:sz w:val="28"/>
        </w:rPr>
      </w:pPr>
    </w:p>
    <w:p w14:paraId="44679834" w14:textId="77777777" w:rsidR="009B6AC8" w:rsidRDefault="004A62A7" w:rsidP="00F077EF">
      <w:pPr>
        <w:spacing w:line="480" w:lineRule="auto"/>
        <w:rPr>
          <w:rFonts w:ascii="Times New Roman" w:hAnsi="Times New Roman" w:cs="Times New Roman"/>
          <w:sz w:val="24"/>
          <w:szCs w:val="24"/>
        </w:rPr>
      </w:pPr>
      <w:r>
        <w:rPr>
          <w:rFonts w:ascii="Times New Roman" w:hAnsi="Times New Roman" w:cs="Times New Roman"/>
          <w:sz w:val="24"/>
          <w:szCs w:val="24"/>
        </w:rPr>
        <w:tab/>
        <w:t>The number of grass species used as turfgrasses is relatively small in comparison to the total number of species in the Poaceae family (true grasses) that contains as many</w:t>
      </w:r>
      <w:r w:rsidR="00F077EF">
        <w:rPr>
          <w:rFonts w:ascii="Times New Roman" w:hAnsi="Times New Roman" w:cs="Times New Roman"/>
          <w:sz w:val="24"/>
          <w:szCs w:val="24"/>
        </w:rPr>
        <w:t xml:space="preserve"> as 10,000 individual species. Many of these 10,000 species have not been tested for any kind of attributes they may possess. Turfgrass managers are constantly faced with budgetary and environmental concerns that result in the need for turfgrass species that perform under reduced input. Turfgrass breeders have worked with traditional species and successfully improved their performance to some degree in reduced input situations. Others have explored the use of native species with varying degrees of success.</w:t>
      </w:r>
      <w:r w:rsidR="005E613B">
        <w:rPr>
          <w:rFonts w:ascii="Times New Roman" w:hAnsi="Times New Roman" w:cs="Times New Roman"/>
          <w:sz w:val="24"/>
          <w:szCs w:val="24"/>
        </w:rPr>
        <w:t xml:space="preserve"> Although, progress has been made the demand is rising for grasses that perform under reduced input is faster than they can be developed.</w:t>
      </w:r>
      <w:r w:rsidR="009B6AC8">
        <w:rPr>
          <w:rFonts w:ascii="Times New Roman" w:hAnsi="Times New Roman" w:cs="Times New Roman"/>
          <w:sz w:val="24"/>
          <w:szCs w:val="24"/>
        </w:rPr>
        <w:t xml:space="preserve"> </w:t>
      </w:r>
    </w:p>
    <w:p w14:paraId="5546D9E2" w14:textId="77777777" w:rsidR="00F077EF" w:rsidRDefault="009B6AC8" w:rsidP="009B6AC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transition zone represents a unique situation where warm- and cool-season grasses can both be grown, but increased inputs are required to maintain high quality turf. A cool-season species would be most ideal because of their year round green color that does not require winter overseeding. However, cool-season grasses in the transition zone require high inputs to maintain quality turf in face of the inherent heat stress that occurs in summer.</w:t>
      </w:r>
    </w:p>
    <w:p w14:paraId="1A218886" w14:textId="77777777" w:rsidR="00F077EF" w:rsidRDefault="00F077EF" w:rsidP="00F077EF">
      <w:pPr>
        <w:spacing w:line="480" w:lineRule="auto"/>
        <w:rPr>
          <w:rFonts w:ascii="Times New Roman" w:hAnsi="Times New Roman" w:cs="Times New Roman"/>
          <w:sz w:val="24"/>
          <w:szCs w:val="24"/>
        </w:rPr>
      </w:pPr>
      <w:r>
        <w:rPr>
          <w:rFonts w:ascii="Times New Roman" w:hAnsi="Times New Roman" w:cs="Times New Roman"/>
          <w:sz w:val="24"/>
          <w:szCs w:val="24"/>
        </w:rPr>
        <w:tab/>
      </w:r>
      <w:r w:rsidR="005E613B">
        <w:rPr>
          <w:rFonts w:ascii="Times New Roman" w:hAnsi="Times New Roman" w:cs="Times New Roman"/>
          <w:sz w:val="24"/>
          <w:szCs w:val="24"/>
        </w:rPr>
        <w:t xml:space="preserve">The primary goal of the following study was to identify potential species from </w:t>
      </w:r>
      <w:r w:rsidR="005E613B" w:rsidRPr="005E613B">
        <w:rPr>
          <w:rFonts w:ascii="Times New Roman" w:hAnsi="Times New Roman" w:cs="Times New Roman"/>
          <w:i/>
          <w:sz w:val="24"/>
          <w:szCs w:val="24"/>
        </w:rPr>
        <w:t>Poa</w:t>
      </w:r>
      <w:r w:rsidR="005E613B">
        <w:rPr>
          <w:rFonts w:ascii="Times New Roman" w:hAnsi="Times New Roman" w:cs="Times New Roman"/>
          <w:sz w:val="24"/>
          <w:szCs w:val="24"/>
        </w:rPr>
        <w:t xml:space="preserve"> with turfgrass characteristics that </w:t>
      </w:r>
      <w:r w:rsidR="009B6AC8">
        <w:rPr>
          <w:rFonts w:ascii="Times New Roman" w:hAnsi="Times New Roman" w:cs="Times New Roman"/>
          <w:sz w:val="24"/>
          <w:szCs w:val="24"/>
        </w:rPr>
        <w:t xml:space="preserve">display an ability to tolerate heat stress. If any species are found they </w:t>
      </w:r>
      <w:r w:rsidR="005E613B">
        <w:rPr>
          <w:rFonts w:ascii="Times New Roman" w:hAnsi="Times New Roman" w:cs="Times New Roman"/>
          <w:sz w:val="24"/>
          <w:szCs w:val="24"/>
        </w:rPr>
        <w:t>may contribute to the turfgrass industry by enhancing the total amount of genetic material available by developing new species or improving</w:t>
      </w:r>
      <w:r w:rsidR="009B6AC8">
        <w:rPr>
          <w:rFonts w:ascii="Times New Roman" w:hAnsi="Times New Roman" w:cs="Times New Roman"/>
          <w:sz w:val="24"/>
          <w:szCs w:val="24"/>
        </w:rPr>
        <w:t xml:space="preserve"> others ability to perform in the transition zone. This study was designed to isolate this heat stress as the primary cause of poor performance and was achieved by controlling biotic stresses such as, insects and pathogens and not allowing drought stress to occur. </w:t>
      </w:r>
    </w:p>
    <w:p w14:paraId="137F32DB" w14:textId="77777777" w:rsidR="00872949" w:rsidRPr="005E613B" w:rsidRDefault="00872949" w:rsidP="00F077E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Additionally, some species may be very intolerant of heat and thus may be useful in winter overseeding of bermudagrass where a natural transition is desired. Being able to allow a natural transition would reduce the inputs required by eliminating the use of herbicides that are used to transition out the overseeding species. Because of differences between different overseeding systems, studies were designed for specific overseeding trials on putting greens, fairways, and sports fields were designed to test grasses in these applications. </w:t>
      </w:r>
    </w:p>
    <w:p w14:paraId="11CEBB8D" w14:textId="77777777" w:rsidR="006919A1" w:rsidRDefault="006919A1" w:rsidP="006919A1">
      <w:pPr>
        <w:rPr>
          <w:rFonts w:ascii="Times New Roman" w:hAnsi="Times New Roman" w:cs="Times New Roman"/>
          <w:b/>
          <w:sz w:val="28"/>
          <w:szCs w:val="24"/>
        </w:rPr>
      </w:pPr>
      <w:r>
        <w:rPr>
          <w:rFonts w:ascii="Times New Roman" w:hAnsi="Times New Roman" w:cs="Times New Roman"/>
          <w:b/>
          <w:sz w:val="28"/>
          <w:szCs w:val="24"/>
        </w:rPr>
        <w:br w:type="page"/>
      </w:r>
    </w:p>
    <w:sdt>
      <w:sdtPr>
        <w:rPr>
          <w:rFonts w:asciiTheme="minorHAnsi" w:eastAsiaTheme="minorEastAsia" w:hAnsiTheme="minorHAnsi" w:cstheme="minorBidi"/>
          <w:b w:val="0"/>
          <w:bCs w:val="0"/>
          <w:sz w:val="22"/>
          <w:szCs w:val="22"/>
          <w:lang w:eastAsia="en-US"/>
        </w:rPr>
        <w:id w:val="-596242736"/>
        <w:docPartObj>
          <w:docPartGallery w:val="Table of Contents"/>
          <w:docPartUnique/>
        </w:docPartObj>
      </w:sdtPr>
      <w:sdtEndPr>
        <w:rPr>
          <w:noProof/>
        </w:rPr>
      </w:sdtEndPr>
      <w:sdtContent>
        <w:p w14:paraId="42FDC858" w14:textId="77777777" w:rsidR="00E906AE" w:rsidRDefault="00E906AE" w:rsidP="00E906AE">
          <w:pPr>
            <w:pStyle w:val="TOCHeading"/>
            <w:numPr>
              <w:ilvl w:val="0"/>
              <w:numId w:val="0"/>
            </w:numPr>
          </w:pPr>
          <w:r>
            <w:t>TABLE OF CONTENTS</w:t>
          </w:r>
        </w:p>
        <w:p w14:paraId="1CFBB3AF" w14:textId="77777777" w:rsidR="000E0CB6" w:rsidRDefault="00E906AE">
          <w:pPr>
            <w:pStyle w:val="TOC1"/>
            <w:tabs>
              <w:tab w:val="right" w:leader="dot" w:pos="9350"/>
            </w:tabs>
            <w:rPr>
              <w:noProof/>
            </w:rPr>
          </w:pPr>
          <w:r>
            <w:rPr>
              <w:rFonts w:ascii="Times New Roman" w:hAnsi="Times New Roman" w:cs="Times New Roman"/>
            </w:rPr>
            <w:fldChar w:fldCharType="begin"/>
          </w:r>
          <w:r w:rsidRPr="00AC19D9">
            <w:rPr>
              <w:rFonts w:ascii="Times New Roman" w:hAnsi="Times New Roman" w:cs="Times New Roman"/>
            </w:rPr>
            <w:instrText xml:space="preserve"> TOC \o "1-3" \h \z \u </w:instrText>
          </w:r>
          <w:r>
            <w:rPr>
              <w:rFonts w:ascii="Times New Roman" w:hAnsi="Times New Roman" w:cs="Times New Roman"/>
            </w:rPr>
            <w:fldChar w:fldCharType="separate"/>
          </w:r>
          <w:hyperlink w:anchor="_Toc354003307" w:history="1">
            <w:r w:rsidR="000E0CB6" w:rsidRPr="006414A7">
              <w:rPr>
                <w:rStyle w:val="Hyperlink"/>
                <w:noProof/>
              </w:rPr>
              <w:t>CHAPTER I</w:t>
            </w:r>
            <w:r w:rsidR="000E0CB6">
              <w:rPr>
                <w:noProof/>
                <w:webHidden/>
              </w:rPr>
              <w:tab/>
            </w:r>
            <w:r w:rsidR="000E0CB6">
              <w:rPr>
                <w:noProof/>
                <w:webHidden/>
              </w:rPr>
              <w:fldChar w:fldCharType="begin"/>
            </w:r>
            <w:r w:rsidR="000E0CB6">
              <w:rPr>
                <w:noProof/>
                <w:webHidden/>
              </w:rPr>
              <w:instrText xml:space="preserve"> PAGEREF _Toc354003307 \h </w:instrText>
            </w:r>
            <w:r w:rsidR="000E0CB6">
              <w:rPr>
                <w:noProof/>
                <w:webHidden/>
              </w:rPr>
            </w:r>
            <w:r w:rsidR="000E0CB6">
              <w:rPr>
                <w:noProof/>
                <w:webHidden/>
              </w:rPr>
              <w:fldChar w:fldCharType="separate"/>
            </w:r>
            <w:r w:rsidR="000E0CB6">
              <w:rPr>
                <w:noProof/>
                <w:webHidden/>
              </w:rPr>
              <w:t>1</w:t>
            </w:r>
            <w:r w:rsidR="000E0CB6">
              <w:rPr>
                <w:noProof/>
                <w:webHidden/>
              </w:rPr>
              <w:fldChar w:fldCharType="end"/>
            </w:r>
          </w:hyperlink>
        </w:p>
        <w:p w14:paraId="7F2900A2" w14:textId="77777777" w:rsidR="000E0CB6" w:rsidRDefault="00F25B7A">
          <w:pPr>
            <w:pStyle w:val="TOC2"/>
            <w:tabs>
              <w:tab w:val="right" w:leader="dot" w:pos="9350"/>
            </w:tabs>
            <w:rPr>
              <w:noProof/>
            </w:rPr>
          </w:pPr>
          <w:hyperlink w:anchor="_Toc354003308" w:history="1">
            <w:r w:rsidR="000E0CB6" w:rsidRPr="006414A7">
              <w:rPr>
                <w:rStyle w:val="Hyperlink"/>
                <w:noProof/>
              </w:rPr>
              <w:t>Literature Review</w:t>
            </w:r>
            <w:r w:rsidR="000E0CB6">
              <w:rPr>
                <w:noProof/>
                <w:webHidden/>
              </w:rPr>
              <w:tab/>
            </w:r>
            <w:r w:rsidR="000E0CB6">
              <w:rPr>
                <w:noProof/>
                <w:webHidden/>
              </w:rPr>
              <w:fldChar w:fldCharType="begin"/>
            </w:r>
            <w:r w:rsidR="000E0CB6">
              <w:rPr>
                <w:noProof/>
                <w:webHidden/>
              </w:rPr>
              <w:instrText xml:space="preserve"> PAGEREF _Toc354003308 \h </w:instrText>
            </w:r>
            <w:r w:rsidR="000E0CB6">
              <w:rPr>
                <w:noProof/>
                <w:webHidden/>
              </w:rPr>
            </w:r>
            <w:r w:rsidR="000E0CB6">
              <w:rPr>
                <w:noProof/>
                <w:webHidden/>
              </w:rPr>
              <w:fldChar w:fldCharType="separate"/>
            </w:r>
            <w:r w:rsidR="000E0CB6">
              <w:rPr>
                <w:noProof/>
                <w:webHidden/>
              </w:rPr>
              <w:t>1</w:t>
            </w:r>
            <w:r w:rsidR="000E0CB6">
              <w:rPr>
                <w:noProof/>
                <w:webHidden/>
              </w:rPr>
              <w:fldChar w:fldCharType="end"/>
            </w:r>
          </w:hyperlink>
        </w:p>
        <w:p w14:paraId="630A52AA" w14:textId="77777777" w:rsidR="000E0CB6" w:rsidRDefault="00F25B7A">
          <w:pPr>
            <w:pStyle w:val="TOC3"/>
            <w:tabs>
              <w:tab w:val="right" w:leader="dot" w:pos="9350"/>
            </w:tabs>
            <w:rPr>
              <w:noProof/>
            </w:rPr>
          </w:pPr>
          <w:hyperlink w:anchor="_Toc354003309" w:history="1">
            <w:r w:rsidR="000E0CB6" w:rsidRPr="006414A7">
              <w:rPr>
                <w:rStyle w:val="Hyperlink"/>
                <w:noProof/>
              </w:rPr>
              <w:t>Alternative species</w:t>
            </w:r>
            <w:r w:rsidR="000E0CB6">
              <w:rPr>
                <w:noProof/>
                <w:webHidden/>
              </w:rPr>
              <w:tab/>
            </w:r>
            <w:r w:rsidR="000E0CB6">
              <w:rPr>
                <w:noProof/>
                <w:webHidden/>
              </w:rPr>
              <w:fldChar w:fldCharType="begin"/>
            </w:r>
            <w:r w:rsidR="000E0CB6">
              <w:rPr>
                <w:noProof/>
                <w:webHidden/>
              </w:rPr>
              <w:instrText xml:space="preserve"> PAGEREF _Toc354003309 \h </w:instrText>
            </w:r>
            <w:r w:rsidR="000E0CB6">
              <w:rPr>
                <w:noProof/>
                <w:webHidden/>
              </w:rPr>
            </w:r>
            <w:r w:rsidR="000E0CB6">
              <w:rPr>
                <w:noProof/>
                <w:webHidden/>
              </w:rPr>
              <w:fldChar w:fldCharType="separate"/>
            </w:r>
            <w:r w:rsidR="000E0CB6">
              <w:rPr>
                <w:noProof/>
                <w:webHidden/>
              </w:rPr>
              <w:t>2</w:t>
            </w:r>
            <w:r w:rsidR="000E0CB6">
              <w:rPr>
                <w:noProof/>
                <w:webHidden/>
              </w:rPr>
              <w:fldChar w:fldCharType="end"/>
            </w:r>
          </w:hyperlink>
        </w:p>
        <w:p w14:paraId="1E1241DD" w14:textId="77777777" w:rsidR="000E0CB6" w:rsidRDefault="00F25B7A">
          <w:pPr>
            <w:pStyle w:val="TOC3"/>
            <w:tabs>
              <w:tab w:val="right" w:leader="dot" w:pos="9350"/>
            </w:tabs>
            <w:rPr>
              <w:noProof/>
            </w:rPr>
          </w:pPr>
          <w:hyperlink w:anchor="_Toc354003310" w:history="1">
            <w:r w:rsidR="000E0CB6" w:rsidRPr="006414A7">
              <w:rPr>
                <w:rStyle w:val="Hyperlink"/>
                <w:noProof/>
              </w:rPr>
              <w:t>Overseeding</w:t>
            </w:r>
            <w:r w:rsidR="000E0CB6">
              <w:rPr>
                <w:noProof/>
                <w:webHidden/>
              </w:rPr>
              <w:tab/>
            </w:r>
            <w:r w:rsidR="000E0CB6">
              <w:rPr>
                <w:noProof/>
                <w:webHidden/>
              </w:rPr>
              <w:fldChar w:fldCharType="begin"/>
            </w:r>
            <w:r w:rsidR="000E0CB6">
              <w:rPr>
                <w:noProof/>
                <w:webHidden/>
              </w:rPr>
              <w:instrText xml:space="preserve"> PAGEREF _Toc354003310 \h </w:instrText>
            </w:r>
            <w:r w:rsidR="000E0CB6">
              <w:rPr>
                <w:noProof/>
                <w:webHidden/>
              </w:rPr>
            </w:r>
            <w:r w:rsidR="000E0CB6">
              <w:rPr>
                <w:noProof/>
                <w:webHidden/>
              </w:rPr>
              <w:fldChar w:fldCharType="separate"/>
            </w:r>
            <w:r w:rsidR="000E0CB6">
              <w:rPr>
                <w:noProof/>
                <w:webHidden/>
              </w:rPr>
              <w:t>12</w:t>
            </w:r>
            <w:r w:rsidR="000E0CB6">
              <w:rPr>
                <w:noProof/>
                <w:webHidden/>
              </w:rPr>
              <w:fldChar w:fldCharType="end"/>
            </w:r>
          </w:hyperlink>
        </w:p>
        <w:p w14:paraId="3D7589A9" w14:textId="77777777" w:rsidR="000E0CB6" w:rsidRDefault="00F25B7A">
          <w:pPr>
            <w:pStyle w:val="TOC2"/>
            <w:tabs>
              <w:tab w:val="right" w:leader="dot" w:pos="9350"/>
            </w:tabs>
            <w:rPr>
              <w:noProof/>
            </w:rPr>
          </w:pPr>
          <w:hyperlink w:anchor="_Toc354003311" w:history="1">
            <w:r w:rsidR="000E0CB6" w:rsidRPr="006414A7">
              <w:rPr>
                <w:rStyle w:val="Hyperlink"/>
                <w:noProof/>
              </w:rPr>
              <w:t>Objectives</w:t>
            </w:r>
            <w:r w:rsidR="000E0CB6">
              <w:rPr>
                <w:noProof/>
                <w:webHidden/>
              </w:rPr>
              <w:tab/>
            </w:r>
            <w:r w:rsidR="000E0CB6">
              <w:rPr>
                <w:noProof/>
                <w:webHidden/>
              </w:rPr>
              <w:fldChar w:fldCharType="begin"/>
            </w:r>
            <w:r w:rsidR="000E0CB6">
              <w:rPr>
                <w:noProof/>
                <w:webHidden/>
              </w:rPr>
              <w:instrText xml:space="preserve"> PAGEREF _Toc354003311 \h </w:instrText>
            </w:r>
            <w:r w:rsidR="000E0CB6">
              <w:rPr>
                <w:noProof/>
                <w:webHidden/>
              </w:rPr>
            </w:r>
            <w:r w:rsidR="000E0CB6">
              <w:rPr>
                <w:noProof/>
                <w:webHidden/>
              </w:rPr>
              <w:fldChar w:fldCharType="separate"/>
            </w:r>
            <w:r w:rsidR="000E0CB6">
              <w:rPr>
                <w:noProof/>
                <w:webHidden/>
              </w:rPr>
              <w:t>24</w:t>
            </w:r>
            <w:r w:rsidR="000E0CB6">
              <w:rPr>
                <w:noProof/>
                <w:webHidden/>
              </w:rPr>
              <w:fldChar w:fldCharType="end"/>
            </w:r>
          </w:hyperlink>
        </w:p>
        <w:p w14:paraId="612EF215" w14:textId="77777777" w:rsidR="000E0CB6" w:rsidRDefault="00F25B7A">
          <w:pPr>
            <w:pStyle w:val="TOC2"/>
            <w:tabs>
              <w:tab w:val="right" w:leader="dot" w:pos="9350"/>
            </w:tabs>
            <w:rPr>
              <w:noProof/>
            </w:rPr>
          </w:pPr>
          <w:hyperlink w:anchor="_Toc354003312" w:history="1">
            <w:r w:rsidR="000E0CB6" w:rsidRPr="006414A7">
              <w:rPr>
                <w:rStyle w:val="Hyperlink"/>
                <w:rFonts w:eastAsiaTheme="minorHAnsi"/>
                <w:noProof/>
              </w:rPr>
              <w:t>Literature Cited</w:t>
            </w:r>
            <w:r w:rsidR="000E0CB6">
              <w:rPr>
                <w:noProof/>
                <w:webHidden/>
              </w:rPr>
              <w:tab/>
            </w:r>
            <w:r w:rsidR="000E0CB6">
              <w:rPr>
                <w:noProof/>
                <w:webHidden/>
              </w:rPr>
              <w:fldChar w:fldCharType="begin"/>
            </w:r>
            <w:r w:rsidR="000E0CB6">
              <w:rPr>
                <w:noProof/>
                <w:webHidden/>
              </w:rPr>
              <w:instrText xml:space="preserve"> PAGEREF _Toc354003312 \h </w:instrText>
            </w:r>
            <w:r w:rsidR="000E0CB6">
              <w:rPr>
                <w:noProof/>
                <w:webHidden/>
              </w:rPr>
            </w:r>
            <w:r w:rsidR="000E0CB6">
              <w:rPr>
                <w:noProof/>
                <w:webHidden/>
              </w:rPr>
              <w:fldChar w:fldCharType="separate"/>
            </w:r>
            <w:r w:rsidR="000E0CB6">
              <w:rPr>
                <w:noProof/>
                <w:webHidden/>
              </w:rPr>
              <w:t>25</w:t>
            </w:r>
            <w:r w:rsidR="000E0CB6">
              <w:rPr>
                <w:noProof/>
                <w:webHidden/>
              </w:rPr>
              <w:fldChar w:fldCharType="end"/>
            </w:r>
          </w:hyperlink>
        </w:p>
        <w:p w14:paraId="6109F9BA" w14:textId="77777777" w:rsidR="000E0CB6" w:rsidRDefault="00F25B7A">
          <w:pPr>
            <w:pStyle w:val="TOC1"/>
            <w:tabs>
              <w:tab w:val="right" w:leader="dot" w:pos="9350"/>
            </w:tabs>
            <w:rPr>
              <w:noProof/>
            </w:rPr>
          </w:pPr>
          <w:hyperlink w:anchor="_Toc354003313" w:history="1">
            <w:r w:rsidR="000E0CB6" w:rsidRPr="006414A7">
              <w:rPr>
                <w:rStyle w:val="Hyperlink"/>
                <w:rFonts w:eastAsiaTheme="minorHAnsi"/>
                <w:noProof/>
              </w:rPr>
              <w:t>CHAPTER II</w:t>
            </w:r>
            <w:r w:rsidR="000E0CB6">
              <w:rPr>
                <w:noProof/>
                <w:webHidden/>
              </w:rPr>
              <w:tab/>
            </w:r>
            <w:r w:rsidR="000E0CB6">
              <w:rPr>
                <w:noProof/>
                <w:webHidden/>
              </w:rPr>
              <w:fldChar w:fldCharType="begin"/>
            </w:r>
            <w:r w:rsidR="000E0CB6">
              <w:rPr>
                <w:noProof/>
                <w:webHidden/>
              </w:rPr>
              <w:instrText xml:space="preserve"> PAGEREF _Toc354003313 \h </w:instrText>
            </w:r>
            <w:r w:rsidR="000E0CB6">
              <w:rPr>
                <w:noProof/>
                <w:webHidden/>
              </w:rPr>
            </w:r>
            <w:r w:rsidR="000E0CB6">
              <w:rPr>
                <w:noProof/>
                <w:webHidden/>
              </w:rPr>
              <w:fldChar w:fldCharType="separate"/>
            </w:r>
            <w:r w:rsidR="000E0CB6">
              <w:rPr>
                <w:noProof/>
                <w:webHidden/>
              </w:rPr>
              <w:t>32</w:t>
            </w:r>
            <w:r w:rsidR="000E0CB6">
              <w:rPr>
                <w:noProof/>
                <w:webHidden/>
              </w:rPr>
              <w:fldChar w:fldCharType="end"/>
            </w:r>
          </w:hyperlink>
        </w:p>
        <w:p w14:paraId="56BE3633" w14:textId="77777777" w:rsidR="000E0CB6" w:rsidRDefault="00F25B7A">
          <w:pPr>
            <w:pStyle w:val="TOC2"/>
            <w:tabs>
              <w:tab w:val="right" w:leader="dot" w:pos="9350"/>
            </w:tabs>
            <w:rPr>
              <w:noProof/>
            </w:rPr>
          </w:pPr>
          <w:hyperlink w:anchor="_Toc354003314" w:history="1">
            <w:r w:rsidR="000E0CB6" w:rsidRPr="006414A7">
              <w:rPr>
                <w:rStyle w:val="Hyperlink"/>
                <w:i/>
                <w:noProof/>
              </w:rPr>
              <w:t>POA</w:t>
            </w:r>
            <w:r w:rsidR="000E0CB6" w:rsidRPr="006414A7">
              <w:rPr>
                <w:rStyle w:val="Hyperlink"/>
                <w:noProof/>
              </w:rPr>
              <w:t xml:space="preserve"> SPECIES AS ALTERNATIVE PERMANENT TURFGRASS SPECIES IN THE TRANSITION ZONE</w:t>
            </w:r>
            <w:r w:rsidR="000E0CB6">
              <w:rPr>
                <w:noProof/>
                <w:webHidden/>
              </w:rPr>
              <w:tab/>
            </w:r>
            <w:r w:rsidR="000E0CB6">
              <w:rPr>
                <w:noProof/>
                <w:webHidden/>
              </w:rPr>
              <w:fldChar w:fldCharType="begin"/>
            </w:r>
            <w:r w:rsidR="000E0CB6">
              <w:rPr>
                <w:noProof/>
                <w:webHidden/>
              </w:rPr>
              <w:instrText xml:space="preserve"> PAGEREF _Toc354003314 \h </w:instrText>
            </w:r>
            <w:r w:rsidR="000E0CB6">
              <w:rPr>
                <w:noProof/>
                <w:webHidden/>
              </w:rPr>
            </w:r>
            <w:r w:rsidR="000E0CB6">
              <w:rPr>
                <w:noProof/>
                <w:webHidden/>
              </w:rPr>
              <w:fldChar w:fldCharType="separate"/>
            </w:r>
            <w:r w:rsidR="000E0CB6">
              <w:rPr>
                <w:noProof/>
                <w:webHidden/>
              </w:rPr>
              <w:t>32</w:t>
            </w:r>
            <w:r w:rsidR="000E0CB6">
              <w:rPr>
                <w:noProof/>
                <w:webHidden/>
              </w:rPr>
              <w:fldChar w:fldCharType="end"/>
            </w:r>
          </w:hyperlink>
        </w:p>
        <w:p w14:paraId="5A32365D" w14:textId="77777777" w:rsidR="000E0CB6" w:rsidRDefault="00F25B7A">
          <w:pPr>
            <w:pStyle w:val="TOC3"/>
            <w:tabs>
              <w:tab w:val="right" w:leader="dot" w:pos="9350"/>
            </w:tabs>
            <w:rPr>
              <w:noProof/>
            </w:rPr>
          </w:pPr>
          <w:hyperlink w:anchor="_Toc354003315" w:history="1">
            <w:r w:rsidR="000E0CB6" w:rsidRPr="006414A7">
              <w:rPr>
                <w:rStyle w:val="Hyperlink"/>
                <w:noProof/>
              </w:rPr>
              <w:t>Abstract</w:t>
            </w:r>
            <w:r w:rsidR="000E0CB6">
              <w:rPr>
                <w:noProof/>
                <w:webHidden/>
              </w:rPr>
              <w:tab/>
            </w:r>
            <w:r w:rsidR="000E0CB6">
              <w:rPr>
                <w:noProof/>
                <w:webHidden/>
              </w:rPr>
              <w:fldChar w:fldCharType="begin"/>
            </w:r>
            <w:r w:rsidR="000E0CB6">
              <w:rPr>
                <w:noProof/>
                <w:webHidden/>
              </w:rPr>
              <w:instrText xml:space="preserve"> PAGEREF _Toc354003315 \h </w:instrText>
            </w:r>
            <w:r w:rsidR="000E0CB6">
              <w:rPr>
                <w:noProof/>
                <w:webHidden/>
              </w:rPr>
            </w:r>
            <w:r w:rsidR="000E0CB6">
              <w:rPr>
                <w:noProof/>
                <w:webHidden/>
              </w:rPr>
              <w:fldChar w:fldCharType="separate"/>
            </w:r>
            <w:r w:rsidR="000E0CB6">
              <w:rPr>
                <w:noProof/>
                <w:webHidden/>
              </w:rPr>
              <w:t>33</w:t>
            </w:r>
            <w:r w:rsidR="000E0CB6">
              <w:rPr>
                <w:noProof/>
                <w:webHidden/>
              </w:rPr>
              <w:fldChar w:fldCharType="end"/>
            </w:r>
          </w:hyperlink>
        </w:p>
        <w:p w14:paraId="535C86F1" w14:textId="77777777" w:rsidR="000E0CB6" w:rsidRDefault="00F25B7A">
          <w:pPr>
            <w:pStyle w:val="TOC3"/>
            <w:tabs>
              <w:tab w:val="right" w:leader="dot" w:pos="9350"/>
            </w:tabs>
            <w:rPr>
              <w:noProof/>
            </w:rPr>
          </w:pPr>
          <w:hyperlink w:anchor="_Toc354003316" w:history="1">
            <w:r w:rsidR="000E0CB6" w:rsidRPr="006414A7">
              <w:rPr>
                <w:rStyle w:val="Hyperlink"/>
                <w:noProof/>
              </w:rPr>
              <w:t>Introduction</w:t>
            </w:r>
            <w:r w:rsidR="000E0CB6">
              <w:rPr>
                <w:noProof/>
                <w:webHidden/>
              </w:rPr>
              <w:tab/>
            </w:r>
            <w:r w:rsidR="000E0CB6">
              <w:rPr>
                <w:noProof/>
                <w:webHidden/>
              </w:rPr>
              <w:fldChar w:fldCharType="begin"/>
            </w:r>
            <w:r w:rsidR="000E0CB6">
              <w:rPr>
                <w:noProof/>
                <w:webHidden/>
              </w:rPr>
              <w:instrText xml:space="preserve"> PAGEREF _Toc354003316 \h </w:instrText>
            </w:r>
            <w:r w:rsidR="000E0CB6">
              <w:rPr>
                <w:noProof/>
                <w:webHidden/>
              </w:rPr>
            </w:r>
            <w:r w:rsidR="000E0CB6">
              <w:rPr>
                <w:noProof/>
                <w:webHidden/>
              </w:rPr>
              <w:fldChar w:fldCharType="separate"/>
            </w:r>
            <w:r w:rsidR="000E0CB6">
              <w:rPr>
                <w:noProof/>
                <w:webHidden/>
              </w:rPr>
              <w:t>33</w:t>
            </w:r>
            <w:r w:rsidR="000E0CB6">
              <w:rPr>
                <w:noProof/>
                <w:webHidden/>
              </w:rPr>
              <w:fldChar w:fldCharType="end"/>
            </w:r>
          </w:hyperlink>
        </w:p>
        <w:p w14:paraId="1FB1C0BE" w14:textId="77777777" w:rsidR="000E0CB6" w:rsidRDefault="00F25B7A">
          <w:pPr>
            <w:pStyle w:val="TOC3"/>
            <w:tabs>
              <w:tab w:val="right" w:leader="dot" w:pos="9350"/>
            </w:tabs>
            <w:rPr>
              <w:noProof/>
            </w:rPr>
          </w:pPr>
          <w:hyperlink w:anchor="_Toc354003317" w:history="1">
            <w:r w:rsidR="000E0CB6" w:rsidRPr="006414A7">
              <w:rPr>
                <w:rStyle w:val="Hyperlink"/>
                <w:rFonts w:eastAsiaTheme="minorHAnsi"/>
                <w:noProof/>
              </w:rPr>
              <w:t>Materials and Methods</w:t>
            </w:r>
            <w:r w:rsidR="000E0CB6">
              <w:rPr>
                <w:noProof/>
                <w:webHidden/>
              </w:rPr>
              <w:tab/>
            </w:r>
            <w:r w:rsidR="000E0CB6">
              <w:rPr>
                <w:noProof/>
                <w:webHidden/>
              </w:rPr>
              <w:fldChar w:fldCharType="begin"/>
            </w:r>
            <w:r w:rsidR="000E0CB6">
              <w:rPr>
                <w:noProof/>
                <w:webHidden/>
              </w:rPr>
              <w:instrText xml:space="preserve"> PAGEREF _Toc354003317 \h </w:instrText>
            </w:r>
            <w:r w:rsidR="000E0CB6">
              <w:rPr>
                <w:noProof/>
                <w:webHidden/>
              </w:rPr>
            </w:r>
            <w:r w:rsidR="000E0CB6">
              <w:rPr>
                <w:noProof/>
                <w:webHidden/>
              </w:rPr>
              <w:fldChar w:fldCharType="separate"/>
            </w:r>
            <w:r w:rsidR="000E0CB6">
              <w:rPr>
                <w:noProof/>
                <w:webHidden/>
              </w:rPr>
              <w:t>43</w:t>
            </w:r>
            <w:r w:rsidR="000E0CB6">
              <w:rPr>
                <w:noProof/>
                <w:webHidden/>
              </w:rPr>
              <w:fldChar w:fldCharType="end"/>
            </w:r>
          </w:hyperlink>
        </w:p>
        <w:p w14:paraId="013BEFCD" w14:textId="77777777" w:rsidR="000E0CB6" w:rsidRDefault="00F25B7A">
          <w:pPr>
            <w:pStyle w:val="TOC3"/>
            <w:tabs>
              <w:tab w:val="right" w:leader="dot" w:pos="9350"/>
            </w:tabs>
            <w:rPr>
              <w:noProof/>
            </w:rPr>
          </w:pPr>
          <w:hyperlink w:anchor="_Toc354003318" w:history="1">
            <w:r w:rsidR="000E0CB6" w:rsidRPr="006414A7">
              <w:rPr>
                <w:rStyle w:val="Hyperlink"/>
                <w:noProof/>
              </w:rPr>
              <w:t>Results</w:t>
            </w:r>
            <w:r w:rsidR="000E0CB6">
              <w:rPr>
                <w:noProof/>
                <w:webHidden/>
              </w:rPr>
              <w:tab/>
            </w:r>
            <w:r w:rsidR="000E0CB6">
              <w:rPr>
                <w:noProof/>
                <w:webHidden/>
              </w:rPr>
              <w:fldChar w:fldCharType="begin"/>
            </w:r>
            <w:r w:rsidR="000E0CB6">
              <w:rPr>
                <w:noProof/>
                <w:webHidden/>
              </w:rPr>
              <w:instrText xml:space="preserve"> PAGEREF _Toc354003318 \h </w:instrText>
            </w:r>
            <w:r w:rsidR="000E0CB6">
              <w:rPr>
                <w:noProof/>
                <w:webHidden/>
              </w:rPr>
            </w:r>
            <w:r w:rsidR="000E0CB6">
              <w:rPr>
                <w:noProof/>
                <w:webHidden/>
              </w:rPr>
              <w:fldChar w:fldCharType="separate"/>
            </w:r>
            <w:r w:rsidR="000E0CB6">
              <w:rPr>
                <w:noProof/>
                <w:webHidden/>
              </w:rPr>
              <w:t>46</w:t>
            </w:r>
            <w:r w:rsidR="000E0CB6">
              <w:rPr>
                <w:noProof/>
                <w:webHidden/>
              </w:rPr>
              <w:fldChar w:fldCharType="end"/>
            </w:r>
          </w:hyperlink>
        </w:p>
        <w:p w14:paraId="736B367B" w14:textId="77777777" w:rsidR="000E0CB6" w:rsidRDefault="00F25B7A">
          <w:pPr>
            <w:pStyle w:val="TOC3"/>
            <w:tabs>
              <w:tab w:val="right" w:leader="dot" w:pos="9350"/>
            </w:tabs>
            <w:rPr>
              <w:noProof/>
            </w:rPr>
          </w:pPr>
          <w:hyperlink w:anchor="_Toc354003319" w:history="1">
            <w:r w:rsidR="000E0CB6" w:rsidRPr="006414A7">
              <w:rPr>
                <w:rStyle w:val="Hyperlink"/>
                <w:noProof/>
              </w:rPr>
              <w:t>Discussion</w:t>
            </w:r>
            <w:r w:rsidR="000E0CB6">
              <w:rPr>
                <w:noProof/>
                <w:webHidden/>
              </w:rPr>
              <w:tab/>
            </w:r>
            <w:r w:rsidR="000E0CB6">
              <w:rPr>
                <w:noProof/>
                <w:webHidden/>
              </w:rPr>
              <w:fldChar w:fldCharType="begin"/>
            </w:r>
            <w:r w:rsidR="000E0CB6">
              <w:rPr>
                <w:noProof/>
                <w:webHidden/>
              </w:rPr>
              <w:instrText xml:space="preserve"> PAGEREF _Toc354003319 \h </w:instrText>
            </w:r>
            <w:r w:rsidR="000E0CB6">
              <w:rPr>
                <w:noProof/>
                <w:webHidden/>
              </w:rPr>
            </w:r>
            <w:r w:rsidR="000E0CB6">
              <w:rPr>
                <w:noProof/>
                <w:webHidden/>
              </w:rPr>
              <w:fldChar w:fldCharType="separate"/>
            </w:r>
            <w:r w:rsidR="000E0CB6">
              <w:rPr>
                <w:noProof/>
                <w:webHidden/>
              </w:rPr>
              <w:t>49</w:t>
            </w:r>
            <w:r w:rsidR="000E0CB6">
              <w:rPr>
                <w:noProof/>
                <w:webHidden/>
              </w:rPr>
              <w:fldChar w:fldCharType="end"/>
            </w:r>
          </w:hyperlink>
        </w:p>
        <w:p w14:paraId="7315F090" w14:textId="77777777" w:rsidR="000E0CB6" w:rsidRDefault="00F25B7A">
          <w:pPr>
            <w:pStyle w:val="TOC2"/>
            <w:tabs>
              <w:tab w:val="right" w:leader="dot" w:pos="9350"/>
            </w:tabs>
            <w:rPr>
              <w:noProof/>
            </w:rPr>
          </w:pPr>
          <w:hyperlink w:anchor="_Toc354003320" w:history="1">
            <w:r w:rsidR="000E0CB6" w:rsidRPr="006414A7">
              <w:rPr>
                <w:rStyle w:val="Hyperlink"/>
                <w:noProof/>
              </w:rPr>
              <w:t>Literature Cited</w:t>
            </w:r>
            <w:r w:rsidR="000E0CB6">
              <w:rPr>
                <w:noProof/>
                <w:webHidden/>
              </w:rPr>
              <w:tab/>
            </w:r>
            <w:r w:rsidR="000E0CB6">
              <w:rPr>
                <w:noProof/>
                <w:webHidden/>
              </w:rPr>
              <w:fldChar w:fldCharType="begin"/>
            </w:r>
            <w:r w:rsidR="000E0CB6">
              <w:rPr>
                <w:noProof/>
                <w:webHidden/>
              </w:rPr>
              <w:instrText xml:space="preserve"> PAGEREF _Toc354003320 \h </w:instrText>
            </w:r>
            <w:r w:rsidR="000E0CB6">
              <w:rPr>
                <w:noProof/>
                <w:webHidden/>
              </w:rPr>
            </w:r>
            <w:r w:rsidR="000E0CB6">
              <w:rPr>
                <w:noProof/>
                <w:webHidden/>
              </w:rPr>
              <w:fldChar w:fldCharType="separate"/>
            </w:r>
            <w:r w:rsidR="000E0CB6">
              <w:rPr>
                <w:noProof/>
                <w:webHidden/>
              </w:rPr>
              <w:t>54</w:t>
            </w:r>
            <w:r w:rsidR="000E0CB6">
              <w:rPr>
                <w:noProof/>
                <w:webHidden/>
              </w:rPr>
              <w:fldChar w:fldCharType="end"/>
            </w:r>
          </w:hyperlink>
        </w:p>
        <w:p w14:paraId="2BBAAEA3" w14:textId="77777777" w:rsidR="000E0CB6" w:rsidRDefault="00F25B7A">
          <w:pPr>
            <w:pStyle w:val="TOC2"/>
            <w:tabs>
              <w:tab w:val="right" w:leader="dot" w:pos="9350"/>
            </w:tabs>
            <w:rPr>
              <w:noProof/>
            </w:rPr>
          </w:pPr>
          <w:hyperlink w:anchor="_Toc354003321" w:history="1">
            <w:r w:rsidR="000E0CB6" w:rsidRPr="006414A7">
              <w:rPr>
                <w:rStyle w:val="Hyperlink"/>
                <w:rFonts w:eastAsiaTheme="minorHAnsi"/>
                <w:noProof/>
              </w:rPr>
              <w:t>Appendix A</w:t>
            </w:r>
            <w:r w:rsidR="000E0CB6">
              <w:rPr>
                <w:noProof/>
                <w:webHidden/>
              </w:rPr>
              <w:tab/>
            </w:r>
            <w:r w:rsidR="000E0CB6">
              <w:rPr>
                <w:noProof/>
                <w:webHidden/>
              </w:rPr>
              <w:fldChar w:fldCharType="begin"/>
            </w:r>
            <w:r w:rsidR="000E0CB6">
              <w:rPr>
                <w:noProof/>
                <w:webHidden/>
              </w:rPr>
              <w:instrText xml:space="preserve"> PAGEREF _Toc354003321 \h </w:instrText>
            </w:r>
            <w:r w:rsidR="000E0CB6">
              <w:rPr>
                <w:noProof/>
                <w:webHidden/>
              </w:rPr>
            </w:r>
            <w:r w:rsidR="000E0CB6">
              <w:rPr>
                <w:noProof/>
                <w:webHidden/>
              </w:rPr>
              <w:fldChar w:fldCharType="separate"/>
            </w:r>
            <w:r w:rsidR="000E0CB6">
              <w:rPr>
                <w:noProof/>
                <w:webHidden/>
              </w:rPr>
              <w:t>60</w:t>
            </w:r>
            <w:r w:rsidR="000E0CB6">
              <w:rPr>
                <w:noProof/>
                <w:webHidden/>
              </w:rPr>
              <w:fldChar w:fldCharType="end"/>
            </w:r>
          </w:hyperlink>
        </w:p>
        <w:p w14:paraId="33CA7377" w14:textId="77777777" w:rsidR="000E0CB6" w:rsidRDefault="00F25B7A">
          <w:pPr>
            <w:pStyle w:val="TOC2"/>
            <w:tabs>
              <w:tab w:val="right" w:leader="dot" w:pos="9350"/>
            </w:tabs>
            <w:rPr>
              <w:noProof/>
            </w:rPr>
          </w:pPr>
          <w:hyperlink w:anchor="_Toc354003322" w:history="1">
            <w:r w:rsidR="000E0CB6" w:rsidRPr="006414A7">
              <w:rPr>
                <w:rStyle w:val="Hyperlink"/>
                <w:noProof/>
              </w:rPr>
              <w:t>Tables</w:t>
            </w:r>
            <w:r w:rsidR="000E0CB6">
              <w:rPr>
                <w:noProof/>
                <w:webHidden/>
              </w:rPr>
              <w:tab/>
            </w:r>
            <w:r w:rsidR="000E0CB6">
              <w:rPr>
                <w:noProof/>
                <w:webHidden/>
              </w:rPr>
              <w:fldChar w:fldCharType="begin"/>
            </w:r>
            <w:r w:rsidR="000E0CB6">
              <w:rPr>
                <w:noProof/>
                <w:webHidden/>
              </w:rPr>
              <w:instrText xml:space="preserve"> PAGEREF _Toc354003322 \h </w:instrText>
            </w:r>
            <w:r w:rsidR="000E0CB6">
              <w:rPr>
                <w:noProof/>
                <w:webHidden/>
              </w:rPr>
            </w:r>
            <w:r w:rsidR="000E0CB6">
              <w:rPr>
                <w:noProof/>
                <w:webHidden/>
              </w:rPr>
              <w:fldChar w:fldCharType="separate"/>
            </w:r>
            <w:r w:rsidR="000E0CB6">
              <w:rPr>
                <w:noProof/>
                <w:webHidden/>
              </w:rPr>
              <w:t>60</w:t>
            </w:r>
            <w:r w:rsidR="000E0CB6">
              <w:rPr>
                <w:noProof/>
                <w:webHidden/>
              </w:rPr>
              <w:fldChar w:fldCharType="end"/>
            </w:r>
          </w:hyperlink>
        </w:p>
        <w:p w14:paraId="78BC644F" w14:textId="77777777" w:rsidR="000E0CB6" w:rsidRDefault="00F25B7A">
          <w:pPr>
            <w:pStyle w:val="TOC2"/>
            <w:tabs>
              <w:tab w:val="right" w:leader="dot" w:pos="9350"/>
            </w:tabs>
            <w:rPr>
              <w:noProof/>
            </w:rPr>
          </w:pPr>
          <w:hyperlink w:anchor="_Toc354003323" w:history="1">
            <w:r w:rsidR="000E0CB6" w:rsidRPr="006414A7">
              <w:rPr>
                <w:rStyle w:val="Hyperlink"/>
                <w:noProof/>
              </w:rPr>
              <w:t>Appendix B</w:t>
            </w:r>
            <w:r w:rsidR="000E0CB6">
              <w:rPr>
                <w:noProof/>
                <w:webHidden/>
              </w:rPr>
              <w:tab/>
            </w:r>
            <w:r w:rsidR="000E0CB6">
              <w:rPr>
                <w:noProof/>
                <w:webHidden/>
              </w:rPr>
              <w:fldChar w:fldCharType="begin"/>
            </w:r>
            <w:r w:rsidR="000E0CB6">
              <w:rPr>
                <w:noProof/>
                <w:webHidden/>
              </w:rPr>
              <w:instrText xml:space="preserve"> PAGEREF _Toc354003323 \h </w:instrText>
            </w:r>
            <w:r w:rsidR="000E0CB6">
              <w:rPr>
                <w:noProof/>
                <w:webHidden/>
              </w:rPr>
            </w:r>
            <w:r w:rsidR="000E0CB6">
              <w:rPr>
                <w:noProof/>
                <w:webHidden/>
              </w:rPr>
              <w:fldChar w:fldCharType="separate"/>
            </w:r>
            <w:r w:rsidR="000E0CB6">
              <w:rPr>
                <w:noProof/>
                <w:webHidden/>
              </w:rPr>
              <w:t>68</w:t>
            </w:r>
            <w:r w:rsidR="000E0CB6">
              <w:rPr>
                <w:noProof/>
                <w:webHidden/>
              </w:rPr>
              <w:fldChar w:fldCharType="end"/>
            </w:r>
          </w:hyperlink>
        </w:p>
        <w:p w14:paraId="6E6120DC" w14:textId="77777777" w:rsidR="000E0CB6" w:rsidRDefault="00F25B7A">
          <w:pPr>
            <w:pStyle w:val="TOC2"/>
            <w:tabs>
              <w:tab w:val="right" w:leader="dot" w:pos="9350"/>
            </w:tabs>
            <w:rPr>
              <w:noProof/>
            </w:rPr>
          </w:pPr>
          <w:hyperlink w:anchor="_Toc354003324" w:history="1">
            <w:r w:rsidR="000E0CB6" w:rsidRPr="006414A7">
              <w:rPr>
                <w:rStyle w:val="Hyperlink"/>
                <w:noProof/>
              </w:rPr>
              <w:t>Figures</w:t>
            </w:r>
            <w:r w:rsidR="000E0CB6">
              <w:rPr>
                <w:noProof/>
                <w:webHidden/>
              </w:rPr>
              <w:tab/>
            </w:r>
            <w:r w:rsidR="000E0CB6">
              <w:rPr>
                <w:noProof/>
                <w:webHidden/>
              </w:rPr>
              <w:fldChar w:fldCharType="begin"/>
            </w:r>
            <w:r w:rsidR="000E0CB6">
              <w:rPr>
                <w:noProof/>
                <w:webHidden/>
              </w:rPr>
              <w:instrText xml:space="preserve"> PAGEREF _Toc354003324 \h </w:instrText>
            </w:r>
            <w:r w:rsidR="000E0CB6">
              <w:rPr>
                <w:noProof/>
                <w:webHidden/>
              </w:rPr>
            </w:r>
            <w:r w:rsidR="000E0CB6">
              <w:rPr>
                <w:noProof/>
                <w:webHidden/>
              </w:rPr>
              <w:fldChar w:fldCharType="separate"/>
            </w:r>
            <w:r w:rsidR="000E0CB6">
              <w:rPr>
                <w:noProof/>
                <w:webHidden/>
              </w:rPr>
              <w:t>68</w:t>
            </w:r>
            <w:r w:rsidR="000E0CB6">
              <w:rPr>
                <w:noProof/>
                <w:webHidden/>
              </w:rPr>
              <w:fldChar w:fldCharType="end"/>
            </w:r>
          </w:hyperlink>
        </w:p>
        <w:p w14:paraId="1F3682FF" w14:textId="77777777" w:rsidR="000E0CB6" w:rsidRDefault="00F25B7A">
          <w:pPr>
            <w:pStyle w:val="TOC1"/>
            <w:tabs>
              <w:tab w:val="right" w:leader="dot" w:pos="9350"/>
            </w:tabs>
            <w:rPr>
              <w:noProof/>
            </w:rPr>
          </w:pPr>
          <w:hyperlink w:anchor="_Toc354003325" w:history="1">
            <w:r w:rsidR="000E0CB6" w:rsidRPr="006414A7">
              <w:rPr>
                <w:rStyle w:val="Hyperlink"/>
                <w:rFonts w:eastAsiaTheme="minorHAnsi"/>
                <w:noProof/>
              </w:rPr>
              <w:t>CHAPTER III</w:t>
            </w:r>
            <w:r w:rsidR="000E0CB6">
              <w:rPr>
                <w:noProof/>
                <w:webHidden/>
              </w:rPr>
              <w:tab/>
            </w:r>
            <w:r w:rsidR="000E0CB6">
              <w:rPr>
                <w:noProof/>
                <w:webHidden/>
              </w:rPr>
              <w:fldChar w:fldCharType="begin"/>
            </w:r>
            <w:r w:rsidR="000E0CB6">
              <w:rPr>
                <w:noProof/>
                <w:webHidden/>
              </w:rPr>
              <w:instrText xml:space="preserve"> PAGEREF _Toc354003325 \h </w:instrText>
            </w:r>
            <w:r w:rsidR="000E0CB6">
              <w:rPr>
                <w:noProof/>
                <w:webHidden/>
              </w:rPr>
            </w:r>
            <w:r w:rsidR="000E0CB6">
              <w:rPr>
                <w:noProof/>
                <w:webHidden/>
              </w:rPr>
              <w:fldChar w:fldCharType="separate"/>
            </w:r>
            <w:r w:rsidR="000E0CB6">
              <w:rPr>
                <w:noProof/>
                <w:webHidden/>
              </w:rPr>
              <w:t>71</w:t>
            </w:r>
            <w:r w:rsidR="000E0CB6">
              <w:rPr>
                <w:noProof/>
                <w:webHidden/>
              </w:rPr>
              <w:fldChar w:fldCharType="end"/>
            </w:r>
          </w:hyperlink>
        </w:p>
        <w:p w14:paraId="094C39D8" w14:textId="77777777" w:rsidR="000E0CB6" w:rsidRDefault="00F25B7A">
          <w:pPr>
            <w:pStyle w:val="TOC2"/>
            <w:tabs>
              <w:tab w:val="right" w:leader="dot" w:pos="9350"/>
            </w:tabs>
            <w:rPr>
              <w:noProof/>
            </w:rPr>
          </w:pPr>
          <w:hyperlink w:anchor="_Toc354003326" w:history="1">
            <w:r w:rsidR="000E0CB6" w:rsidRPr="006414A7">
              <w:rPr>
                <w:rStyle w:val="Hyperlink"/>
                <w:i/>
                <w:noProof/>
              </w:rPr>
              <w:t>POA</w:t>
            </w:r>
            <w:r w:rsidR="000E0CB6" w:rsidRPr="006414A7">
              <w:rPr>
                <w:rStyle w:val="Hyperlink"/>
                <w:noProof/>
              </w:rPr>
              <w:t xml:space="preserve"> SPECIES AS TEMPORARY WINTER OVERSEEDING SPECIES IN THE TRANSITION ZONE</w:t>
            </w:r>
            <w:r w:rsidR="000E0CB6">
              <w:rPr>
                <w:noProof/>
                <w:webHidden/>
              </w:rPr>
              <w:tab/>
            </w:r>
            <w:r w:rsidR="000E0CB6">
              <w:rPr>
                <w:noProof/>
                <w:webHidden/>
              </w:rPr>
              <w:fldChar w:fldCharType="begin"/>
            </w:r>
            <w:r w:rsidR="000E0CB6">
              <w:rPr>
                <w:noProof/>
                <w:webHidden/>
              </w:rPr>
              <w:instrText xml:space="preserve"> PAGEREF _Toc354003326 \h </w:instrText>
            </w:r>
            <w:r w:rsidR="000E0CB6">
              <w:rPr>
                <w:noProof/>
                <w:webHidden/>
              </w:rPr>
            </w:r>
            <w:r w:rsidR="000E0CB6">
              <w:rPr>
                <w:noProof/>
                <w:webHidden/>
              </w:rPr>
              <w:fldChar w:fldCharType="separate"/>
            </w:r>
            <w:r w:rsidR="000E0CB6">
              <w:rPr>
                <w:noProof/>
                <w:webHidden/>
              </w:rPr>
              <w:t>71</w:t>
            </w:r>
            <w:r w:rsidR="000E0CB6">
              <w:rPr>
                <w:noProof/>
                <w:webHidden/>
              </w:rPr>
              <w:fldChar w:fldCharType="end"/>
            </w:r>
          </w:hyperlink>
        </w:p>
        <w:p w14:paraId="4C53D8B4" w14:textId="77777777" w:rsidR="000E0CB6" w:rsidRDefault="00F25B7A">
          <w:pPr>
            <w:pStyle w:val="TOC3"/>
            <w:tabs>
              <w:tab w:val="right" w:leader="dot" w:pos="9350"/>
            </w:tabs>
            <w:rPr>
              <w:noProof/>
            </w:rPr>
          </w:pPr>
          <w:hyperlink w:anchor="_Toc354003327" w:history="1">
            <w:r w:rsidR="000E0CB6" w:rsidRPr="006414A7">
              <w:rPr>
                <w:rStyle w:val="Hyperlink"/>
                <w:noProof/>
              </w:rPr>
              <w:t>Abstract</w:t>
            </w:r>
            <w:r w:rsidR="000E0CB6">
              <w:rPr>
                <w:noProof/>
                <w:webHidden/>
              </w:rPr>
              <w:tab/>
            </w:r>
            <w:r w:rsidR="000E0CB6">
              <w:rPr>
                <w:noProof/>
                <w:webHidden/>
              </w:rPr>
              <w:fldChar w:fldCharType="begin"/>
            </w:r>
            <w:r w:rsidR="000E0CB6">
              <w:rPr>
                <w:noProof/>
                <w:webHidden/>
              </w:rPr>
              <w:instrText xml:space="preserve"> PAGEREF _Toc354003327 \h </w:instrText>
            </w:r>
            <w:r w:rsidR="000E0CB6">
              <w:rPr>
                <w:noProof/>
                <w:webHidden/>
              </w:rPr>
            </w:r>
            <w:r w:rsidR="000E0CB6">
              <w:rPr>
                <w:noProof/>
                <w:webHidden/>
              </w:rPr>
              <w:fldChar w:fldCharType="separate"/>
            </w:r>
            <w:r w:rsidR="000E0CB6">
              <w:rPr>
                <w:noProof/>
                <w:webHidden/>
              </w:rPr>
              <w:t>72</w:t>
            </w:r>
            <w:r w:rsidR="000E0CB6">
              <w:rPr>
                <w:noProof/>
                <w:webHidden/>
              </w:rPr>
              <w:fldChar w:fldCharType="end"/>
            </w:r>
          </w:hyperlink>
        </w:p>
        <w:p w14:paraId="47AD44EF" w14:textId="77777777" w:rsidR="000E0CB6" w:rsidRDefault="00F25B7A">
          <w:pPr>
            <w:pStyle w:val="TOC3"/>
            <w:tabs>
              <w:tab w:val="right" w:leader="dot" w:pos="9350"/>
            </w:tabs>
            <w:rPr>
              <w:noProof/>
            </w:rPr>
          </w:pPr>
          <w:hyperlink w:anchor="_Toc354003328" w:history="1">
            <w:r w:rsidR="000E0CB6" w:rsidRPr="006414A7">
              <w:rPr>
                <w:rStyle w:val="Hyperlink"/>
                <w:noProof/>
              </w:rPr>
              <w:t>Introduction</w:t>
            </w:r>
            <w:r w:rsidR="000E0CB6">
              <w:rPr>
                <w:noProof/>
                <w:webHidden/>
              </w:rPr>
              <w:tab/>
            </w:r>
            <w:r w:rsidR="000E0CB6">
              <w:rPr>
                <w:noProof/>
                <w:webHidden/>
              </w:rPr>
              <w:fldChar w:fldCharType="begin"/>
            </w:r>
            <w:r w:rsidR="000E0CB6">
              <w:rPr>
                <w:noProof/>
                <w:webHidden/>
              </w:rPr>
              <w:instrText xml:space="preserve"> PAGEREF _Toc354003328 \h </w:instrText>
            </w:r>
            <w:r w:rsidR="000E0CB6">
              <w:rPr>
                <w:noProof/>
                <w:webHidden/>
              </w:rPr>
            </w:r>
            <w:r w:rsidR="000E0CB6">
              <w:rPr>
                <w:noProof/>
                <w:webHidden/>
              </w:rPr>
              <w:fldChar w:fldCharType="separate"/>
            </w:r>
            <w:r w:rsidR="000E0CB6">
              <w:rPr>
                <w:noProof/>
                <w:webHidden/>
              </w:rPr>
              <w:t>73</w:t>
            </w:r>
            <w:r w:rsidR="000E0CB6">
              <w:rPr>
                <w:noProof/>
                <w:webHidden/>
              </w:rPr>
              <w:fldChar w:fldCharType="end"/>
            </w:r>
          </w:hyperlink>
        </w:p>
        <w:p w14:paraId="5D3A72F8" w14:textId="77777777" w:rsidR="000E0CB6" w:rsidRDefault="00F25B7A">
          <w:pPr>
            <w:pStyle w:val="TOC3"/>
            <w:tabs>
              <w:tab w:val="right" w:leader="dot" w:pos="9350"/>
            </w:tabs>
            <w:rPr>
              <w:noProof/>
            </w:rPr>
          </w:pPr>
          <w:hyperlink w:anchor="_Toc354003329" w:history="1">
            <w:r w:rsidR="000E0CB6" w:rsidRPr="006414A7">
              <w:rPr>
                <w:rStyle w:val="Hyperlink"/>
                <w:noProof/>
              </w:rPr>
              <w:t>Materials and Methods</w:t>
            </w:r>
            <w:r w:rsidR="000E0CB6">
              <w:rPr>
                <w:noProof/>
                <w:webHidden/>
              </w:rPr>
              <w:tab/>
            </w:r>
            <w:r w:rsidR="000E0CB6">
              <w:rPr>
                <w:noProof/>
                <w:webHidden/>
              </w:rPr>
              <w:fldChar w:fldCharType="begin"/>
            </w:r>
            <w:r w:rsidR="000E0CB6">
              <w:rPr>
                <w:noProof/>
                <w:webHidden/>
              </w:rPr>
              <w:instrText xml:space="preserve"> PAGEREF _Toc354003329 \h </w:instrText>
            </w:r>
            <w:r w:rsidR="000E0CB6">
              <w:rPr>
                <w:noProof/>
                <w:webHidden/>
              </w:rPr>
            </w:r>
            <w:r w:rsidR="000E0CB6">
              <w:rPr>
                <w:noProof/>
                <w:webHidden/>
              </w:rPr>
              <w:fldChar w:fldCharType="separate"/>
            </w:r>
            <w:r w:rsidR="000E0CB6">
              <w:rPr>
                <w:noProof/>
                <w:webHidden/>
              </w:rPr>
              <w:t>76</w:t>
            </w:r>
            <w:r w:rsidR="000E0CB6">
              <w:rPr>
                <w:noProof/>
                <w:webHidden/>
              </w:rPr>
              <w:fldChar w:fldCharType="end"/>
            </w:r>
          </w:hyperlink>
        </w:p>
        <w:p w14:paraId="26596E62" w14:textId="77777777" w:rsidR="000E0CB6" w:rsidRDefault="00F25B7A">
          <w:pPr>
            <w:pStyle w:val="TOC3"/>
            <w:tabs>
              <w:tab w:val="right" w:leader="dot" w:pos="9350"/>
            </w:tabs>
            <w:rPr>
              <w:noProof/>
            </w:rPr>
          </w:pPr>
          <w:hyperlink w:anchor="_Toc354003330" w:history="1">
            <w:r w:rsidR="000E0CB6" w:rsidRPr="006414A7">
              <w:rPr>
                <w:rStyle w:val="Hyperlink"/>
                <w:noProof/>
              </w:rPr>
              <w:t>Results and Discussion</w:t>
            </w:r>
            <w:r w:rsidR="000E0CB6">
              <w:rPr>
                <w:noProof/>
                <w:webHidden/>
              </w:rPr>
              <w:tab/>
            </w:r>
            <w:r w:rsidR="000E0CB6">
              <w:rPr>
                <w:noProof/>
                <w:webHidden/>
              </w:rPr>
              <w:fldChar w:fldCharType="begin"/>
            </w:r>
            <w:r w:rsidR="000E0CB6">
              <w:rPr>
                <w:noProof/>
                <w:webHidden/>
              </w:rPr>
              <w:instrText xml:space="preserve"> PAGEREF _Toc354003330 \h </w:instrText>
            </w:r>
            <w:r w:rsidR="000E0CB6">
              <w:rPr>
                <w:noProof/>
                <w:webHidden/>
              </w:rPr>
            </w:r>
            <w:r w:rsidR="000E0CB6">
              <w:rPr>
                <w:noProof/>
                <w:webHidden/>
              </w:rPr>
              <w:fldChar w:fldCharType="separate"/>
            </w:r>
            <w:r w:rsidR="000E0CB6">
              <w:rPr>
                <w:noProof/>
                <w:webHidden/>
              </w:rPr>
              <w:t>80</w:t>
            </w:r>
            <w:r w:rsidR="000E0CB6">
              <w:rPr>
                <w:noProof/>
                <w:webHidden/>
              </w:rPr>
              <w:fldChar w:fldCharType="end"/>
            </w:r>
          </w:hyperlink>
        </w:p>
        <w:p w14:paraId="4FEC7AB8" w14:textId="77777777" w:rsidR="000E0CB6" w:rsidRDefault="00F25B7A">
          <w:pPr>
            <w:pStyle w:val="TOC3"/>
            <w:tabs>
              <w:tab w:val="right" w:leader="dot" w:pos="9350"/>
            </w:tabs>
            <w:rPr>
              <w:noProof/>
            </w:rPr>
          </w:pPr>
          <w:hyperlink w:anchor="_Toc354003331" w:history="1">
            <w:r w:rsidR="000E0CB6" w:rsidRPr="006414A7">
              <w:rPr>
                <w:rStyle w:val="Hyperlink"/>
                <w:noProof/>
              </w:rPr>
              <w:t>Putting Green</w:t>
            </w:r>
            <w:r w:rsidR="000E0CB6">
              <w:rPr>
                <w:noProof/>
                <w:webHidden/>
              </w:rPr>
              <w:tab/>
            </w:r>
            <w:r w:rsidR="000E0CB6">
              <w:rPr>
                <w:noProof/>
                <w:webHidden/>
              </w:rPr>
              <w:fldChar w:fldCharType="begin"/>
            </w:r>
            <w:r w:rsidR="000E0CB6">
              <w:rPr>
                <w:noProof/>
                <w:webHidden/>
              </w:rPr>
              <w:instrText xml:space="preserve"> PAGEREF _Toc354003331 \h </w:instrText>
            </w:r>
            <w:r w:rsidR="000E0CB6">
              <w:rPr>
                <w:noProof/>
                <w:webHidden/>
              </w:rPr>
            </w:r>
            <w:r w:rsidR="000E0CB6">
              <w:rPr>
                <w:noProof/>
                <w:webHidden/>
              </w:rPr>
              <w:fldChar w:fldCharType="separate"/>
            </w:r>
            <w:r w:rsidR="000E0CB6">
              <w:rPr>
                <w:noProof/>
                <w:webHidden/>
              </w:rPr>
              <w:t>80</w:t>
            </w:r>
            <w:r w:rsidR="000E0CB6">
              <w:rPr>
                <w:noProof/>
                <w:webHidden/>
              </w:rPr>
              <w:fldChar w:fldCharType="end"/>
            </w:r>
          </w:hyperlink>
        </w:p>
        <w:p w14:paraId="3E2CCBDF" w14:textId="77777777" w:rsidR="000E0CB6" w:rsidRDefault="00F25B7A">
          <w:pPr>
            <w:pStyle w:val="TOC3"/>
            <w:tabs>
              <w:tab w:val="right" w:leader="dot" w:pos="9350"/>
            </w:tabs>
            <w:rPr>
              <w:noProof/>
            </w:rPr>
          </w:pPr>
          <w:hyperlink w:anchor="_Toc354003332" w:history="1">
            <w:r w:rsidR="000E0CB6" w:rsidRPr="006414A7">
              <w:rPr>
                <w:rStyle w:val="Hyperlink"/>
                <w:noProof/>
              </w:rPr>
              <w:t>Fairway</w:t>
            </w:r>
            <w:r w:rsidR="000E0CB6">
              <w:rPr>
                <w:noProof/>
                <w:webHidden/>
              </w:rPr>
              <w:tab/>
            </w:r>
            <w:r w:rsidR="000E0CB6">
              <w:rPr>
                <w:noProof/>
                <w:webHidden/>
              </w:rPr>
              <w:fldChar w:fldCharType="begin"/>
            </w:r>
            <w:r w:rsidR="000E0CB6">
              <w:rPr>
                <w:noProof/>
                <w:webHidden/>
              </w:rPr>
              <w:instrText xml:space="preserve"> PAGEREF _Toc354003332 \h </w:instrText>
            </w:r>
            <w:r w:rsidR="000E0CB6">
              <w:rPr>
                <w:noProof/>
                <w:webHidden/>
              </w:rPr>
            </w:r>
            <w:r w:rsidR="000E0CB6">
              <w:rPr>
                <w:noProof/>
                <w:webHidden/>
              </w:rPr>
              <w:fldChar w:fldCharType="separate"/>
            </w:r>
            <w:r w:rsidR="000E0CB6">
              <w:rPr>
                <w:noProof/>
                <w:webHidden/>
              </w:rPr>
              <w:t>83</w:t>
            </w:r>
            <w:r w:rsidR="000E0CB6">
              <w:rPr>
                <w:noProof/>
                <w:webHidden/>
              </w:rPr>
              <w:fldChar w:fldCharType="end"/>
            </w:r>
          </w:hyperlink>
        </w:p>
        <w:p w14:paraId="5795FA7C" w14:textId="77777777" w:rsidR="000E0CB6" w:rsidRDefault="00F25B7A">
          <w:pPr>
            <w:pStyle w:val="TOC3"/>
            <w:tabs>
              <w:tab w:val="right" w:leader="dot" w:pos="9350"/>
            </w:tabs>
            <w:rPr>
              <w:noProof/>
            </w:rPr>
          </w:pPr>
          <w:hyperlink w:anchor="_Toc354003333" w:history="1">
            <w:r w:rsidR="000E0CB6" w:rsidRPr="006414A7">
              <w:rPr>
                <w:rStyle w:val="Hyperlink"/>
                <w:noProof/>
              </w:rPr>
              <w:t>Sports Turf</w:t>
            </w:r>
            <w:r w:rsidR="000E0CB6">
              <w:rPr>
                <w:noProof/>
                <w:webHidden/>
              </w:rPr>
              <w:tab/>
            </w:r>
            <w:r w:rsidR="000E0CB6">
              <w:rPr>
                <w:noProof/>
                <w:webHidden/>
              </w:rPr>
              <w:fldChar w:fldCharType="begin"/>
            </w:r>
            <w:r w:rsidR="000E0CB6">
              <w:rPr>
                <w:noProof/>
                <w:webHidden/>
              </w:rPr>
              <w:instrText xml:space="preserve"> PAGEREF _Toc354003333 \h </w:instrText>
            </w:r>
            <w:r w:rsidR="000E0CB6">
              <w:rPr>
                <w:noProof/>
                <w:webHidden/>
              </w:rPr>
            </w:r>
            <w:r w:rsidR="000E0CB6">
              <w:rPr>
                <w:noProof/>
                <w:webHidden/>
              </w:rPr>
              <w:fldChar w:fldCharType="separate"/>
            </w:r>
            <w:r w:rsidR="000E0CB6">
              <w:rPr>
                <w:noProof/>
                <w:webHidden/>
              </w:rPr>
              <w:t>85</w:t>
            </w:r>
            <w:r w:rsidR="000E0CB6">
              <w:rPr>
                <w:noProof/>
                <w:webHidden/>
              </w:rPr>
              <w:fldChar w:fldCharType="end"/>
            </w:r>
          </w:hyperlink>
        </w:p>
        <w:p w14:paraId="2FB74409" w14:textId="77777777" w:rsidR="000E0CB6" w:rsidRDefault="00F25B7A">
          <w:pPr>
            <w:pStyle w:val="TOC2"/>
            <w:tabs>
              <w:tab w:val="right" w:leader="dot" w:pos="9350"/>
            </w:tabs>
            <w:rPr>
              <w:noProof/>
            </w:rPr>
          </w:pPr>
          <w:hyperlink w:anchor="_Toc354003334" w:history="1">
            <w:r w:rsidR="000E0CB6" w:rsidRPr="006414A7">
              <w:rPr>
                <w:rStyle w:val="Hyperlink"/>
                <w:noProof/>
              </w:rPr>
              <w:t>Literarture Cited</w:t>
            </w:r>
            <w:r w:rsidR="000E0CB6">
              <w:rPr>
                <w:noProof/>
                <w:webHidden/>
              </w:rPr>
              <w:tab/>
            </w:r>
            <w:r w:rsidR="000E0CB6">
              <w:rPr>
                <w:noProof/>
                <w:webHidden/>
              </w:rPr>
              <w:fldChar w:fldCharType="begin"/>
            </w:r>
            <w:r w:rsidR="000E0CB6">
              <w:rPr>
                <w:noProof/>
                <w:webHidden/>
              </w:rPr>
              <w:instrText xml:space="preserve"> PAGEREF _Toc354003334 \h </w:instrText>
            </w:r>
            <w:r w:rsidR="000E0CB6">
              <w:rPr>
                <w:noProof/>
                <w:webHidden/>
              </w:rPr>
            </w:r>
            <w:r w:rsidR="000E0CB6">
              <w:rPr>
                <w:noProof/>
                <w:webHidden/>
              </w:rPr>
              <w:fldChar w:fldCharType="separate"/>
            </w:r>
            <w:r w:rsidR="000E0CB6">
              <w:rPr>
                <w:noProof/>
                <w:webHidden/>
              </w:rPr>
              <w:t>88</w:t>
            </w:r>
            <w:r w:rsidR="000E0CB6">
              <w:rPr>
                <w:noProof/>
                <w:webHidden/>
              </w:rPr>
              <w:fldChar w:fldCharType="end"/>
            </w:r>
          </w:hyperlink>
        </w:p>
        <w:p w14:paraId="24B9D0B5" w14:textId="77777777" w:rsidR="000E0CB6" w:rsidRDefault="00F25B7A">
          <w:pPr>
            <w:pStyle w:val="TOC2"/>
            <w:tabs>
              <w:tab w:val="right" w:leader="dot" w:pos="9350"/>
            </w:tabs>
            <w:rPr>
              <w:noProof/>
            </w:rPr>
          </w:pPr>
          <w:hyperlink w:anchor="_Toc354003335" w:history="1">
            <w:r w:rsidR="000E0CB6" w:rsidRPr="006414A7">
              <w:rPr>
                <w:rStyle w:val="Hyperlink"/>
                <w:noProof/>
              </w:rPr>
              <w:t>Appendix C</w:t>
            </w:r>
            <w:r w:rsidR="000E0CB6">
              <w:rPr>
                <w:noProof/>
                <w:webHidden/>
              </w:rPr>
              <w:tab/>
            </w:r>
            <w:r w:rsidR="000E0CB6">
              <w:rPr>
                <w:noProof/>
                <w:webHidden/>
              </w:rPr>
              <w:fldChar w:fldCharType="begin"/>
            </w:r>
            <w:r w:rsidR="000E0CB6">
              <w:rPr>
                <w:noProof/>
                <w:webHidden/>
              </w:rPr>
              <w:instrText xml:space="preserve"> PAGEREF _Toc354003335 \h </w:instrText>
            </w:r>
            <w:r w:rsidR="000E0CB6">
              <w:rPr>
                <w:noProof/>
                <w:webHidden/>
              </w:rPr>
            </w:r>
            <w:r w:rsidR="000E0CB6">
              <w:rPr>
                <w:noProof/>
                <w:webHidden/>
              </w:rPr>
              <w:fldChar w:fldCharType="separate"/>
            </w:r>
            <w:r w:rsidR="000E0CB6">
              <w:rPr>
                <w:noProof/>
                <w:webHidden/>
              </w:rPr>
              <w:t>92</w:t>
            </w:r>
            <w:r w:rsidR="000E0CB6">
              <w:rPr>
                <w:noProof/>
                <w:webHidden/>
              </w:rPr>
              <w:fldChar w:fldCharType="end"/>
            </w:r>
          </w:hyperlink>
        </w:p>
        <w:p w14:paraId="07887584" w14:textId="77777777" w:rsidR="000E0CB6" w:rsidRDefault="00F25B7A">
          <w:pPr>
            <w:pStyle w:val="TOC2"/>
            <w:tabs>
              <w:tab w:val="right" w:leader="dot" w:pos="9350"/>
            </w:tabs>
            <w:rPr>
              <w:noProof/>
            </w:rPr>
          </w:pPr>
          <w:hyperlink w:anchor="_Toc354003336" w:history="1">
            <w:r w:rsidR="000E0CB6" w:rsidRPr="006414A7">
              <w:rPr>
                <w:rStyle w:val="Hyperlink"/>
                <w:noProof/>
              </w:rPr>
              <w:t>Tables</w:t>
            </w:r>
            <w:r w:rsidR="000E0CB6">
              <w:rPr>
                <w:noProof/>
                <w:webHidden/>
              </w:rPr>
              <w:tab/>
            </w:r>
            <w:r w:rsidR="000E0CB6">
              <w:rPr>
                <w:noProof/>
                <w:webHidden/>
              </w:rPr>
              <w:fldChar w:fldCharType="begin"/>
            </w:r>
            <w:r w:rsidR="000E0CB6">
              <w:rPr>
                <w:noProof/>
                <w:webHidden/>
              </w:rPr>
              <w:instrText xml:space="preserve"> PAGEREF _Toc354003336 \h </w:instrText>
            </w:r>
            <w:r w:rsidR="000E0CB6">
              <w:rPr>
                <w:noProof/>
                <w:webHidden/>
              </w:rPr>
            </w:r>
            <w:r w:rsidR="000E0CB6">
              <w:rPr>
                <w:noProof/>
                <w:webHidden/>
              </w:rPr>
              <w:fldChar w:fldCharType="separate"/>
            </w:r>
            <w:r w:rsidR="000E0CB6">
              <w:rPr>
                <w:noProof/>
                <w:webHidden/>
              </w:rPr>
              <w:t>92</w:t>
            </w:r>
            <w:r w:rsidR="000E0CB6">
              <w:rPr>
                <w:noProof/>
                <w:webHidden/>
              </w:rPr>
              <w:fldChar w:fldCharType="end"/>
            </w:r>
          </w:hyperlink>
        </w:p>
        <w:p w14:paraId="1911008D" w14:textId="77777777" w:rsidR="000E0CB6" w:rsidRDefault="00F25B7A">
          <w:pPr>
            <w:pStyle w:val="TOC2"/>
            <w:tabs>
              <w:tab w:val="right" w:leader="dot" w:pos="9350"/>
            </w:tabs>
            <w:rPr>
              <w:noProof/>
            </w:rPr>
          </w:pPr>
          <w:hyperlink w:anchor="_Toc354003337" w:history="1">
            <w:r w:rsidR="000E0CB6" w:rsidRPr="006414A7">
              <w:rPr>
                <w:rStyle w:val="Hyperlink"/>
                <w:noProof/>
              </w:rPr>
              <w:t>Appendix D</w:t>
            </w:r>
            <w:r w:rsidR="000E0CB6">
              <w:rPr>
                <w:noProof/>
                <w:webHidden/>
              </w:rPr>
              <w:tab/>
            </w:r>
            <w:r w:rsidR="000E0CB6">
              <w:rPr>
                <w:noProof/>
                <w:webHidden/>
              </w:rPr>
              <w:fldChar w:fldCharType="begin"/>
            </w:r>
            <w:r w:rsidR="000E0CB6">
              <w:rPr>
                <w:noProof/>
                <w:webHidden/>
              </w:rPr>
              <w:instrText xml:space="preserve"> PAGEREF _Toc354003337 \h </w:instrText>
            </w:r>
            <w:r w:rsidR="000E0CB6">
              <w:rPr>
                <w:noProof/>
                <w:webHidden/>
              </w:rPr>
            </w:r>
            <w:r w:rsidR="000E0CB6">
              <w:rPr>
                <w:noProof/>
                <w:webHidden/>
              </w:rPr>
              <w:fldChar w:fldCharType="separate"/>
            </w:r>
            <w:r w:rsidR="000E0CB6">
              <w:rPr>
                <w:noProof/>
                <w:webHidden/>
              </w:rPr>
              <w:t>100</w:t>
            </w:r>
            <w:r w:rsidR="000E0CB6">
              <w:rPr>
                <w:noProof/>
                <w:webHidden/>
              </w:rPr>
              <w:fldChar w:fldCharType="end"/>
            </w:r>
          </w:hyperlink>
        </w:p>
        <w:p w14:paraId="3C4EF285" w14:textId="77777777" w:rsidR="000E0CB6" w:rsidRDefault="00F25B7A">
          <w:pPr>
            <w:pStyle w:val="TOC2"/>
            <w:tabs>
              <w:tab w:val="right" w:leader="dot" w:pos="9350"/>
            </w:tabs>
            <w:rPr>
              <w:noProof/>
            </w:rPr>
          </w:pPr>
          <w:hyperlink w:anchor="_Toc354003338" w:history="1">
            <w:r w:rsidR="000E0CB6" w:rsidRPr="006414A7">
              <w:rPr>
                <w:rStyle w:val="Hyperlink"/>
                <w:noProof/>
              </w:rPr>
              <w:t>Figures</w:t>
            </w:r>
            <w:r w:rsidR="000E0CB6">
              <w:rPr>
                <w:noProof/>
                <w:webHidden/>
              </w:rPr>
              <w:tab/>
            </w:r>
            <w:r w:rsidR="000E0CB6">
              <w:rPr>
                <w:noProof/>
                <w:webHidden/>
              </w:rPr>
              <w:fldChar w:fldCharType="begin"/>
            </w:r>
            <w:r w:rsidR="000E0CB6">
              <w:rPr>
                <w:noProof/>
                <w:webHidden/>
              </w:rPr>
              <w:instrText xml:space="preserve"> PAGEREF _Toc354003338 \h </w:instrText>
            </w:r>
            <w:r w:rsidR="000E0CB6">
              <w:rPr>
                <w:noProof/>
                <w:webHidden/>
              </w:rPr>
            </w:r>
            <w:r w:rsidR="000E0CB6">
              <w:rPr>
                <w:noProof/>
                <w:webHidden/>
              </w:rPr>
              <w:fldChar w:fldCharType="separate"/>
            </w:r>
            <w:r w:rsidR="000E0CB6">
              <w:rPr>
                <w:noProof/>
                <w:webHidden/>
              </w:rPr>
              <w:t>100</w:t>
            </w:r>
            <w:r w:rsidR="000E0CB6">
              <w:rPr>
                <w:noProof/>
                <w:webHidden/>
              </w:rPr>
              <w:fldChar w:fldCharType="end"/>
            </w:r>
          </w:hyperlink>
        </w:p>
        <w:p w14:paraId="3BBAB53A" w14:textId="77777777" w:rsidR="000E0CB6" w:rsidRDefault="00F25B7A">
          <w:pPr>
            <w:pStyle w:val="TOC2"/>
            <w:tabs>
              <w:tab w:val="right" w:leader="dot" w:pos="9350"/>
            </w:tabs>
            <w:rPr>
              <w:noProof/>
            </w:rPr>
          </w:pPr>
          <w:hyperlink w:anchor="_Toc354003339" w:history="1">
            <w:r w:rsidR="000E0CB6" w:rsidRPr="006414A7">
              <w:rPr>
                <w:rStyle w:val="Hyperlink"/>
                <w:noProof/>
              </w:rPr>
              <w:t>Appendix E</w:t>
            </w:r>
            <w:r w:rsidR="000E0CB6">
              <w:rPr>
                <w:noProof/>
                <w:webHidden/>
              </w:rPr>
              <w:tab/>
            </w:r>
            <w:r w:rsidR="000E0CB6">
              <w:rPr>
                <w:noProof/>
                <w:webHidden/>
              </w:rPr>
              <w:fldChar w:fldCharType="begin"/>
            </w:r>
            <w:r w:rsidR="000E0CB6">
              <w:rPr>
                <w:noProof/>
                <w:webHidden/>
              </w:rPr>
              <w:instrText xml:space="preserve"> PAGEREF _Toc354003339 \h </w:instrText>
            </w:r>
            <w:r w:rsidR="000E0CB6">
              <w:rPr>
                <w:noProof/>
                <w:webHidden/>
              </w:rPr>
            </w:r>
            <w:r w:rsidR="000E0CB6">
              <w:rPr>
                <w:noProof/>
                <w:webHidden/>
              </w:rPr>
              <w:fldChar w:fldCharType="separate"/>
            </w:r>
            <w:r w:rsidR="000E0CB6">
              <w:rPr>
                <w:noProof/>
                <w:webHidden/>
              </w:rPr>
              <w:t>111</w:t>
            </w:r>
            <w:r w:rsidR="000E0CB6">
              <w:rPr>
                <w:noProof/>
                <w:webHidden/>
              </w:rPr>
              <w:fldChar w:fldCharType="end"/>
            </w:r>
          </w:hyperlink>
        </w:p>
        <w:p w14:paraId="04C754E8" w14:textId="77777777" w:rsidR="000E0CB6" w:rsidRDefault="00F25B7A">
          <w:pPr>
            <w:pStyle w:val="TOC2"/>
            <w:tabs>
              <w:tab w:val="right" w:leader="dot" w:pos="9350"/>
            </w:tabs>
            <w:rPr>
              <w:noProof/>
            </w:rPr>
          </w:pPr>
          <w:hyperlink w:anchor="_Toc354003340" w:history="1">
            <w:r w:rsidR="000E0CB6" w:rsidRPr="006414A7">
              <w:rPr>
                <w:rStyle w:val="Hyperlink"/>
                <w:noProof/>
              </w:rPr>
              <w:t>Preliminary Species Evaluation Data</w:t>
            </w:r>
            <w:r w:rsidR="000E0CB6">
              <w:rPr>
                <w:noProof/>
                <w:webHidden/>
              </w:rPr>
              <w:tab/>
            </w:r>
            <w:r w:rsidR="000E0CB6">
              <w:rPr>
                <w:noProof/>
                <w:webHidden/>
              </w:rPr>
              <w:fldChar w:fldCharType="begin"/>
            </w:r>
            <w:r w:rsidR="000E0CB6">
              <w:rPr>
                <w:noProof/>
                <w:webHidden/>
              </w:rPr>
              <w:instrText xml:space="preserve"> PAGEREF _Toc354003340 \h </w:instrText>
            </w:r>
            <w:r w:rsidR="000E0CB6">
              <w:rPr>
                <w:noProof/>
                <w:webHidden/>
              </w:rPr>
            </w:r>
            <w:r w:rsidR="000E0CB6">
              <w:rPr>
                <w:noProof/>
                <w:webHidden/>
              </w:rPr>
              <w:fldChar w:fldCharType="separate"/>
            </w:r>
            <w:r w:rsidR="000E0CB6">
              <w:rPr>
                <w:noProof/>
                <w:webHidden/>
              </w:rPr>
              <w:t>111</w:t>
            </w:r>
            <w:r w:rsidR="000E0CB6">
              <w:rPr>
                <w:noProof/>
                <w:webHidden/>
              </w:rPr>
              <w:fldChar w:fldCharType="end"/>
            </w:r>
          </w:hyperlink>
        </w:p>
        <w:p w14:paraId="6E10EBCB" w14:textId="77777777" w:rsidR="000E0CB6" w:rsidRDefault="00F25B7A">
          <w:pPr>
            <w:pStyle w:val="TOC3"/>
            <w:tabs>
              <w:tab w:val="right" w:leader="dot" w:pos="9350"/>
            </w:tabs>
            <w:rPr>
              <w:noProof/>
            </w:rPr>
          </w:pPr>
          <w:hyperlink w:anchor="_Toc354003341" w:history="1">
            <w:r w:rsidR="000E0CB6" w:rsidRPr="006414A7">
              <w:rPr>
                <w:rStyle w:val="Hyperlink"/>
                <w:rFonts w:eastAsia="SimSun"/>
                <w:noProof/>
                <w:lang w:eastAsia="zh-CN"/>
              </w:rPr>
              <w:t>Materials and Methods</w:t>
            </w:r>
            <w:r w:rsidR="000E0CB6">
              <w:rPr>
                <w:noProof/>
                <w:webHidden/>
              </w:rPr>
              <w:tab/>
            </w:r>
            <w:r w:rsidR="000E0CB6">
              <w:rPr>
                <w:noProof/>
                <w:webHidden/>
              </w:rPr>
              <w:fldChar w:fldCharType="begin"/>
            </w:r>
            <w:r w:rsidR="000E0CB6">
              <w:rPr>
                <w:noProof/>
                <w:webHidden/>
              </w:rPr>
              <w:instrText xml:space="preserve"> PAGEREF _Toc354003341 \h </w:instrText>
            </w:r>
            <w:r w:rsidR="000E0CB6">
              <w:rPr>
                <w:noProof/>
                <w:webHidden/>
              </w:rPr>
            </w:r>
            <w:r w:rsidR="000E0CB6">
              <w:rPr>
                <w:noProof/>
                <w:webHidden/>
              </w:rPr>
              <w:fldChar w:fldCharType="separate"/>
            </w:r>
            <w:r w:rsidR="000E0CB6">
              <w:rPr>
                <w:noProof/>
                <w:webHidden/>
              </w:rPr>
              <w:t>112</w:t>
            </w:r>
            <w:r w:rsidR="000E0CB6">
              <w:rPr>
                <w:noProof/>
                <w:webHidden/>
              </w:rPr>
              <w:fldChar w:fldCharType="end"/>
            </w:r>
          </w:hyperlink>
        </w:p>
        <w:p w14:paraId="1A32CEB3" w14:textId="77777777" w:rsidR="000E0CB6" w:rsidRDefault="00F25B7A">
          <w:pPr>
            <w:pStyle w:val="TOC3"/>
            <w:tabs>
              <w:tab w:val="right" w:leader="dot" w:pos="9350"/>
            </w:tabs>
            <w:rPr>
              <w:noProof/>
            </w:rPr>
          </w:pPr>
          <w:hyperlink w:anchor="_Toc354003342" w:history="1">
            <w:r w:rsidR="000E0CB6" w:rsidRPr="006414A7">
              <w:rPr>
                <w:rStyle w:val="Hyperlink"/>
                <w:rFonts w:eastAsia="Calibri"/>
                <w:noProof/>
              </w:rPr>
              <w:t>Results and Discussion</w:t>
            </w:r>
            <w:r w:rsidR="000E0CB6">
              <w:rPr>
                <w:noProof/>
                <w:webHidden/>
              </w:rPr>
              <w:tab/>
            </w:r>
            <w:r w:rsidR="000E0CB6">
              <w:rPr>
                <w:noProof/>
                <w:webHidden/>
              </w:rPr>
              <w:fldChar w:fldCharType="begin"/>
            </w:r>
            <w:r w:rsidR="000E0CB6">
              <w:rPr>
                <w:noProof/>
                <w:webHidden/>
              </w:rPr>
              <w:instrText xml:space="preserve"> PAGEREF _Toc354003342 \h </w:instrText>
            </w:r>
            <w:r w:rsidR="000E0CB6">
              <w:rPr>
                <w:noProof/>
                <w:webHidden/>
              </w:rPr>
            </w:r>
            <w:r w:rsidR="000E0CB6">
              <w:rPr>
                <w:noProof/>
                <w:webHidden/>
              </w:rPr>
              <w:fldChar w:fldCharType="separate"/>
            </w:r>
            <w:r w:rsidR="000E0CB6">
              <w:rPr>
                <w:noProof/>
                <w:webHidden/>
              </w:rPr>
              <w:t>114</w:t>
            </w:r>
            <w:r w:rsidR="000E0CB6">
              <w:rPr>
                <w:noProof/>
                <w:webHidden/>
              </w:rPr>
              <w:fldChar w:fldCharType="end"/>
            </w:r>
          </w:hyperlink>
        </w:p>
        <w:p w14:paraId="2A30578F" w14:textId="77777777" w:rsidR="000E0CB6" w:rsidRDefault="00F25B7A">
          <w:pPr>
            <w:pStyle w:val="TOC2"/>
            <w:tabs>
              <w:tab w:val="right" w:leader="dot" w:pos="9350"/>
            </w:tabs>
            <w:rPr>
              <w:noProof/>
            </w:rPr>
          </w:pPr>
          <w:hyperlink w:anchor="_Toc354003343" w:history="1">
            <w:r w:rsidR="000E0CB6" w:rsidRPr="006414A7">
              <w:rPr>
                <w:rStyle w:val="Hyperlink"/>
                <w:noProof/>
              </w:rPr>
              <w:t>Tables</w:t>
            </w:r>
            <w:r w:rsidR="000E0CB6">
              <w:rPr>
                <w:noProof/>
                <w:webHidden/>
              </w:rPr>
              <w:tab/>
            </w:r>
            <w:r w:rsidR="000E0CB6">
              <w:rPr>
                <w:noProof/>
                <w:webHidden/>
              </w:rPr>
              <w:fldChar w:fldCharType="begin"/>
            </w:r>
            <w:r w:rsidR="000E0CB6">
              <w:rPr>
                <w:noProof/>
                <w:webHidden/>
              </w:rPr>
              <w:instrText xml:space="preserve"> PAGEREF _Toc354003343 \h </w:instrText>
            </w:r>
            <w:r w:rsidR="000E0CB6">
              <w:rPr>
                <w:noProof/>
                <w:webHidden/>
              </w:rPr>
            </w:r>
            <w:r w:rsidR="000E0CB6">
              <w:rPr>
                <w:noProof/>
                <w:webHidden/>
              </w:rPr>
              <w:fldChar w:fldCharType="separate"/>
            </w:r>
            <w:r w:rsidR="000E0CB6">
              <w:rPr>
                <w:noProof/>
                <w:webHidden/>
              </w:rPr>
              <w:t>116</w:t>
            </w:r>
            <w:r w:rsidR="000E0CB6">
              <w:rPr>
                <w:noProof/>
                <w:webHidden/>
              </w:rPr>
              <w:fldChar w:fldCharType="end"/>
            </w:r>
          </w:hyperlink>
        </w:p>
        <w:p w14:paraId="1B9BDB13" w14:textId="77777777" w:rsidR="000E0CB6" w:rsidRDefault="00F25B7A">
          <w:pPr>
            <w:pStyle w:val="TOC2"/>
            <w:tabs>
              <w:tab w:val="right" w:leader="dot" w:pos="9350"/>
            </w:tabs>
            <w:rPr>
              <w:noProof/>
            </w:rPr>
          </w:pPr>
          <w:hyperlink w:anchor="_Toc354003344" w:history="1">
            <w:r w:rsidR="000E0CB6" w:rsidRPr="006414A7">
              <w:rPr>
                <w:rStyle w:val="Hyperlink"/>
                <w:noProof/>
              </w:rPr>
              <w:t>Figures</w:t>
            </w:r>
            <w:r w:rsidR="000E0CB6">
              <w:rPr>
                <w:noProof/>
                <w:webHidden/>
              </w:rPr>
              <w:tab/>
            </w:r>
            <w:r w:rsidR="000E0CB6">
              <w:rPr>
                <w:noProof/>
                <w:webHidden/>
              </w:rPr>
              <w:fldChar w:fldCharType="begin"/>
            </w:r>
            <w:r w:rsidR="000E0CB6">
              <w:rPr>
                <w:noProof/>
                <w:webHidden/>
              </w:rPr>
              <w:instrText xml:space="preserve"> PAGEREF _Toc354003344 \h </w:instrText>
            </w:r>
            <w:r w:rsidR="000E0CB6">
              <w:rPr>
                <w:noProof/>
                <w:webHidden/>
              </w:rPr>
            </w:r>
            <w:r w:rsidR="000E0CB6">
              <w:rPr>
                <w:noProof/>
                <w:webHidden/>
              </w:rPr>
              <w:fldChar w:fldCharType="separate"/>
            </w:r>
            <w:r w:rsidR="000E0CB6">
              <w:rPr>
                <w:noProof/>
                <w:webHidden/>
              </w:rPr>
              <w:t>118</w:t>
            </w:r>
            <w:r w:rsidR="000E0CB6">
              <w:rPr>
                <w:noProof/>
                <w:webHidden/>
              </w:rPr>
              <w:fldChar w:fldCharType="end"/>
            </w:r>
          </w:hyperlink>
        </w:p>
        <w:p w14:paraId="45301E60" w14:textId="77777777" w:rsidR="000E0CB6" w:rsidRDefault="00F25B7A">
          <w:pPr>
            <w:pStyle w:val="TOC2"/>
            <w:tabs>
              <w:tab w:val="right" w:leader="dot" w:pos="9350"/>
            </w:tabs>
            <w:rPr>
              <w:noProof/>
            </w:rPr>
          </w:pPr>
          <w:hyperlink w:anchor="_Toc354003345" w:history="1">
            <w:r w:rsidR="000E0CB6" w:rsidRPr="006414A7">
              <w:rPr>
                <w:rStyle w:val="Hyperlink"/>
                <w:noProof/>
              </w:rPr>
              <w:t>Appendix F</w:t>
            </w:r>
            <w:r w:rsidR="000E0CB6">
              <w:rPr>
                <w:noProof/>
                <w:webHidden/>
              </w:rPr>
              <w:tab/>
            </w:r>
            <w:r w:rsidR="000E0CB6">
              <w:rPr>
                <w:noProof/>
                <w:webHidden/>
              </w:rPr>
              <w:fldChar w:fldCharType="begin"/>
            </w:r>
            <w:r w:rsidR="000E0CB6">
              <w:rPr>
                <w:noProof/>
                <w:webHidden/>
              </w:rPr>
              <w:instrText xml:space="preserve"> PAGEREF _Toc354003345 \h </w:instrText>
            </w:r>
            <w:r w:rsidR="000E0CB6">
              <w:rPr>
                <w:noProof/>
                <w:webHidden/>
              </w:rPr>
            </w:r>
            <w:r w:rsidR="000E0CB6">
              <w:rPr>
                <w:noProof/>
                <w:webHidden/>
              </w:rPr>
              <w:fldChar w:fldCharType="separate"/>
            </w:r>
            <w:r w:rsidR="000E0CB6">
              <w:rPr>
                <w:noProof/>
                <w:webHidden/>
              </w:rPr>
              <w:t>119</w:t>
            </w:r>
            <w:r w:rsidR="000E0CB6">
              <w:rPr>
                <w:noProof/>
                <w:webHidden/>
              </w:rPr>
              <w:fldChar w:fldCharType="end"/>
            </w:r>
          </w:hyperlink>
        </w:p>
        <w:p w14:paraId="620A24BC" w14:textId="77777777" w:rsidR="000E0CB6" w:rsidRDefault="00F25B7A">
          <w:pPr>
            <w:pStyle w:val="TOC2"/>
            <w:tabs>
              <w:tab w:val="right" w:leader="dot" w:pos="9350"/>
            </w:tabs>
            <w:rPr>
              <w:noProof/>
            </w:rPr>
          </w:pPr>
          <w:hyperlink w:anchor="_Toc354003346" w:history="1">
            <w:r w:rsidR="000E0CB6" w:rsidRPr="006414A7">
              <w:rPr>
                <w:rStyle w:val="Hyperlink"/>
                <w:noProof/>
              </w:rPr>
              <w:t>Greenhouse hybridizations</w:t>
            </w:r>
            <w:r w:rsidR="000E0CB6">
              <w:rPr>
                <w:noProof/>
                <w:webHidden/>
              </w:rPr>
              <w:tab/>
            </w:r>
            <w:r w:rsidR="000E0CB6">
              <w:rPr>
                <w:noProof/>
                <w:webHidden/>
              </w:rPr>
              <w:fldChar w:fldCharType="begin"/>
            </w:r>
            <w:r w:rsidR="000E0CB6">
              <w:rPr>
                <w:noProof/>
                <w:webHidden/>
              </w:rPr>
              <w:instrText xml:space="preserve"> PAGEREF _Toc354003346 \h </w:instrText>
            </w:r>
            <w:r w:rsidR="000E0CB6">
              <w:rPr>
                <w:noProof/>
                <w:webHidden/>
              </w:rPr>
            </w:r>
            <w:r w:rsidR="000E0CB6">
              <w:rPr>
                <w:noProof/>
                <w:webHidden/>
              </w:rPr>
              <w:fldChar w:fldCharType="separate"/>
            </w:r>
            <w:r w:rsidR="000E0CB6">
              <w:rPr>
                <w:noProof/>
                <w:webHidden/>
              </w:rPr>
              <w:t>119</w:t>
            </w:r>
            <w:r w:rsidR="000E0CB6">
              <w:rPr>
                <w:noProof/>
                <w:webHidden/>
              </w:rPr>
              <w:fldChar w:fldCharType="end"/>
            </w:r>
          </w:hyperlink>
        </w:p>
        <w:p w14:paraId="3A3034A9" w14:textId="77777777" w:rsidR="000E0CB6" w:rsidRDefault="00F25B7A">
          <w:pPr>
            <w:pStyle w:val="TOC3"/>
            <w:tabs>
              <w:tab w:val="right" w:leader="dot" w:pos="9350"/>
            </w:tabs>
            <w:rPr>
              <w:noProof/>
            </w:rPr>
          </w:pPr>
          <w:hyperlink w:anchor="_Toc354003347" w:history="1">
            <w:r w:rsidR="000E0CB6" w:rsidRPr="006414A7">
              <w:rPr>
                <w:rStyle w:val="Hyperlink"/>
                <w:noProof/>
              </w:rPr>
              <w:t>Materials and Methods</w:t>
            </w:r>
            <w:r w:rsidR="000E0CB6">
              <w:rPr>
                <w:noProof/>
                <w:webHidden/>
              </w:rPr>
              <w:tab/>
            </w:r>
            <w:r w:rsidR="000E0CB6">
              <w:rPr>
                <w:noProof/>
                <w:webHidden/>
              </w:rPr>
              <w:fldChar w:fldCharType="begin"/>
            </w:r>
            <w:r w:rsidR="000E0CB6">
              <w:rPr>
                <w:noProof/>
                <w:webHidden/>
              </w:rPr>
              <w:instrText xml:space="preserve"> PAGEREF _Toc354003347 \h </w:instrText>
            </w:r>
            <w:r w:rsidR="000E0CB6">
              <w:rPr>
                <w:noProof/>
                <w:webHidden/>
              </w:rPr>
            </w:r>
            <w:r w:rsidR="000E0CB6">
              <w:rPr>
                <w:noProof/>
                <w:webHidden/>
              </w:rPr>
              <w:fldChar w:fldCharType="separate"/>
            </w:r>
            <w:r w:rsidR="000E0CB6">
              <w:rPr>
                <w:noProof/>
                <w:webHidden/>
              </w:rPr>
              <w:t>120</w:t>
            </w:r>
            <w:r w:rsidR="000E0CB6">
              <w:rPr>
                <w:noProof/>
                <w:webHidden/>
              </w:rPr>
              <w:fldChar w:fldCharType="end"/>
            </w:r>
          </w:hyperlink>
        </w:p>
        <w:p w14:paraId="6661149A" w14:textId="77777777" w:rsidR="000E0CB6" w:rsidRDefault="00F25B7A">
          <w:pPr>
            <w:pStyle w:val="TOC3"/>
            <w:tabs>
              <w:tab w:val="right" w:leader="dot" w:pos="9350"/>
            </w:tabs>
            <w:rPr>
              <w:noProof/>
            </w:rPr>
          </w:pPr>
          <w:hyperlink w:anchor="_Toc354003348" w:history="1">
            <w:r w:rsidR="000E0CB6" w:rsidRPr="006414A7">
              <w:rPr>
                <w:rStyle w:val="Hyperlink"/>
                <w:noProof/>
              </w:rPr>
              <w:t>Results and Discussion</w:t>
            </w:r>
            <w:r w:rsidR="000E0CB6">
              <w:rPr>
                <w:noProof/>
                <w:webHidden/>
              </w:rPr>
              <w:tab/>
            </w:r>
            <w:r w:rsidR="000E0CB6">
              <w:rPr>
                <w:noProof/>
                <w:webHidden/>
              </w:rPr>
              <w:fldChar w:fldCharType="begin"/>
            </w:r>
            <w:r w:rsidR="000E0CB6">
              <w:rPr>
                <w:noProof/>
                <w:webHidden/>
              </w:rPr>
              <w:instrText xml:space="preserve"> PAGEREF _Toc354003348 \h </w:instrText>
            </w:r>
            <w:r w:rsidR="000E0CB6">
              <w:rPr>
                <w:noProof/>
                <w:webHidden/>
              </w:rPr>
            </w:r>
            <w:r w:rsidR="000E0CB6">
              <w:rPr>
                <w:noProof/>
                <w:webHidden/>
              </w:rPr>
              <w:fldChar w:fldCharType="separate"/>
            </w:r>
            <w:r w:rsidR="000E0CB6">
              <w:rPr>
                <w:noProof/>
                <w:webHidden/>
              </w:rPr>
              <w:t>121</w:t>
            </w:r>
            <w:r w:rsidR="000E0CB6">
              <w:rPr>
                <w:noProof/>
                <w:webHidden/>
              </w:rPr>
              <w:fldChar w:fldCharType="end"/>
            </w:r>
          </w:hyperlink>
        </w:p>
        <w:p w14:paraId="356056A6" w14:textId="77777777" w:rsidR="000E0CB6" w:rsidRDefault="00F25B7A">
          <w:pPr>
            <w:pStyle w:val="TOC2"/>
            <w:tabs>
              <w:tab w:val="right" w:leader="dot" w:pos="9350"/>
            </w:tabs>
            <w:rPr>
              <w:noProof/>
            </w:rPr>
          </w:pPr>
          <w:hyperlink w:anchor="_Toc354003349" w:history="1">
            <w:r w:rsidR="000E0CB6" w:rsidRPr="006414A7">
              <w:rPr>
                <w:rStyle w:val="Hyperlink"/>
                <w:noProof/>
              </w:rPr>
              <w:t>Figures</w:t>
            </w:r>
            <w:r w:rsidR="000E0CB6">
              <w:rPr>
                <w:noProof/>
                <w:webHidden/>
              </w:rPr>
              <w:tab/>
            </w:r>
            <w:r w:rsidR="000E0CB6">
              <w:rPr>
                <w:noProof/>
                <w:webHidden/>
              </w:rPr>
              <w:fldChar w:fldCharType="begin"/>
            </w:r>
            <w:r w:rsidR="000E0CB6">
              <w:rPr>
                <w:noProof/>
                <w:webHidden/>
              </w:rPr>
              <w:instrText xml:space="preserve"> PAGEREF _Toc354003349 \h </w:instrText>
            </w:r>
            <w:r w:rsidR="000E0CB6">
              <w:rPr>
                <w:noProof/>
                <w:webHidden/>
              </w:rPr>
            </w:r>
            <w:r w:rsidR="000E0CB6">
              <w:rPr>
                <w:noProof/>
                <w:webHidden/>
              </w:rPr>
              <w:fldChar w:fldCharType="separate"/>
            </w:r>
            <w:r w:rsidR="000E0CB6">
              <w:rPr>
                <w:noProof/>
                <w:webHidden/>
              </w:rPr>
              <w:t>122</w:t>
            </w:r>
            <w:r w:rsidR="000E0CB6">
              <w:rPr>
                <w:noProof/>
                <w:webHidden/>
              </w:rPr>
              <w:fldChar w:fldCharType="end"/>
            </w:r>
          </w:hyperlink>
        </w:p>
        <w:p w14:paraId="4BE8FE10" w14:textId="77777777" w:rsidR="000E0CB6" w:rsidRDefault="00F25B7A">
          <w:pPr>
            <w:pStyle w:val="TOC2"/>
            <w:tabs>
              <w:tab w:val="right" w:leader="dot" w:pos="9350"/>
            </w:tabs>
            <w:rPr>
              <w:noProof/>
            </w:rPr>
          </w:pPr>
          <w:hyperlink w:anchor="_Toc354003350" w:history="1">
            <w:r w:rsidR="000E0CB6" w:rsidRPr="006414A7">
              <w:rPr>
                <w:rStyle w:val="Hyperlink"/>
                <w:noProof/>
              </w:rPr>
              <w:t>Appendix G</w:t>
            </w:r>
            <w:r w:rsidR="000E0CB6">
              <w:rPr>
                <w:noProof/>
                <w:webHidden/>
              </w:rPr>
              <w:tab/>
            </w:r>
            <w:r w:rsidR="000E0CB6">
              <w:rPr>
                <w:noProof/>
                <w:webHidden/>
              </w:rPr>
              <w:fldChar w:fldCharType="begin"/>
            </w:r>
            <w:r w:rsidR="000E0CB6">
              <w:rPr>
                <w:noProof/>
                <w:webHidden/>
              </w:rPr>
              <w:instrText xml:space="preserve"> PAGEREF _Toc354003350 \h </w:instrText>
            </w:r>
            <w:r w:rsidR="000E0CB6">
              <w:rPr>
                <w:noProof/>
                <w:webHidden/>
              </w:rPr>
            </w:r>
            <w:r w:rsidR="000E0CB6">
              <w:rPr>
                <w:noProof/>
                <w:webHidden/>
              </w:rPr>
              <w:fldChar w:fldCharType="separate"/>
            </w:r>
            <w:r w:rsidR="000E0CB6">
              <w:rPr>
                <w:noProof/>
                <w:webHidden/>
              </w:rPr>
              <w:t>125</w:t>
            </w:r>
            <w:r w:rsidR="000E0CB6">
              <w:rPr>
                <w:noProof/>
                <w:webHidden/>
              </w:rPr>
              <w:fldChar w:fldCharType="end"/>
            </w:r>
          </w:hyperlink>
        </w:p>
        <w:p w14:paraId="44678AE6" w14:textId="77777777" w:rsidR="000E0CB6" w:rsidRDefault="00F25B7A">
          <w:pPr>
            <w:pStyle w:val="TOC2"/>
            <w:tabs>
              <w:tab w:val="right" w:leader="dot" w:pos="9350"/>
            </w:tabs>
            <w:rPr>
              <w:noProof/>
            </w:rPr>
          </w:pPr>
          <w:hyperlink w:anchor="_Toc354003351" w:history="1">
            <w:r w:rsidR="000E0CB6" w:rsidRPr="006414A7">
              <w:rPr>
                <w:rStyle w:val="Hyperlink"/>
                <w:noProof/>
              </w:rPr>
              <w:t>Un-mown characteristics</w:t>
            </w:r>
            <w:r w:rsidR="000E0CB6">
              <w:rPr>
                <w:noProof/>
                <w:webHidden/>
              </w:rPr>
              <w:tab/>
            </w:r>
            <w:r w:rsidR="000E0CB6">
              <w:rPr>
                <w:noProof/>
                <w:webHidden/>
              </w:rPr>
              <w:fldChar w:fldCharType="begin"/>
            </w:r>
            <w:r w:rsidR="000E0CB6">
              <w:rPr>
                <w:noProof/>
                <w:webHidden/>
              </w:rPr>
              <w:instrText xml:space="preserve"> PAGEREF _Toc354003351 \h </w:instrText>
            </w:r>
            <w:r w:rsidR="000E0CB6">
              <w:rPr>
                <w:noProof/>
                <w:webHidden/>
              </w:rPr>
            </w:r>
            <w:r w:rsidR="000E0CB6">
              <w:rPr>
                <w:noProof/>
                <w:webHidden/>
              </w:rPr>
              <w:fldChar w:fldCharType="separate"/>
            </w:r>
            <w:r w:rsidR="000E0CB6">
              <w:rPr>
                <w:noProof/>
                <w:webHidden/>
              </w:rPr>
              <w:t>125</w:t>
            </w:r>
            <w:r w:rsidR="000E0CB6">
              <w:rPr>
                <w:noProof/>
                <w:webHidden/>
              </w:rPr>
              <w:fldChar w:fldCharType="end"/>
            </w:r>
          </w:hyperlink>
        </w:p>
        <w:p w14:paraId="53486049" w14:textId="77777777" w:rsidR="000E0CB6" w:rsidRDefault="00F25B7A">
          <w:pPr>
            <w:pStyle w:val="TOC2"/>
            <w:tabs>
              <w:tab w:val="right" w:leader="dot" w:pos="9350"/>
            </w:tabs>
            <w:rPr>
              <w:noProof/>
            </w:rPr>
          </w:pPr>
          <w:hyperlink w:anchor="_Toc354003352" w:history="1">
            <w:r w:rsidR="000E0CB6" w:rsidRPr="006414A7">
              <w:rPr>
                <w:rStyle w:val="Hyperlink"/>
                <w:noProof/>
              </w:rPr>
              <w:t>Tables</w:t>
            </w:r>
            <w:r w:rsidR="000E0CB6">
              <w:rPr>
                <w:noProof/>
                <w:webHidden/>
              </w:rPr>
              <w:tab/>
            </w:r>
            <w:r w:rsidR="000E0CB6">
              <w:rPr>
                <w:noProof/>
                <w:webHidden/>
              </w:rPr>
              <w:fldChar w:fldCharType="begin"/>
            </w:r>
            <w:r w:rsidR="000E0CB6">
              <w:rPr>
                <w:noProof/>
                <w:webHidden/>
              </w:rPr>
              <w:instrText xml:space="preserve"> PAGEREF _Toc354003352 \h </w:instrText>
            </w:r>
            <w:r w:rsidR="000E0CB6">
              <w:rPr>
                <w:noProof/>
                <w:webHidden/>
              </w:rPr>
            </w:r>
            <w:r w:rsidR="000E0CB6">
              <w:rPr>
                <w:noProof/>
                <w:webHidden/>
              </w:rPr>
              <w:fldChar w:fldCharType="separate"/>
            </w:r>
            <w:r w:rsidR="000E0CB6">
              <w:rPr>
                <w:noProof/>
                <w:webHidden/>
              </w:rPr>
              <w:t>127</w:t>
            </w:r>
            <w:r w:rsidR="000E0CB6">
              <w:rPr>
                <w:noProof/>
                <w:webHidden/>
              </w:rPr>
              <w:fldChar w:fldCharType="end"/>
            </w:r>
          </w:hyperlink>
        </w:p>
        <w:p w14:paraId="1AA2BC58" w14:textId="77777777" w:rsidR="000E0CB6" w:rsidRDefault="00F25B7A">
          <w:pPr>
            <w:pStyle w:val="TOC2"/>
            <w:tabs>
              <w:tab w:val="right" w:leader="dot" w:pos="9350"/>
            </w:tabs>
            <w:rPr>
              <w:noProof/>
            </w:rPr>
          </w:pPr>
          <w:hyperlink w:anchor="_Toc354003353" w:history="1">
            <w:r w:rsidR="000E0CB6" w:rsidRPr="006414A7">
              <w:rPr>
                <w:rStyle w:val="Hyperlink"/>
                <w:noProof/>
              </w:rPr>
              <w:t>Conclusions</w:t>
            </w:r>
            <w:r w:rsidR="000E0CB6">
              <w:rPr>
                <w:noProof/>
                <w:webHidden/>
              </w:rPr>
              <w:tab/>
            </w:r>
            <w:r w:rsidR="000E0CB6">
              <w:rPr>
                <w:noProof/>
                <w:webHidden/>
              </w:rPr>
              <w:fldChar w:fldCharType="begin"/>
            </w:r>
            <w:r w:rsidR="000E0CB6">
              <w:rPr>
                <w:noProof/>
                <w:webHidden/>
              </w:rPr>
              <w:instrText xml:space="preserve"> PAGEREF _Toc354003353 \h </w:instrText>
            </w:r>
            <w:r w:rsidR="000E0CB6">
              <w:rPr>
                <w:noProof/>
                <w:webHidden/>
              </w:rPr>
            </w:r>
            <w:r w:rsidR="000E0CB6">
              <w:rPr>
                <w:noProof/>
                <w:webHidden/>
              </w:rPr>
              <w:fldChar w:fldCharType="separate"/>
            </w:r>
            <w:r w:rsidR="000E0CB6">
              <w:rPr>
                <w:noProof/>
                <w:webHidden/>
              </w:rPr>
              <w:t>129</w:t>
            </w:r>
            <w:r w:rsidR="000E0CB6">
              <w:rPr>
                <w:noProof/>
                <w:webHidden/>
              </w:rPr>
              <w:fldChar w:fldCharType="end"/>
            </w:r>
          </w:hyperlink>
        </w:p>
        <w:p w14:paraId="70203E0E" w14:textId="77777777" w:rsidR="000E0CB6" w:rsidRDefault="00F25B7A">
          <w:pPr>
            <w:pStyle w:val="TOC2"/>
            <w:tabs>
              <w:tab w:val="right" w:leader="dot" w:pos="9350"/>
            </w:tabs>
            <w:rPr>
              <w:noProof/>
            </w:rPr>
          </w:pPr>
          <w:hyperlink w:anchor="_Toc354003354" w:history="1">
            <w:r w:rsidR="000E0CB6" w:rsidRPr="006414A7">
              <w:rPr>
                <w:rStyle w:val="Hyperlink"/>
                <w:rFonts w:cs="Times New Roman"/>
                <w:noProof/>
              </w:rPr>
              <w:t>Vita</w:t>
            </w:r>
            <w:r w:rsidR="000E0CB6">
              <w:rPr>
                <w:noProof/>
                <w:webHidden/>
              </w:rPr>
              <w:tab/>
            </w:r>
            <w:r w:rsidR="000E0CB6">
              <w:rPr>
                <w:noProof/>
                <w:webHidden/>
              </w:rPr>
              <w:fldChar w:fldCharType="begin"/>
            </w:r>
            <w:r w:rsidR="000E0CB6">
              <w:rPr>
                <w:noProof/>
                <w:webHidden/>
              </w:rPr>
              <w:instrText xml:space="preserve"> PAGEREF _Toc354003354 \h </w:instrText>
            </w:r>
            <w:r w:rsidR="000E0CB6">
              <w:rPr>
                <w:noProof/>
                <w:webHidden/>
              </w:rPr>
            </w:r>
            <w:r w:rsidR="000E0CB6">
              <w:rPr>
                <w:noProof/>
                <w:webHidden/>
              </w:rPr>
              <w:fldChar w:fldCharType="separate"/>
            </w:r>
            <w:r w:rsidR="000E0CB6">
              <w:rPr>
                <w:noProof/>
                <w:webHidden/>
              </w:rPr>
              <w:t>131</w:t>
            </w:r>
            <w:r w:rsidR="000E0CB6">
              <w:rPr>
                <w:noProof/>
                <w:webHidden/>
              </w:rPr>
              <w:fldChar w:fldCharType="end"/>
            </w:r>
          </w:hyperlink>
        </w:p>
        <w:p w14:paraId="1FF980DF" w14:textId="77777777" w:rsidR="00E906AE" w:rsidRDefault="00E906AE" w:rsidP="00E906AE">
          <w:pPr>
            <w:rPr>
              <w:noProof/>
            </w:rPr>
          </w:pPr>
          <w:r>
            <w:rPr>
              <w:b/>
              <w:bCs/>
              <w:noProof/>
            </w:rPr>
            <w:fldChar w:fldCharType="end"/>
          </w:r>
        </w:p>
      </w:sdtContent>
    </w:sdt>
    <w:p w14:paraId="41D1A023" w14:textId="77777777" w:rsidR="00E906AE" w:rsidRDefault="003F44DD" w:rsidP="003F44DD">
      <w:pPr>
        <w:rPr>
          <w:rFonts w:ascii="Times New Roman" w:hAnsi="Times New Roman" w:cs="Times New Roman"/>
          <w:b/>
          <w:sz w:val="28"/>
          <w:szCs w:val="24"/>
        </w:rPr>
      </w:pPr>
      <w:r>
        <w:rPr>
          <w:rFonts w:ascii="Times New Roman" w:hAnsi="Times New Roman" w:cs="Times New Roman"/>
          <w:b/>
          <w:sz w:val="28"/>
          <w:szCs w:val="24"/>
        </w:rPr>
        <w:br w:type="page"/>
      </w:r>
    </w:p>
    <w:p w14:paraId="21F9303D" w14:textId="77777777" w:rsidR="006919A1" w:rsidRDefault="006919A1" w:rsidP="006919A1">
      <w:pPr>
        <w:spacing w:line="480" w:lineRule="auto"/>
        <w:jc w:val="center"/>
        <w:rPr>
          <w:rFonts w:ascii="Times New Roman" w:hAnsi="Times New Roman" w:cs="Times New Roman"/>
          <w:b/>
          <w:sz w:val="28"/>
          <w:szCs w:val="24"/>
        </w:rPr>
      </w:pPr>
      <w:r w:rsidRPr="00A5006A">
        <w:rPr>
          <w:rFonts w:ascii="Times New Roman" w:hAnsi="Times New Roman" w:cs="Times New Roman"/>
          <w:b/>
          <w:sz w:val="28"/>
          <w:szCs w:val="24"/>
        </w:rPr>
        <w:lastRenderedPageBreak/>
        <w:t>LIST OF TABLES</w:t>
      </w:r>
    </w:p>
    <w:p w14:paraId="6FBC5F9C" w14:textId="77777777" w:rsidR="006919A1" w:rsidRPr="005A1DAB" w:rsidRDefault="0078415D" w:rsidP="006919A1">
      <w:pPr>
        <w:spacing w:line="240" w:lineRule="auto"/>
        <w:rPr>
          <w:rFonts w:ascii="Times New Roman" w:eastAsia="Times New Roman" w:hAnsi="Times New Roman" w:cs="Times New Roman"/>
          <w:color w:val="000000"/>
          <w:sz w:val="24"/>
          <w:szCs w:val="24"/>
        </w:rPr>
      </w:pPr>
      <w:r w:rsidRPr="005A1DAB">
        <w:rPr>
          <w:rFonts w:ascii="Times New Roman" w:eastAsia="Times New Roman" w:hAnsi="Times New Roman" w:cs="Times New Roman"/>
          <w:color w:val="000000"/>
          <w:sz w:val="24"/>
          <w:szCs w:val="24"/>
        </w:rPr>
        <w:t>Table 2.1. Poa species evaluated for turfgrass potential in 2010-2012 in Knoxville, TN</w:t>
      </w:r>
      <w:r w:rsidR="00FC551A">
        <w:rPr>
          <w:rFonts w:ascii="Times New Roman" w:eastAsia="Times New Roman" w:hAnsi="Times New Roman" w:cs="Times New Roman"/>
          <w:color w:val="000000"/>
          <w:sz w:val="24"/>
          <w:szCs w:val="24"/>
        </w:rPr>
        <w:t>……</w:t>
      </w:r>
      <w:r w:rsidR="00282AAC">
        <w:rPr>
          <w:rFonts w:ascii="Times New Roman" w:eastAsia="Times New Roman" w:hAnsi="Times New Roman" w:cs="Times New Roman"/>
          <w:color w:val="000000"/>
          <w:sz w:val="24"/>
          <w:szCs w:val="24"/>
        </w:rPr>
        <w:t>.</w:t>
      </w:r>
      <w:r w:rsidR="00DC113E">
        <w:rPr>
          <w:rFonts w:ascii="Times New Roman" w:eastAsia="Times New Roman" w:hAnsi="Times New Roman" w:cs="Times New Roman"/>
          <w:color w:val="000000"/>
          <w:sz w:val="24"/>
          <w:szCs w:val="24"/>
        </w:rPr>
        <w:t>..</w:t>
      </w:r>
      <w:r w:rsidR="00FC551A">
        <w:rPr>
          <w:rFonts w:ascii="Times New Roman" w:eastAsia="Times New Roman" w:hAnsi="Times New Roman" w:cs="Times New Roman"/>
          <w:color w:val="000000"/>
          <w:sz w:val="24"/>
          <w:szCs w:val="24"/>
        </w:rPr>
        <w:t>.61</w:t>
      </w:r>
    </w:p>
    <w:p w14:paraId="28ACE081" w14:textId="77777777" w:rsidR="0078415D" w:rsidRPr="005A1DAB" w:rsidRDefault="0078415D" w:rsidP="006919A1">
      <w:pPr>
        <w:spacing w:line="240" w:lineRule="auto"/>
        <w:rPr>
          <w:rFonts w:ascii="Times New Roman" w:eastAsia="Times New Roman" w:hAnsi="Times New Roman" w:cs="Times New Roman"/>
          <w:color w:val="000000"/>
          <w:sz w:val="24"/>
        </w:rPr>
      </w:pPr>
      <w:r w:rsidRPr="005A1DAB">
        <w:rPr>
          <w:rFonts w:ascii="Times New Roman" w:eastAsia="Times New Roman" w:hAnsi="Times New Roman" w:cs="Times New Roman"/>
          <w:color w:val="000000"/>
          <w:sz w:val="24"/>
        </w:rPr>
        <w:t xml:space="preserve">Table 2.2. ANOVA table for growth habit groups and entries for percent green cover over </w:t>
      </w:r>
      <w:r w:rsidR="00DC113E">
        <w:rPr>
          <w:rFonts w:ascii="Times New Roman" w:eastAsia="Times New Roman" w:hAnsi="Times New Roman" w:cs="Times New Roman"/>
          <w:color w:val="000000"/>
          <w:sz w:val="24"/>
        </w:rPr>
        <w:t>a one year period in Knoxville,</w:t>
      </w:r>
      <w:r w:rsidR="00DC113E" w:rsidRPr="005A1DAB">
        <w:rPr>
          <w:rFonts w:ascii="Times New Roman" w:eastAsia="Times New Roman" w:hAnsi="Times New Roman" w:cs="Times New Roman"/>
          <w:color w:val="000000"/>
          <w:sz w:val="24"/>
        </w:rPr>
        <w:t xml:space="preserve"> TN</w:t>
      </w:r>
      <w:r w:rsidR="00FC551A">
        <w:rPr>
          <w:rFonts w:ascii="Times New Roman" w:eastAsia="Times New Roman" w:hAnsi="Times New Roman" w:cs="Times New Roman"/>
          <w:color w:val="000000"/>
          <w:sz w:val="24"/>
        </w:rPr>
        <w:t>………………………………………</w:t>
      </w:r>
      <w:r w:rsidR="00DC113E">
        <w:rPr>
          <w:rFonts w:ascii="Times New Roman" w:eastAsia="Times New Roman" w:hAnsi="Times New Roman" w:cs="Times New Roman"/>
          <w:color w:val="000000"/>
          <w:sz w:val="24"/>
        </w:rPr>
        <w:t>….</w:t>
      </w:r>
      <w:r w:rsidR="00282AAC">
        <w:rPr>
          <w:rFonts w:ascii="Times New Roman" w:eastAsia="Times New Roman" w:hAnsi="Times New Roman" w:cs="Times New Roman"/>
          <w:color w:val="000000"/>
          <w:sz w:val="24"/>
        </w:rPr>
        <w:t>…………………………</w:t>
      </w:r>
      <w:r w:rsidR="00FC551A">
        <w:rPr>
          <w:rFonts w:ascii="Times New Roman" w:eastAsia="Times New Roman" w:hAnsi="Times New Roman" w:cs="Times New Roman"/>
          <w:color w:val="000000"/>
          <w:sz w:val="24"/>
        </w:rPr>
        <w:t>63</w:t>
      </w:r>
    </w:p>
    <w:p w14:paraId="0B2D8005" w14:textId="77777777" w:rsidR="0078415D" w:rsidRPr="005A1DAB" w:rsidRDefault="0078415D" w:rsidP="006919A1">
      <w:pPr>
        <w:spacing w:line="240" w:lineRule="auto"/>
        <w:rPr>
          <w:rFonts w:ascii="Times New Roman" w:eastAsia="Times New Roman" w:hAnsi="Times New Roman" w:cs="Times New Roman"/>
          <w:sz w:val="24"/>
        </w:rPr>
      </w:pPr>
      <w:r w:rsidRPr="005A1DAB">
        <w:rPr>
          <w:rFonts w:ascii="Times New Roman" w:eastAsia="Times New Roman" w:hAnsi="Times New Roman" w:cs="Times New Roman"/>
          <w:sz w:val="24"/>
        </w:rPr>
        <w:t>Table 2.3. Effect of growth habit and entries on percent green cover over a one year period in 2010-2011 in Knoxville, TN</w:t>
      </w:r>
      <w:r w:rsidR="00FC551A">
        <w:rPr>
          <w:rFonts w:ascii="Times New Roman" w:eastAsia="Times New Roman" w:hAnsi="Times New Roman" w:cs="Times New Roman"/>
          <w:sz w:val="24"/>
        </w:rPr>
        <w:t>………………………………………………………………..……64</w:t>
      </w:r>
    </w:p>
    <w:p w14:paraId="6B94FA68" w14:textId="77777777" w:rsidR="0078415D" w:rsidRPr="005A1DAB" w:rsidRDefault="0078415D" w:rsidP="006919A1">
      <w:pPr>
        <w:spacing w:line="240" w:lineRule="auto"/>
        <w:rPr>
          <w:rFonts w:ascii="Times New Roman" w:eastAsia="Times New Roman" w:hAnsi="Times New Roman" w:cs="Times New Roman"/>
          <w:color w:val="000000"/>
          <w:sz w:val="24"/>
          <w:szCs w:val="24"/>
        </w:rPr>
      </w:pPr>
      <w:r w:rsidRPr="005A1DAB">
        <w:rPr>
          <w:rFonts w:ascii="Times New Roman" w:eastAsia="Times New Roman" w:hAnsi="Times New Roman" w:cs="Times New Roman"/>
          <w:color w:val="000000"/>
          <w:sz w:val="24"/>
          <w:szCs w:val="24"/>
        </w:rPr>
        <w:t>Table 2.4. Effect of growth habit and entries on percent green cover over a one year period in 2011-2012 in Knoxville, TN</w:t>
      </w:r>
      <w:r w:rsidR="00FC551A">
        <w:rPr>
          <w:rFonts w:ascii="Times New Roman" w:eastAsia="Times New Roman" w:hAnsi="Times New Roman" w:cs="Times New Roman"/>
          <w:color w:val="000000"/>
          <w:sz w:val="24"/>
          <w:szCs w:val="24"/>
        </w:rPr>
        <w:t>……………………………………………………………………..66</w:t>
      </w:r>
    </w:p>
    <w:p w14:paraId="4D5769A2" w14:textId="77777777" w:rsidR="0078415D" w:rsidRPr="005A1DAB" w:rsidRDefault="0078415D" w:rsidP="006919A1">
      <w:pPr>
        <w:spacing w:line="240" w:lineRule="auto"/>
        <w:rPr>
          <w:rFonts w:ascii="Times New Roman" w:eastAsia="Times New Roman" w:hAnsi="Times New Roman" w:cs="Times New Roman"/>
          <w:color w:val="000000"/>
          <w:sz w:val="24"/>
          <w:szCs w:val="24"/>
        </w:rPr>
      </w:pPr>
      <w:r w:rsidRPr="005A1DAB">
        <w:rPr>
          <w:rFonts w:ascii="Times New Roman" w:eastAsia="Times New Roman" w:hAnsi="Times New Roman" w:cs="Times New Roman"/>
          <w:color w:val="000000"/>
          <w:sz w:val="24"/>
          <w:szCs w:val="24"/>
        </w:rPr>
        <w:t>Table 3.1 Treatments, seeding rates specific to the study, and percent germination of seeds planted in overseeding trials in 2010 and 2011 in Knoxville, TN</w:t>
      </w:r>
      <w:r w:rsidR="00DC113E">
        <w:rPr>
          <w:rFonts w:ascii="Times New Roman" w:eastAsia="Times New Roman" w:hAnsi="Times New Roman" w:cs="Times New Roman"/>
          <w:color w:val="000000"/>
          <w:sz w:val="24"/>
          <w:szCs w:val="24"/>
        </w:rPr>
        <w:t>………………………………</w:t>
      </w:r>
      <w:r w:rsidR="00B56E48">
        <w:rPr>
          <w:rFonts w:ascii="Times New Roman" w:eastAsia="Times New Roman" w:hAnsi="Times New Roman" w:cs="Times New Roman"/>
          <w:color w:val="000000"/>
          <w:sz w:val="24"/>
          <w:szCs w:val="24"/>
        </w:rPr>
        <w:t>.93</w:t>
      </w:r>
    </w:p>
    <w:p w14:paraId="2D7C3D73" w14:textId="77777777" w:rsidR="0078415D" w:rsidRPr="005A1DAB" w:rsidRDefault="0078415D" w:rsidP="006919A1">
      <w:pPr>
        <w:spacing w:line="240" w:lineRule="auto"/>
        <w:rPr>
          <w:rFonts w:ascii="Times New Roman" w:eastAsia="Times New Roman" w:hAnsi="Times New Roman" w:cs="Times New Roman"/>
          <w:color w:val="000000"/>
          <w:sz w:val="24"/>
          <w:szCs w:val="24"/>
        </w:rPr>
      </w:pPr>
      <w:r w:rsidRPr="005A1DAB">
        <w:rPr>
          <w:rFonts w:ascii="Times New Roman" w:eastAsia="Times New Roman" w:hAnsi="Times New Roman" w:cs="Times New Roman"/>
          <w:bCs/>
          <w:color w:val="000000"/>
          <w:sz w:val="24"/>
          <w:szCs w:val="24"/>
        </w:rPr>
        <w:t>Table 3.2. Effects of overseeded species on percent green cover throughout the overseeding season displayed as area under the percent green cover curve (AUPGCC) on a 'TifEagle' bermudagras</w:t>
      </w:r>
      <w:r w:rsidR="00B56E48">
        <w:rPr>
          <w:rFonts w:ascii="Times New Roman" w:eastAsia="Times New Roman" w:hAnsi="Times New Roman" w:cs="Times New Roman"/>
          <w:bCs/>
          <w:color w:val="000000"/>
          <w:sz w:val="24"/>
          <w:szCs w:val="24"/>
        </w:rPr>
        <w:t>s putting green in Knoxville, TN…………………………………………………...94</w:t>
      </w:r>
    </w:p>
    <w:p w14:paraId="124E3734" w14:textId="77777777" w:rsidR="0078415D" w:rsidRPr="005A1DAB" w:rsidRDefault="0078415D" w:rsidP="006919A1">
      <w:pPr>
        <w:spacing w:line="240" w:lineRule="auto"/>
        <w:rPr>
          <w:rFonts w:ascii="Times New Roman" w:eastAsia="Times New Roman" w:hAnsi="Times New Roman" w:cs="Times New Roman"/>
          <w:color w:val="000000"/>
          <w:sz w:val="24"/>
          <w:szCs w:val="24"/>
        </w:rPr>
      </w:pPr>
      <w:r w:rsidRPr="005A1DAB">
        <w:rPr>
          <w:rFonts w:ascii="Times New Roman" w:eastAsia="Times New Roman" w:hAnsi="Times New Roman" w:cs="Times New Roman"/>
          <w:color w:val="000000"/>
          <w:sz w:val="24"/>
          <w:szCs w:val="24"/>
        </w:rPr>
        <w:t>Table 3.3 Effect of overseeding species by transition type on percent green cover on a ‘TifEagle’ putting green during the spring transition period in Knoxville, TN</w:t>
      </w:r>
      <w:r w:rsidR="00B56E48">
        <w:rPr>
          <w:rFonts w:ascii="Times New Roman" w:eastAsia="Times New Roman" w:hAnsi="Times New Roman" w:cs="Times New Roman"/>
          <w:color w:val="000000"/>
          <w:sz w:val="24"/>
          <w:szCs w:val="24"/>
        </w:rPr>
        <w:t>..</w:t>
      </w:r>
      <w:r w:rsidRPr="005A1DAB">
        <w:rPr>
          <w:rFonts w:ascii="Times New Roman" w:eastAsia="Times New Roman" w:hAnsi="Times New Roman" w:cs="Times New Roman"/>
          <w:color w:val="000000"/>
          <w:sz w:val="24"/>
          <w:szCs w:val="24"/>
        </w:rPr>
        <w:t>.</w:t>
      </w:r>
      <w:r w:rsidR="00B56E48">
        <w:rPr>
          <w:rFonts w:ascii="Times New Roman" w:eastAsia="Times New Roman" w:hAnsi="Times New Roman" w:cs="Times New Roman"/>
          <w:color w:val="000000"/>
          <w:sz w:val="24"/>
          <w:szCs w:val="24"/>
        </w:rPr>
        <w:t>...........</w:t>
      </w:r>
      <w:r w:rsidR="00282AAC">
        <w:rPr>
          <w:rFonts w:ascii="Times New Roman" w:eastAsia="Times New Roman" w:hAnsi="Times New Roman" w:cs="Times New Roman"/>
          <w:color w:val="000000"/>
          <w:sz w:val="24"/>
          <w:szCs w:val="24"/>
        </w:rPr>
        <w:t>...............................</w:t>
      </w:r>
      <w:r w:rsidR="00B56E48">
        <w:rPr>
          <w:rFonts w:ascii="Times New Roman" w:eastAsia="Times New Roman" w:hAnsi="Times New Roman" w:cs="Times New Roman"/>
          <w:color w:val="000000"/>
          <w:sz w:val="24"/>
          <w:szCs w:val="24"/>
        </w:rPr>
        <w:t>95</w:t>
      </w:r>
    </w:p>
    <w:p w14:paraId="5DA871DF" w14:textId="77777777" w:rsidR="0078415D" w:rsidRPr="005A1DAB" w:rsidRDefault="0078415D" w:rsidP="006919A1">
      <w:pPr>
        <w:spacing w:line="240" w:lineRule="auto"/>
        <w:rPr>
          <w:rFonts w:ascii="Times New Roman" w:eastAsia="Times New Roman" w:hAnsi="Times New Roman" w:cs="Times New Roman"/>
          <w:bCs/>
          <w:color w:val="000000"/>
          <w:sz w:val="24"/>
          <w:szCs w:val="24"/>
        </w:rPr>
      </w:pPr>
      <w:r w:rsidRPr="005A1DAB">
        <w:rPr>
          <w:rFonts w:ascii="Times New Roman" w:eastAsia="Times New Roman" w:hAnsi="Times New Roman" w:cs="Times New Roman"/>
          <w:bCs/>
          <w:color w:val="000000"/>
          <w:sz w:val="24"/>
          <w:szCs w:val="24"/>
        </w:rPr>
        <w:t>Table 3.4. Effects of overseeded species on percent green cover throughout the overseeding season displayed as area under the percent green cover curve (AUPGCC) on a 'Riviera' bermudagrass fairway in Knoxville, TN</w:t>
      </w:r>
      <w:r w:rsidR="00B56E48">
        <w:rPr>
          <w:rFonts w:ascii="Times New Roman" w:eastAsia="Times New Roman" w:hAnsi="Times New Roman" w:cs="Times New Roman"/>
          <w:bCs/>
          <w:color w:val="000000"/>
          <w:sz w:val="24"/>
          <w:szCs w:val="24"/>
        </w:rPr>
        <w:t>…………………………………………………………96</w:t>
      </w:r>
    </w:p>
    <w:p w14:paraId="222569C1" w14:textId="77777777" w:rsidR="00655977" w:rsidRPr="005A1DAB" w:rsidRDefault="00655977" w:rsidP="006919A1">
      <w:pPr>
        <w:spacing w:line="240" w:lineRule="auto"/>
        <w:rPr>
          <w:rFonts w:ascii="Times New Roman" w:eastAsia="Times New Roman" w:hAnsi="Times New Roman" w:cs="Times New Roman"/>
          <w:color w:val="000000"/>
          <w:sz w:val="24"/>
          <w:szCs w:val="24"/>
        </w:rPr>
      </w:pPr>
      <w:r w:rsidRPr="005A1DAB">
        <w:rPr>
          <w:rFonts w:ascii="Times New Roman" w:eastAsia="Times New Roman" w:hAnsi="Times New Roman" w:cs="Times New Roman"/>
          <w:color w:val="000000"/>
          <w:sz w:val="24"/>
          <w:szCs w:val="24"/>
        </w:rPr>
        <w:t>Table 3.5. Effect of overseeding species by transition type on percent green cover on a ‘Riviera’ fairway during the spring transition period in Knoxville, TN</w:t>
      </w:r>
      <w:r w:rsidR="00B56E48">
        <w:rPr>
          <w:rFonts w:ascii="Times New Roman" w:eastAsia="Times New Roman" w:hAnsi="Times New Roman" w:cs="Times New Roman"/>
          <w:color w:val="000000"/>
          <w:sz w:val="24"/>
          <w:szCs w:val="24"/>
        </w:rPr>
        <w:t>…………………………………...97</w:t>
      </w:r>
    </w:p>
    <w:p w14:paraId="1056E09E" w14:textId="77777777" w:rsidR="00C02233" w:rsidRPr="005A1DAB" w:rsidRDefault="00C02233" w:rsidP="006919A1">
      <w:pPr>
        <w:spacing w:line="240" w:lineRule="auto"/>
        <w:rPr>
          <w:rFonts w:ascii="Times New Roman" w:eastAsia="Times New Roman" w:hAnsi="Times New Roman" w:cs="Times New Roman"/>
          <w:color w:val="000000"/>
          <w:sz w:val="24"/>
          <w:szCs w:val="24"/>
        </w:rPr>
      </w:pPr>
      <w:r w:rsidRPr="005A1DAB">
        <w:rPr>
          <w:rFonts w:ascii="Times New Roman" w:eastAsia="Times New Roman" w:hAnsi="Times New Roman" w:cs="Times New Roman"/>
          <w:bCs/>
          <w:sz w:val="24"/>
          <w:szCs w:val="24"/>
        </w:rPr>
        <w:t>Table 3.6. Effects of overseeded species on percent green cover throughout the overseeding season displayed as area under the percent green cover curve (AUPGCC) on a 'Tifway' bermudagrass sports turf with traffic in Knoxville, TN</w:t>
      </w:r>
      <w:r w:rsidR="00B56E48">
        <w:rPr>
          <w:rFonts w:ascii="Times New Roman" w:eastAsia="Times New Roman" w:hAnsi="Times New Roman" w:cs="Times New Roman"/>
          <w:bCs/>
          <w:sz w:val="24"/>
          <w:szCs w:val="24"/>
        </w:rPr>
        <w:t>..</w:t>
      </w:r>
      <w:r w:rsidRPr="005A1DAB">
        <w:rPr>
          <w:rFonts w:ascii="Times New Roman" w:eastAsia="Times New Roman" w:hAnsi="Times New Roman" w:cs="Times New Roman"/>
          <w:bCs/>
          <w:sz w:val="24"/>
          <w:szCs w:val="24"/>
        </w:rPr>
        <w:t>.</w:t>
      </w:r>
      <w:r w:rsidR="00B56E48">
        <w:rPr>
          <w:rFonts w:ascii="Times New Roman" w:eastAsia="Times New Roman" w:hAnsi="Times New Roman" w:cs="Times New Roman"/>
          <w:bCs/>
          <w:sz w:val="24"/>
          <w:szCs w:val="24"/>
        </w:rPr>
        <w:t>..................................</w:t>
      </w:r>
      <w:r w:rsidR="00282AAC">
        <w:rPr>
          <w:rFonts w:ascii="Times New Roman" w:eastAsia="Times New Roman" w:hAnsi="Times New Roman" w:cs="Times New Roman"/>
          <w:bCs/>
          <w:sz w:val="24"/>
          <w:szCs w:val="24"/>
        </w:rPr>
        <w:t>...........................</w:t>
      </w:r>
      <w:r w:rsidR="00B56E48">
        <w:rPr>
          <w:rFonts w:ascii="Times New Roman" w:eastAsia="Times New Roman" w:hAnsi="Times New Roman" w:cs="Times New Roman"/>
          <w:bCs/>
          <w:sz w:val="24"/>
          <w:szCs w:val="24"/>
        </w:rPr>
        <w:t>98</w:t>
      </w:r>
    </w:p>
    <w:p w14:paraId="6FF3B628" w14:textId="77777777" w:rsidR="00C02233" w:rsidRPr="005A1DAB" w:rsidRDefault="00C02233" w:rsidP="006919A1">
      <w:pPr>
        <w:spacing w:line="240" w:lineRule="auto"/>
        <w:rPr>
          <w:rFonts w:ascii="Times New Roman" w:eastAsia="Times New Roman" w:hAnsi="Times New Roman" w:cs="Times New Roman"/>
          <w:color w:val="000000"/>
          <w:sz w:val="24"/>
          <w:szCs w:val="24"/>
        </w:rPr>
      </w:pPr>
      <w:r w:rsidRPr="005A1DAB">
        <w:rPr>
          <w:rFonts w:ascii="Times New Roman" w:hAnsi="Times New Roman" w:cs="Times New Roman"/>
          <w:bCs/>
          <w:sz w:val="24"/>
          <w:szCs w:val="24"/>
        </w:rPr>
        <w:t>Table 3.7 Effect of overseeding species by transition type on percent green cover on a ‘Tifway’ sports turf with traffic</w:t>
      </w:r>
      <w:r w:rsidRPr="005A1DAB">
        <w:rPr>
          <w:rFonts w:ascii="Times New Roman" w:hAnsi="Times New Roman" w:cs="Times New Roman"/>
          <w:bCs/>
          <w:sz w:val="24"/>
          <w:szCs w:val="24"/>
          <w:vertAlign w:val="superscript"/>
        </w:rPr>
        <w:t>¶</w:t>
      </w:r>
      <w:r w:rsidRPr="005A1DAB">
        <w:rPr>
          <w:rFonts w:ascii="Times New Roman" w:hAnsi="Times New Roman" w:cs="Times New Roman"/>
          <w:bCs/>
          <w:sz w:val="24"/>
          <w:szCs w:val="24"/>
        </w:rPr>
        <w:t xml:space="preserve"> during the spring transition period in Knoxville, TN</w:t>
      </w:r>
      <w:r w:rsidR="00B56E48">
        <w:rPr>
          <w:rFonts w:ascii="Times New Roman" w:hAnsi="Times New Roman" w:cs="Times New Roman"/>
          <w:bCs/>
          <w:sz w:val="24"/>
          <w:szCs w:val="24"/>
        </w:rPr>
        <w:t>…………………...99</w:t>
      </w:r>
    </w:p>
    <w:p w14:paraId="73A0158A" w14:textId="77777777" w:rsidR="006919A1" w:rsidRPr="005A1DAB" w:rsidRDefault="009858C5" w:rsidP="009858C5">
      <w:pPr>
        <w:spacing w:line="240" w:lineRule="auto"/>
        <w:rPr>
          <w:rFonts w:ascii="Times New Roman" w:eastAsia="Times New Roman" w:hAnsi="Times New Roman" w:cs="Times New Roman"/>
          <w:color w:val="000000"/>
          <w:sz w:val="24"/>
          <w:szCs w:val="24"/>
        </w:rPr>
      </w:pPr>
      <w:r w:rsidRPr="005A1DAB">
        <w:rPr>
          <w:rFonts w:ascii="Times New Roman" w:eastAsia="Times New Roman" w:hAnsi="Times New Roman" w:cs="Times New Roman"/>
          <w:color w:val="000000"/>
          <w:sz w:val="24"/>
          <w:szCs w:val="24"/>
        </w:rPr>
        <w:t>Table E</w:t>
      </w:r>
      <w:r w:rsidR="005A1DAB">
        <w:rPr>
          <w:rFonts w:ascii="Times New Roman" w:eastAsia="Times New Roman" w:hAnsi="Times New Roman" w:cs="Times New Roman"/>
          <w:color w:val="000000"/>
          <w:sz w:val="24"/>
          <w:szCs w:val="24"/>
        </w:rPr>
        <w:t>.1</w:t>
      </w:r>
      <w:r w:rsidRPr="005A1DAB">
        <w:rPr>
          <w:rFonts w:ascii="Times New Roman" w:eastAsia="Times New Roman" w:hAnsi="Times New Roman" w:cs="Times New Roman"/>
          <w:color w:val="000000"/>
          <w:sz w:val="24"/>
          <w:szCs w:val="24"/>
        </w:rPr>
        <w:t>. Species, cultivars, accessions, experimental designation and growth habits of treatments planted in October, 2009 in Knoxville, TN</w:t>
      </w:r>
      <w:r w:rsidR="006D1DAE">
        <w:rPr>
          <w:rFonts w:ascii="Times New Roman" w:eastAsia="Times New Roman" w:hAnsi="Times New Roman" w:cs="Times New Roman"/>
          <w:color w:val="000000"/>
          <w:sz w:val="24"/>
          <w:szCs w:val="24"/>
        </w:rPr>
        <w:t>…………………………………………116</w:t>
      </w:r>
    </w:p>
    <w:p w14:paraId="5F673675" w14:textId="77777777" w:rsidR="001F009F" w:rsidRPr="005A1DAB" w:rsidRDefault="001F009F" w:rsidP="009858C5">
      <w:pPr>
        <w:spacing w:line="240" w:lineRule="auto"/>
        <w:rPr>
          <w:rFonts w:ascii="Times New Roman" w:eastAsia="Times New Roman" w:hAnsi="Times New Roman" w:cs="Times New Roman"/>
          <w:color w:val="000000"/>
          <w:sz w:val="24"/>
          <w:szCs w:val="24"/>
        </w:rPr>
      </w:pPr>
      <w:r w:rsidRPr="005A1DAB">
        <w:rPr>
          <w:rFonts w:ascii="Times New Roman" w:eastAsia="Times New Roman" w:hAnsi="Times New Roman" w:cs="Times New Roman"/>
          <w:sz w:val="24"/>
          <w:szCs w:val="24"/>
        </w:rPr>
        <w:t xml:space="preserve">Table G.1. Un-mown characteristics of </w:t>
      </w:r>
      <w:r w:rsidRPr="005A1DAB">
        <w:rPr>
          <w:rFonts w:ascii="Times New Roman" w:eastAsia="Times New Roman" w:hAnsi="Times New Roman" w:cs="Times New Roman"/>
          <w:i/>
          <w:sz w:val="24"/>
          <w:szCs w:val="24"/>
        </w:rPr>
        <w:t>Poa</w:t>
      </w:r>
      <w:r w:rsidRPr="005A1DAB">
        <w:rPr>
          <w:rFonts w:ascii="Times New Roman" w:eastAsia="Times New Roman" w:hAnsi="Times New Roman" w:cs="Times New Roman"/>
          <w:sz w:val="24"/>
          <w:szCs w:val="24"/>
        </w:rPr>
        <w:t xml:space="preserve"> species and cultivars in 2010 in Knoxville, TN</w:t>
      </w:r>
      <w:r w:rsidR="006D1DAE">
        <w:rPr>
          <w:rFonts w:ascii="Times New Roman" w:eastAsia="Times New Roman" w:hAnsi="Times New Roman" w:cs="Times New Roman"/>
          <w:sz w:val="24"/>
          <w:szCs w:val="24"/>
        </w:rPr>
        <w:t>…127</w:t>
      </w:r>
    </w:p>
    <w:p w14:paraId="15A112EE" w14:textId="77777777" w:rsidR="00272F31" w:rsidRPr="003B525C" w:rsidRDefault="00272F31" w:rsidP="009858C5">
      <w:pPr>
        <w:spacing w:line="240" w:lineRule="auto"/>
        <w:rPr>
          <w:rFonts w:ascii="Times New Roman" w:hAnsi="Times New Roman" w:cs="Times New Roman"/>
          <w:sz w:val="24"/>
          <w:szCs w:val="24"/>
        </w:rPr>
      </w:pPr>
    </w:p>
    <w:p w14:paraId="5F5FE191" w14:textId="77777777" w:rsidR="006919A1" w:rsidRPr="003B525C" w:rsidRDefault="006919A1" w:rsidP="006919A1">
      <w:pPr>
        <w:rPr>
          <w:rFonts w:ascii="Times New Roman" w:hAnsi="Times New Roman" w:cs="Times New Roman"/>
          <w:sz w:val="24"/>
          <w:szCs w:val="24"/>
        </w:rPr>
      </w:pPr>
      <w:r w:rsidRPr="003B525C">
        <w:rPr>
          <w:rFonts w:ascii="Times New Roman" w:hAnsi="Times New Roman" w:cs="Times New Roman"/>
          <w:sz w:val="24"/>
          <w:szCs w:val="24"/>
        </w:rPr>
        <w:br w:type="page"/>
      </w:r>
    </w:p>
    <w:p w14:paraId="7C5D5ED9" w14:textId="77777777" w:rsidR="006919A1" w:rsidRPr="007509ED" w:rsidRDefault="006919A1" w:rsidP="006919A1">
      <w:pPr>
        <w:spacing w:line="480" w:lineRule="auto"/>
        <w:jc w:val="center"/>
        <w:rPr>
          <w:rFonts w:ascii="Times New Roman" w:hAnsi="Times New Roman" w:cs="Times New Roman"/>
          <w:b/>
          <w:sz w:val="28"/>
          <w:szCs w:val="24"/>
        </w:rPr>
      </w:pPr>
      <w:r w:rsidRPr="00A5006A">
        <w:rPr>
          <w:rFonts w:ascii="Times New Roman" w:hAnsi="Times New Roman" w:cs="Times New Roman"/>
          <w:b/>
          <w:sz w:val="28"/>
          <w:szCs w:val="24"/>
        </w:rPr>
        <w:lastRenderedPageBreak/>
        <w:t>LIST OF FIGURES</w:t>
      </w:r>
    </w:p>
    <w:p w14:paraId="250CAF9B" w14:textId="77777777" w:rsidR="005A1DAB" w:rsidRPr="00F81BAF" w:rsidRDefault="005A1DAB" w:rsidP="005A1DAB">
      <w:pPr>
        <w:rPr>
          <w:rFonts w:ascii="Times New Roman" w:eastAsiaTheme="minorHAnsi" w:hAnsi="Times New Roman" w:cs="Times New Roman"/>
          <w:sz w:val="24"/>
          <w:szCs w:val="24"/>
        </w:rPr>
      </w:pPr>
      <w:r w:rsidRPr="00F81BAF">
        <w:rPr>
          <w:rFonts w:ascii="Times New Roman" w:eastAsiaTheme="minorHAnsi" w:hAnsi="Times New Roman" w:cs="Times New Roman"/>
          <w:sz w:val="24"/>
          <w:szCs w:val="24"/>
        </w:rPr>
        <w:t>Figure 2.1. Percent green cover of growth habit groups over a one year period during 2010-2010 (A) and 2011-2012 (B) in Knoxville, TN</w:t>
      </w:r>
      <w:r w:rsidR="007E630A">
        <w:rPr>
          <w:rFonts w:ascii="Times New Roman" w:eastAsiaTheme="minorHAnsi" w:hAnsi="Times New Roman" w:cs="Times New Roman"/>
          <w:sz w:val="24"/>
          <w:szCs w:val="24"/>
        </w:rPr>
        <w:t>………………………………………………………..69</w:t>
      </w:r>
    </w:p>
    <w:p w14:paraId="72B9A20D" w14:textId="77777777" w:rsidR="00FE2E83" w:rsidRPr="00F81BAF" w:rsidRDefault="00FE2E83" w:rsidP="00FE2E83">
      <w:pPr>
        <w:rPr>
          <w:rFonts w:ascii="Times New Roman" w:eastAsiaTheme="minorHAnsi" w:hAnsi="Times New Roman" w:cs="Times New Roman"/>
          <w:sz w:val="24"/>
          <w:szCs w:val="24"/>
        </w:rPr>
      </w:pPr>
      <w:r w:rsidRPr="00F81BAF">
        <w:rPr>
          <w:rFonts w:ascii="Times New Roman" w:eastAsiaTheme="minorHAnsi" w:hAnsi="Times New Roman" w:cs="Times New Roman"/>
          <w:sz w:val="24"/>
          <w:szCs w:val="24"/>
        </w:rPr>
        <w:t xml:space="preserve">Figure 2.2. Monthly average air temperatures with a 29 year normal for comparison </w:t>
      </w:r>
      <w:proofErr w:type="gramStart"/>
      <w:r w:rsidRPr="00F81BAF">
        <w:rPr>
          <w:rFonts w:ascii="Times New Roman" w:eastAsiaTheme="minorHAnsi" w:hAnsi="Times New Roman" w:cs="Times New Roman"/>
          <w:sz w:val="24"/>
          <w:szCs w:val="24"/>
        </w:rPr>
        <w:t>in  Knoxville</w:t>
      </w:r>
      <w:proofErr w:type="gramEnd"/>
      <w:r w:rsidRPr="00F81BAF">
        <w:rPr>
          <w:rFonts w:ascii="Times New Roman" w:eastAsiaTheme="minorHAnsi" w:hAnsi="Times New Roman" w:cs="Times New Roman"/>
          <w:sz w:val="24"/>
          <w:szCs w:val="24"/>
        </w:rPr>
        <w:t>, TN</w:t>
      </w:r>
      <w:r w:rsidR="002E7179">
        <w:rPr>
          <w:rFonts w:ascii="Times New Roman" w:eastAsiaTheme="minorHAnsi" w:hAnsi="Times New Roman" w:cs="Times New Roman"/>
          <w:sz w:val="24"/>
          <w:szCs w:val="24"/>
        </w:rPr>
        <w:t>……………..</w:t>
      </w:r>
      <w:r w:rsidRPr="00F81BAF">
        <w:rPr>
          <w:rFonts w:ascii="Times New Roman" w:eastAsiaTheme="minorHAnsi" w:hAnsi="Times New Roman" w:cs="Times New Roman"/>
          <w:sz w:val="24"/>
          <w:szCs w:val="24"/>
        </w:rPr>
        <w:t>.</w:t>
      </w:r>
      <w:r w:rsidR="002E7179">
        <w:rPr>
          <w:rFonts w:ascii="Times New Roman" w:eastAsiaTheme="minorHAnsi" w:hAnsi="Times New Roman" w:cs="Times New Roman"/>
          <w:sz w:val="24"/>
          <w:szCs w:val="24"/>
        </w:rPr>
        <w:t>.......................................................................................................</w:t>
      </w:r>
      <w:r w:rsidR="00282AAC">
        <w:rPr>
          <w:rFonts w:ascii="Times New Roman" w:eastAsiaTheme="minorHAnsi" w:hAnsi="Times New Roman" w:cs="Times New Roman"/>
          <w:sz w:val="24"/>
          <w:szCs w:val="24"/>
        </w:rPr>
        <w:t>.</w:t>
      </w:r>
      <w:r w:rsidR="002E7179">
        <w:rPr>
          <w:rFonts w:ascii="Times New Roman" w:eastAsiaTheme="minorHAnsi" w:hAnsi="Times New Roman" w:cs="Times New Roman"/>
          <w:sz w:val="24"/>
          <w:szCs w:val="24"/>
        </w:rPr>
        <w:t>70</w:t>
      </w:r>
    </w:p>
    <w:p w14:paraId="568AB745" w14:textId="77777777" w:rsidR="00FE2E83" w:rsidRPr="00F81BAF" w:rsidRDefault="00FE2E83" w:rsidP="00FE2E83">
      <w:pPr>
        <w:rPr>
          <w:rFonts w:ascii="Times New Roman" w:eastAsiaTheme="minorHAnsi" w:hAnsi="Times New Roman" w:cs="Times New Roman"/>
          <w:sz w:val="24"/>
          <w:szCs w:val="24"/>
        </w:rPr>
      </w:pPr>
      <w:r w:rsidRPr="00F81BAF">
        <w:rPr>
          <w:rFonts w:ascii="Times New Roman" w:eastAsiaTheme="minorHAnsi" w:hAnsi="Times New Roman" w:cs="Times New Roman"/>
          <w:sz w:val="24"/>
          <w:szCs w:val="24"/>
        </w:rPr>
        <w:t>Figure 2.3. Growing degree day accumulations at a base temperature of 18.3 C° in Knoxville, TN</w:t>
      </w:r>
      <w:r w:rsidR="002E7179">
        <w:rPr>
          <w:rFonts w:ascii="Times New Roman" w:eastAsiaTheme="minorHAnsi" w:hAnsi="Times New Roman" w:cs="Times New Roman"/>
          <w:sz w:val="24"/>
          <w:szCs w:val="24"/>
        </w:rPr>
        <w:t>………………………………………………………………………………………………..70</w:t>
      </w:r>
    </w:p>
    <w:p w14:paraId="22A5B74C" w14:textId="77777777" w:rsidR="00853A5E" w:rsidRPr="00FE2E83" w:rsidRDefault="00853A5E" w:rsidP="00853A5E">
      <w:pPr>
        <w:rPr>
          <w:rFonts w:ascii="Times New Roman" w:hAnsi="Times New Roman" w:cs="Times New Roman"/>
          <w:sz w:val="24"/>
          <w:szCs w:val="24"/>
        </w:rPr>
      </w:pPr>
      <w:r w:rsidRPr="00FE2E83">
        <w:rPr>
          <w:rFonts w:ascii="Times New Roman" w:hAnsi="Times New Roman" w:cs="Times New Roman"/>
          <w:sz w:val="24"/>
          <w:szCs w:val="24"/>
        </w:rPr>
        <w:t xml:space="preserve">Fig. 3.1. </w:t>
      </w:r>
      <w:proofErr w:type="gramStart"/>
      <w:r w:rsidRPr="00FE2E83">
        <w:rPr>
          <w:rFonts w:ascii="Times New Roman" w:hAnsi="Times New Roman" w:cs="Times New Roman"/>
          <w:sz w:val="24"/>
          <w:szCs w:val="24"/>
        </w:rPr>
        <w:t>Percent composition of bermudagrass and overseeded species by transition type on a ‘TifEagle’ putting green at four (top) and eight (bottom) weeks after the beginning of spring transition occurring on 6 May 2011.</w:t>
      </w:r>
      <w:proofErr w:type="gramEnd"/>
      <w:r w:rsidRPr="00FE2E83">
        <w:rPr>
          <w:rFonts w:ascii="Times New Roman" w:hAnsi="Times New Roman" w:cs="Times New Roman"/>
          <w:sz w:val="24"/>
          <w:szCs w:val="24"/>
        </w:rPr>
        <w:t xml:space="preserve"> NT represents natural transition and TS represents an herbicide transition with trifloxysulfuron-sodium applied 29 g a.i. ha</w:t>
      </w:r>
      <w:r w:rsidRPr="00FE2E83">
        <w:rPr>
          <w:rFonts w:ascii="Times New Roman" w:hAnsi="Times New Roman" w:cs="Times New Roman"/>
          <w:sz w:val="24"/>
          <w:szCs w:val="24"/>
          <w:vertAlign w:val="superscript"/>
        </w:rPr>
        <w:t>-1</w:t>
      </w:r>
      <w:r w:rsidR="002E7179">
        <w:rPr>
          <w:rFonts w:ascii="Times New Roman" w:hAnsi="Times New Roman" w:cs="Times New Roman"/>
          <w:sz w:val="24"/>
          <w:szCs w:val="24"/>
        </w:rPr>
        <w:t>……………………….101</w:t>
      </w:r>
    </w:p>
    <w:p w14:paraId="4A75A14C" w14:textId="77777777" w:rsidR="005A1DAB" w:rsidRPr="002E7179" w:rsidRDefault="00853A5E" w:rsidP="006919A1">
      <w:pPr>
        <w:rPr>
          <w:rFonts w:ascii="Times New Roman" w:hAnsi="Times New Roman" w:cs="Times New Roman"/>
          <w:sz w:val="24"/>
          <w:szCs w:val="24"/>
        </w:rPr>
      </w:pPr>
      <w:r w:rsidRPr="00FE2E83">
        <w:rPr>
          <w:rFonts w:ascii="Times New Roman" w:hAnsi="Times New Roman" w:cs="Times New Roman"/>
          <w:sz w:val="24"/>
          <w:szCs w:val="24"/>
        </w:rPr>
        <w:t xml:space="preserve">Fig. 3.2. </w:t>
      </w:r>
      <w:proofErr w:type="gramStart"/>
      <w:r w:rsidRPr="00FE2E83">
        <w:rPr>
          <w:rFonts w:ascii="Times New Roman" w:hAnsi="Times New Roman" w:cs="Times New Roman"/>
          <w:sz w:val="24"/>
          <w:szCs w:val="24"/>
        </w:rPr>
        <w:t>Percent composition of bermudagrass and overseeded species by transition type on a ‘TifEagle’ putting green at four (top) and eight (bottom) weeks after the beginning of spring transition occurring on 2 May 2012.</w:t>
      </w:r>
      <w:proofErr w:type="gramEnd"/>
      <w:r w:rsidRPr="00FE2E83">
        <w:rPr>
          <w:rFonts w:ascii="Times New Roman" w:hAnsi="Times New Roman" w:cs="Times New Roman"/>
          <w:sz w:val="24"/>
          <w:szCs w:val="24"/>
        </w:rPr>
        <w:t xml:space="preserve"> NT represents a natural transition and TS represents an herbicide transition with trifloxysulfuron-sodium applied 29 g a.i. ha</w:t>
      </w:r>
      <w:r w:rsidRPr="00FE2E83">
        <w:rPr>
          <w:rFonts w:ascii="Times New Roman" w:hAnsi="Times New Roman" w:cs="Times New Roman"/>
          <w:sz w:val="24"/>
          <w:szCs w:val="24"/>
          <w:vertAlign w:val="superscript"/>
        </w:rPr>
        <w:t>-1</w:t>
      </w:r>
      <w:r w:rsidR="002E7179">
        <w:rPr>
          <w:rFonts w:ascii="Times New Roman" w:hAnsi="Times New Roman" w:cs="Times New Roman"/>
          <w:sz w:val="24"/>
          <w:szCs w:val="24"/>
        </w:rPr>
        <w:t>……………………….102</w:t>
      </w:r>
    </w:p>
    <w:p w14:paraId="1DB9AD6A" w14:textId="77777777" w:rsidR="00853A5E" w:rsidRPr="002E7179" w:rsidRDefault="00853A5E" w:rsidP="006919A1">
      <w:pPr>
        <w:rPr>
          <w:rFonts w:ascii="Times New Roman" w:hAnsi="Times New Roman" w:cs="Times New Roman"/>
          <w:sz w:val="24"/>
          <w:szCs w:val="24"/>
        </w:rPr>
      </w:pPr>
      <w:r w:rsidRPr="00FE2E83">
        <w:rPr>
          <w:rFonts w:ascii="Times New Roman" w:hAnsi="Times New Roman" w:cs="Times New Roman"/>
          <w:sz w:val="24"/>
          <w:szCs w:val="24"/>
        </w:rPr>
        <w:t xml:space="preserve">Fig. 3.3. </w:t>
      </w:r>
      <w:proofErr w:type="gramStart"/>
      <w:r w:rsidRPr="00FE2E83">
        <w:rPr>
          <w:rFonts w:ascii="Times New Roman" w:hAnsi="Times New Roman" w:cs="Times New Roman"/>
          <w:sz w:val="24"/>
          <w:szCs w:val="24"/>
        </w:rPr>
        <w:t>Percent composition of bermudagrass and overseeded species by transition type on a ‘Riviera’ fairway at four (top) and eight (bottom) weeks after the beginning of spring transition occurring on 6 May 2011.</w:t>
      </w:r>
      <w:proofErr w:type="gramEnd"/>
      <w:r w:rsidRPr="00FE2E83">
        <w:rPr>
          <w:rFonts w:ascii="Times New Roman" w:hAnsi="Times New Roman" w:cs="Times New Roman"/>
          <w:sz w:val="24"/>
          <w:szCs w:val="24"/>
        </w:rPr>
        <w:t xml:space="preserve"> NT represents a natural transition and TS represents an herbicide transition with trifloxysulfuron-sodium applied 29 g a.i. ha</w:t>
      </w:r>
      <w:r w:rsidRPr="00FE2E83">
        <w:rPr>
          <w:rFonts w:ascii="Times New Roman" w:hAnsi="Times New Roman" w:cs="Times New Roman"/>
          <w:sz w:val="24"/>
          <w:szCs w:val="24"/>
          <w:vertAlign w:val="superscript"/>
        </w:rPr>
        <w:t>-1</w:t>
      </w:r>
      <w:r w:rsidR="002E7179">
        <w:rPr>
          <w:rFonts w:ascii="Times New Roman" w:hAnsi="Times New Roman" w:cs="Times New Roman"/>
          <w:sz w:val="24"/>
          <w:szCs w:val="24"/>
        </w:rPr>
        <w:t>………………………………….103</w:t>
      </w:r>
    </w:p>
    <w:p w14:paraId="773E75F3" w14:textId="77777777" w:rsidR="00853A5E" w:rsidRPr="002E7179" w:rsidRDefault="00853A5E" w:rsidP="006919A1">
      <w:pPr>
        <w:rPr>
          <w:rFonts w:ascii="Times New Roman" w:hAnsi="Times New Roman" w:cs="Times New Roman"/>
          <w:sz w:val="24"/>
          <w:szCs w:val="24"/>
        </w:rPr>
      </w:pPr>
      <w:r w:rsidRPr="00FE2E83">
        <w:rPr>
          <w:rFonts w:ascii="Times New Roman" w:hAnsi="Times New Roman" w:cs="Times New Roman"/>
          <w:sz w:val="24"/>
          <w:szCs w:val="24"/>
        </w:rPr>
        <w:t xml:space="preserve">Fig. 3.4. </w:t>
      </w:r>
      <w:proofErr w:type="gramStart"/>
      <w:r w:rsidRPr="00FE2E83">
        <w:rPr>
          <w:rFonts w:ascii="Times New Roman" w:hAnsi="Times New Roman" w:cs="Times New Roman"/>
          <w:sz w:val="24"/>
          <w:szCs w:val="24"/>
        </w:rPr>
        <w:t>Percent composition of bermudagrass and overseeded species by transition type on a ‘Riviera’ fairway at four (top) and eight (bottom) weeks after the beginning of spring transition occurring on 2 May 2012.</w:t>
      </w:r>
      <w:proofErr w:type="gramEnd"/>
      <w:r w:rsidRPr="00FE2E83">
        <w:rPr>
          <w:rFonts w:ascii="Times New Roman" w:hAnsi="Times New Roman" w:cs="Times New Roman"/>
          <w:sz w:val="24"/>
          <w:szCs w:val="24"/>
        </w:rPr>
        <w:t xml:space="preserve"> NT represents a natural transition and TS represents an herbicide transition with Trifloxysulfuron-sodium applied 29 g a.i. ha</w:t>
      </w:r>
      <w:r w:rsidRPr="00FE2E83">
        <w:rPr>
          <w:rFonts w:ascii="Times New Roman" w:hAnsi="Times New Roman" w:cs="Times New Roman"/>
          <w:sz w:val="24"/>
          <w:szCs w:val="24"/>
          <w:vertAlign w:val="superscript"/>
        </w:rPr>
        <w:t>-1</w:t>
      </w:r>
      <w:r w:rsidR="002E7179">
        <w:rPr>
          <w:rFonts w:ascii="Times New Roman" w:hAnsi="Times New Roman" w:cs="Times New Roman"/>
          <w:sz w:val="24"/>
          <w:szCs w:val="24"/>
        </w:rPr>
        <w:t>…………………………………104</w:t>
      </w:r>
    </w:p>
    <w:p w14:paraId="323FDF31" w14:textId="77777777" w:rsidR="00853A5E" w:rsidRPr="00FE2E83" w:rsidRDefault="00853A5E" w:rsidP="00853A5E">
      <w:pPr>
        <w:rPr>
          <w:rFonts w:ascii="Times New Roman" w:hAnsi="Times New Roman" w:cs="Times New Roman"/>
          <w:sz w:val="24"/>
          <w:szCs w:val="24"/>
        </w:rPr>
      </w:pPr>
      <w:r w:rsidRPr="00FE2E83">
        <w:rPr>
          <w:rFonts w:ascii="Times New Roman" w:hAnsi="Times New Roman" w:cs="Times New Roman"/>
          <w:sz w:val="24"/>
          <w:szCs w:val="24"/>
        </w:rPr>
        <w:t>Fig. 3.5. Percent composition of bermudagrass and overseeded species by transition type on a ‘Tifway’ sports turf with traffic at four (top) and eight (bottom) weeks after the beginning of spring transition occurring on 6 May 2011. NT represents a natural transition and TS represents an herbicide transition with trifloxysulfuron-sodium applied 29 g a.i. ha</w:t>
      </w:r>
      <w:r w:rsidRPr="00FE2E83">
        <w:rPr>
          <w:rFonts w:ascii="Times New Roman" w:hAnsi="Times New Roman" w:cs="Times New Roman"/>
          <w:sz w:val="24"/>
          <w:szCs w:val="24"/>
          <w:vertAlign w:val="superscript"/>
        </w:rPr>
        <w:t>-1</w:t>
      </w:r>
      <w:r w:rsidR="002E7179">
        <w:rPr>
          <w:rFonts w:ascii="Times New Roman" w:hAnsi="Times New Roman" w:cs="Times New Roman"/>
          <w:sz w:val="24"/>
          <w:szCs w:val="24"/>
        </w:rPr>
        <w:t>…………………….105</w:t>
      </w:r>
    </w:p>
    <w:p w14:paraId="576234A4" w14:textId="77777777" w:rsidR="00853A5E" w:rsidRPr="00F81BAF" w:rsidRDefault="00853A5E" w:rsidP="00853A5E">
      <w:pPr>
        <w:rPr>
          <w:rFonts w:ascii="Times New Roman" w:hAnsi="Times New Roman" w:cs="Times New Roman"/>
          <w:sz w:val="24"/>
          <w:szCs w:val="24"/>
        </w:rPr>
      </w:pPr>
      <w:r w:rsidRPr="00FE2E83">
        <w:rPr>
          <w:rFonts w:ascii="Times New Roman" w:hAnsi="Times New Roman" w:cs="Times New Roman"/>
          <w:sz w:val="24"/>
          <w:szCs w:val="24"/>
        </w:rPr>
        <w:t>Fig. 3.6. Percent composition of bermudagrass and overseeded species by transition type on a ‘Tifway’ sports turf with traffic at four (top) and eight (bottom) weeks after the beginning of spring transition occurring on 2 May 2012. NT represents a natural transition and TS represents an herbicide transition with trifloxysulfuron-sodium applied 29 g a.i. ha</w:t>
      </w:r>
      <w:r w:rsidRPr="00FE2E83">
        <w:rPr>
          <w:rFonts w:ascii="Times New Roman" w:hAnsi="Times New Roman" w:cs="Times New Roman"/>
          <w:sz w:val="24"/>
          <w:szCs w:val="24"/>
          <w:vertAlign w:val="superscript"/>
        </w:rPr>
        <w:t>-1</w:t>
      </w:r>
      <w:r w:rsidR="002E7179">
        <w:rPr>
          <w:rFonts w:ascii="Times New Roman" w:hAnsi="Times New Roman" w:cs="Times New Roman"/>
          <w:sz w:val="24"/>
          <w:szCs w:val="24"/>
        </w:rPr>
        <w:t>…………………….</w:t>
      </w:r>
      <w:r w:rsidR="002353C6">
        <w:rPr>
          <w:rFonts w:ascii="Times New Roman" w:hAnsi="Times New Roman" w:cs="Times New Roman"/>
          <w:sz w:val="24"/>
          <w:szCs w:val="24"/>
        </w:rPr>
        <w:t>106</w:t>
      </w:r>
    </w:p>
    <w:p w14:paraId="6D8A493F" w14:textId="77777777" w:rsidR="00853A5E" w:rsidRPr="00FE2E83" w:rsidRDefault="00853A5E" w:rsidP="00C35308">
      <w:pPr>
        <w:spacing w:line="240" w:lineRule="auto"/>
        <w:rPr>
          <w:rFonts w:ascii="Times New Roman" w:hAnsi="Times New Roman" w:cs="Times New Roman"/>
          <w:sz w:val="24"/>
          <w:szCs w:val="24"/>
        </w:rPr>
      </w:pPr>
      <w:r w:rsidRPr="00FE2E83">
        <w:rPr>
          <w:rFonts w:ascii="Times New Roman" w:hAnsi="Times New Roman" w:cs="Times New Roman"/>
          <w:sz w:val="24"/>
          <w:szCs w:val="24"/>
        </w:rPr>
        <w:t xml:space="preserve">Fig. 3.7. Monthly average air temperatures for Knoxville, TN in 2010-2011 and 2011-2012 with a 29 year normal for comparison. </w:t>
      </w:r>
      <w:r w:rsidR="002E7179">
        <w:rPr>
          <w:rFonts w:ascii="Times New Roman" w:hAnsi="Times New Roman" w:cs="Times New Roman"/>
          <w:sz w:val="24"/>
          <w:szCs w:val="24"/>
        </w:rPr>
        <w:t>…………</w:t>
      </w:r>
      <w:r w:rsidR="002353C6">
        <w:rPr>
          <w:rFonts w:ascii="Times New Roman" w:hAnsi="Times New Roman" w:cs="Times New Roman"/>
          <w:sz w:val="24"/>
          <w:szCs w:val="24"/>
        </w:rPr>
        <w:t>…………………………………………………...107</w:t>
      </w:r>
    </w:p>
    <w:p w14:paraId="6D28F5A3" w14:textId="77777777" w:rsidR="00853A5E" w:rsidRPr="00F81BAF" w:rsidRDefault="00853A5E" w:rsidP="00C35308">
      <w:pPr>
        <w:spacing w:before="240"/>
        <w:rPr>
          <w:rFonts w:ascii="Times New Roman" w:hAnsi="Times New Roman" w:cs="Times New Roman"/>
          <w:sz w:val="24"/>
          <w:szCs w:val="24"/>
        </w:rPr>
      </w:pPr>
      <w:r w:rsidRPr="00FE2E83">
        <w:rPr>
          <w:rFonts w:ascii="Times New Roman" w:hAnsi="Times New Roman" w:cs="Times New Roman"/>
          <w:sz w:val="24"/>
          <w:szCs w:val="24"/>
        </w:rPr>
        <w:lastRenderedPageBreak/>
        <w:t>Figure 3.8. Daily soil temperature at the East Tennessee Research and Education Center in fall of 2010 and 2011</w:t>
      </w:r>
      <w:r w:rsidR="002353C6">
        <w:rPr>
          <w:rFonts w:ascii="Times New Roman" w:hAnsi="Times New Roman" w:cs="Times New Roman"/>
          <w:sz w:val="24"/>
          <w:szCs w:val="24"/>
        </w:rPr>
        <w:t>………………………………………………………………...………………...108</w:t>
      </w:r>
    </w:p>
    <w:p w14:paraId="576462E1" w14:textId="77777777" w:rsidR="00853A5E" w:rsidRPr="00FE2E83" w:rsidRDefault="00853A5E" w:rsidP="00C35308">
      <w:pPr>
        <w:spacing w:before="240"/>
        <w:rPr>
          <w:rFonts w:ascii="Times New Roman" w:hAnsi="Times New Roman" w:cs="Times New Roman"/>
          <w:sz w:val="24"/>
          <w:szCs w:val="24"/>
        </w:rPr>
      </w:pPr>
      <w:r w:rsidRPr="00FE2E83">
        <w:rPr>
          <w:rFonts w:ascii="Times New Roman" w:hAnsi="Times New Roman" w:cs="Times New Roman"/>
          <w:sz w:val="24"/>
          <w:szCs w:val="24"/>
        </w:rPr>
        <w:t>Figure 3.9. Daily average air temperatures at seeding and two weeks after at the East Tennessee Research and Education Center, Knoxville</w:t>
      </w:r>
      <w:r w:rsidR="002353C6">
        <w:rPr>
          <w:rFonts w:ascii="Times New Roman" w:hAnsi="Times New Roman" w:cs="Times New Roman"/>
          <w:sz w:val="24"/>
          <w:szCs w:val="24"/>
        </w:rPr>
        <w:t>…………………………………………………….109</w:t>
      </w:r>
    </w:p>
    <w:p w14:paraId="41322489" w14:textId="77777777" w:rsidR="00853A5E" w:rsidRPr="00F81BAF" w:rsidRDefault="008C3C2C" w:rsidP="00C35308">
      <w:pPr>
        <w:spacing w:line="240" w:lineRule="auto"/>
        <w:rPr>
          <w:rFonts w:ascii="Times New Roman" w:hAnsi="Times New Roman" w:cs="Times New Roman"/>
          <w:sz w:val="24"/>
          <w:szCs w:val="24"/>
        </w:rPr>
      </w:pPr>
      <w:r w:rsidRPr="00FE2E83">
        <w:rPr>
          <w:rFonts w:ascii="Times New Roman" w:hAnsi="Times New Roman" w:cs="Times New Roman"/>
          <w:sz w:val="24"/>
          <w:szCs w:val="24"/>
        </w:rPr>
        <w:t xml:space="preserve">Figure 3.10. </w:t>
      </w:r>
      <w:proofErr w:type="gramStart"/>
      <w:r w:rsidRPr="00FE2E83">
        <w:rPr>
          <w:rFonts w:ascii="Times New Roman" w:hAnsi="Times New Roman" w:cs="Times New Roman"/>
          <w:sz w:val="24"/>
          <w:szCs w:val="24"/>
        </w:rPr>
        <w:t>Growing and cooling degree day accumulations at a base of 18.3</w:t>
      </w:r>
      <w:r w:rsidRPr="00FE2E83">
        <w:rPr>
          <w:rFonts w:ascii="Cambria Math" w:hAnsi="Cambria Math" w:cs="Cambria Math"/>
          <w:sz w:val="24"/>
          <w:szCs w:val="24"/>
        </w:rPr>
        <w:t>⁰</w:t>
      </w:r>
      <w:r w:rsidRPr="00FE2E83">
        <w:rPr>
          <w:rFonts w:ascii="Times New Roman" w:hAnsi="Times New Roman" w:cs="Times New Roman"/>
          <w:sz w:val="24"/>
          <w:szCs w:val="24"/>
        </w:rPr>
        <w:t>C.</w:t>
      </w:r>
      <w:proofErr w:type="gramEnd"/>
      <w:r w:rsidRPr="00FE2E83">
        <w:rPr>
          <w:rFonts w:ascii="Times New Roman" w:hAnsi="Times New Roman" w:cs="Times New Roman"/>
          <w:sz w:val="24"/>
          <w:szCs w:val="24"/>
        </w:rPr>
        <w:t xml:space="preserve"> </w:t>
      </w:r>
      <w:r w:rsidR="002353C6">
        <w:rPr>
          <w:rFonts w:ascii="Times New Roman" w:hAnsi="Times New Roman" w:cs="Times New Roman"/>
          <w:sz w:val="24"/>
          <w:szCs w:val="24"/>
        </w:rPr>
        <w:t>…………...110</w:t>
      </w:r>
    </w:p>
    <w:p w14:paraId="3BB06A98" w14:textId="77777777" w:rsidR="008C3C2C" w:rsidRPr="00F81BAF" w:rsidRDefault="008C3C2C" w:rsidP="00C35308">
      <w:pPr>
        <w:spacing w:after="0" w:line="240" w:lineRule="auto"/>
        <w:rPr>
          <w:rFonts w:ascii="Times New Roman" w:eastAsiaTheme="minorHAnsi" w:hAnsi="Times New Roman" w:cs="Times New Roman"/>
          <w:sz w:val="24"/>
          <w:szCs w:val="24"/>
        </w:rPr>
      </w:pPr>
      <w:r w:rsidRPr="00F81BAF">
        <w:rPr>
          <w:rFonts w:ascii="Times New Roman" w:eastAsiaTheme="minorHAnsi" w:hAnsi="Times New Roman" w:cs="Times New Roman"/>
          <w:sz w:val="24"/>
          <w:szCs w:val="24"/>
        </w:rPr>
        <w:t>Figure E-1. Percent green cover of growth habit groups over a one year period</w:t>
      </w:r>
      <w:r w:rsidR="00F81BAF">
        <w:rPr>
          <w:rFonts w:ascii="Times New Roman" w:eastAsiaTheme="minorHAnsi" w:hAnsi="Times New Roman" w:cs="Times New Roman"/>
          <w:sz w:val="24"/>
          <w:szCs w:val="24"/>
        </w:rPr>
        <w:t xml:space="preserve"> in 2009-2010 at Knoxville, TN</w:t>
      </w:r>
      <w:r w:rsidR="005A1EB9">
        <w:rPr>
          <w:rFonts w:ascii="Times New Roman" w:eastAsiaTheme="minorHAnsi" w:hAnsi="Times New Roman" w:cs="Times New Roman"/>
          <w:sz w:val="24"/>
          <w:szCs w:val="24"/>
        </w:rPr>
        <w:t>………………………………………………………………………………......118</w:t>
      </w:r>
    </w:p>
    <w:p w14:paraId="79F6265A" w14:textId="68DD2E45" w:rsidR="008C3C2C" w:rsidRPr="00F81BAF" w:rsidRDefault="008C3C2C" w:rsidP="00F81BAF">
      <w:pPr>
        <w:spacing w:before="240"/>
        <w:rPr>
          <w:rFonts w:ascii="Times New Roman" w:hAnsi="Times New Roman" w:cs="Times New Roman"/>
          <w:sz w:val="24"/>
          <w:szCs w:val="24"/>
        </w:rPr>
      </w:pPr>
      <w:r w:rsidRPr="00F81BAF">
        <w:rPr>
          <w:rFonts w:ascii="Times New Roman" w:hAnsi="Times New Roman" w:cs="Times New Roman"/>
          <w:sz w:val="24"/>
          <w:szCs w:val="24"/>
        </w:rPr>
        <w:t xml:space="preserve">Figure F.1. Percent green cover of selected species and cultivars in comparison to the hybrid P. </w:t>
      </w:r>
      <w:r w:rsidRPr="00F557E1">
        <w:rPr>
          <w:rFonts w:ascii="Times New Roman" w:hAnsi="Times New Roman" w:cs="Times New Roman"/>
          <w:i/>
          <w:sz w:val="24"/>
          <w:szCs w:val="24"/>
        </w:rPr>
        <w:t>arachnifera</w:t>
      </w:r>
      <w:r w:rsidRPr="00F81BAF">
        <w:rPr>
          <w:rFonts w:ascii="Times New Roman" w:hAnsi="Times New Roman" w:cs="Times New Roman"/>
          <w:sz w:val="24"/>
          <w:szCs w:val="24"/>
        </w:rPr>
        <w:t xml:space="preserve"> × </w:t>
      </w:r>
      <w:r w:rsidRPr="00F557E1">
        <w:rPr>
          <w:rFonts w:ascii="Times New Roman" w:hAnsi="Times New Roman" w:cs="Times New Roman"/>
          <w:i/>
          <w:sz w:val="24"/>
          <w:szCs w:val="24"/>
        </w:rPr>
        <w:t>dusenii</w:t>
      </w:r>
      <w:r w:rsidRPr="00F81BAF">
        <w:rPr>
          <w:rFonts w:ascii="Times New Roman" w:hAnsi="Times New Roman" w:cs="Times New Roman"/>
          <w:sz w:val="24"/>
          <w:szCs w:val="24"/>
        </w:rPr>
        <w:t xml:space="preserve"> in 2010-2011 (A) and 2011-2012 (B)</w:t>
      </w:r>
      <w:r w:rsidR="005A1EB9">
        <w:rPr>
          <w:rFonts w:ascii="Times New Roman" w:hAnsi="Times New Roman" w:cs="Times New Roman"/>
          <w:sz w:val="24"/>
          <w:szCs w:val="24"/>
        </w:rPr>
        <w:t>…………………………………</w:t>
      </w:r>
      <w:r w:rsidR="00F557E1">
        <w:rPr>
          <w:rFonts w:ascii="Times New Roman" w:hAnsi="Times New Roman" w:cs="Times New Roman"/>
          <w:sz w:val="24"/>
          <w:szCs w:val="24"/>
        </w:rPr>
        <w:t>………………………………………………………….</w:t>
      </w:r>
      <w:r w:rsidR="005A1EB9">
        <w:rPr>
          <w:rFonts w:ascii="Times New Roman" w:hAnsi="Times New Roman" w:cs="Times New Roman"/>
          <w:sz w:val="24"/>
          <w:szCs w:val="24"/>
        </w:rPr>
        <w:t>...122</w:t>
      </w:r>
    </w:p>
    <w:p w14:paraId="732A426E" w14:textId="77777777" w:rsidR="00F81BAF" w:rsidRPr="00F81BAF" w:rsidRDefault="00F81BAF" w:rsidP="00F81BAF">
      <w:pPr>
        <w:spacing w:before="240"/>
        <w:rPr>
          <w:rFonts w:ascii="Times New Roman" w:hAnsi="Times New Roman" w:cs="Times New Roman"/>
          <w:sz w:val="24"/>
          <w:szCs w:val="24"/>
        </w:rPr>
      </w:pPr>
      <w:r w:rsidRPr="00F81BAF">
        <w:rPr>
          <w:rFonts w:ascii="Times New Roman" w:hAnsi="Times New Roman" w:cs="Times New Roman"/>
          <w:sz w:val="24"/>
          <w:szCs w:val="24"/>
        </w:rPr>
        <w:t xml:space="preserve">Figure F.2. Mature height in cm of selected species and cultivars in comparison to the hybrid P. </w:t>
      </w:r>
      <w:r w:rsidRPr="003F44DD">
        <w:rPr>
          <w:rFonts w:ascii="Times New Roman" w:hAnsi="Times New Roman" w:cs="Times New Roman"/>
          <w:i/>
          <w:sz w:val="24"/>
          <w:szCs w:val="24"/>
        </w:rPr>
        <w:t>arachnifera</w:t>
      </w:r>
      <w:r w:rsidRPr="00F81BAF">
        <w:rPr>
          <w:rFonts w:ascii="Times New Roman" w:hAnsi="Times New Roman" w:cs="Times New Roman"/>
          <w:sz w:val="24"/>
          <w:szCs w:val="24"/>
        </w:rPr>
        <w:t xml:space="preserve"> × </w:t>
      </w:r>
      <w:r w:rsidRPr="003F44DD">
        <w:rPr>
          <w:rFonts w:ascii="Times New Roman" w:hAnsi="Times New Roman" w:cs="Times New Roman"/>
          <w:i/>
          <w:sz w:val="24"/>
          <w:szCs w:val="24"/>
        </w:rPr>
        <w:t>dusenii</w:t>
      </w:r>
      <w:r w:rsidR="005A1EB9">
        <w:rPr>
          <w:rFonts w:ascii="Times New Roman" w:hAnsi="Times New Roman" w:cs="Times New Roman"/>
          <w:i/>
          <w:sz w:val="24"/>
          <w:szCs w:val="24"/>
        </w:rPr>
        <w:t>………</w:t>
      </w:r>
      <w:r w:rsidR="005A1EB9">
        <w:rPr>
          <w:rFonts w:ascii="Times New Roman" w:hAnsi="Times New Roman" w:cs="Times New Roman"/>
          <w:sz w:val="24"/>
          <w:szCs w:val="24"/>
        </w:rPr>
        <w:t>……………………………………………………………………123</w:t>
      </w:r>
    </w:p>
    <w:p w14:paraId="374359FE" w14:textId="77777777" w:rsidR="00F81BAF" w:rsidRPr="00F81BAF" w:rsidRDefault="00F81BAF" w:rsidP="00F81BAF">
      <w:pPr>
        <w:spacing w:before="240"/>
        <w:rPr>
          <w:rFonts w:ascii="Times New Roman" w:hAnsi="Times New Roman" w:cs="Times New Roman"/>
          <w:sz w:val="24"/>
          <w:szCs w:val="24"/>
        </w:rPr>
      </w:pPr>
      <w:r w:rsidRPr="00F81BAF">
        <w:rPr>
          <w:rFonts w:ascii="Times New Roman" w:hAnsi="Times New Roman" w:cs="Times New Roman"/>
          <w:sz w:val="24"/>
          <w:szCs w:val="24"/>
        </w:rPr>
        <w:t xml:space="preserve">Figure F.3. </w:t>
      </w:r>
      <w:r w:rsidRPr="00F81BAF">
        <w:rPr>
          <w:rFonts w:ascii="Times New Roman" w:hAnsi="Times New Roman" w:cs="Times New Roman"/>
          <w:i/>
          <w:sz w:val="24"/>
          <w:szCs w:val="24"/>
        </w:rPr>
        <w:t xml:space="preserve">P. arachnifera </w:t>
      </w:r>
      <w:r w:rsidRPr="00F81BAF">
        <w:rPr>
          <w:rFonts w:ascii="Times New Roman" w:hAnsi="Times New Roman" w:cs="Times New Roman"/>
          <w:sz w:val="24"/>
          <w:szCs w:val="24"/>
        </w:rPr>
        <w:t xml:space="preserve">left, </w:t>
      </w:r>
      <w:r w:rsidRPr="00F81BAF">
        <w:rPr>
          <w:rFonts w:ascii="Times New Roman" w:hAnsi="Times New Roman" w:cs="Times New Roman"/>
          <w:i/>
          <w:sz w:val="24"/>
          <w:szCs w:val="24"/>
        </w:rPr>
        <w:t xml:space="preserve">P. arachnifera </w:t>
      </w:r>
      <w:r w:rsidRPr="00F81BAF">
        <w:rPr>
          <w:rFonts w:ascii="Times New Roman" w:hAnsi="Times New Roman" w:cs="Times New Roman"/>
          <w:sz w:val="24"/>
          <w:szCs w:val="24"/>
        </w:rPr>
        <w:t>×</w:t>
      </w:r>
      <w:r w:rsidRPr="00F81BAF">
        <w:rPr>
          <w:rFonts w:ascii="Times New Roman" w:hAnsi="Times New Roman" w:cs="Times New Roman"/>
          <w:i/>
          <w:sz w:val="24"/>
          <w:szCs w:val="24"/>
        </w:rPr>
        <w:t xml:space="preserve"> P. dusenii</w:t>
      </w:r>
      <w:r w:rsidRPr="00F81BAF">
        <w:rPr>
          <w:rFonts w:ascii="Times New Roman" w:hAnsi="Times New Roman" w:cs="Times New Roman"/>
          <w:sz w:val="24"/>
          <w:szCs w:val="24"/>
        </w:rPr>
        <w:t xml:space="preserve"> center, and </w:t>
      </w:r>
      <w:r w:rsidRPr="00F81BAF">
        <w:rPr>
          <w:rFonts w:ascii="Times New Roman" w:hAnsi="Times New Roman" w:cs="Times New Roman"/>
          <w:i/>
          <w:sz w:val="24"/>
          <w:szCs w:val="24"/>
        </w:rPr>
        <w:t>P. dusenii</w:t>
      </w:r>
      <w:r w:rsidR="006E4775">
        <w:rPr>
          <w:rFonts w:ascii="Times New Roman" w:hAnsi="Times New Roman" w:cs="Times New Roman"/>
          <w:sz w:val="24"/>
          <w:szCs w:val="24"/>
        </w:rPr>
        <w:t xml:space="preserve"> right</w:t>
      </w:r>
      <w:r w:rsidRPr="00F81BAF">
        <w:rPr>
          <w:rFonts w:ascii="Times New Roman" w:hAnsi="Times New Roman" w:cs="Times New Roman"/>
          <w:sz w:val="24"/>
          <w:szCs w:val="24"/>
        </w:rPr>
        <w:t xml:space="preserve"> </w:t>
      </w:r>
      <w:r w:rsidR="006E4775">
        <w:rPr>
          <w:rFonts w:ascii="Times New Roman" w:hAnsi="Times New Roman" w:cs="Times New Roman"/>
          <w:sz w:val="24"/>
          <w:szCs w:val="24"/>
        </w:rPr>
        <w:t>……..124</w:t>
      </w:r>
    </w:p>
    <w:p w14:paraId="2DE02BA2" w14:textId="77777777" w:rsidR="006919A1" w:rsidRPr="003B525C" w:rsidRDefault="006919A1" w:rsidP="006919A1">
      <w:pPr>
        <w:rPr>
          <w:rFonts w:ascii="Times New Roman" w:hAnsi="Times New Roman" w:cs="Times New Roman"/>
          <w:sz w:val="24"/>
          <w:szCs w:val="24"/>
        </w:rPr>
      </w:pPr>
      <w:r w:rsidRPr="003B525C">
        <w:rPr>
          <w:rFonts w:ascii="Times New Roman" w:hAnsi="Times New Roman" w:cs="Times New Roman"/>
          <w:sz w:val="24"/>
          <w:szCs w:val="24"/>
        </w:rPr>
        <w:t>.</w:t>
      </w:r>
    </w:p>
    <w:p w14:paraId="0BF6AED6" w14:textId="77777777" w:rsidR="006919A1" w:rsidRDefault="006919A1">
      <w:pPr>
        <w:sectPr w:rsidR="006919A1" w:rsidSect="006919A1">
          <w:headerReference w:type="default" r:id="rId10"/>
          <w:pgSz w:w="12240" w:h="15840"/>
          <w:pgMar w:top="1440" w:right="1440" w:bottom="1440" w:left="1440" w:header="720" w:footer="720" w:gutter="0"/>
          <w:pgNumType w:fmt="lowerRoman" w:start="2"/>
          <w:cols w:space="720"/>
          <w:docGrid w:linePitch="360"/>
        </w:sectPr>
      </w:pPr>
    </w:p>
    <w:p w14:paraId="119DF813" w14:textId="77777777" w:rsidR="00F72CBE" w:rsidRDefault="00F72CBE"/>
    <w:p w14:paraId="7442AA72" w14:textId="77777777" w:rsidR="006919A1" w:rsidRDefault="006919A1"/>
    <w:p w14:paraId="3C91C46F" w14:textId="77777777" w:rsidR="006919A1" w:rsidRDefault="006919A1"/>
    <w:p w14:paraId="3F29BB41" w14:textId="77777777" w:rsidR="006919A1" w:rsidRDefault="006919A1"/>
    <w:p w14:paraId="3F0179CA" w14:textId="77777777" w:rsidR="006919A1" w:rsidRDefault="006919A1"/>
    <w:p w14:paraId="36AA17AB" w14:textId="77777777" w:rsidR="006919A1" w:rsidRDefault="006919A1"/>
    <w:p w14:paraId="365ADA6E" w14:textId="77777777" w:rsidR="006919A1" w:rsidRDefault="006919A1"/>
    <w:p w14:paraId="567A8999" w14:textId="77777777" w:rsidR="006919A1" w:rsidRDefault="006919A1"/>
    <w:p w14:paraId="35FD920B" w14:textId="77777777" w:rsidR="006919A1" w:rsidRDefault="006919A1"/>
    <w:p w14:paraId="5BD87335" w14:textId="77777777" w:rsidR="006919A1" w:rsidRDefault="006919A1"/>
    <w:p w14:paraId="19C88F79" w14:textId="77777777" w:rsidR="006919A1" w:rsidRDefault="006919A1" w:rsidP="006919A1">
      <w:pPr>
        <w:pStyle w:val="Heading1"/>
        <w:numPr>
          <w:ilvl w:val="0"/>
          <w:numId w:val="5"/>
        </w:numPr>
      </w:pPr>
      <w:bookmarkStart w:id="0" w:name="_Toc354003307"/>
      <w:bookmarkEnd w:id="0"/>
    </w:p>
    <w:p w14:paraId="3E34D8EB" w14:textId="77777777" w:rsidR="006919A1" w:rsidRDefault="006919A1" w:rsidP="006919A1">
      <w:pPr>
        <w:jc w:val="center"/>
      </w:pPr>
    </w:p>
    <w:p w14:paraId="0C727F8C" w14:textId="77777777" w:rsidR="0001663B" w:rsidRDefault="006919A1" w:rsidP="006919A1">
      <w:pPr>
        <w:pStyle w:val="Heading2"/>
      </w:pPr>
      <w:bookmarkStart w:id="1" w:name="_Toc354003308"/>
      <w:r>
        <w:t>L</w:t>
      </w:r>
      <w:r w:rsidR="00DC6980">
        <w:t>ITERATURE</w:t>
      </w:r>
      <w:r>
        <w:t xml:space="preserve"> R</w:t>
      </w:r>
      <w:r w:rsidR="00DC6980" w:rsidRPr="00DC6980">
        <w:t>EVIEW</w:t>
      </w:r>
      <w:bookmarkEnd w:id="1"/>
    </w:p>
    <w:p w14:paraId="1F93DEF9" w14:textId="77777777" w:rsidR="0001663B" w:rsidRDefault="0001663B" w:rsidP="0001663B">
      <w:pPr>
        <w:rPr>
          <w:rFonts w:asciiTheme="majorHAnsi" w:eastAsiaTheme="majorEastAsia" w:hAnsiTheme="majorHAnsi" w:cstheme="majorBidi"/>
          <w:sz w:val="28"/>
          <w:szCs w:val="26"/>
        </w:rPr>
      </w:pPr>
      <w:r>
        <w:br w:type="page"/>
      </w:r>
    </w:p>
    <w:p w14:paraId="06DDCA61" w14:textId="77777777" w:rsidR="006919A1" w:rsidRDefault="00AB477F" w:rsidP="0001663B">
      <w:pPr>
        <w:pStyle w:val="Heading3"/>
      </w:pPr>
      <w:bookmarkStart w:id="2" w:name="_Toc354003309"/>
      <w:r>
        <w:lastRenderedPageBreak/>
        <w:t>Alternative</w:t>
      </w:r>
      <w:r w:rsidR="0001663B" w:rsidRPr="0001663B">
        <w:t xml:space="preserve"> species</w:t>
      </w:r>
      <w:bookmarkEnd w:id="2"/>
    </w:p>
    <w:p w14:paraId="05A9AF80" w14:textId="77777777" w:rsidR="0001663B" w:rsidRPr="0001663B" w:rsidRDefault="0001663B" w:rsidP="0001663B">
      <w:pPr>
        <w:rPr>
          <w:rFonts w:ascii="Times New Roman" w:hAnsi="Times New Roman" w:cs="Times New Roman"/>
          <w:sz w:val="24"/>
          <w:szCs w:val="24"/>
        </w:rPr>
      </w:pPr>
    </w:p>
    <w:p w14:paraId="59BE872F" w14:textId="77777777" w:rsidR="0001663B" w:rsidRPr="0001663B" w:rsidRDefault="0001663B" w:rsidP="0001663B">
      <w:pPr>
        <w:spacing w:line="480" w:lineRule="auto"/>
        <w:rPr>
          <w:rFonts w:ascii="Times New Roman" w:eastAsiaTheme="minorHAnsi" w:hAnsi="Times New Roman" w:cs="Times New Roman"/>
          <w:sz w:val="24"/>
        </w:rPr>
      </w:pPr>
      <w:r>
        <w:rPr>
          <w:rFonts w:ascii="Times New Roman" w:eastAsiaTheme="minorHAnsi" w:hAnsi="Times New Roman" w:cs="Times New Roman"/>
          <w:sz w:val="24"/>
        </w:rPr>
        <w:tab/>
      </w:r>
      <w:r w:rsidRPr="0001663B">
        <w:rPr>
          <w:rFonts w:ascii="Times New Roman" w:eastAsiaTheme="minorHAnsi" w:hAnsi="Times New Roman" w:cs="Times New Roman"/>
          <w:sz w:val="24"/>
        </w:rPr>
        <w:t>Restrictions on water, fertilizer, and pesticide use have challenged the turf industry to develop or discover turfgrass species and cultivars capable of maintaining acceptable turfgrass quality under reduced inputs. Breeders have responded by focusing their attention on traditional turf</w:t>
      </w:r>
      <w:r w:rsidR="002D4CE6">
        <w:rPr>
          <w:rFonts w:ascii="Times New Roman" w:eastAsiaTheme="minorHAnsi" w:hAnsi="Times New Roman" w:cs="Times New Roman"/>
          <w:sz w:val="24"/>
        </w:rPr>
        <w:t xml:space="preserve">grass species. </w:t>
      </w:r>
      <w:r w:rsidRPr="0001663B">
        <w:rPr>
          <w:rFonts w:ascii="Times New Roman" w:eastAsiaTheme="minorHAnsi" w:hAnsi="Times New Roman" w:cs="Times New Roman"/>
          <w:sz w:val="24"/>
        </w:rPr>
        <w:t>Turfgrass researchers have evaluated alternative species for use in turf, with some focusing strictly on native species (Mintenko et al., 2002; Salaiz, 2011; Kopec et al., 2008). Other researchers have focused on evaluating a wide array of traditional, non-traditional, and native species in specific systems, such as fairways (Watkins et al., 2010). Breeding efforts have begun with some native species with the goal of improving turf quality while keeping and improving low maintenance qualities. These species include buffalograss [</w:t>
      </w:r>
      <w:r w:rsidRPr="0001663B">
        <w:rPr>
          <w:rFonts w:ascii="Times New Roman" w:eastAsiaTheme="minorHAnsi" w:hAnsi="Times New Roman" w:cs="Times New Roman"/>
          <w:i/>
          <w:sz w:val="24"/>
        </w:rPr>
        <w:t>Buchloe dactyloides</w:t>
      </w:r>
      <w:r w:rsidRPr="0001663B">
        <w:rPr>
          <w:rFonts w:ascii="Times New Roman" w:eastAsiaTheme="minorHAnsi" w:hAnsi="Times New Roman" w:cs="Times New Roman"/>
          <w:sz w:val="24"/>
        </w:rPr>
        <w:t xml:space="preserve"> (Nutt) Engelm.], prairie junegrass [</w:t>
      </w:r>
      <w:r w:rsidRPr="0001663B">
        <w:rPr>
          <w:rFonts w:ascii="Times New Roman" w:eastAsiaTheme="minorHAnsi" w:hAnsi="Times New Roman" w:cs="Times New Roman"/>
          <w:i/>
          <w:iCs/>
          <w:sz w:val="24"/>
          <w:szCs w:val="24"/>
        </w:rPr>
        <w:t xml:space="preserve">Koeleria macrantha </w:t>
      </w:r>
      <w:r w:rsidRPr="0001663B">
        <w:rPr>
          <w:rFonts w:ascii="Times New Roman" w:hAnsi="Times New Roman" w:cs="Times New Roman"/>
          <w:sz w:val="24"/>
          <w:szCs w:val="24"/>
        </w:rPr>
        <w:t>(Ledeb.) Schult.],</w:t>
      </w:r>
      <w:r w:rsidRPr="0001663B">
        <w:rPr>
          <w:rFonts w:ascii="Times New Roman" w:eastAsiaTheme="minorHAnsi" w:hAnsi="Times New Roman" w:cs="Times New Roman"/>
          <w:sz w:val="24"/>
          <w:szCs w:val="24"/>
        </w:rPr>
        <w:t xml:space="preserve"> </w:t>
      </w:r>
      <w:r w:rsidRPr="0001663B">
        <w:rPr>
          <w:rFonts w:ascii="Times New Roman" w:eastAsiaTheme="minorHAnsi" w:hAnsi="Times New Roman" w:cs="Times New Roman"/>
          <w:sz w:val="24"/>
        </w:rPr>
        <w:t>and poverty oatgrass [</w:t>
      </w:r>
      <w:r w:rsidRPr="0001663B">
        <w:rPr>
          <w:rFonts w:ascii="Times New Roman" w:eastAsiaTheme="minorHAnsi" w:hAnsi="Times New Roman" w:cs="Times New Roman"/>
          <w:i/>
          <w:sz w:val="24"/>
        </w:rPr>
        <w:t>Danthonia spicata</w:t>
      </w:r>
      <w:r w:rsidRPr="0001663B">
        <w:rPr>
          <w:rFonts w:ascii="Times New Roman" w:eastAsiaTheme="minorHAnsi" w:hAnsi="Times New Roman" w:cs="Times New Roman"/>
          <w:sz w:val="24"/>
        </w:rPr>
        <w:t xml:space="preserve"> </w:t>
      </w:r>
      <w:r w:rsidRPr="0001663B">
        <w:rPr>
          <w:rFonts w:ascii="Times New Roman" w:hAnsi="Times New Roman" w:cs="Times New Roman"/>
          <w:sz w:val="24"/>
        </w:rPr>
        <w:t>(L.) P. Beauv. ex Roem. &amp; Schult.</w:t>
      </w:r>
      <w:r w:rsidRPr="0001663B">
        <w:rPr>
          <w:rFonts w:ascii="Times New Roman" w:eastAsiaTheme="minorHAnsi" w:hAnsi="Times New Roman" w:cs="Times New Roman"/>
          <w:sz w:val="24"/>
        </w:rPr>
        <w:t xml:space="preserve">] </w:t>
      </w:r>
      <w:proofErr w:type="gramStart"/>
      <w:r w:rsidRPr="0001663B">
        <w:rPr>
          <w:rFonts w:ascii="Times New Roman" w:eastAsiaTheme="minorHAnsi" w:hAnsi="Times New Roman" w:cs="Times New Roman"/>
          <w:sz w:val="24"/>
        </w:rPr>
        <w:t>(Amundsen and Shearman, 2011</w:t>
      </w:r>
      <w:r w:rsidRPr="0001663B">
        <w:rPr>
          <w:rFonts w:eastAsiaTheme="minorHAnsi"/>
        </w:rPr>
        <w:t xml:space="preserve">; </w:t>
      </w:r>
      <w:r w:rsidRPr="0001663B">
        <w:rPr>
          <w:rFonts w:ascii="Times New Roman" w:eastAsiaTheme="minorHAnsi" w:hAnsi="Times New Roman" w:cs="Times New Roman"/>
          <w:sz w:val="24"/>
        </w:rPr>
        <w:t>Watkins, 2011; Warnke and Amundsen, 2009).</w:t>
      </w:r>
      <w:proofErr w:type="gramEnd"/>
    </w:p>
    <w:p w14:paraId="7D54ED10" w14:textId="77777777" w:rsidR="0001663B" w:rsidRPr="0001663B" w:rsidRDefault="0001663B" w:rsidP="0001663B">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Recorded experimental testing of turfgrass species and cultivars by professional organizations has been conducted for almost 100 years, starting in 1916 with the Arlington Turf Gardens (Anonymous, 1937). Variety testing, such as that done by the National Turfgrass Evaluation Program (NTEP), and many universities, provides a wealth of information on the performance of varieties within t</w:t>
      </w:r>
      <w:r w:rsidR="002D4CE6">
        <w:rPr>
          <w:rFonts w:ascii="Times New Roman" w:eastAsiaTheme="minorHAnsi" w:hAnsi="Times New Roman" w:cs="Times New Roman"/>
          <w:sz w:val="24"/>
        </w:rPr>
        <w:t>he same species and</w:t>
      </w:r>
      <w:r w:rsidRPr="0001663B">
        <w:rPr>
          <w:rFonts w:ascii="Times New Roman" w:eastAsiaTheme="minorHAnsi" w:hAnsi="Times New Roman" w:cs="Times New Roman"/>
          <w:sz w:val="24"/>
        </w:rPr>
        <w:t xml:space="preserve"> has given turfgrass breeders a way to measure the success of their breeding programs. Published research comparing species in a specific location is limited, most likely due to common knowledge of which species are best adapted to specific locations, with the common knowledge coming from simple observation and a basic understanding of plant physiology (i.e., the difference in adaptation of warm- and cool-season grasses).</w:t>
      </w:r>
    </w:p>
    <w:p w14:paraId="3E177A98" w14:textId="77777777" w:rsidR="0001663B" w:rsidRPr="0001663B" w:rsidRDefault="0001663B" w:rsidP="0001663B">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lastRenderedPageBreak/>
        <w:tab/>
        <w:t xml:space="preserve">Much of the research examining alternative species has been performed in particular climates such as the northern Great Plains (Mintenko et al., 2002). Many of the native species that have been studied, such as buffalograss, are not adapted to the humid, transition zone climate. No research involving the use of a non-traditional turf species has been performed in the transition zone. This is partly because many states in the transition zone, including Tennessee, have no current use restrictions on water or fertilizer. However, the need for reduced maintenance is recognized and if current trends continue, it is possible that restrictions could be put into place. </w:t>
      </w:r>
    </w:p>
    <w:p w14:paraId="25C6F5C2" w14:textId="77777777" w:rsidR="0001663B" w:rsidRPr="0001663B" w:rsidRDefault="0001663B" w:rsidP="0001663B">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 xml:space="preserve">Studies examining native species have focused on species that had seed readily available. However, this is a small percentage of the approximately 10,000 species of grass. Examination of the sub-families within Poaceae (true grasses) reveals species that do not fit the criteria of a turfgrass, including the subfamily Bambusoideae, which contains the species we know as bamboo. Traditional turfgrass species come from three sub-families; the Poioideae, containing the cool-season grasses; the Panicoidae, containing warm-season species such as centipedegrass </w:t>
      </w:r>
      <w:r w:rsidRPr="0001663B">
        <w:rPr>
          <w:rFonts w:ascii="Times New Roman" w:eastAsiaTheme="minorHAnsi" w:hAnsi="Times New Roman" w:cs="Times New Roman"/>
          <w:sz w:val="24"/>
          <w:szCs w:val="24"/>
        </w:rPr>
        <w:t>[</w:t>
      </w:r>
      <w:r w:rsidRPr="0001663B">
        <w:rPr>
          <w:rFonts w:ascii="Times New Roman" w:eastAsiaTheme="minorHAnsi" w:hAnsi="Times New Roman" w:cs="Times New Roman"/>
          <w:i/>
          <w:iCs/>
          <w:sz w:val="24"/>
          <w:szCs w:val="24"/>
        </w:rPr>
        <w:t>Eremochloa ophiuroides</w:t>
      </w:r>
      <w:r w:rsidRPr="0001663B">
        <w:rPr>
          <w:rFonts w:ascii="Times New Roman" w:eastAsiaTheme="minorHAnsi" w:hAnsi="Times New Roman" w:cs="Times New Roman"/>
          <w:sz w:val="24"/>
          <w:szCs w:val="24"/>
        </w:rPr>
        <w:t xml:space="preserve"> (Munro) Hack]</w:t>
      </w:r>
      <w:r w:rsidRPr="0001663B">
        <w:rPr>
          <w:rFonts w:ascii="Times New Roman" w:eastAsiaTheme="minorHAnsi" w:hAnsi="Times New Roman" w:cs="Times New Roman"/>
          <w:sz w:val="24"/>
        </w:rPr>
        <w:t xml:space="preserve"> and seashore paspalum (</w:t>
      </w:r>
      <w:r w:rsidRPr="0001663B">
        <w:rPr>
          <w:rFonts w:ascii="Times New Roman" w:eastAsiaTheme="minorHAnsi" w:hAnsi="Times New Roman" w:cs="Times New Roman"/>
          <w:bCs/>
          <w:i/>
          <w:color w:val="000000"/>
          <w:sz w:val="24"/>
          <w:szCs w:val="24"/>
        </w:rPr>
        <w:t xml:space="preserve">Paspalum </w:t>
      </w:r>
      <w:r w:rsidRPr="0001663B">
        <w:rPr>
          <w:rFonts w:ascii="Times New Roman" w:eastAsiaTheme="minorHAnsi" w:hAnsi="Times New Roman" w:cs="Times New Roman"/>
          <w:i/>
          <w:color w:val="222222"/>
          <w:sz w:val="24"/>
          <w:szCs w:val="24"/>
        </w:rPr>
        <w:t>vaginatum</w:t>
      </w:r>
      <w:r w:rsidRPr="0001663B">
        <w:rPr>
          <w:rFonts w:ascii="Times New Roman" w:eastAsiaTheme="minorHAnsi" w:hAnsi="Times New Roman" w:cs="Times New Roman"/>
          <w:color w:val="222222"/>
          <w:sz w:val="24"/>
          <w:szCs w:val="24"/>
        </w:rPr>
        <w:t xml:space="preserve"> Swartz</w:t>
      </w:r>
      <w:r w:rsidRPr="0001663B">
        <w:rPr>
          <w:rFonts w:ascii="Times New Roman" w:eastAsiaTheme="minorHAnsi" w:hAnsi="Times New Roman" w:cs="Times New Roman"/>
          <w:color w:val="222222"/>
          <w:szCs w:val="20"/>
        </w:rPr>
        <w:t>)</w:t>
      </w:r>
      <w:r w:rsidRPr="0001663B">
        <w:rPr>
          <w:rFonts w:ascii="Times New Roman" w:eastAsiaTheme="minorHAnsi" w:hAnsi="Times New Roman" w:cs="Times New Roman"/>
          <w:sz w:val="24"/>
        </w:rPr>
        <w:t>; and the Chlorideae, containing the warm-season species bermudagrass (</w:t>
      </w:r>
      <w:r w:rsidRPr="0001663B">
        <w:rPr>
          <w:rFonts w:ascii="Times New Roman" w:eastAsiaTheme="minorHAnsi" w:hAnsi="Times New Roman" w:cs="Times New Roman"/>
          <w:i/>
          <w:sz w:val="24"/>
        </w:rPr>
        <w:t>Cynodon</w:t>
      </w:r>
      <w:r w:rsidRPr="0001663B">
        <w:rPr>
          <w:rFonts w:ascii="Times New Roman" w:eastAsiaTheme="minorHAnsi" w:hAnsi="Times New Roman" w:cs="Times New Roman"/>
          <w:sz w:val="24"/>
        </w:rPr>
        <w:t xml:space="preserve"> spp.) and zoysiagrass (</w:t>
      </w:r>
      <w:r w:rsidRPr="0001663B">
        <w:rPr>
          <w:rFonts w:ascii="Times New Roman" w:eastAsiaTheme="minorHAnsi" w:hAnsi="Times New Roman" w:cs="Times New Roman"/>
          <w:i/>
          <w:sz w:val="24"/>
        </w:rPr>
        <w:t>Zoysia</w:t>
      </w:r>
      <w:r w:rsidRPr="0001663B">
        <w:rPr>
          <w:rFonts w:ascii="Times New Roman" w:eastAsiaTheme="minorHAnsi" w:hAnsi="Times New Roman" w:cs="Times New Roman"/>
          <w:sz w:val="24"/>
        </w:rPr>
        <w:t xml:space="preserve"> spp.). </w:t>
      </w:r>
    </w:p>
    <w:p w14:paraId="5CCED377" w14:textId="77777777" w:rsidR="0001663B" w:rsidRPr="0001663B" w:rsidRDefault="0001663B" w:rsidP="0001663B">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In the transition zone, both cool- and warm season turfgrass species can be grown successfully, but with limitations. Cool-season species are limited by their heat intolerance and warm-season species by their intolerance to freezing temperatures. Adapted cool-season grasses, like tall fescue</w:t>
      </w:r>
      <w:r w:rsidR="00204B96">
        <w:rPr>
          <w:rFonts w:ascii="Times New Roman" w:eastAsiaTheme="minorHAnsi" w:hAnsi="Times New Roman" w:cs="Times New Roman"/>
          <w:sz w:val="24"/>
        </w:rPr>
        <w:t xml:space="preserve"> (</w:t>
      </w:r>
      <w:r w:rsidR="00204B96" w:rsidRPr="00204B96">
        <w:rPr>
          <w:rFonts w:ascii="Times New Roman" w:eastAsiaTheme="minorHAnsi" w:hAnsi="Times New Roman" w:cs="Times New Roman"/>
          <w:i/>
          <w:sz w:val="24"/>
        </w:rPr>
        <w:t>Festuca arundinacea</w:t>
      </w:r>
      <w:r w:rsidR="00204B96">
        <w:rPr>
          <w:rFonts w:ascii="Times New Roman" w:eastAsiaTheme="minorHAnsi" w:hAnsi="Times New Roman" w:cs="Times New Roman"/>
          <w:sz w:val="24"/>
        </w:rPr>
        <w:t xml:space="preserve"> Shreb.)</w:t>
      </w:r>
      <w:r w:rsidRPr="0001663B">
        <w:rPr>
          <w:rFonts w:ascii="Times New Roman" w:eastAsiaTheme="minorHAnsi" w:hAnsi="Times New Roman" w:cs="Times New Roman"/>
          <w:sz w:val="24"/>
        </w:rPr>
        <w:t xml:space="preserve"> are typically used in home lawns and general turf areas because they are green year-round.  Adapted warm-season grasses, like bermudagrass, are favored in high use environments, such as golf courses and sports fields, where their ability to </w:t>
      </w:r>
      <w:r w:rsidRPr="0001663B">
        <w:rPr>
          <w:rFonts w:ascii="Times New Roman" w:eastAsiaTheme="minorHAnsi" w:hAnsi="Times New Roman" w:cs="Times New Roman"/>
          <w:sz w:val="24"/>
        </w:rPr>
        <w:lastRenderedPageBreak/>
        <w:t>tolerate low mowing heights, resist wear, and recover from traffic are essential. Warm-season grasses are often overseeded with cool-season species to provide green and actively growing turf during winter (Ward et al., 1974). This practice adds cost and labor to the management budget, so a cool-season permanent turf that could meet requirements for these turfgrass systems would be desirable.</w:t>
      </w:r>
    </w:p>
    <w:p w14:paraId="05935AB8" w14:textId="77777777" w:rsidR="0001663B" w:rsidRPr="0001663B" w:rsidRDefault="0001663B" w:rsidP="0001663B">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Kentucky bluegrass (</w:t>
      </w:r>
      <w:r w:rsidRPr="0001663B">
        <w:rPr>
          <w:rFonts w:ascii="Times New Roman" w:eastAsiaTheme="minorHAnsi" w:hAnsi="Times New Roman" w:cs="Times New Roman"/>
          <w:i/>
          <w:sz w:val="24"/>
        </w:rPr>
        <w:t>Poa pratensis</w:t>
      </w:r>
      <w:r w:rsidRPr="0001663B">
        <w:rPr>
          <w:rFonts w:ascii="Times New Roman" w:eastAsiaTheme="minorHAnsi" w:hAnsi="Times New Roman" w:cs="Times New Roman"/>
          <w:sz w:val="24"/>
        </w:rPr>
        <w:t xml:space="preserve"> L.) is suited for use on golf course tees and fairways and on sports fields in its temperate area of adaptation. Tall fescue is better adapted to a transition zone climate because of its higher tolerance to heat and deeper roots.  However, tall fescue is not adapted to low mowing heights and has less recuperative ability because of its bunch type growth habit, compared to the rhizomatous growth of Kentucky bluegrass. Ideally, a cool-season turfgrass for widespread use in the transition zone would need heat tolerance, drought tolerance, a spreading growth habit, wear tolerance and rapid recovery rate, and disease resistance.</w:t>
      </w:r>
    </w:p>
    <w:p w14:paraId="010BFA32" w14:textId="77777777" w:rsidR="0001663B" w:rsidRPr="0001663B" w:rsidRDefault="0001663B" w:rsidP="0001663B">
      <w:pPr>
        <w:spacing w:line="480" w:lineRule="auto"/>
        <w:rPr>
          <w:rFonts w:ascii="Times New Roman" w:eastAsiaTheme="minorHAnsi" w:hAnsi="Times New Roman" w:cs="Times New Roman"/>
          <w:i/>
          <w:sz w:val="24"/>
        </w:rPr>
      </w:pPr>
      <w:r w:rsidRPr="0001663B">
        <w:rPr>
          <w:rFonts w:ascii="Times New Roman" w:eastAsiaTheme="minorHAnsi" w:hAnsi="Times New Roman" w:cs="Times New Roman"/>
          <w:i/>
          <w:sz w:val="24"/>
        </w:rPr>
        <w:t>The Poa genus</w:t>
      </w:r>
    </w:p>
    <w:p w14:paraId="438A103A" w14:textId="77777777" w:rsidR="0001663B" w:rsidRPr="0001663B" w:rsidRDefault="0001663B" w:rsidP="0001663B">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The bluegrass genus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is comprised of as many as 575 species (Gillespie and Soreng, 2005) compared to the fescue (</w:t>
      </w:r>
      <w:r w:rsidRPr="0001663B">
        <w:rPr>
          <w:rFonts w:ascii="Times New Roman" w:eastAsiaTheme="minorHAnsi" w:hAnsi="Times New Roman" w:cs="Times New Roman"/>
          <w:i/>
          <w:sz w:val="24"/>
        </w:rPr>
        <w:t>Festuca</w:t>
      </w:r>
      <w:r w:rsidRPr="0001663B">
        <w:rPr>
          <w:rFonts w:ascii="Times New Roman" w:eastAsiaTheme="minorHAnsi" w:hAnsi="Times New Roman" w:cs="Times New Roman"/>
          <w:sz w:val="24"/>
        </w:rPr>
        <w:t xml:space="preserve">) genus, which has 360 species (Watson and Dallwitz, 1992).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a diverse genus, occurs in a wide range of habitats (Soreng, 1990). Life forms may be annual or short- or long-lived perennials (Anton and Connor, 1995). Growth habits include bunch, stoloniferous, and rhizomatous types (Hitchcock, 1950). The bluegrasses are economically important, with many species occurring in natural grasslands worldwide, some species incorporated into improved pastures, and still others known as weeds (Anton and Connor, 1995). These species are also well known for their diversity and distribution of sex </w:t>
      </w:r>
      <w:r w:rsidRPr="0001663B">
        <w:rPr>
          <w:rFonts w:ascii="Times New Roman" w:eastAsiaTheme="minorHAnsi" w:hAnsi="Times New Roman" w:cs="Times New Roman"/>
          <w:sz w:val="24"/>
        </w:rPr>
        <w:lastRenderedPageBreak/>
        <w:t>forms. For example, forty-one of the 54 known dioecious species occur in southern South America (Anton and Connor, 1995). Diversity in breeding systems is common in the genus, with some species being highly apomictic, others highly sexual and self-incompatible, and others completely self-compatible (Huff, 2003</w:t>
      </w:r>
      <w:r w:rsidR="00C87E31">
        <w:rPr>
          <w:rFonts w:ascii="Times New Roman" w:eastAsiaTheme="minorHAnsi" w:hAnsi="Times New Roman" w:cs="Times New Roman"/>
          <w:sz w:val="24"/>
        </w:rPr>
        <w:t>a-b</w:t>
      </w:r>
      <w:r w:rsidRPr="0001663B">
        <w:rPr>
          <w:rFonts w:ascii="Times New Roman" w:eastAsiaTheme="minorHAnsi" w:hAnsi="Times New Roman" w:cs="Times New Roman"/>
          <w:sz w:val="24"/>
        </w:rPr>
        <w:t>; Hurley, 2003). The genus is characterized and easily recognized by its leaf morphology that is described as having a boat-shaped leaf tip and parallel light lines down the center of the leaf (Turgeon, 2002).</w:t>
      </w:r>
    </w:p>
    <w:p w14:paraId="229D6687" w14:textId="77777777" w:rsidR="0001663B" w:rsidRPr="0001663B" w:rsidRDefault="0001663B" w:rsidP="0001663B">
      <w:pPr>
        <w:spacing w:line="480" w:lineRule="auto"/>
        <w:rPr>
          <w:rFonts w:ascii="Times New Roman" w:eastAsiaTheme="minorHAnsi" w:hAnsi="Times New Roman" w:cs="Times New Roman"/>
          <w:i/>
          <w:sz w:val="24"/>
        </w:rPr>
      </w:pPr>
      <w:r w:rsidRPr="0001663B">
        <w:rPr>
          <w:rFonts w:ascii="Times New Roman" w:eastAsiaTheme="minorHAnsi" w:hAnsi="Times New Roman" w:cs="Times New Roman"/>
          <w:i/>
          <w:sz w:val="24"/>
        </w:rPr>
        <w:t>Traditional Poa species</w:t>
      </w:r>
    </w:p>
    <w:p w14:paraId="0B7305BD" w14:textId="77777777" w:rsidR="0001663B" w:rsidRPr="0001663B" w:rsidRDefault="0001663B" w:rsidP="0001663B">
      <w:pPr>
        <w:spacing w:line="480" w:lineRule="auto"/>
        <w:ind w:firstLine="720"/>
        <w:rPr>
          <w:rFonts w:ascii="Times New Roman" w:eastAsiaTheme="minorHAnsi" w:hAnsi="Times New Roman" w:cs="Times New Roman"/>
          <w:sz w:val="24"/>
        </w:rPr>
      </w:pPr>
      <w:r w:rsidRPr="0001663B">
        <w:rPr>
          <w:rFonts w:ascii="Times New Roman" w:eastAsiaTheme="minorHAnsi" w:hAnsi="Times New Roman" w:cs="Times New Roman"/>
          <w:sz w:val="24"/>
        </w:rPr>
        <w:t>Several species of bluegrass have been utilized as turfgrasses, with Kentucky bluegrass being the most important and widely utilized of all cool-season turfgrass species (Beard, 1973). This species has become naturalized throughout the temperate regions of the world and was most likely introduced as an agronomic crop to North America (Bashaw and Funk, 1987). Movement closer to the equator is only limited by high temperatures (Hartley, 1961). Kentucky bluegrass is not only important for turf, but also as a forage grass where it is prized for its feed quality (Smith, 1981). In turfgrass systems, Kentucky bluegrass is used in everything from utility turfs to golf course tees and fairways and sports fields. The species is best adapted to cutting heights of 1.9 cm or higher (Turgeon, 2002) and thus is not suitable for putting greens. The most widespread and well known use of Kentucky bluegrass is for home lawns.  It is the number one choice for lawns in the northern half of the USA (Huff, 2003</w:t>
      </w:r>
      <w:r w:rsidR="00411DC6">
        <w:rPr>
          <w:rFonts w:ascii="Times New Roman" w:eastAsiaTheme="minorHAnsi" w:hAnsi="Times New Roman" w:cs="Times New Roman"/>
          <w:sz w:val="24"/>
        </w:rPr>
        <w:t>a</w:t>
      </w:r>
      <w:r w:rsidRPr="0001663B">
        <w:rPr>
          <w:rFonts w:ascii="Times New Roman" w:eastAsiaTheme="minorHAnsi" w:hAnsi="Times New Roman" w:cs="Times New Roman"/>
          <w:sz w:val="24"/>
        </w:rPr>
        <w:t>). A commonly known limitation of Kentucky bluegrass is its overall lack of drought tolerance, which necessitates the use of irrigation to maintain active growth, especially in the arid western states. In face of watering restrictions, many drought tolerance studies with this species have been conducted in the past decade (Bushman et al., 2012; Richardson et. al., 2008; Abraham et al., 2004).</w:t>
      </w:r>
    </w:p>
    <w:p w14:paraId="56AFDC15" w14:textId="77777777" w:rsidR="00CD6671" w:rsidRDefault="0001663B" w:rsidP="0001663B">
      <w:pPr>
        <w:spacing w:line="480" w:lineRule="auto"/>
        <w:ind w:firstLine="720"/>
        <w:rPr>
          <w:rFonts w:ascii="Times New Roman" w:eastAsiaTheme="minorHAnsi" w:hAnsi="Times New Roman" w:cs="Times New Roman"/>
          <w:sz w:val="24"/>
        </w:rPr>
      </w:pPr>
      <w:r w:rsidRPr="0001663B">
        <w:rPr>
          <w:rFonts w:ascii="Times New Roman" w:eastAsiaTheme="minorHAnsi" w:hAnsi="Times New Roman" w:cs="Times New Roman"/>
          <w:sz w:val="24"/>
        </w:rPr>
        <w:lastRenderedPageBreak/>
        <w:t xml:space="preserve">A second influential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species is annual bluegrass (</w:t>
      </w:r>
      <w:r w:rsidRPr="0001663B">
        <w:rPr>
          <w:rFonts w:ascii="Times New Roman" w:eastAsiaTheme="minorHAnsi" w:hAnsi="Times New Roman" w:cs="Times New Roman"/>
          <w:i/>
          <w:sz w:val="24"/>
        </w:rPr>
        <w:t>Poa annua</w:t>
      </w:r>
      <w:r w:rsidRPr="0001663B">
        <w:rPr>
          <w:rFonts w:ascii="Times New Roman" w:eastAsiaTheme="minorHAnsi" w:hAnsi="Times New Roman" w:cs="Times New Roman"/>
          <w:sz w:val="24"/>
        </w:rPr>
        <w:t xml:space="preserve"> L.). </w:t>
      </w:r>
      <w:r w:rsidRPr="0001663B">
        <w:rPr>
          <w:rFonts w:ascii="Times New Roman" w:eastAsiaTheme="minorHAnsi" w:hAnsi="Times New Roman" w:cs="Times New Roman"/>
          <w:i/>
          <w:sz w:val="24"/>
        </w:rPr>
        <w:t>Poa annua</w:t>
      </w:r>
      <w:r w:rsidRPr="0001663B">
        <w:rPr>
          <w:rFonts w:ascii="Times New Roman" w:eastAsiaTheme="minorHAnsi" w:hAnsi="Times New Roman" w:cs="Times New Roman"/>
          <w:sz w:val="24"/>
        </w:rPr>
        <w:t xml:space="preserve"> is commonly regarded as a weed.  It is one of the top five most widely distributed plants in the world</w:t>
      </w:r>
      <w:r w:rsidR="00CD6671">
        <w:rPr>
          <w:rFonts w:ascii="Times New Roman" w:eastAsiaTheme="minorHAnsi" w:hAnsi="Times New Roman" w:cs="Times New Roman"/>
          <w:sz w:val="24"/>
        </w:rPr>
        <w:t xml:space="preserve"> and occurs almost everywhere man inhabits</w:t>
      </w:r>
      <w:r w:rsidRPr="0001663B">
        <w:rPr>
          <w:rFonts w:ascii="Times New Roman" w:eastAsiaTheme="minorHAnsi" w:hAnsi="Times New Roman" w:cs="Times New Roman"/>
          <w:sz w:val="24"/>
        </w:rPr>
        <w:t xml:space="preserve"> (Fenner, 1985) and one of the top 10 most studied weeds (Gardarin et al., 2009). </w:t>
      </w:r>
      <w:r w:rsidR="00CD6671" w:rsidRPr="0001663B">
        <w:rPr>
          <w:rFonts w:ascii="Times New Roman" w:eastAsiaTheme="minorHAnsi" w:hAnsi="Times New Roman" w:cs="Times New Roman"/>
          <w:sz w:val="24"/>
        </w:rPr>
        <w:t xml:space="preserve">). </w:t>
      </w:r>
      <w:r w:rsidR="00CD6671" w:rsidRPr="0001663B">
        <w:rPr>
          <w:rFonts w:ascii="Times New Roman" w:eastAsiaTheme="minorHAnsi" w:hAnsi="Times New Roman" w:cs="Times New Roman"/>
          <w:i/>
          <w:sz w:val="24"/>
        </w:rPr>
        <w:t>Poa annua</w:t>
      </w:r>
      <w:r w:rsidR="00CD6671" w:rsidRPr="0001663B">
        <w:rPr>
          <w:rFonts w:ascii="Times New Roman" w:eastAsiaTheme="minorHAnsi" w:hAnsi="Times New Roman" w:cs="Times New Roman"/>
          <w:sz w:val="24"/>
        </w:rPr>
        <w:t xml:space="preserve">, like many </w:t>
      </w:r>
      <w:r w:rsidR="00CD6671" w:rsidRPr="0001663B">
        <w:rPr>
          <w:rFonts w:ascii="Times New Roman" w:eastAsiaTheme="minorHAnsi" w:hAnsi="Times New Roman" w:cs="Times New Roman"/>
          <w:i/>
          <w:sz w:val="24"/>
        </w:rPr>
        <w:t>Poa</w:t>
      </w:r>
      <w:r w:rsidR="00CD6671" w:rsidRPr="0001663B">
        <w:rPr>
          <w:rFonts w:ascii="Times New Roman" w:eastAsiaTheme="minorHAnsi" w:hAnsi="Times New Roman" w:cs="Times New Roman"/>
          <w:sz w:val="24"/>
        </w:rPr>
        <w:t xml:space="preserve"> species, is highly variable. Two life forms, with variations in between, are known to occur; an annual type (</w:t>
      </w:r>
      <w:r w:rsidR="00CD6671" w:rsidRPr="0001663B">
        <w:rPr>
          <w:rFonts w:ascii="Times New Roman" w:eastAsiaTheme="minorHAnsi" w:hAnsi="Times New Roman" w:cs="Times New Roman"/>
          <w:i/>
          <w:sz w:val="24"/>
        </w:rPr>
        <w:t>P. annua</w:t>
      </w:r>
      <w:r w:rsidR="00CD6671" w:rsidRPr="0001663B">
        <w:rPr>
          <w:rFonts w:ascii="Times New Roman" w:eastAsiaTheme="minorHAnsi" w:hAnsi="Times New Roman" w:cs="Times New Roman"/>
          <w:sz w:val="24"/>
        </w:rPr>
        <w:t xml:space="preserve"> L. f. </w:t>
      </w:r>
      <w:r w:rsidR="00CD6671" w:rsidRPr="0001663B">
        <w:rPr>
          <w:rFonts w:ascii="Times New Roman" w:eastAsiaTheme="minorHAnsi" w:hAnsi="Times New Roman" w:cs="Times New Roman"/>
          <w:i/>
          <w:sz w:val="24"/>
        </w:rPr>
        <w:t>annua</w:t>
      </w:r>
      <w:r w:rsidR="00CD6671" w:rsidRPr="0001663B">
        <w:rPr>
          <w:rFonts w:ascii="Times New Roman" w:eastAsiaTheme="minorHAnsi" w:hAnsi="Times New Roman" w:cs="Times New Roman"/>
          <w:sz w:val="24"/>
        </w:rPr>
        <w:t>), and a perennial type (P</w:t>
      </w:r>
      <w:r w:rsidR="00CD6671" w:rsidRPr="0001663B">
        <w:rPr>
          <w:rFonts w:ascii="Times New Roman" w:eastAsiaTheme="minorHAnsi" w:hAnsi="Times New Roman" w:cs="Times New Roman"/>
          <w:i/>
          <w:sz w:val="24"/>
        </w:rPr>
        <w:t>. annua</w:t>
      </w:r>
      <w:r w:rsidR="00CD6671" w:rsidRPr="0001663B">
        <w:rPr>
          <w:rFonts w:ascii="Times New Roman" w:eastAsiaTheme="minorHAnsi" w:hAnsi="Times New Roman" w:cs="Times New Roman"/>
          <w:sz w:val="24"/>
        </w:rPr>
        <w:t xml:space="preserve"> L. f. </w:t>
      </w:r>
      <w:r w:rsidR="00CD6671" w:rsidRPr="0001663B">
        <w:rPr>
          <w:rFonts w:ascii="Times New Roman" w:eastAsiaTheme="minorHAnsi" w:hAnsi="Times New Roman" w:cs="Times New Roman"/>
          <w:i/>
          <w:sz w:val="24"/>
        </w:rPr>
        <w:t>reptans</w:t>
      </w:r>
      <w:r w:rsidR="00CD6671" w:rsidRPr="0001663B">
        <w:rPr>
          <w:rFonts w:ascii="Times New Roman" w:eastAsiaTheme="minorHAnsi" w:hAnsi="Times New Roman" w:cs="Times New Roman"/>
          <w:sz w:val="24"/>
        </w:rPr>
        <w:t xml:space="preserve">). </w:t>
      </w:r>
      <w:r w:rsidRPr="0001663B">
        <w:rPr>
          <w:rFonts w:ascii="Times New Roman" w:eastAsiaTheme="minorHAnsi" w:hAnsi="Times New Roman" w:cs="Times New Roman"/>
          <w:sz w:val="24"/>
        </w:rPr>
        <w:t>Although its control as a weed continues to be studied, its use as a turfgrass</w:t>
      </w:r>
      <w:r w:rsidR="00CD6671">
        <w:rPr>
          <w:rFonts w:ascii="Times New Roman" w:eastAsiaTheme="minorHAnsi" w:hAnsi="Times New Roman" w:cs="Times New Roman"/>
          <w:sz w:val="24"/>
        </w:rPr>
        <w:t>, particularly on putting greens,</w:t>
      </w:r>
      <w:r w:rsidRPr="0001663B">
        <w:rPr>
          <w:rFonts w:ascii="Times New Roman" w:eastAsiaTheme="minorHAnsi" w:hAnsi="Times New Roman" w:cs="Times New Roman"/>
          <w:sz w:val="24"/>
        </w:rPr>
        <w:t xml:space="preserve"> has also </w:t>
      </w:r>
      <w:r w:rsidR="00A02D5E" w:rsidRPr="0001663B">
        <w:rPr>
          <w:rFonts w:ascii="Times New Roman" w:eastAsiaTheme="minorHAnsi" w:hAnsi="Times New Roman" w:cs="Times New Roman"/>
          <w:sz w:val="24"/>
        </w:rPr>
        <w:t>received</w:t>
      </w:r>
      <w:r w:rsidRPr="0001663B">
        <w:rPr>
          <w:rFonts w:ascii="Times New Roman" w:eastAsiaTheme="minorHAnsi" w:hAnsi="Times New Roman" w:cs="Times New Roman"/>
          <w:sz w:val="24"/>
        </w:rPr>
        <w:t xml:space="preserve"> attention (Huff, 1996, 1998, 2003</w:t>
      </w:r>
      <w:r w:rsidR="00411DC6">
        <w:rPr>
          <w:rFonts w:ascii="Times New Roman" w:eastAsiaTheme="minorHAnsi" w:hAnsi="Times New Roman" w:cs="Times New Roman"/>
          <w:sz w:val="24"/>
        </w:rPr>
        <w:t>b</w:t>
      </w:r>
      <w:r w:rsidRPr="0001663B">
        <w:rPr>
          <w:rFonts w:ascii="Times New Roman" w:eastAsiaTheme="minorHAnsi" w:hAnsi="Times New Roman" w:cs="Times New Roman"/>
          <w:sz w:val="24"/>
        </w:rPr>
        <w:t>; White, 1994</w:t>
      </w:r>
      <w:r w:rsidR="00CD6671">
        <w:rPr>
          <w:rFonts w:ascii="Times New Roman" w:eastAsiaTheme="minorHAnsi" w:hAnsi="Times New Roman" w:cs="Times New Roman"/>
          <w:sz w:val="24"/>
        </w:rPr>
        <w:t>).</w:t>
      </w:r>
    </w:p>
    <w:p w14:paraId="339AE2DA" w14:textId="77777777" w:rsidR="0001663B" w:rsidRPr="0001663B" w:rsidRDefault="0001663B" w:rsidP="0001663B">
      <w:pPr>
        <w:spacing w:line="480" w:lineRule="auto"/>
        <w:ind w:firstLine="720"/>
        <w:rPr>
          <w:rFonts w:ascii="Times New Roman" w:eastAsiaTheme="minorHAnsi" w:hAnsi="Times New Roman" w:cs="Times New Roman"/>
          <w:sz w:val="24"/>
        </w:rPr>
      </w:pPr>
      <w:r w:rsidRPr="0001663B">
        <w:rPr>
          <w:rFonts w:ascii="Times New Roman" w:eastAsiaTheme="minorHAnsi" w:hAnsi="Times New Roman" w:cs="Times New Roman"/>
          <w:i/>
          <w:sz w:val="24"/>
        </w:rPr>
        <w:t>P. trivialis</w:t>
      </w:r>
      <w:r w:rsidRPr="0001663B">
        <w:rPr>
          <w:rFonts w:ascii="Times New Roman" w:eastAsiaTheme="minorHAnsi" w:hAnsi="Times New Roman" w:cs="Times New Roman"/>
          <w:sz w:val="24"/>
        </w:rPr>
        <w:t>, or rough bluegrass,</w:t>
      </w:r>
      <w:r w:rsidRPr="0001663B">
        <w:rPr>
          <w:rFonts w:ascii="Times New Roman" w:eastAsiaTheme="minorHAnsi" w:hAnsi="Times New Roman" w:cs="Times New Roman"/>
          <w:i/>
          <w:sz w:val="24"/>
        </w:rPr>
        <w:t xml:space="preserve"> </w:t>
      </w:r>
      <w:r w:rsidRPr="0001663B">
        <w:rPr>
          <w:rFonts w:ascii="Times New Roman" w:eastAsiaTheme="minorHAnsi" w:hAnsi="Times New Roman" w:cs="Times New Roman"/>
          <w:sz w:val="24"/>
        </w:rPr>
        <w:t>is another</w:t>
      </w:r>
      <w:r w:rsidRPr="0001663B">
        <w:rPr>
          <w:rFonts w:ascii="Times New Roman" w:eastAsiaTheme="minorHAnsi" w:hAnsi="Times New Roman" w:cs="Times New Roman"/>
          <w:i/>
          <w:sz w:val="24"/>
        </w:rPr>
        <w:t xml:space="preserve"> </w:t>
      </w:r>
      <w:r w:rsidRPr="0001663B">
        <w:rPr>
          <w:rFonts w:ascii="Times New Roman" w:eastAsiaTheme="minorHAnsi" w:hAnsi="Times New Roman" w:cs="Times New Roman"/>
          <w:sz w:val="24"/>
        </w:rPr>
        <w:t xml:space="preserve">species that has had widespread use as a turfgrass. It is described as a perennial, stoloniferous species that is completely sexual in its reproduction and performs best in cool, moist environments (Hurley and Funk, 1982). Its use as a permanent turfgrass in the USA is limited because of its poor heat and drought tolerance and inability to maintain uniformity when mixed with other species (Hurley, 2003), but is recommended in northern states for shaded moist environments (Sprague, 1930). This species is used in the southern USA as a temporary cover in winter overseeding of dormant bermudagrass putting greens, where it provides a green, actively growing putting surface throughout the winter months (Sifers and Beard, 2001; Batten et al., 1980, Richardson et al., 2007).  </w:t>
      </w:r>
    </w:p>
    <w:p w14:paraId="57FD9B23" w14:textId="77777777" w:rsidR="0001663B" w:rsidRPr="0001663B" w:rsidRDefault="0001663B" w:rsidP="0001663B">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 xml:space="preserve"> </w:t>
      </w:r>
      <w:r w:rsidRPr="0001663B">
        <w:rPr>
          <w:rFonts w:ascii="Times New Roman" w:eastAsiaTheme="minorHAnsi" w:hAnsi="Times New Roman" w:cs="Times New Roman"/>
          <w:sz w:val="24"/>
        </w:rPr>
        <w:tab/>
        <w:t xml:space="preserve">Several other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species have been utilized as turfgrasses, but none to the same degree as the aforementioned species. Recently, improved cultivars of </w:t>
      </w:r>
      <w:r w:rsidRPr="0001663B">
        <w:rPr>
          <w:rFonts w:ascii="Times New Roman" w:eastAsiaTheme="minorHAnsi" w:hAnsi="Times New Roman" w:cs="Times New Roman"/>
          <w:i/>
          <w:sz w:val="24"/>
        </w:rPr>
        <w:t>P. supina</w:t>
      </w:r>
      <w:r w:rsidR="00CD6671">
        <w:rPr>
          <w:rFonts w:ascii="Times New Roman" w:eastAsiaTheme="minorHAnsi" w:hAnsi="Times New Roman" w:cs="Times New Roman"/>
          <w:sz w:val="24"/>
        </w:rPr>
        <w:t xml:space="preserve"> have been released in the U.S.</w:t>
      </w:r>
      <w:r w:rsidRPr="0001663B">
        <w:rPr>
          <w:rFonts w:ascii="Times New Roman" w:eastAsiaTheme="minorHAnsi" w:hAnsi="Times New Roman" w:cs="Times New Roman"/>
          <w:sz w:val="24"/>
        </w:rPr>
        <w:t>, and researchers have found this stoloniferous species to be very tolerant of traffic (Sorochan et al., 2001) and shade (Stier and Rogers, 2001). Canada bluegrass (</w:t>
      </w:r>
      <w:r w:rsidRPr="0001663B">
        <w:rPr>
          <w:rFonts w:ascii="Times New Roman" w:eastAsiaTheme="minorHAnsi" w:hAnsi="Times New Roman" w:cs="Times New Roman"/>
          <w:i/>
          <w:sz w:val="24"/>
        </w:rPr>
        <w:t>P. compressa</w:t>
      </w:r>
      <w:r w:rsidRPr="0001663B">
        <w:rPr>
          <w:rFonts w:ascii="Times New Roman" w:eastAsiaTheme="minorHAnsi" w:hAnsi="Times New Roman" w:cs="Times New Roman"/>
          <w:sz w:val="24"/>
        </w:rPr>
        <w:t xml:space="preserve"> L.) has also been utilized and has generally been found to be adapted to similar climates as </w:t>
      </w:r>
      <w:r w:rsidRPr="0001663B">
        <w:rPr>
          <w:rFonts w:ascii="Times New Roman" w:eastAsiaTheme="minorHAnsi" w:hAnsi="Times New Roman" w:cs="Times New Roman"/>
          <w:i/>
          <w:sz w:val="24"/>
        </w:rPr>
        <w:t xml:space="preserve">P. </w:t>
      </w:r>
      <w:r w:rsidRPr="0001663B">
        <w:rPr>
          <w:rFonts w:ascii="Times New Roman" w:eastAsiaTheme="minorHAnsi" w:hAnsi="Times New Roman" w:cs="Times New Roman"/>
          <w:i/>
          <w:sz w:val="24"/>
        </w:rPr>
        <w:lastRenderedPageBreak/>
        <w:t>pratensis</w:t>
      </w:r>
      <w:r w:rsidRPr="0001663B">
        <w:rPr>
          <w:rFonts w:ascii="Times New Roman" w:eastAsiaTheme="minorHAnsi" w:hAnsi="Times New Roman" w:cs="Times New Roman"/>
          <w:sz w:val="24"/>
        </w:rPr>
        <w:t xml:space="preserve">. It is adapted to lower fertility soils, but generally does not have high turf quality, compared to Kentucky bluegrass (Beard, 1973). </w:t>
      </w:r>
    </w:p>
    <w:p w14:paraId="373574AB" w14:textId="77777777" w:rsidR="0001663B" w:rsidRPr="0001663B" w:rsidRDefault="0001663B" w:rsidP="0001663B">
      <w:pPr>
        <w:spacing w:line="480" w:lineRule="auto"/>
        <w:rPr>
          <w:rFonts w:ascii="Times New Roman" w:eastAsiaTheme="minorHAnsi" w:hAnsi="Times New Roman" w:cs="Times New Roman"/>
          <w:i/>
          <w:sz w:val="24"/>
        </w:rPr>
      </w:pPr>
      <w:r w:rsidRPr="0001663B">
        <w:rPr>
          <w:rFonts w:ascii="Times New Roman" w:eastAsiaTheme="minorHAnsi" w:hAnsi="Times New Roman" w:cs="Times New Roman"/>
          <w:i/>
          <w:sz w:val="24"/>
        </w:rPr>
        <w:t>Native Poa species</w:t>
      </w:r>
    </w:p>
    <w:p w14:paraId="18C98DA1" w14:textId="77777777" w:rsidR="0001663B" w:rsidRPr="0001663B" w:rsidRDefault="0001663B" w:rsidP="0001663B">
      <w:pPr>
        <w:spacing w:line="480" w:lineRule="auto"/>
        <w:ind w:firstLine="720"/>
        <w:rPr>
          <w:rFonts w:ascii="Times New Roman" w:hAnsi="Times New Roman" w:cs="Times New Roman"/>
          <w:sz w:val="24"/>
          <w:szCs w:val="24"/>
        </w:rPr>
      </w:pPr>
      <w:r w:rsidRPr="0001663B">
        <w:rPr>
          <w:rFonts w:ascii="Times New Roman" w:hAnsi="Times New Roman" w:cs="Times New Roman"/>
          <w:sz w:val="24"/>
          <w:szCs w:val="24"/>
        </w:rPr>
        <w:t xml:space="preserve">The USDA (2013) recognizes 96 species of </w:t>
      </w:r>
      <w:r w:rsidRPr="0001663B">
        <w:rPr>
          <w:rFonts w:ascii="Times New Roman" w:hAnsi="Times New Roman" w:cs="Times New Roman"/>
          <w:i/>
          <w:sz w:val="24"/>
          <w:szCs w:val="24"/>
        </w:rPr>
        <w:t>Poa</w:t>
      </w:r>
      <w:r w:rsidRPr="0001663B">
        <w:rPr>
          <w:rFonts w:ascii="Times New Roman" w:hAnsi="Times New Roman" w:cs="Times New Roman"/>
          <w:sz w:val="24"/>
          <w:szCs w:val="24"/>
        </w:rPr>
        <w:t xml:space="preserve"> as being native to the USA. A large majority of these occur in western and northern regions. Of the 96 species, only about 10 have been documented in Tennessee and the surrounding transition zone states. Many of these species are </w:t>
      </w:r>
      <w:r w:rsidR="00D26680" w:rsidRPr="0001663B">
        <w:rPr>
          <w:rFonts w:ascii="Times New Roman" w:hAnsi="Times New Roman" w:cs="Times New Roman"/>
          <w:sz w:val="24"/>
          <w:szCs w:val="24"/>
        </w:rPr>
        <w:t>categorized</w:t>
      </w:r>
      <w:r w:rsidRPr="0001663B">
        <w:rPr>
          <w:rFonts w:ascii="Times New Roman" w:hAnsi="Times New Roman" w:cs="Times New Roman"/>
          <w:sz w:val="24"/>
          <w:szCs w:val="24"/>
        </w:rPr>
        <w:t xml:space="preserve"> as endangered or rare. Also included are species, such as Kentucky bluegrass and Texas bluegrass (</w:t>
      </w:r>
      <w:r w:rsidRPr="0001663B">
        <w:rPr>
          <w:rFonts w:ascii="Times New Roman" w:hAnsi="Times New Roman" w:cs="Times New Roman"/>
          <w:i/>
          <w:sz w:val="24"/>
          <w:szCs w:val="24"/>
        </w:rPr>
        <w:t>P. arachnifera</w:t>
      </w:r>
      <w:r w:rsidRPr="0001663B">
        <w:rPr>
          <w:rFonts w:ascii="Times New Roman" w:hAnsi="Times New Roman" w:cs="Times New Roman"/>
          <w:sz w:val="24"/>
          <w:szCs w:val="24"/>
        </w:rPr>
        <w:t xml:space="preserve"> Torr.), which is likely not native to Tennessee.  With the exception of Texas bluegrass, Kentucky bluegrass, </w:t>
      </w:r>
      <w:r w:rsidRPr="0001663B">
        <w:rPr>
          <w:rFonts w:ascii="Times New Roman" w:hAnsi="Times New Roman" w:cs="Times New Roman"/>
          <w:i/>
          <w:sz w:val="24"/>
          <w:szCs w:val="24"/>
        </w:rPr>
        <w:t>P. nemoralis,</w:t>
      </w:r>
      <w:r w:rsidRPr="0001663B">
        <w:rPr>
          <w:rFonts w:ascii="Times New Roman" w:hAnsi="Times New Roman" w:cs="Times New Roman"/>
          <w:sz w:val="24"/>
          <w:szCs w:val="24"/>
        </w:rPr>
        <w:t xml:space="preserve"> and </w:t>
      </w:r>
      <w:r w:rsidRPr="0001663B">
        <w:rPr>
          <w:rFonts w:ascii="Times New Roman" w:hAnsi="Times New Roman" w:cs="Times New Roman"/>
          <w:i/>
          <w:sz w:val="24"/>
          <w:szCs w:val="24"/>
        </w:rPr>
        <w:t>P. palustris,</w:t>
      </w:r>
      <w:r w:rsidRPr="0001663B">
        <w:rPr>
          <w:rFonts w:ascii="Times New Roman" w:hAnsi="Times New Roman" w:cs="Times New Roman"/>
          <w:sz w:val="24"/>
          <w:szCs w:val="24"/>
        </w:rPr>
        <w:t xml:space="preserve"> there is no available germplasm for these native Poa species in the USDA National Plant Germplasm System (USDA, 2013). </w:t>
      </w:r>
    </w:p>
    <w:p w14:paraId="074B143C" w14:textId="77777777" w:rsidR="0001663B" w:rsidRPr="0001663B" w:rsidRDefault="0001663B" w:rsidP="0001663B">
      <w:pPr>
        <w:spacing w:line="480" w:lineRule="auto"/>
        <w:ind w:firstLine="720"/>
        <w:rPr>
          <w:rFonts w:ascii="Times New Roman" w:eastAsiaTheme="minorHAnsi" w:hAnsi="Times New Roman" w:cs="Times New Roman"/>
          <w:sz w:val="24"/>
        </w:rPr>
      </w:pPr>
      <w:r w:rsidRPr="0001663B">
        <w:rPr>
          <w:rFonts w:ascii="Times New Roman" w:hAnsi="Times New Roman" w:cs="Times New Roman"/>
          <w:sz w:val="24"/>
          <w:szCs w:val="24"/>
        </w:rPr>
        <w:t>Species that are native to a region are generally considered to be adapted to the regional climate. Turfgrasses, however, not only have to be adapted to the climate, but must also possess those characteristics that define a turfgrass. They must withstand continual defoliation from mowing, form a contiguous community, and withstand at least some traffic (Turgeon, 2002). Beard (1998) pointed out that the cool-season turfgrass species evolved under grazing pressure where close-grazing animals such as sheep (</w:t>
      </w:r>
      <w:r w:rsidRPr="0001663B">
        <w:rPr>
          <w:rFonts w:ascii="Times New Roman" w:hAnsi="Times New Roman" w:cs="Times New Roman"/>
          <w:bCs/>
          <w:i/>
          <w:iCs/>
          <w:sz w:val="24"/>
          <w:szCs w:val="24"/>
          <w:lang w:val="en"/>
        </w:rPr>
        <w:t xml:space="preserve">Ovis aries </w:t>
      </w:r>
      <w:r w:rsidRPr="0001663B">
        <w:rPr>
          <w:rFonts w:ascii="Times New Roman" w:hAnsi="Times New Roman" w:cs="Times New Roman"/>
          <w:bCs/>
          <w:iCs/>
          <w:sz w:val="24"/>
          <w:szCs w:val="24"/>
          <w:lang w:val="en"/>
        </w:rPr>
        <w:t>L.)</w:t>
      </w:r>
      <w:r w:rsidRPr="0001663B">
        <w:rPr>
          <w:rFonts w:ascii="Times New Roman" w:hAnsi="Times New Roman" w:cs="Times New Roman"/>
          <w:bCs/>
          <w:i/>
          <w:iCs/>
          <w:sz w:val="24"/>
          <w:szCs w:val="24"/>
          <w:lang w:val="en"/>
        </w:rPr>
        <w:t xml:space="preserve"> </w:t>
      </w:r>
      <w:r w:rsidRPr="0001663B">
        <w:rPr>
          <w:rFonts w:ascii="Times New Roman" w:hAnsi="Times New Roman" w:cs="Times New Roman"/>
          <w:sz w:val="24"/>
          <w:szCs w:val="24"/>
        </w:rPr>
        <w:t xml:space="preserve"> </w:t>
      </w:r>
      <w:proofErr w:type="gramStart"/>
      <w:r w:rsidRPr="0001663B">
        <w:rPr>
          <w:rFonts w:ascii="Times New Roman" w:hAnsi="Times New Roman" w:cs="Times New Roman"/>
          <w:sz w:val="24"/>
          <w:szCs w:val="24"/>
        </w:rPr>
        <w:t>and</w:t>
      </w:r>
      <w:proofErr w:type="gramEnd"/>
      <w:r w:rsidRPr="0001663B">
        <w:rPr>
          <w:rFonts w:ascii="Times New Roman" w:hAnsi="Times New Roman" w:cs="Times New Roman"/>
          <w:sz w:val="24"/>
          <w:szCs w:val="24"/>
        </w:rPr>
        <w:t xml:space="preserve"> cattle (</w:t>
      </w:r>
      <w:r w:rsidRPr="0001663B">
        <w:rPr>
          <w:rFonts w:ascii="Times New Roman" w:hAnsi="Times New Roman" w:cs="Times New Roman"/>
          <w:i/>
          <w:sz w:val="24"/>
          <w:szCs w:val="24"/>
        </w:rPr>
        <w:t>Bos</w:t>
      </w:r>
      <w:r w:rsidRPr="0001663B">
        <w:rPr>
          <w:rFonts w:ascii="Times New Roman" w:hAnsi="Times New Roman" w:cs="Times New Roman"/>
          <w:sz w:val="24"/>
          <w:szCs w:val="24"/>
        </w:rPr>
        <w:t xml:space="preserve"> spp.) also originated. In the USA, the American bison (</w:t>
      </w:r>
      <w:r w:rsidRPr="0001663B">
        <w:rPr>
          <w:rFonts w:ascii="Times New Roman" w:hAnsi="Times New Roman" w:cs="Times New Roman"/>
          <w:i/>
          <w:sz w:val="24"/>
          <w:szCs w:val="24"/>
        </w:rPr>
        <w:t>Bison bison</w:t>
      </w:r>
      <w:r w:rsidRPr="0001663B">
        <w:rPr>
          <w:rFonts w:ascii="Times New Roman" w:hAnsi="Times New Roman" w:cs="Times New Roman"/>
          <w:sz w:val="24"/>
          <w:szCs w:val="24"/>
        </w:rPr>
        <w:t xml:space="preserve"> L.), antelope (</w:t>
      </w:r>
      <w:r w:rsidRPr="0001663B">
        <w:rPr>
          <w:rFonts w:ascii="Times New Roman" w:hAnsi="Times New Roman" w:cs="Times New Roman"/>
          <w:bCs/>
          <w:i/>
          <w:color w:val="000000"/>
          <w:sz w:val="24"/>
          <w:szCs w:val="20"/>
        </w:rPr>
        <w:t xml:space="preserve">Antilocapra </w:t>
      </w:r>
      <w:proofErr w:type="gramStart"/>
      <w:r w:rsidRPr="0001663B">
        <w:rPr>
          <w:rFonts w:ascii="Times New Roman" w:hAnsi="Times New Roman" w:cs="Times New Roman"/>
          <w:bCs/>
          <w:i/>
          <w:color w:val="000000"/>
          <w:sz w:val="24"/>
          <w:szCs w:val="20"/>
        </w:rPr>
        <w:t>americana</w:t>
      </w:r>
      <w:proofErr w:type="gramEnd"/>
      <w:r w:rsidRPr="0001663B">
        <w:rPr>
          <w:rFonts w:ascii="Arial" w:hAnsi="Arial" w:cs="Arial"/>
          <w:b/>
          <w:bCs/>
          <w:color w:val="000000"/>
          <w:sz w:val="24"/>
          <w:szCs w:val="20"/>
        </w:rPr>
        <w:t xml:space="preserve"> </w:t>
      </w:r>
      <w:r w:rsidRPr="0001663B">
        <w:rPr>
          <w:rFonts w:ascii="Times New Roman" w:hAnsi="Times New Roman" w:cs="Times New Roman"/>
          <w:color w:val="222222"/>
          <w:sz w:val="24"/>
          <w:szCs w:val="24"/>
        </w:rPr>
        <w:t>Ord</w:t>
      </w:r>
      <w:r w:rsidRPr="0001663B">
        <w:rPr>
          <w:rFonts w:ascii="Arial" w:hAnsi="Arial" w:cs="Arial"/>
          <w:color w:val="222222"/>
          <w:sz w:val="20"/>
          <w:szCs w:val="20"/>
        </w:rPr>
        <w:t>),</w:t>
      </w:r>
      <w:r w:rsidRPr="0001663B">
        <w:rPr>
          <w:rFonts w:ascii="Times New Roman" w:hAnsi="Times New Roman" w:cs="Times New Roman"/>
          <w:sz w:val="24"/>
          <w:szCs w:val="24"/>
        </w:rPr>
        <w:t xml:space="preserve"> and deer (</w:t>
      </w:r>
      <w:r w:rsidRPr="0001663B">
        <w:rPr>
          <w:rFonts w:ascii="Times New Roman" w:hAnsi="Times New Roman" w:cs="Times New Roman"/>
          <w:bCs/>
          <w:i/>
          <w:color w:val="000000"/>
          <w:sz w:val="24"/>
          <w:szCs w:val="20"/>
        </w:rPr>
        <w:t>Odocoileus</w:t>
      </w:r>
      <w:r w:rsidRPr="0001663B">
        <w:rPr>
          <w:rFonts w:ascii="Times New Roman" w:hAnsi="Times New Roman" w:cs="Times New Roman"/>
          <w:sz w:val="24"/>
          <w:szCs w:val="24"/>
        </w:rPr>
        <w:t xml:space="preserve"> spp.) would pose similar grazing pressure, however, these animals did not develop the mouth parts capable of close grazing (Beard, 1998). Buffalograss is the most successful of native grasses used as turfgrasses. The stoloniferous, warm-season species is native to the North American Great Plains (Wenger, 1943).  Buffalograss is well known for its drought </w:t>
      </w:r>
      <w:r w:rsidRPr="0001663B">
        <w:rPr>
          <w:rFonts w:ascii="Times New Roman" w:hAnsi="Times New Roman" w:cs="Times New Roman"/>
          <w:sz w:val="24"/>
          <w:szCs w:val="24"/>
        </w:rPr>
        <w:lastRenderedPageBreak/>
        <w:t>tolerance and low fertility and mowing requirements, however its use in higher rainfall climates may be limited by high weed pressure and disease (Riordan and Browning, 2003).</w:t>
      </w:r>
    </w:p>
    <w:p w14:paraId="665404DB" w14:textId="77777777" w:rsidR="0001663B" w:rsidRPr="0001663B" w:rsidRDefault="0001663B" w:rsidP="0001663B">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Of all native turfgrass species, the one that may be the most attractive for the eastern transition zone states is Texas bluegrass. Texas bluegrass is a rhizomatous, dioecious species originating in Texas and Oklahoma (Read and Anderson, 2003), where high temperatures and drought conditions are common, indicating that heat and drought tolerance exist in not only this species, but also the genus as well. An undesirable trait of this species is the formation of pubescence at the base of the lemma, which makes seed harvesting and processing difficult (Read, 2001). Texas bluegrass was introduced to the southeastern USA as a forage grass, however little can be found in literature regarding its performance or use (Pittman and Read, 1998).</w:t>
      </w:r>
    </w:p>
    <w:p w14:paraId="404B3534" w14:textId="77777777" w:rsidR="00A02D5E" w:rsidRDefault="0001663B" w:rsidP="0001663B">
      <w:pPr>
        <w:spacing w:line="480" w:lineRule="auto"/>
        <w:rPr>
          <w:rFonts w:ascii="Times New Roman" w:eastAsiaTheme="minorHAnsi" w:hAnsi="Times New Roman" w:cs="Times New Roman"/>
          <w:i/>
          <w:sz w:val="24"/>
        </w:rPr>
      </w:pPr>
      <w:r w:rsidRPr="0001663B">
        <w:rPr>
          <w:rFonts w:ascii="Times New Roman" w:eastAsiaTheme="minorHAnsi" w:hAnsi="Times New Roman" w:cs="Times New Roman"/>
          <w:i/>
          <w:sz w:val="24"/>
        </w:rPr>
        <w:t>Poa hybrids</w:t>
      </w:r>
    </w:p>
    <w:p w14:paraId="2044D818" w14:textId="77777777" w:rsidR="00A02D5E" w:rsidRDefault="00A02D5E" w:rsidP="00A02D5E">
      <w:pPr>
        <w:spacing w:line="480" w:lineRule="auto"/>
        <w:rPr>
          <w:rFonts w:ascii="Times New Roman" w:hAnsi="Times New Roman" w:cs="Times New Roman"/>
          <w:sz w:val="24"/>
          <w:szCs w:val="24"/>
        </w:rPr>
      </w:pPr>
      <w:r>
        <w:rPr>
          <w:rFonts w:ascii="Times New Roman" w:hAnsi="Times New Roman" w:cs="Times New Roman"/>
          <w:sz w:val="24"/>
          <w:szCs w:val="24"/>
        </w:rPr>
        <w:tab/>
      </w:r>
      <w:r w:rsidRPr="0017116F">
        <w:rPr>
          <w:rFonts w:ascii="Times New Roman" w:hAnsi="Times New Roman" w:cs="Times New Roman"/>
          <w:sz w:val="24"/>
          <w:szCs w:val="24"/>
        </w:rPr>
        <w:t xml:space="preserve">Interspecific hybridization as a tool for turfgrass breeding has resulted in very successful cultivars. The introduction of </w:t>
      </w:r>
      <w:r>
        <w:rPr>
          <w:rFonts w:ascii="Times New Roman" w:hAnsi="Times New Roman" w:cs="Times New Roman"/>
          <w:sz w:val="24"/>
          <w:szCs w:val="24"/>
        </w:rPr>
        <w:t xml:space="preserve">‘Tifgreen’ (Hein, 1961) </w:t>
      </w:r>
      <w:r w:rsidRPr="0017116F">
        <w:rPr>
          <w:rFonts w:ascii="Times New Roman" w:hAnsi="Times New Roman" w:cs="Times New Roman"/>
          <w:sz w:val="24"/>
          <w:szCs w:val="24"/>
        </w:rPr>
        <w:t>hybrid bermudagrass  [</w:t>
      </w:r>
      <w:r w:rsidRPr="0017116F">
        <w:rPr>
          <w:rFonts w:ascii="Times New Roman" w:hAnsi="Times New Roman" w:cs="Times New Roman"/>
          <w:i/>
          <w:sz w:val="24"/>
          <w:szCs w:val="24"/>
        </w:rPr>
        <w:t>C. transvaalensis</w:t>
      </w:r>
      <w:r w:rsidRPr="0017116F">
        <w:rPr>
          <w:rFonts w:ascii="Times New Roman" w:hAnsi="Times New Roman" w:cs="Times New Roman"/>
          <w:sz w:val="24"/>
          <w:szCs w:val="24"/>
        </w:rPr>
        <w:t xml:space="preserve"> (Burtt-Davey) × </w:t>
      </w:r>
      <w:r w:rsidRPr="0017116F">
        <w:rPr>
          <w:rFonts w:ascii="Times New Roman" w:hAnsi="Times New Roman" w:cs="Times New Roman"/>
          <w:i/>
          <w:sz w:val="24"/>
          <w:szCs w:val="24"/>
        </w:rPr>
        <w:t>C. dactylon</w:t>
      </w:r>
      <w:r w:rsidRPr="0017116F">
        <w:rPr>
          <w:rFonts w:ascii="Times New Roman" w:hAnsi="Times New Roman" w:cs="Times New Roman"/>
          <w:sz w:val="24"/>
          <w:szCs w:val="24"/>
        </w:rPr>
        <w:t xml:space="preserve"> (L.) Pers.] </w:t>
      </w:r>
      <w:r>
        <w:rPr>
          <w:rFonts w:ascii="Times New Roman" w:hAnsi="Times New Roman" w:cs="Times New Roman"/>
          <w:sz w:val="24"/>
          <w:szCs w:val="24"/>
        </w:rPr>
        <w:t>in 1956 r</w:t>
      </w:r>
      <w:r w:rsidRPr="0017116F">
        <w:rPr>
          <w:rFonts w:ascii="Times New Roman" w:hAnsi="Times New Roman" w:cs="Times New Roman"/>
          <w:sz w:val="24"/>
          <w:szCs w:val="24"/>
        </w:rPr>
        <w:t xml:space="preserve">evolutionized the turfgrass industry in the </w:t>
      </w:r>
      <w:r>
        <w:rPr>
          <w:rFonts w:ascii="Times New Roman" w:hAnsi="Times New Roman" w:cs="Times New Roman"/>
          <w:sz w:val="24"/>
          <w:szCs w:val="24"/>
        </w:rPr>
        <w:t>s</w:t>
      </w:r>
      <w:r w:rsidRPr="0017116F">
        <w:rPr>
          <w:rFonts w:ascii="Times New Roman" w:hAnsi="Times New Roman" w:cs="Times New Roman"/>
          <w:sz w:val="24"/>
          <w:szCs w:val="24"/>
        </w:rPr>
        <w:t>outhern USA</w:t>
      </w:r>
      <w:r>
        <w:rPr>
          <w:rFonts w:ascii="Times New Roman" w:hAnsi="Times New Roman" w:cs="Times New Roman"/>
          <w:sz w:val="24"/>
          <w:szCs w:val="24"/>
        </w:rPr>
        <w:t xml:space="preserve"> by replacing common bermudagrass (</w:t>
      </w:r>
      <w:r w:rsidRPr="0017116F">
        <w:rPr>
          <w:rFonts w:ascii="Times New Roman" w:hAnsi="Times New Roman" w:cs="Times New Roman"/>
          <w:i/>
          <w:sz w:val="24"/>
          <w:szCs w:val="24"/>
        </w:rPr>
        <w:t>C. dactylon</w:t>
      </w:r>
      <w:r>
        <w:rPr>
          <w:rFonts w:ascii="Times New Roman" w:hAnsi="Times New Roman" w:cs="Times New Roman"/>
          <w:sz w:val="24"/>
          <w:szCs w:val="24"/>
        </w:rPr>
        <w:t>) on putting greens with</w:t>
      </w:r>
      <w:r w:rsidRPr="0017116F">
        <w:rPr>
          <w:rFonts w:ascii="Times New Roman" w:hAnsi="Times New Roman" w:cs="Times New Roman"/>
          <w:sz w:val="24"/>
          <w:szCs w:val="24"/>
        </w:rPr>
        <w:t xml:space="preserve"> </w:t>
      </w:r>
      <w:r>
        <w:rPr>
          <w:rFonts w:ascii="Times New Roman" w:hAnsi="Times New Roman" w:cs="Times New Roman"/>
          <w:sz w:val="24"/>
          <w:szCs w:val="24"/>
        </w:rPr>
        <w:t>the new hybrid that had a texture and density more comparable to creeping bentgrass (</w:t>
      </w:r>
      <w:r w:rsidRPr="0017116F">
        <w:rPr>
          <w:rFonts w:ascii="Times New Roman" w:hAnsi="Times New Roman" w:cs="Times New Roman"/>
          <w:i/>
          <w:sz w:val="24"/>
          <w:szCs w:val="24"/>
        </w:rPr>
        <w:t>Agrostis stolonifera</w:t>
      </w:r>
      <w:r>
        <w:rPr>
          <w:rFonts w:ascii="Times New Roman" w:hAnsi="Times New Roman" w:cs="Times New Roman"/>
          <w:i/>
          <w:sz w:val="24"/>
          <w:szCs w:val="24"/>
        </w:rPr>
        <w:t xml:space="preserve"> </w:t>
      </w:r>
      <w:r w:rsidRPr="008B426F">
        <w:rPr>
          <w:rFonts w:ascii="Times New Roman" w:hAnsi="Times New Roman" w:cs="Times New Roman"/>
          <w:sz w:val="24"/>
          <w:szCs w:val="24"/>
        </w:rPr>
        <w:t>L</w:t>
      </w:r>
      <w:r>
        <w:rPr>
          <w:rFonts w:ascii="Times New Roman" w:hAnsi="Times New Roman" w:cs="Times New Roman"/>
          <w:i/>
          <w:sz w:val="24"/>
          <w:szCs w:val="24"/>
        </w:rPr>
        <w:t>.</w:t>
      </w:r>
      <w:r>
        <w:rPr>
          <w:rFonts w:ascii="Times New Roman" w:hAnsi="Times New Roman" w:cs="Times New Roman"/>
          <w:sz w:val="24"/>
          <w:szCs w:val="24"/>
        </w:rPr>
        <w:t xml:space="preserve">) which was enjoyed by golfers in northern states (Robinson and Latham, 1956). Although other bermudagrass hybrids were released from this program around the same time, the most notable was ‘Tifway.’ (Burton, 1966) Tifway, released in 1960, was a chance hybrid that was very well suited to golf course fairways and tees (Burton, 1960). Fifty years after its release, </w:t>
      </w:r>
      <w:r>
        <w:rPr>
          <w:rFonts w:ascii="Times New Roman" w:hAnsi="Times New Roman" w:cs="Times New Roman"/>
          <w:sz w:val="24"/>
          <w:szCs w:val="24"/>
        </w:rPr>
        <w:lastRenderedPageBreak/>
        <w:t>Tifway still rates high among modern cultivars in the National Turfgrass Evaluation Program trials (Morris, 2002).</w:t>
      </w:r>
    </w:p>
    <w:p w14:paraId="0C22E025" w14:textId="77777777" w:rsidR="005302AA" w:rsidRDefault="0001663B" w:rsidP="005302AA">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i/>
          <w:sz w:val="24"/>
        </w:rPr>
        <w:tab/>
      </w:r>
      <w:r w:rsidR="00A02D5E">
        <w:rPr>
          <w:rFonts w:ascii="Times New Roman" w:hAnsi="Times New Roman" w:cs="Times New Roman"/>
          <w:sz w:val="24"/>
          <w:szCs w:val="24"/>
        </w:rPr>
        <w:t xml:space="preserve">The number of man-made interspecific hybrids is numerous with </w:t>
      </w:r>
      <w:r w:rsidR="00A02D5E" w:rsidRPr="009C60DE">
        <w:rPr>
          <w:rFonts w:ascii="Times New Roman" w:hAnsi="Times New Roman" w:cs="Times New Roman"/>
          <w:i/>
          <w:sz w:val="24"/>
          <w:szCs w:val="24"/>
        </w:rPr>
        <w:t>Poa</w:t>
      </w:r>
      <w:r w:rsidR="00A02D5E">
        <w:rPr>
          <w:rFonts w:ascii="Times New Roman" w:hAnsi="Times New Roman" w:cs="Times New Roman"/>
          <w:sz w:val="24"/>
          <w:szCs w:val="24"/>
        </w:rPr>
        <w:t xml:space="preserve">, and a large portion of these hybrids involved the use of </w:t>
      </w:r>
      <w:r w:rsidR="00A02D5E" w:rsidRPr="009C60DE">
        <w:rPr>
          <w:rFonts w:ascii="Times New Roman" w:hAnsi="Times New Roman" w:cs="Times New Roman"/>
          <w:i/>
          <w:sz w:val="24"/>
          <w:szCs w:val="24"/>
        </w:rPr>
        <w:t>P. pratensis</w:t>
      </w:r>
      <w:r w:rsidR="00A02D5E">
        <w:rPr>
          <w:rFonts w:ascii="Times New Roman" w:hAnsi="Times New Roman" w:cs="Times New Roman"/>
          <w:sz w:val="24"/>
          <w:szCs w:val="24"/>
        </w:rPr>
        <w:t xml:space="preserve"> as one the parents.</w:t>
      </w:r>
      <w:r w:rsidR="00A02D5E" w:rsidRPr="0001663B">
        <w:rPr>
          <w:rFonts w:ascii="Times New Roman" w:eastAsiaTheme="minorHAnsi" w:hAnsi="Times New Roman" w:cs="Times New Roman"/>
          <w:sz w:val="24"/>
        </w:rPr>
        <w:t xml:space="preserve"> </w:t>
      </w:r>
      <w:r w:rsidRPr="0001663B">
        <w:rPr>
          <w:rFonts w:ascii="Times New Roman" w:eastAsiaTheme="minorHAnsi" w:hAnsi="Times New Roman" w:cs="Times New Roman"/>
          <w:sz w:val="24"/>
        </w:rPr>
        <w:t xml:space="preserve">One of the earliest controlled hybrids of a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species was that of Texas bluegrass</w:t>
      </w:r>
      <w:r w:rsidR="00AB477F">
        <w:rPr>
          <w:rFonts w:ascii="Times New Roman" w:eastAsiaTheme="minorHAnsi" w:hAnsi="Times New Roman" w:cs="Times New Roman"/>
          <w:sz w:val="24"/>
        </w:rPr>
        <w:t xml:space="preserve"> </w:t>
      </w:r>
      <w:r w:rsidR="00AB477F">
        <w:rPr>
          <w:rFonts w:ascii="Times New Roman" w:hAnsi="Times New Roman" w:cs="Times New Roman"/>
          <w:sz w:val="24"/>
          <w:szCs w:val="24"/>
        </w:rPr>
        <w:t>(</w:t>
      </w:r>
      <w:r w:rsidR="00AB477F" w:rsidRPr="007A2A78">
        <w:rPr>
          <w:rFonts w:ascii="Times New Roman" w:hAnsi="Times New Roman" w:cs="Times New Roman"/>
          <w:i/>
          <w:sz w:val="24"/>
          <w:szCs w:val="24"/>
        </w:rPr>
        <w:t>P. arachnifera</w:t>
      </w:r>
      <w:r w:rsidR="00AB477F">
        <w:rPr>
          <w:rFonts w:ascii="Times New Roman" w:hAnsi="Times New Roman" w:cs="Times New Roman"/>
          <w:i/>
          <w:sz w:val="24"/>
          <w:szCs w:val="24"/>
        </w:rPr>
        <w:t xml:space="preserve"> </w:t>
      </w:r>
      <w:r w:rsidR="00AB477F">
        <w:rPr>
          <w:rFonts w:ascii="Times New Roman" w:hAnsi="Times New Roman" w:cs="Times New Roman"/>
          <w:sz w:val="24"/>
          <w:szCs w:val="24"/>
        </w:rPr>
        <w:t xml:space="preserve">Torr) </w:t>
      </w:r>
      <w:r w:rsidRPr="0001663B">
        <w:rPr>
          <w:rFonts w:ascii="Times New Roman" w:eastAsiaTheme="minorHAnsi" w:hAnsi="Times New Roman" w:cs="Times New Roman"/>
          <w:sz w:val="24"/>
        </w:rPr>
        <w:t xml:space="preserve">and Kentucky bluegrass (Vinall and Hein, 1937). </w:t>
      </w:r>
      <w:r w:rsidR="00A02D5E">
        <w:rPr>
          <w:rFonts w:ascii="Times New Roman" w:hAnsi="Times New Roman" w:cs="Times New Roman"/>
          <w:sz w:val="24"/>
          <w:szCs w:val="24"/>
        </w:rPr>
        <w:t xml:space="preserve">Interspecific hybridizations of </w:t>
      </w:r>
      <w:r w:rsidR="00A02D5E" w:rsidRPr="007A2A78">
        <w:rPr>
          <w:rFonts w:ascii="Times New Roman" w:hAnsi="Times New Roman" w:cs="Times New Roman"/>
          <w:i/>
          <w:sz w:val="24"/>
          <w:szCs w:val="24"/>
        </w:rPr>
        <w:t>Poa</w:t>
      </w:r>
      <w:r w:rsidR="00A02D5E">
        <w:rPr>
          <w:rFonts w:ascii="Times New Roman" w:hAnsi="Times New Roman" w:cs="Times New Roman"/>
          <w:sz w:val="24"/>
          <w:szCs w:val="24"/>
        </w:rPr>
        <w:t xml:space="preserve"> species for turf, which resulted in a released cultivar, started with ‘Reveille’ hybrid bluegrass (Read et al., 1999). Reveille is a hybrid between Texas bluegrass and Kentucky bluegrass. The goal with this hybrid was to incorporate the heat and drought tolerance characteristics of Texas bluegrass into the higher turf quality Kentucky bluegrass. </w:t>
      </w:r>
      <w:r w:rsidRPr="0001663B">
        <w:rPr>
          <w:rFonts w:ascii="Times New Roman" w:eastAsiaTheme="minorHAnsi" w:hAnsi="Times New Roman" w:cs="Times New Roman"/>
          <w:sz w:val="24"/>
        </w:rPr>
        <w:t>Mo</w:t>
      </w:r>
      <w:r w:rsidR="00AB477F">
        <w:rPr>
          <w:rFonts w:ascii="Times New Roman" w:eastAsiaTheme="minorHAnsi" w:hAnsi="Times New Roman" w:cs="Times New Roman"/>
          <w:sz w:val="24"/>
        </w:rPr>
        <w:t>re recently, these hybrids have resulted</w:t>
      </w:r>
      <w:r w:rsidRPr="0001663B">
        <w:rPr>
          <w:rFonts w:ascii="Times New Roman" w:eastAsiaTheme="minorHAnsi" w:hAnsi="Times New Roman" w:cs="Times New Roman"/>
          <w:sz w:val="24"/>
        </w:rPr>
        <w:t xml:space="preserve"> in the release of several cultivars such as ‘Thermal Blue, ‘Dura Blue’ and ‘Longhorn’ (Teuton et al., 2009; Richardson and Karcher, 2009). These hybrids were shown to be equally as suited to use as turfgrasses in comparison to tall fescue and Kentucky bluegrass (Teuton et al., 2007) and have demonstrated improved tolerance to high temperatures (Su et al., 2007). Although these hybrids have displayed enhanced heat tolerance, getting this characteristic along with drought tolerance, the desired turf quality, and economical seed production has proven difficult (Read, 2001; Merewitz et al., 2010; Abraham et al., 2004). Research specific to the transition zone has been performed. A study focusing on drought tolerance found high diversity between cultivars of hybrid bluegrasses when compared to Kentucky bluegrass and other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hybrids. At least one of the Texas hybrids ranked near top in drought tolerance, while several other Texas hybrids ranked near the bottom, indicating that hybrid status of these cultivars does not automatically confer drought tolerance (Richardson and Karcher, 2009).   </w:t>
      </w:r>
    </w:p>
    <w:p w14:paraId="30FDB399" w14:textId="591B6444" w:rsidR="005302AA" w:rsidRPr="0001663B" w:rsidRDefault="005302AA" w:rsidP="005302AA">
      <w:pPr>
        <w:spacing w:line="480" w:lineRule="auto"/>
        <w:ind w:firstLine="720"/>
        <w:rPr>
          <w:rFonts w:ascii="Times New Roman" w:eastAsiaTheme="minorHAnsi" w:hAnsi="Times New Roman" w:cs="Times New Roman"/>
          <w:sz w:val="24"/>
        </w:rPr>
      </w:pPr>
      <w:r>
        <w:rPr>
          <w:rFonts w:ascii="Times New Roman" w:hAnsi="Times New Roman" w:cs="Times New Roman"/>
          <w:sz w:val="24"/>
          <w:szCs w:val="24"/>
        </w:rPr>
        <w:lastRenderedPageBreak/>
        <w:t>Naturally-occurring hybrids have also made big impacts on the turfgrass industry.</w:t>
      </w:r>
      <w:r w:rsidR="00CD6671" w:rsidRPr="00CD6671">
        <w:rPr>
          <w:rFonts w:ascii="Times New Roman" w:eastAsiaTheme="minorHAnsi" w:hAnsi="Times New Roman" w:cs="Times New Roman"/>
          <w:sz w:val="24"/>
        </w:rPr>
        <w:t xml:space="preserve"> </w:t>
      </w:r>
      <w:r w:rsidR="00CD6671" w:rsidRPr="0001663B">
        <w:rPr>
          <w:rFonts w:ascii="Times New Roman" w:eastAsiaTheme="minorHAnsi" w:hAnsi="Times New Roman" w:cs="Times New Roman"/>
          <w:sz w:val="24"/>
        </w:rPr>
        <w:t xml:space="preserve">It was suggested early on that the parents </w:t>
      </w:r>
      <w:r w:rsidR="00F557E1">
        <w:rPr>
          <w:rFonts w:ascii="Times New Roman" w:eastAsiaTheme="minorHAnsi" w:hAnsi="Times New Roman" w:cs="Times New Roman"/>
          <w:sz w:val="24"/>
        </w:rPr>
        <w:t>of</w:t>
      </w:r>
      <w:r w:rsidR="00CD6671">
        <w:rPr>
          <w:rFonts w:ascii="Times New Roman" w:eastAsiaTheme="minorHAnsi" w:hAnsi="Times New Roman" w:cs="Times New Roman"/>
          <w:sz w:val="24"/>
        </w:rPr>
        <w:t xml:space="preserve"> </w:t>
      </w:r>
      <w:r w:rsidR="00CD6671" w:rsidRPr="00CD6671">
        <w:rPr>
          <w:rFonts w:ascii="Times New Roman" w:eastAsiaTheme="minorHAnsi" w:hAnsi="Times New Roman" w:cs="Times New Roman"/>
          <w:i/>
          <w:sz w:val="24"/>
        </w:rPr>
        <w:t>P. annua</w:t>
      </w:r>
      <w:r w:rsidR="00CD6671">
        <w:rPr>
          <w:rFonts w:ascii="Times New Roman" w:eastAsiaTheme="minorHAnsi" w:hAnsi="Times New Roman" w:cs="Times New Roman"/>
          <w:sz w:val="24"/>
        </w:rPr>
        <w:t xml:space="preserve"> </w:t>
      </w:r>
      <w:r w:rsidR="00CD6671" w:rsidRPr="0001663B">
        <w:rPr>
          <w:rFonts w:ascii="Times New Roman" w:eastAsiaTheme="minorHAnsi" w:hAnsi="Times New Roman" w:cs="Times New Roman"/>
          <w:sz w:val="24"/>
        </w:rPr>
        <w:t xml:space="preserve">were </w:t>
      </w:r>
      <w:r w:rsidR="00CD6671" w:rsidRPr="0001663B">
        <w:rPr>
          <w:rFonts w:ascii="Times New Roman" w:eastAsiaTheme="minorHAnsi" w:hAnsi="Times New Roman" w:cs="Times New Roman"/>
          <w:i/>
          <w:sz w:val="24"/>
        </w:rPr>
        <w:t>P. supina</w:t>
      </w:r>
      <w:r w:rsidR="00CD6671" w:rsidRPr="0001663B">
        <w:rPr>
          <w:rFonts w:ascii="Times New Roman" w:eastAsiaTheme="minorHAnsi" w:hAnsi="Times New Roman" w:cs="Times New Roman"/>
          <w:sz w:val="24"/>
        </w:rPr>
        <w:t xml:space="preserve"> Schrad. </w:t>
      </w:r>
      <w:proofErr w:type="gramStart"/>
      <w:r w:rsidR="00CD6671" w:rsidRPr="0001663B">
        <w:rPr>
          <w:rFonts w:ascii="Times New Roman" w:eastAsiaTheme="minorHAnsi" w:hAnsi="Times New Roman" w:cs="Times New Roman"/>
          <w:sz w:val="24"/>
        </w:rPr>
        <w:t>and</w:t>
      </w:r>
      <w:proofErr w:type="gramEnd"/>
      <w:r w:rsidR="00CD6671" w:rsidRPr="0001663B">
        <w:rPr>
          <w:rFonts w:ascii="Times New Roman" w:eastAsiaTheme="minorHAnsi" w:hAnsi="Times New Roman" w:cs="Times New Roman"/>
          <w:sz w:val="24"/>
        </w:rPr>
        <w:t xml:space="preserve"> </w:t>
      </w:r>
      <w:r w:rsidR="00CD6671" w:rsidRPr="0001663B">
        <w:rPr>
          <w:rFonts w:ascii="Times New Roman" w:eastAsiaTheme="minorHAnsi" w:hAnsi="Times New Roman" w:cs="Times New Roman"/>
          <w:i/>
          <w:sz w:val="24"/>
        </w:rPr>
        <w:t>P. infirma</w:t>
      </w:r>
      <w:r w:rsidR="00CD6671" w:rsidRPr="0001663B">
        <w:rPr>
          <w:rFonts w:ascii="Times New Roman" w:eastAsiaTheme="minorHAnsi" w:hAnsi="Times New Roman" w:cs="Times New Roman"/>
          <w:sz w:val="24"/>
        </w:rPr>
        <w:t xml:space="preserve"> Kunth (Nanfeldt, 1937). Later, it was suggested that </w:t>
      </w:r>
      <w:r w:rsidR="00CD6671" w:rsidRPr="0001663B">
        <w:rPr>
          <w:rFonts w:ascii="Times New Roman" w:eastAsiaTheme="minorHAnsi" w:hAnsi="Times New Roman" w:cs="Times New Roman"/>
          <w:i/>
          <w:sz w:val="24"/>
        </w:rPr>
        <w:t>P. trivialis</w:t>
      </w:r>
      <w:r w:rsidR="00CD6671" w:rsidRPr="0001663B">
        <w:rPr>
          <w:rFonts w:ascii="Times New Roman" w:eastAsiaTheme="minorHAnsi" w:hAnsi="Times New Roman" w:cs="Times New Roman"/>
          <w:sz w:val="24"/>
        </w:rPr>
        <w:t xml:space="preserve"> L. and </w:t>
      </w:r>
      <w:r w:rsidR="00CD6671" w:rsidRPr="0001663B">
        <w:rPr>
          <w:rFonts w:ascii="Times New Roman" w:eastAsiaTheme="minorHAnsi" w:hAnsi="Times New Roman" w:cs="Times New Roman"/>
          <w:i/>
          <w:sz w:val="24"/>
        </w:rPr>
        <w:t>P. infirma</w:t>
      </w:r>
      <w:r w:rsidR="00CD6671" w:rsidRPr="0001663B">
        <w:rPr>
          <w:rFonts w:ascii="Times New Roman" w:eastAsiaTheme="minorHAnsi" w:hAnsi="Times New Roman" w:cs="Times New Roman"/>
          <w:sz w:val="24"/>
        </w:rPr>
        <w:t xml:space="preserve"> were the parents (Pietsch, 1989). Recently, DNA and chloroplast sequence studies verify that </w:t>
      </w:r>
      <w:r w:rsidR="00CD6671" w:rsidRPr="0001663B">
        <w:rPr>
          <w:rFonts w:ascii="Times New Roman" w:eastAsiaTheme="minorHAnsi" w:hAnsi="Times New Roman" w:cs="Times New Roman"/>
          <w:i/>
          <w:sz w:val="24"/>
        </w:rPr>
        <w:t>P. supina</w:t>
      </w:r>
      <w:r w:rsidR="00CD6671" w:rsidRPr="0001663B">
        <w:rPr>
          <w:rFonts w:ascii="Times New Roman" w:eastAsiaTheme="minorHAnsi" w:hAnsi="Times New Roman" w:cs="Times New Roman"/>
          <w:sz w:val="24"/>
        </w:rPr>
        <w:t xml:space="preserve"> and </w:t>
      </w:r>
      <w:r w:rsidR="00CD6671" w:rsidRPr="0001663B">
        <w:rPr>
          <w:rFonts w:ascii="Times New Roman" w:eastAsiaTheme="minorHAnsi" w:hAnsi="Times New Roman" w:cs="Times New Roman"/>
          <w:i/>
          <w:sz w:val="24"/>
        </w:rPr>
        <w:t>P. infirma</w:t>
      </w:r>
      <w:r w:rsidR="00CD6671" w:rsidRPr="0001663B">
        <w:rPr>
          <w:rFonts w:ascii="Times New Roman" w:eastAsiaTheme="minorHAnsi" w:hAnsi="Times New Roman" w:cs="Times New Roman"/>
          <w:sz w:val="24"/>
        </w:rPr>
        <w:t xml:space="preserve"> are the</w:t>
      </w:r>
      <w:r w:rsidR="00CD6671">
        <w:rPr>
          <w:rFonts w:ascii="Times New Roman" w:eastAsiaTheme="minorHAnsi" w:hAnsi="Times New Roman" w:cs="Times New Roman"/>
          <w:sz w:val="24"/>
        </w:rPr>
        <w:t xml:space="preserve"> parents (Mao and Huff, 2012). </w:t>
      </w:r>
      <w:r>
        <w:rPr>
          <w:rFonts w:ascii="Times New Roman" w:hAnsi="Times New Roman" w:cs="Times New Roman"/>
          <w:sz w:val="24"/>
          <w:szCs w:val="24"/>
        </w:rPr>
        <w:t xml:space="preserve"> </w:t>
      </w:r>
    </w:p>
    <w:p w14:paraId="0FDFCB5A" w14:textId="77777777" w:rsidR="0001663B" w:rsidRPr="0001663B" w:rsidRDefault="0001663B" w:rsidP="0001663B">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 xml:space="preserve">Interspecific hybridization with other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species has been successful, with a large portion of the crosses using Kentucky bluegrass as one of the parents (Goldman and Sims, 2005; Read, 2001; </w:t>
      </w:r>
      <w:r w:rsidR="001F4A16">
        <w:rPr>
          <w:rFonts w:ascii="Times New Roman" w:eastAsiaTheme="minorHAnsi" w:hAnsi="Times New Roman" w:cs="Times New Roman"/>
          <w:sz w:val="24"/>
        </w:rPr>
        <w:t>Dale et al., 1975)</w:t>
      </w:r>
      <w:r w:rsidRPr="0001663B">
        <w:rPr>
          <w:rFonts w:ascii="Times New Roman" w:eastAsiaTheme="minorHAnsi" w:hAnsi="Times New Roman" w:cs="Times New Roman"/>
          <w:sz w:val="24"/>
        </w:rPr>
        <w:t xml:space="preserve"> and hybrids have been known to occur in the wild (Clausen, 1961). </w:t>
      </w:r>
    </w:p>
    <w:p w14:paraId="1788FC36" w14:textId="77777777" w:rsidR="0001663B" w:rsidRPr="0001663B" w:rsidRDefault="0001663B" w:rsidP="0001663B">
      <w:pPr>
        <w:spacing w:line="480" w:lineRule="auto"/>
        <w:rPr>
          <w:rFonts w:ascii="Times New Roman" w:eastAsiaTheme="minorHAnsi" w:hAnsi="Times New Roman" w:cs="Times New Roman"/>
          <w:i/>
          <w:sz w:val="24"/>
        </w:rPr>
      </w:pPr>
      <w:r w:rsidRPr="0001663B">
        <w:rPr>
          <w:rFonts w:ascii="Times New Roman" w:eastAsiaTheme="minorHAnsi" w:hAnsi="Times New Roman" w:cs="Times New Roman"/>
          <w:i/>
          <w:sz w:val="24"/>
        </w:rPr>
        <w:t>Poa breeding</w:t>
      </w:r>
    </w:p>
    <w:p w14:paraId="7D406626" w14:textId="77777777" w:rsidR="0001663B" w:rsidRPr="0001663B" w:rsidRDefault="0001663B" w:rsidP="0001663B">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i/>
          <w:sz w:val="24"/>
        </w:rPr>
        <w:tab/>
      </w:r>
      <w:r w:rsidRPr="0001663B">
        <w:rPr>
          <w:rFonts w:ascii="Times New Roman" w:eastAsiaTheme="minorHAnsi" w:hAnsi="Times New Roman" w:cs="Times New Roman"/>
          <w:sz w:val="24"/>
        </w:rPr>
        <w:t xml:space="preserve">As mentioned previously, the diversity of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is present in many forms. This includes sex forms, modes of reproduction, and ploidy levels. All of these characteristics must be understood before implementing breeding programs, regardless of whether the objective is inter- or intraspecific hybridizations. Sex forms in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are extremely diverse, with not only the typical monoecious and dioecious forms occurring, but also variations in between, such as gynodioeceous and gynomonoecious (Anton and Connor, 1995). In breeding, monoecious plants can be used for reciprocal crosses, where the plant can be both a maternal and paternal parent, whereas a dioecious plant can only be one or the other. In addition to sex form, the modes of reproduction are also diverse in this genus. Apomixis is common in </w:t>
      </w:r>
      <w:r w:rsidRPr="0001663B">
        <w:rPr>
          <w:rFonts w:ascii="Times New Roman" w:eastAsiaTheme="minorHAnsi" w:hAnsi="Times New Roman" w:cs="Times New Roman"/>
          <w:i/>
          <w:sz w:val="24"/>
        </w:rPr>
        <w:t xml:space="preserve">Poa </w:t>
      </w:r>
      <w:r w:rsidRPr="0001663B">
        <w:rPr>
          <w:rFonts w:ascii="Times New Roman" w:eastAsiaTheme="minorHAnsi" w:hAnsi="Times New Roman" w:cs="Times New Roman"/>
          <w:sz w:val="24"/>
        </w:rPr>
        <w:t xml:space="preserve">and has been extensively studied in Kentucky bluegrass (Kelley et al., 2009; Clausen, 1961) This mode of reproduction results in highly stable and uniform progeny, which is beneficial to breeders when a superior plant is developed, however it makes inter- and intraspecific hybridization difficult </w:t>
      </w:r>
      <w:r w:rsidRPr="0001663B">
        <w:rPr>
          <w:rFonts w:ascii="Times New Roman" w:eastAsiaTheme="minorHAnsi" w:hAnsi="Times New Roman" w:cs="Times New Roman"/>
          <w:sz w:val="24"/>
        </w:rPr>
        <w:lastRenderedPageBreak/>
        <w:t xml:space="preserve">(Huff, 2003). Fortunately, in Kentucky bluegrass, apomixis is not typically exclusive and some out-crossing can occur, with the level of apomixis or out-crossing being highly variable (Huff, 2003). Initially cultivars of Kentucky bluegrass originated as selections from old turf areas or seed fields (Pepin and Funk, 1971). Cultivar development of Kentucky bluegrass using intraspecific hybridization as a method was slow to be accepted because of many reasons relating to apomixis, however it was shown that intraspecific hybridization is a useful tool in improving Kentucky bluegrass (Pepin and Funk, 1971). </w:t>
      </w:r>
    </w:p>
    <w:p w14:paraId="2A9BCB66" w14:textId="77777777" w:rsidR="0001663B" w:rsidRPr="0001663B" w:rsidRDefault="0001663B" w:rsidP="0001663B">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 xml:space="preserve">Some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species, such as </w:t>
      </w:r>
      <w:r w:rsidRPr="0001663B">
        <w:rPr>
          <w:rFonts w:ascii="Times New Roman" w:eastAsiaTheme="minorHAnsi" w:hAnsi="Times New Roman" w:cs="Times New Roman"/>
          <w:i/>
          <w:sz w:val="24"/>
        </w:rPr>
        <w:t>P. annua</w:t>
      </w:r>
      <w:r w:rsidRPr="0001663B">
        <w:rPr>
          <w:rFonts w:ascii="Times New Roman" w:eastAsiaTheme="minorHAnsi" w:hAnsi="Times New Roman" w:cs="Times New Roman"/>
          <w:sz w:val="24"/>
        </w:rPr>
        <w:t xml:space="preserve"> and </w:t>
      </w:r>
      <w:r w:rsidRPr="0001663B">
        <w:rPr>
          <w:rFonts w:ascii="Times New Roman" w:eastAsiaTheme="minorHAnsi" w:hAnsi="Times New Roman" w:cs="Times New Roman"/>
          <w:i/>
          <w:sz w:val="24"/>
        </w:rPr>
        <w:t>P. supina,</w:t>
      </w:r>
      <w:r w:rsidRPr="0001663B">
        <w:rPr>
          <w:rFonts w:ascii="Times New Roman" w:eastAsiaTheme="minorHAnsi" w:hAnsi="Times New Roman" w:cs="Times New Roman"/>
          <w:sz w:val="24"/>
        </w:rPr>
        <w:t xml:space="preserve"> utilize self-pollination, which results in true-breeding strains through inbreeding (Huff, 2003). Although common in agricultural crops, this mode of reproduction is not typical among turfgrasses. Like apomixis, self-fertilization is not always exclusive and out-crossing does occur. Some plants of</w:t>
      </w:r>
      <w:r w:rsidRPr="0001663B">
        <w:rPr>
          <w:rFonts w:ascii="Times New Roman" w:eastAsiaTheme="minorHAnsi" w:hAnsi="Times New Roman" w:cs="Times New Roman"/>
          <w:i/>
          <w:sz w:val="24"/>
        </w:rPr>
        <w:t xml:space="preserve"> P.annua</w:t>
      </w:r>
      <w:r w:rsidRPr="0001663B">
        <w:rPr>
          <w:rFonts w:ascii="Times New Roman" w:eastAsiaTheme="minorHAnsi" w:hAnsi="Times New Roman" w:cs="Times New Roman"/>
          <w:sz w:val="24"/>
        </w:rPr>
        <w:t xml:space="preserve"> have been found to outcross as much as 15%, (Ellis, 1973).</w:t>
      </w:r>
    </w:p>
    <w:p w14:paraId="35D6CAD1" w14:textId="77777777" w:rsidR="0001663B" w:rsidRPr="0001663B" w:rsidRDefault="0001663B" w:rsidP="0001663B">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 xml:space="preserve">Out-crossing species are the norm for most of the other traditional turfgrasses, whether warm- or cool-season. However, there can be variations in self-incompatibility. Grasses utilizing this mode of reproduction typically rely on a foreign pollen source for fertilization. This can result in populations that contain desirable and diverse genetic combinations, however maintaining the desired combinations can be difficult because of the ease of which pollen from other sources can contaminate the material (Meyer and Watkins, 2003).         </w:t>
      </w:r>
    </w:p>
    <w:p w14:paraId="0C2F87B3" w14:textId="77777777" w:rsidR="0001663B" w:rsidRPr="0001663B" w:rsidRDefault="0001663B" w:rsidP="0001663B">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 xml:space="preserve">Considering that many of the species from the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genus have not been studied in depth, and knowing that many desired characteristics are present in a combination of these species, the potential exists for development of a </w:t>
      </w:r>
      <w:r w:rsidRPr="0001663B">
        <w:rPr>
          <w:rFonts w:ascii="Times New Roman" w:eastAsiaTheme="minorHAnsi" w:hAnsi="Times New Roman" w:cs="Times New Roman"/>
          <w:i/>
          <w:sz w:val="24"/>
        </w:rPr>
        <w:t xml:space="preserve">Poa </w:t>
      </w:r>
      <w:r w:rsidRPr="0001663B">
        <w:rPr>
          <w:rFonts w:ascii="Times New Roman" w:eastAsiaTheme="minorHAnsi" w:hAnsi="Times New Roman" w:cs="Times New Roman"/>
          <w:sz w:val="24"/>
        </w:rPr>
        <w:t xml:space="preserve">cultivar that meets the needs of turfgrass managers in the transition zone. This development could come in many forms; the development of a </w:t>
      </w:r>
      <w:r w:rsidRPr="0001663B">
        <w:rPr>
          <w:rFonts w:ascii="Times New Roman" w:eastAsiaTheme="minorHAnsi" w:hAnsi="Times New Roman" w:cs="Times New Roman"/>
          <w:sz w:val="24"/>
        </w:rPr>
        <w:lastRenderedPageBreak/>
        <w:t xml:space="preserve">previously unknown species, development of hybrids with traditional or other species, or through the use of biotechnology. The first step is to identify desirable characteristics in the available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germplasm. </w:t>
      </w:r>
    </w:p>
    <w:p w14:paraId="1675945A" w14:textId="77777777" w:rsidR="0001663B" w:rsidRDefault="0001663B" w:rsidP="0001663B">
      <w:pPr>
        <w:pStyle w:val="Heading3"/>
      </w:pPr>
      <w:bookmarkStart w:id="3" w:name="_Toc354003310"/>
      <w:r w:rsidRPr="0001663B">
        <w:t>Overseeding</w:t>
      </w:r>
      <w:bookmarkEnd w:id="3"/>
    </w:p>
    <w:p w14:paraId="37C90E9F" w14:textId="77777777" w:rsidR="0001663B" w:rsidRPr="0001663B" w:rsidRDefault="0001663B" w:rsidP="0001663B"/>
    <w:p w14:paraId="3742C001"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b/>
          <w:sz w:val="24"/>
          <w:szCs w:val="24"/>
        </w:rPr>
        <w:tab/>
      </w:r>
      <w:r w:rsidRPr="0001663B">
        <w:rPr>
          <w:rFonts w:ascii="Times New Roman" w:hAnsi="Times New Roman" w:cs="Times New Roman"/>
          <w:sz w:val="24"/>
          <w:szCs w:val="24"/>
        </w:rPr>
        <w:t>Outdoor recreational activities such as golf, football, and other sports are commonly played on natural turfgrass surfaces. The management of the turfgrass is specific to the requirements of the sport played on it. These uses can be referred to as different turfgrass systems.  Bermudagrass, both common [</w:t>
      </w:r>
      <w:r w:rsidRPr="0001663B">
        <w:rPr>
          <w:rFonts w:ascii="Times New Roman" w:hAnsi="Times New Roman" w:cs="Times New Roman"/>
          <w:i/>
          <w:iCs/>
          <w:sz w:val="24"/>
          <w:szCs w:val="24"/>
        </w:rPr>
        <w:t xml:space="preserve">Cynodon dactylon </w:t>
      </w:r>
      <w:r w:rsidRPr="0001663B">
        <w:rPr>
          <w:rFonts w:ascii="Times New Roman" w:hAnsi="Times New Roman" w:cs="Times New Roman"/>
          <w:sz w:val="24"/>
          <w:szCs w:val="24"/>
        </w:rPr>
        <w:t xml:space="preserve">(L.) Pers.] </w:t>
      </w:r>
      <w:proofErr w:type="gramStart"/>
      <w:r w:rsidRPr="0001663B">
        <w:rPr>
          <w:rFonts w:ascii="Times New Roman" w:hAnsi="Times New Roman" w:cs="Times New Roman"/>
          <w:sz w:val="24"/>
          <w:szCs w:val="24"/>
        </w:rPr>
        <w:t>and</w:t>
      </w:r>
      <w:proofErr w:type="gramEnd"/>
      <w:r w:rsidRPr="0001663B">
        <w:rPr>
          <w:rFonts w:ascii="Times New Roman" w:hAnsi="Times New Roman" w:cs="Times New Roman"/>
          <w:sz w:val="24"/>
          <w:szCs w:val="24"/>
        </w:rPr>
        <w:t xml:space="preserve"> hybrid [</w:t>
      </w:r>
      <w:r w:rsidRPr="0001663B">
        <w:rPr>
          <w:rFonts w:ascii="Times New Roman" w:hAnsi="Times New Roman" w:cs="Times New Roman"/>
          <w:i/>
          <w:iCs/>
          <w:sz w:val="24"/>
          <w:szCs w:val="24"/>
        </w:rPr>
        <w:t xml:space="preserve">C. dactylon </w:t>
      </w:r>
      <w:r w:rsidRPr="0001663B">
        <w:rPr>
          <w:rFonts w:ascii="Times New Roman" w:hAnsi="Times New Roman" w:cs="Times New Roman"/>
          <w:sz w:val="24"/>
          <w:szCs w:val="24"/>
        </w:rPr>
        <w:t xml:space="preserve"> X </w:t>
      </w:r>
      <w:r w:rsidRPr="0001663B">
        <w:rPr>
          <w:rFonts w:ascii="Times New Roman" w:hAnsi="Times New Roman" w:cs="Times New Roman"/>
          <w:i/>
          <w:iCs/>
          <w:sz w:val="24"/>
          <w:szCs w:val="24"/>
        </w:rPr>
        <w:t xml:space="preserve">C. transvaalensis </w:t>
      </w:r>
      <w:r w:rsidRPr="0001663B">
        <w:rPr>
          <w:rFonts w:ascii="Times New Roman" w:hAnsi="Times New Roman" w:cs="Times New Roman"/>
          <w:sz w:val="24"/>
          <w:szCs w:val="24"/>
        </w:rPr>
        <w:t>Burtt-Davy]</w:t>
      </w:r>
      <w:r w:rsidR="00322002">
        <w:rPr>
          <w:rFonts w:ascii="Times New Roman" w:hAnsi="Times New Roman" w:cs="Times New Roman"/>
          <w:sz w:val="24"/>
          <w:szCs w:val="24"/>
        </w:rPr>
        <w:t>.</w:t>
      </w:r>
      <w:r w:rsidRPr="0001663B">
        <w:rPr>
          <w:rFonts w:ascii="Times New Roman" w:hAnsi="Times New Roman" w:cs="Times New Roman"/>
          <w:sz w:val="24"/>
          <w:szCs w:val="24"/>
        </w:rPr>
        <w:t xml:space="preserve"> is an increasingly common choice for turfgrass systems such as golf course fairways, tees, greens, and roughs (Patton, 2012), as well as athletic fields in the transition zone (Bornino, 2010).  The use of hybrid bermudagrasses for golf course putting greens has historically been confined</w:t>
      </w:r>
      <w:r w:rsidR="00AB477F">
        <w:rPr>
          <w:rFonts w:ascii="Times New Roman" w:hAnsi="Times New Roman" w:cs="Times New Roman"/>
          <w:sz w:val="24"/>
          <w:szCs w:val="24"/>
        </w:rPr>
        <w:t xml:space="preserve"> to the southern zone of the U.S</w:t>
      </w:r>
      <w:r w:rsidRPr="0001663B">
        <w:rPr>
          <w:rFonts w:ascii="Times New Roman" w:hAnsi="Times New Roman" w:cs="Times New Roman"/>
          <w:sz w:val="24"/>
          <w:szCs w:val="24"/>
        </w:rPr>
        <w:t>. Recently, ultradwarf cultivars of hybrid bermudagrass have been released and many golf courses are choosing to convert greens from creeping bentgrass (</w:t>
      </w:r>
      <w:r w:rsidRPr="0001663B">
        <w:rPr>
          <w:rFonts w:ascii="Times New Roman" w:hAnsi="Times New Roman" w:cs="Times New Roman"/>
          <w:i/>
          <w:sz w:val="24"/>
          <w:szCs w:val="24"/>
        </w:rPr>
        <w:t xml:space="preserve">Agrostis stolonifera </w:t>
      </w:r>
      <w:r w:rsidRPr="0001663B">
        <w:rPr>
          <w:rFonts w:ascii="Times New Roman" w:hAnsi="Times New Roman" w:cs="Times New Roman"/>
          <w:sz w:val="24"/>
          <w:szCs w:val="24"/>
        </w:rPr>
        <w:t>L.)</w:t>
      </w:r>
      <w:r w:rsidRPr="0001663B">
        <w:rPr>
          <w:rFonts w:ascii="Times New Roman" w:hAnsi="Times New Roman" w:cs="Times New Roman"/>
          <w:i/>
          <w:sz w:val="24"/>
          <w:szCs w:val="24"/>
        </w:rPr>
        <w:t xml:space="preserve"> </w:t>
      </w:r>
      <w:r w:rsidRPr="0001663B">
        <w:rPr>
          <w:rFonts w:ascii="Times New Roman" w:hAnsi="Times New Roman" w:cs="Times New Roman"/>
          <w:sz w:val="24"/>
          <w:szCs w:val="24"/>
        </w:rPr>
        <w:t>to these new cultivars (Patton, 2012; White, 2011; O’Brien and Hartwiger, 2011).</w:t>
      </w:r>
    </w:p>
    <w:p w14:paraId="16CCC2D4" w14:textId="77777777" w:rsidR="0001663B" w:rsidRPr="0001663B" w:rsidRDefault="0001663B" w:rsidP="0001663B">
      <w:pPr>
        <w:autoSpaceDE w:val="0"/>
        <w:autoSpaceDN w:val="0"/>
        <w:adjustRightInd w:val="0"/>
        <w:spacing w:after="0" w:line="480" w:lineRule="auto"/>
        <w:rPr>
          <w:rFonts w:ascii="Times New Roman" w:hAnsi="Times New Roman" w:cs="Times New Roman"/>
          <w:i/>
          <w:sz w:val="24"/>
          <w:szCs w:val="24"/>
        </w:rPr>
      </w:pPr>
      <w:r w:rsidRPr="0001663B">
        <w:rPr>
          <w:rFonts w:ascii="Times New Roman" w:hAnsi="Times New Roman" w:cs="Times New Roman"/>
          <w:i/>
          <w:sz w:val="24"/>
          <w:szCs w:val="24"/>
        </w:rPr>
        <w:t>Transition Zone</w:t>
      </w:r>
    </w:p>
    <w:p w14:paraId="485AF809" w14:textId="77777777" w:rsidR="0001663B" w:rsidRPr="0001663B" w:rsidRDefault="0001663B" w:rsidP="0001663B">
      <w:pPr>
        <w:autoSpaceDE w:val="0"/>
        <w:autoSpaceDN w:val="0"/>
        <w:adjustRightInd w:val="0"/>
        <w:spacing w:after="0" w:line="480" w:lineRule="auto"/>
        <w:ind w:firstLine="720"/>
        <w:rPr>
          <w:rFonts w:ascii="Times New Roman" w:hAnsi="Times New Roman" w:cs="Times New Roman"/>
          <w:sz w:val="24"/>
          <w:szCs w:val="24"/>
          <w:u w:val="single"/>
        </w:rPr>
      </w:pPr>
      <w:r w:rsidRPr="0001663B">
        <w:rPr>
          <w:rFonts w:ascii="Times New Roman" w:hAnsi="Times New Roman" w:cs="Times New Roman"/>
          <w:sz w:val="24"/>
          <w:szCs w:val="24"/>
        </w:rPr>
        <w:t xml:space="preserve">The transition zone is the area of the USA between the cool humid temperate region to the north, where cool-season turfgrass species are adapted, and the southern, warm sub-tropical zone where warm-season grasses are adapted (Dunn and Diesburg, 2004). In this region, cool-season grasses often encounter significant stress from heat and warm-season grasses commonly suffer low temperature injury (Fry and Huang, 2004). </w:t>
      </w:r>
    </w:p>
    <w:p w14:paraId="64EA53E0" w14:textId="77777777" w:rsidR="0001663B" w:rsidRPr="0001663B" w:rsidRDefault="0001663B" w:rsidP="0001663B">
      <w:pPr>
        <w:autoSpaceDE w:val="0"/>
        <w:autoSpaceDN w:val="0"/>
        <w:adjustRightInd w:val="0"/>
        <w:spacing w:after="0" w:line="480" w:lineRule="auto"/>
        <w:rPr>
          <w:rFonts w:ascii="Times New Roman" w:hAnsi="Times New Roman" w:cs="Times New Roman"/>
          <w:i/>
          <w:sz w:val="24"/>
          <w:szCs w:val="24"/>
        </w:rPr>
      </w:pPr>
      <w:r w:rsidRPr="0001663B">
        <w:rPr>
          <w:rFonts w:ascii="Times New Roman" w:hAnsi="Times New Roman" w:cs="Times New Roman"/>
          <w:i/>
          <w:sz w:val="24"/>
          <w:szCs w:val="24"/>
        </w:rPr>
        <w:t>Bermudagrass</w:t>
      </w:r>
    </w:p>
    <w:p w14:paraId="0CA093B7"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lastRenderedPageBreak/>
        <w:tab/>
        <w:t xml:space="preserve">Bermudagrass is a stoloniferous and rhizomatous sod-forming grass that originated in Africa (Beard, 1973). Several species exist but </w:t>
      </w:r>
      <w:r w:rsidRPr="0001663B">
        <w:rPr>
          <w:rFonts w:ascii="Times New Roman" w:hAnsi="Times New Roman" w:cs="Times New Roman"/>
          <w:i/>
          <w:sz w:val="24"/>
          <w:szCs w:val="24"/>
        </w:rPr>
        <w:t>C. dactylon</w:t>
      </w:r>
      <w:r w:rsidRPr="0001663B">
        <w:rPr>
          <w:rFonts w:ascii="Times New Roman" w:hAnsi="Times New Roman" w:cs="Times New Roman"/>
          <w:sz w:val="24"/>
          <w:szCs w:val="24"/>
        </w:rPr>
        <w:t xml:space="preserve"> and the hybrids between </w:t>
      </w:r>
      <w:r w:rsidRPr="0001663B">
        <w:rPr>
          <w:rFonts w:ascii="Times New Roman" w:hAnsi="Times New Roman" w:cs="Times New Roman"/>
          <w:i/>
          <w:sz w:val="24"/>
          <w:szCs w:val="24"/>
        </w:rPr>
        <w:t xml:space="preserve">C. dactylon </w:t>
      </w:r>
      <w:r w:rsidRPr="0001663B">
        <w:rPr>
          <w:rFonts w:ascii="Times New Roman" w:hAnsi="Times New Roman" w:cs="Times New Roman"/>
          <w:sz w:val="24"/>
          <w:szCs w:val="24"/>
        </w:rPr>
        <w:t>and</w:t>
      </w:r>
      <w:r w:rsidRPr="0001663B">
        <w:rPr>
          <w:rFonts w:ascii="Times New Roman" w:hAnsi="Times New Roman" w:cs="Times New Roman"/>
          <w:i/>
          <w:sz w:val="24"/>
          <w:szCs w:val="24"/>
        </w:rPr>
        <w:t xml:space="preserve"> C. transvaalensis</w:t>
      </w:r>
      <w:r w:rsidRPr="0001663B">
        <w:rPr>
          <w:rFonts w:ascii="Times New Roman" w:hAnsi="Times New Roman" w:cs="Times New Roman"/>
          <w:sz w:val="24"/>
          <w:szCs w:val="24"/>
        </w:rPr>
        <w:t xml:space="preserve"> are the most common species used for turf (Turgeon, 2002). Bermudagrass, when grown in a climate of adaptation, is well-suited to turfgrass systems such as golf courses and sports fields, where damage and wear occur and a low mowing height is dictated (Christians, 2004).</w:t>
      </w:r>
    </w:p>
    <w:p w14:paraId="074F9712" w14:textId="77777777" w:rsidR="0001663B" w:rsidRPr="0001663B" w:rsidRDefault="0001663B" w:rsidP="0001663B">
      <w:pPr>
        <w:autoSpaceDE w:val="0"/>
        <w:autoSpaceDN w:val="0"/>
        <w:adjustRightInd w:val="0"/>
        <w:spacing w:after="0" w:line="480" w:lineRule="auto"/>
        <w:ind w:firstLine="720"/>
        <w:rPr>
          <w:rFonts w:ascii="Times New Roman" w:hAnsi="Times New Roman" w:cs="Times New Roman"/>
          <w:sz w:val="24"/>
          <w:szCs w:val="24"/>
        </w:rPr>
      </w:pPr>
      <w:r w:rsidRPr="0001663B">
        <w:rPr>
          <w:rFonts w:ascii="Times New Roman" w:hAnsi="Times New Roman" w:cs="Times New Roman"/>
          <w:sz w:val="24"/>
          <w:szCs w:val="24"/>
        </w:rPr>
        <w:t xml:space="preserve">Warm-season species such as bermudagrass utilize the C4 photosynthetic pathway which </w:t>
      </w:r>
      <w:r w:rsidR="00AB477F" w:rsidRPr="0001663B">
        <w:rPr>
          <w:rFonts w:ascii="Times New Roman" w:hAnsi="Times New Roman" w:cs="Times New Roman"/>
          <w:sz w:val="24"/>
          <w:szCs w:val="24"/>
        </w:rPr>
        <w:t>is most</w:t>
      </w:r>
      <w:r w:rsidRPr="0001663B">
        <w:rPr>
          <w:rFonts w:ascii="Times New Roman" w:hAnsi="Times New Roman" w:cs="Times New Roman"/>
          <w:sz w:val="24"/>
          <w:szCs w:val="24"/>
        </w:rPr>
        <w:t xml:space="preserve"> optimal when temperatures range from 30 to 35</w:t>
      </w:r>
      <w:r w:rsidRPr="0001663B">
        <w:rPr>
          <w:rFonts w:ascii="Cambria Math" w:hAnsi="Cambria Math" w:cs="Cambria Math"/>
          <w:sz w:val="24"/>
          <w:szCs w:val="24"/>
        </w:rPr>
        <w:t>⁰</w:t>
      </w:r>
      <w:r w:rsidRPr="0001663B">
        <w:rPr>
          <w:rFonts w:ascii="Times New Roman" w:hAnsi="Times New Roman" w:cs="Times New Roman"/>
          <w:sz w:val="24"/>
          <w:szCs w:val="24"/>
        </w:rPr>
        <w:t>C; whereas cool-season grasses (C3) photosynthesize best at air temperatures from 20 to 25</w:t>
      </w:r>
      <w:r w:rsidRPr="0001663B">
        <w:rPr>
          <w:rFonts w:ascii="Cambria Math" w:hAnsi="Cambria Math" w:cs="Cambria Math"/>
          <w:sz w:val="24"/>
          <w:szCs w:val="24"/>
        </w:rPr>
        <w:t>⁰</w:t>
      </w:r>
      <w:r w:rsidRPr="0001663B">
        <w:rPr>
          <w:rFonts w:ascii="Times New Roman" w:hAnsi="Times New Roman" w:cs="Times New Roman"/>
          <w:sz w:val="24"/>
          <w:szCs w:val="24"/>
        </w:rPr>
        <w:t>C. These temperatures are comparable to the preferred temperatures for shoot growth, which range from 27 to 35</w:t>
      </w:r>
      <w:r w:rsidRPr="0001663B">
        <w:rPr>
          <w:rFonts w:ascii="Cambria Math" w:hAnsi="Cambria Math" w:cs="Cambria Math"/>
          <w:sz w:val="24"/>
          <w:szCs w:val="24"/>
        </w:rPr>
        <w:t>⁰</w:t>
      </w:r>
      <w:r w:rsidRPr="0001663B">
        <w:rPr>
          <w:rFonts w:ascii="Times New Roman" w:hAnsi="Times New Roman" w:cs="Times New Roman"/>
          <w:sz w:val="24"/>
          <w:szCs w:val="24"/>
        </w:rPr>
        <w:t>C for warm-season grasses and 16 to 24</w:t>
      </w:r>
      <w:r w:rsidRPr="0001663B">
        <w:rPr>
          <w:rFonts w:ascii="Cambria Math" w:hAnsi="Cambria Math" w:cs="Cambria Math"/>
          <w:sz w:val="24"/>
          <w:szCs w:val="24"/>
        </w:rPr>
        <w:t>⁰</w:t>
      </w:r>
      <w:r w:rsidRPr="0001663B">
        <w:rPr>
          <w:rFonts w:ascii="Times New Roman" w:hAnsi="Times New Roman" w:cs="Times New Roman"/>
          <w:sz w:val="24"/>
          <w:szCs w:val="24"/>
        </w:rPr>
        <w:t>C for cool-season (Fry and Huang, 2004). Preferential soil temperatures at which root growth is most prolific generally are a few degrees cooler than the optimum temperatures for photosynthesis and shoot growth in both warm- and cool-season species (Fry and Huang, 2004). In the transition zone, optimal temperatures occur for warm-season species, especially through summer months. However, the duration of those optimal temperatures is shorter compared to</w:t>
      </w:r>
      <w:r w:rsidR="00AB477F">
        <w:rPr>
          <w:rFonts w:ascii="Times New Roman" w:hAnsi="Times New Roman" w:cs="Times New Roman"/>
          <w:sz w:val="24"/>
          <w:szCs w:val="24"/>
        </w:rPr>
        <w:t xml:space="preserve"> the southern regions of the </w:t>
      </w:r>
      <w:proofErr w:type="gramStart"/>
      <w:r w:rsidR="00AB477F">
        <w:rPr>
          <w:rFonts w:ascii="Times New Roman" w:hAnsi="Times New Roman" w:cs="Times New Roman"/>
          <w:sz w:val="24"/>
          <w:szCs w:val="24"/>
        </w:rPr>
        <w:t>U.S</w:t>
      </w:r>
      <w:r w:rsidRPr="0001663B">
        <w:rPr>
          <w:rFonts w:ascii="Times New Roman" w:hAnsi="Times New Roman" w:cs="Times New Roman"/>
          <w:sz w:val="24"/>
          <w:szCs w:val="24"/>
        </w:rPr>
        <w:t>.</w:t>
      </w:r>
      <w:proofErr w:type="gramEnd"/>
    </w:p>
    <w:p w14:paraId="13633AE0" w14:textId="77777777" w:rsidR="0001663B" w:rsidRPr="0001663B" w:rsidRDefault="0001663B" w:rsidP="0001663B">
      <w:pPr>
        <w:autoSpaceDE w:val="0"/>
        <w:autoSpaceDN w:val="0"/>
        <w:adjustRightInd w:val="0"/>
        <w:spacing w:after="0" w:line="480" w:lineRule="auto"/>
        <w:ind w:firstLine="720"/>
        <w:rPr>
          <w:rFonts w:ascii="Times New Roman" w:hAnsi="Times New Roman" w:cs="Times New Roman"/>
          <w:sz w:val="24"/>
          <w:szCs w:val="24"/>
        </w:rPr>
      </w:pPr>
      <w:r w:rsidRPr="0001663B">
        <w:rPr>
          <w:rFonts w:ascii="Times New Roman" w:hAnsi="Times New Roman" w:cs="Times New Roman"/>
          <w:sz w:val="24"/>
          <w:szCs w:val="24"/>
        </w:rPr>
        <w:t>An additional factor that limits warm-season grasses is cold hardiness or freeze stress tolerance. Turfgrasses differ in the lethal temperature at which damage can occur. Some cultivars of St. Augustinegrass [</w:t>
      </w:r>
      <w:r w:rsidRPr="0001663B">
        <w:rPr>
          <w:rFonts w:ascii="Times New Roman" w:hAnsi="Times New Roman" w:cs="Times New Roman"/>
          <w:i/>
          <w:sz w:val="24"/>
          <w:szCs w:val="24"/>
        </w:rPr>
        <w:t xml:space="preserve">Stenotaphrum secundatum </w:t>
      </w:r>
      <w:r w:rsidRPr="0001663B">
        <w:rPr>
          <w:rFonts w:ascii="Times New Roman" w:hAnsi="Times New Roman" w:cs="Times New Roman"/>
          <w:sz w:val="24"/>
          <w:szCs w:val="24"/>
        </w:rPr>
        <w:t xml:space="preserve">(Walt.) Kuntze], for example, </w:t>
      </w:r>
      <w:proofErr w:type="gramStart"/>
      <w:r w:rsidRPr="0001663B">
        <w:rPr>
          <w:rFonts w:ascii="Times New Roman" w:hAnsi="Times New Roman" w:cs="Times New Roman"/>
          <w:sz w:val="24"/>
          <w:szCs w:val="24"/>
        </w:rPr>
        <w:t>have</w:t>
      </w:r>
      <w:proofErr w:type="gramEnd"/>
      <w:r w:rsidRPr="0001663B">
        <w:rPr>
          <w:rFonts w:ascii="Times New Roman" w:hAnsi="Times New Roman" w:cs="Times New Roman"/>
          <w:sz w:val="24"/>
          <w:szCs w:val="24"/>
        </w:rPr>
        <w:t xml:space="preserve"> no ability to acclimate to freezing temperatures, while buffalograss can be found growing as far north as Canada (Fry and Huang, 2004). Extensive research has been conducted to test species and cultivars for their winter hardiness and acclimation to cold temperatures. One study found that there were significant differences among bermudagrass cultivars with respect to regrowth after </w:t>
      </w:r>
      <w:r w:rsidRPr="0001663B">
        <w:rPr>
          <w:rFonts w:ascii="Times New Roman" w:hAnsi="Times New Roman" w:cs="Times New Roman"/>
          <w:sz w:val="24"/>
          <w:szCs w:val="24"/>
        </w:rPr>
        <w:lastRenderedPageBreak/>
        <w:t>exposure to progressively lower temperatures. These results were correlated with levels of linoleic acid and proline and regrowth after freezing (Munshaw et al., 2006).  Results such as these show that turfgrass breeders are making notable improvements in bermudagrass cold hardiness. These improvements have resulted in the use of bermudagrass farther north and have made bermudagrass a more attractive option in the transition zone.</w:t>
      </w:r>
    </w:p>
    <w:p w14:paraId="60D652BA"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tab/>
        <w:t>The slowed growth that occurs during cooler periods of spring and fall and the winter dormancy period limit the use and performance of bermudagrass. During cooler periods, warm-season species experience a slowed growth rate due to reduced photosynthetic efficiency. In even colder temperatures, growth stops completely, all chlorophyll is lost from the leaf, and the grass is considered dormant. As growth slows and eventually stops, the wear tolerance and recovery of the grass from wear is diminished. One study, performed in Mississippi, showed that when traffic was applied to dormant bermudagrass the effects could be easily observed early in the study. The most notable differences occurred in spring when there were significant differences in spring green-up (Stewart et al., 2008). This decrease in wear tolerance could potentially be more pronounced in the transition zone, where temperatures are sub-optimal for a longer period of time.</w:t>
      </w:r>
    </w:p>
    <w:p w14:paraId="1930A1FC" w14:textId="77777777" w:rsidR="0001663B" w:rsidRPr="0001663B" w:rsidRDefault="0001663B" w:rsidP="0001663B">
      <w:pPr>
        <w:autoSpaceDE w:val="0"/>
        <w:autoSpaceDN w:val="0"/>
        <w:adjustRightInd w:val="0"/>
        <w:spacing w:after="0" w:line="480" w:lineRule="auto"/>
        <w:rPr>
          <w:rFonts w:ascii="Times New Roman" w:hAnsi="Times New Roman" w:cs="Times New Roman"/>
          <w:i/>
          <w:sz w:val="24"/>
          <w:szCs w:val="24"/>
        </w:rPr>
      </w:pPr>
      <w:r w:rsidRPr="0001663B">
        <w:rPr>
          <w:rFonts w:ascii="Times New Roman" w:hAnsi="Times New Roman" w:cs="Times New Roman"/>
          <w:i/>
          <w:sz w:val="24"/>
          <w:szCs w:val="24"/>
        </w:rPr>
        <w:t>Winter overseeding – positive benefits</w:t>
      </w:r>
    </w:p>
    <w:p w14:paraId="79C2F00C"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tab/>
        <w:t xml:space="preserve">One way to overcome the negative effects associated with cooler temperatures and the resulting dormancy is to overseed bermudagrass with a cool-season species. Winter overseeding is a common practice that involves seeding a cool-season species into bermudagrass and managing the resulting turf through the winter with the objective of decreasing wear (Beard and Beard, 2005) and providing an acceptable color (Ward et al., 1974).  A recent study at the University of Tennessee found that when sports fields were overseeded with perennial ryegrass, </w:t>
      </w:r>
      <w:r w:rsidRPr="0001663B">
        <w:rPr>
          <w:rFonts w:ascii="Times New Roman" w:hAnsi="Times New Roman" w:cs="Times New Roman"/>
          <w:sz w:val="24"/>
          <w:szCs w:val="24"/>
        </w:rPr>
        <w:lastRenderedPageBreak/>
        <w:t xml:space="preserve">the number of traffic events the field could accommodate was doubled. The fields maintained more than 90% green cover, when compared to that of non-overseeded bermudagrass (Thoms et al., 2011). </w:t>
      </w:r>
    </w:p>
    <w:p w14:paraId="468002B5" w14:textId="21C92890" w:rsidR="0001663B" w:rsidRPr="0001663B" w:rsidRDefault="0001663B" w:rsidP="0001663B">
      <w:pPr>
        <w:autoSpaceDE w:val="0"/>
        <w:autoSpaceDN w:val="0"/>
        <w:adjustRightInd w:val="0"/>
        <w:spacing w:after="0" w:line="480" w:lineRule="auto"/>
        <w:ind w:firstLine="720"/>
        <w:rPr>
          <w:rFonts w:ascii="Times New Roman" w:hAnsi="Times New Roman" w:cs="Times New Roman"/>
          <w:sz w:val="24"/>
          <w:szCs w:val="24"/>
        </w:rPr>
      </w:pPr>
      <w:r w:rsidRPr="0001663B">
        <w:rPr>
          <w:rFonts w:ascii="Times New Roman" w:hAnsi="Times New Roman" w:cs="Times New Roman"/>
          <w:sz w:val="24"/>
          <w:szCs w:val="24"/>
        </w:rPr>
        <w:t>Because bermudagrass growth slows during cool temperatures, winter annual weed pressure often increases. Overseeding cool-season species can limit competition from these weeds (Mazur and Wagner, 1987). One study, on overseeded bermudagrass putting greens, found that increasing annual bluegrass infestations were related to species/cultivars that exhibited slow establishment and low density (Batten et al., 1981). A more recent study investigated the effects of different rates of perennial ryegrass (</w:t>
      </w:r>
      <w:r w:rsidRPr="0001663B">
        <w:rPr>
          <w:rFonts w:ascii="Times New Roman" w:hAnsi="Times New Roman" w:cs="Times New Roman"/>
          <w:i/>
          <w:sz w:val="24"/>
          <w:szCs w:val="24"/>
        </w:rPr>
        <w:t>Lolium perenne</w:t>
      </w:r>
      <w:r w:rsidRPr="0001663B">
        <w:rPr>
          <w:rFonts w:ascii="Times New Roman" w:hAnsi="Times New Roman" w:cs="Times New Roman"/>
          <w:sz w:val="24"/>
          <w:szCs w:val="24"/>
        </w:rPr>
        <w:t xml:space="preserve"> L.) on annual bluegrass </w:t>
      </w:r>
      <w:r w:rsidR="00E67C9F" w:rsidRPr="0001663B">
        <w:rPr>
          <w:rFonts w:ascii="Times New Roman" w:hAnsi="Times New Roman" w:cs="Times New Roman"/>
          <w:sz w:val="24"/>
          <w:szCs w:val="24"/>
        </w:rPr>
        <w:t>encroachment in</w:t>
      </w:r>
      <w:r w:rsidRPr="0001663B">
        <w:rPr>
          <w:rFonts w:ascii="Times New Roman" w:hAnsi="Times New Roman" w:cs="Times New Roman"/>
          <w:sz w:val="24"/>
          <w:szCs w:val="24"/>
        </w:rPr>
        <w:t xml:space="preserve"> a bermudagrass fairway</w:t>
      </w:r>
      <w:proofErr w:type="gramStart"/>
      <w:r w:rsidRPr="0001663B">
        <w:rPr>
          <w:rFonts w:ascii="Times New Roman" w:hAnsi="Times New Roman" w:cs="Times New Roman"/>
          <w:sz w:val="24"/>
          <w:szCs w:val="24"/>
        </w:rPr>
        <w:t>..</w:t>
      </w:r>
      <w:proofErr w:type="gramEnd"/>
      <w:r w:rsidRPr="0001663B">
        <w:rPr>
          <w:rFonts w:ascii="Times New Roman" w:hAnsi="Times New Roman" w:cs="Times New Roman"/>
          <w:sz w:val="24"/>
          <w:szCs w:val="24"/>
        </w:rPr>
        <w:t xml:space="preserve"> The authors found annual bluegrass populations at 50 plants m</w:t>
      </w:r>
      <w:r w:rsidRPr="0001663B">
        <w:rPr>
          <w:rFonts w:ascii="Times New Roman" w:hAnsi="Times New Roman" w:cs="Times New Roman"/>
          <w:sz w:val="24"/>
          <w:szCs w:val="24"/>
          <w:vertAlign w:val="superscript"/>
        </w:rPr>
        <w:t xml:space="preserve">-2 </w:t>
      </w:r>
      <w:r w:rsidRPr="0001663B">
        <w:rPr>
          <w:rFonts w:ascii="Times New Roman" w:hAnsi="Times New Roman" w:cs="Times New Roman"/>
          <w:sz w:val="24"/>
          <w:szCs w:val="24"/>
        </w:rPr>
        <w:t>when overseeding had not been performed, 10 plants m</w:t>
      </w:r>
      <w:r w:rsidRPr="0001663B">
        <w:rPr>
          <w:rFonts w:ascii="Times New Roman" w:hAnsi="Times New Roman" w:cs="Times New Roman"/>
          <w:sz w:val="24"/>
          <w:szCs w:val="24"/>
          <w:vertAlign w:val="superscript"/>
        </w:rPr>
        <w:t xml:space="preserve">-2 </w:t>
      </w:r>
      <w:r w:rsidRPr="0001663B">
        <w:rPr>
          <w:rFonts w:ascii="Times New Roman" w:hAnsi="Times New Roman" w:cs="Times New Roman"/>
          <w:sz w:val="24"/>
          <w:szCs w:val="24"/>
        </w:rPr>
        <w:t>at a seeding rate of 224 kg ha</w:t>
      </w:r>
      <w:r w:rsidRPr="0001663B">
        <w:rPr>
          <w:rFonts w:ascii="Times New Roman" w:hAnsi="Times New Roman" w:cs="Times New Roman"/>
          <w:sz w:val="24"/>
          <w:szCs w:val="24"/>
          <w:vertAlign w:val="superscript"/>
        </w:rPr>
        <w:t>-1</w:t>
      </w:r>
      <w:r w:rsidRPr="0001663B">
        <w:rPr>
          <w:rFonts w:ascii="Times New Roman" w:hAnsi="Times New Roman" w:cs="Times New Roman"/>
          <w:sz w:val="24"/>
          <w:szCs w:val="24"/>
        </w:rPr>
        <w:t>, and at a rate of 672 kg ha</w:t>
      </w:r>
      <w:r w:rsidRPr="0001663B">
        <w:rPr>
          <w:rFonts w:ascii="Times New Roman" w:hAnsi="Times New Roman" w:cs="Times New Roman"/>
          <w:sz w:val="24"/>
          <w:szCs w:val="24"/>
          <w:vertAlign w:val="superscript"/>
        </w:rPr>
        <w:t>-1</w:t>
      </w:r>
      <w:r w:rsidRPr="0001663B">
        <w:rPr>
          <w:rFonts w:ascii="Times New Roman" w:hAnsi="Times New Roman" w:cs="Times New Roman"/>
          <w:sz w:val="24"/>
          <w:szCs w:val="24"/>
        </w:rPr>
        <w:t>, the annual bluegrass density was reduced to one plant m</w:t>
      </w:r>
      <w:r w:rsidRPr="0001663B">
        <w:rPr>
          <w:rFonts w:ascii="Times New Roman" w:hAnsi="Times New Roman" w:cs="Times New Roman"/>
          <w:sz w:val="24"/>
          <w:szCs w:val="24"/>
          <w:vertAlign w:val="superscript"/>
        </w:rPr>
        <w:t>-2</w:t>
      </w:r>
      <w:r w:rsidRPr="0001663B">
        <w:rPr>
          <w:rFonts w:ascii="Times New Roman" w:hAnsi="Times New Roman" w:cs="Times New Roman"/>
          <w:sz w:val="24"/>
          <w:szCs w:val="24"/>
        </w:rPr>
        <w:t>. It was also observed that annual bluegrass plants were much larger in the non-overseeded plots (Goddard et al., 2009).</w:t>
      </w:r>
    </w:p>
    <w:p w14:paraId="37F4A775" w14:textId="77777777" w:rsidR="0001663B" w:rsidRPr="0001663B" w:rsidRDefault="0001663B" w:rsidP="0001663B">
      <w:pPr>
        <w:autoSpaceDE w:val="0"/>
        <w:autoSpaceDN w:val="0"/>
        <w:adjustRightInd w:val="0"/>
        <w:spacing w:after="0" w:line="480" w:lineRule="auto"/>
        <w:rPr>
          <w:rFonts w:ascii="Times New Roman" w:hAnsi="Times New Roman" w:cs="Times New Roman"/>
          <w:i/>
          <w:sz w:val="24"/>
          <w:szCs w:val="24"/>
        </w:rPr>
      </w:pPr>
      <w:r w:rsidRPr="0001663B">
        <w:rPr>
          <w:rFonts w:ascii="Times New Roman" w:hAnsi="Times New Roman" w:cs="Times New Roman"/>
          <w:i/>
          <w:sz w:val="24"/>
          <w:szCs w:val="24"/>
        </w:rPr>
        <w:t>Overseeding species</w:t>
      </w:r>
    </w:p>
    <w:p w14:paraId="3FC8F4D7"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tab/>
        <w:t>Research regarding winter overseeding of bermudagrass putting greens is plentiful and dates back to the late 1950’s. Early research objectives were to determine the best cool-season species, the best time to overseed, and the best pre-plant sod preparation methods (Br</w:t>
      </w:r>
      <w:r w:rsidR="000E1B66">
        <w:rPr>
          <w:rFonts w:ascii="Times New Roman" w:hAnsi="Times New Roman" w:cs="Times New Roman"/>
          <w:sz w:val="24"/>
          <w:szCs w:val="24"/>
        </w:rPr>
        <w:t>own and Horn, 1961;</w:t>
      </w:r>
      <w:r w:rsidRPr="0001663B">
        <w:rPr>
          <w:rFonts w:ascii="Times New Roman" w:hAnsi="Times New Roman" w:cs="Times New Roman"/>
          <w:sz w:val="24"/>
          <w:szCs w:val="24"/>
        </w:rPr>
        <w:t xml:space="preserve"> S</w:t>
      </w:r>
      <w:r w:rsidR="00322002">
        <w:rPr>
          <w:rFonts w:ascii="Times New Roman" w:hAnsi="Times New Roman" w:cs="Times New Roman"/>
          <w:sz w:val="24"/>
          <w:szCs w:val="24"/>
        </w:rPr>
        <w:t xml:space="preserve">chmidt and Blaser, 1961, 1962; </w:t>
      </w:r>
      <w:r w:rsidRPr="0001663B">
        <w:rPr>
          <w:rFonts w:ascii="Times New Roman" w:hAnsi="Times New Roman" w:cs="Times New Roman"/>
          <w:sz w:val="24"/>
          <w:szCs w:val="24"/>
        </w:rPr>
        <w:t xml:space="preserve">Gill et al., 1967). </w:t>
      </w:r>
      <w:r w:rsidRPr="0001663B">
        <w:rPr>
          <w:rFonts w:ascii="Times New Roman" w:hAnsi="Times New Roman" w:cs="Times New Roman"/>
          <w:color w:val="FF0000"/>
          <w:sz w:val="24"/>
          <w:szCs w:val="24"/>
        </w:rPr>
        <w:t xml:space="preserve"> </w:t>
      </w:r>
      <w:r w:rsidRPr="0001663B">
        <w:rPr>
          <w:rFonts w:ascii="Times New Roman" w:hAnsi="Times New Roman" w:cs="Times New Roman"/>
          <w:sz w:val="24"/>
          <w:szCs w:val="24"/>
        </w:rPr>
        <w:t xml:space="preserve">Beard (1973) summarized the results of these early studies by recommending mixtures of several species because not one species was best at all times. The species mentioned included species from </w:t>
      </w:r>
      <w:r w:rsidRPr="0001663B">
        <w:rPr>
          <w:rFonts w:ascii="Times New Roman" w:hAnsi="Times New Roman" w:cs="Times New Roman"/>
          <w:i/>
          <w:sz w:val="24"/>
          <w:szCs w:val="24"/>
        </w:rPr>
        <w:t>Agrostis</w:t>
      </w:r>
      <w:r w:rsidRPr="0001663B">
        <w:rPr>
          <w:rFonts w:ascii="Times New Roman" w:hAnsi="Times New Roman" w:cs="Times New Roman"/>
          <w:sz w:val="24"/>
          <w:szCs w:val="24"/>
        </w:rPr>
        <w:t xml:space="preserve">, </w:t>
      </w:r>
      <w:r w:rsidRPr="0001663B">
        <w:rPr>
          <w:rFonts w:ascii="Times New Roman" w:hAnsi="Times New Roman" w:cs="Times New Roman"/>
          <w:i/>
          <w:sz w:val="24"/>
          <w:szCs w:val="24"/>
        </w:rPr>
        <w:t>Festuca</w:t>
      </w:r>
      <w:r w:rsidRPr="0001663B">
        <w:rPr>
          <w:rFonts w:ascii="Times New Roman" w:hAnsi="Times New Roman" w:cs="Times New Roman"/>
          <w:sz w:val="24"/>
          <w:szCs w:val="24"/>
        </w:rPr>
        <w:t xml:space="preserve">, </w:t>
      </w:r>
      <w:r w:rsidRPr="0001663B">
        <w:rPr>
          <w:rFonts w:ascii="Times New Roman" w:hAnsi="Times New Roman" w:cs="Times New Roman"/>
          <w:i/>
          <w:sz w:val="24"/>
          <w:szCs w:val="24"/>
        </w:rPr>
        <w:t>Lolium</w:t>
      </w:r>
      <w:r w:rsidRPr="0001663B">
        <w:rPr>
          <w:rFonts w:ascii="Times New Roman" w:hAnsi="Times New Roman" w:cs="Times New Roman"/>
          <w:sz w:val="24"/>
          <w:szCs w:val="24"/>
        </w:rPr>
        <w:t xml:space="preserve">, and </w:t>
      </w:r>
      <w:r w:rsidRPr="0001663B">
        <w:rPr>
          <w:rFonts w:ascii="Times New Roman" w:hAnsi="Times New Roman" w:cs="Times New Roman"/>
          <w:i/>
          <w:sz w:val="24"/>
          <w:szCs w:val="24"/>
        </w:rPr>
        <w:t>Poa</w:t>
      </w:r>
      <w:r w:rsidRPr="0001663B">
        <w:rPr>
          <w:rFonts w:ascii="Times New Roman" w:hAnsi="Times New Roman" w:cs="Times New Roman"/>
          <w:sz w:val="24"/>
          <w:szCs w:val="24"/>
        </w:rPr>
        <w:t>. Annual ryegrass (</w:t>
      </w:r>
      <w:r w:rsidRPr="0001663B">
        <w:rPr>
          <w:rFonts w:ascii="Times New Roman" w:hAnsi="Times New Roman" w:cs="Times New Roman"/>
          <w:i/>
          <w:sz w:val="24"/>
          <w:szCs w:val="24"/>
        </w:rPr>
        <w:t>L.</w:t>
      </w:r>
      <w:r w:rsidRPr="0001663B">
        <w:rPr>
          <w:rFonts w:ascii="Times New Roman" w:hAnsi="Times New Roman" w:cs="Times New Roman"/>
          <w:sz w:val="24"/>
          <w:szCs w:val="24"/>
        </w:rPr>
        <w:t xml:space="preserve"> </w:t>
      </w:r>
      <w:r w:rsidRPr="0001663B">
        <w:rPr>
          <w:rFonts w:ascii="Times New Roman" w:hAnsi="Times New Roman" w:cs="Times New Roman"/>
          <w:i/>
          <w:sz w:val="24"/>
          <w:szCs w:val="24"/>
        </w:rPr>
        <w:t>multiflorum</w:t>
      </w:r>
      <w:r w:rsidRPr="0001663B">
        <w:rPr>
          <w:rFonts w:ascii="Times New Roman" w:hAnsi="Times New Roman" w:cs="Times New Roman"/>
          <w:sz w:val="24"/>
          <w:szCs w:val="24"/>
        </w:rPr>
        <w:t xml:space="preserve"> L.) was the standard overseeding species at the time.  </w:t>
      </w:r>
    </w:p>
    <w:p w14:paraId="1B65C4EF" w14:textId="77777777" w:rsidR="0001663B" w:rsidRPr="0001663B" w:rsidRDefault="0001663B" w:rsidP="0001663B">
      <w:pPr>
        <w:autoSpaceDE w:val="0"/>
        <w:autoSpaceDN w:val="0"/>
        <w:adjustRightInd w:val="0"/>
        <w:spacing w:after="0" w:line="480" w:lineRule="auto"/>
        <w:ind w:firstLine="720"/>
        <w:rPr>
          <w:rFonts w:ascii="Times New Roman" w:hAnsi="Times New Roman" w:cs="Times New Roman"/>
          <w:sz w:val="24"/>
          <w:szCs w:val="24"/>
        </w:rPr>
      </w:pPr>
      <w:r w:rsidRPr="0001663B">
        <w:rPr>
          <w:rFonts w:ascii="Times New Roman" w:hAnsi="Times New Roman" w:cs="Times New Roman"/>
          <w:sz w:val="24"/>
          <w:szCs w:val="24"/>
        </w:rPr>
        <w:lastRenderedPageBreak/>
        <w:t>In 1974, at Mississippi State University, several cool-season species were investigated for their use as winter overseeding species. Species evaluated included annual ryegrass, perennial ryegrass, creeping red (</w:t>
      </w:r>
      <w:r w:rsidRPr="0001663B">
        <w:rPr>
          <w:rFonts w:ascii="Times New Roman" w:hAnsi="Times New Roman" w:cs="Times New Roman"/>
          <w:i/>
          <w:sz w:val="24"/>
          <w:szCs w:val="24"/>
        </w:rPr>
        <w:t xml:space="preserve">F. rubra </w:t>
      </w:r>
      <w:r w:rsidRPr="0001663B">
        <w:rPr>
          <w:rFonts w:ascii="Times New Roman" w:hAnsi="Times New Roman" w:cs="Times New Roman"/>
          <w:sz w:val="24"/>
          <w:szCs w:val="24"/>
        </w:rPr>
        <w:t xml:space="preserve">var. </w:t>
      </w:r>
      <w:r w:rsidRPr="0001663B">
        <w:rPr>
          <w:rFonts w:ascii="Times New Roman" w:hAnsi="Times New Roman" w:cs="Times New Roman"/>
          <w:i/>
          <w:sz w:val="24"/>
          <w:szCs w:val="24"/>
        </w:rPr>
        <w:t>rubra</w:t>
      </w:r>
      <w:r w:rsidRPr="0001663B">
        <w:rPr>
          <w:rFonts w:ascii="Times New Roman" w:hAnsi="Times New Roman" w:cs="Times New Roman"/>
          <w:sz w:val="24"/>
          <w:szCs w:val="24"/>
        </w:rPr>
        <w:t xml:space="preserve"> </w:t>
      </w:r>
      <w:r w:rsidR="00307844">
        <w:rPr>
          <w:rFonts w:ascii="Times New Roman" w:hAnsi="Times New Roman" w:cs="Times New Roman"/>
          <w:sz w:val="24"/>
          <w:szCs w:val="24"/>
        </w:rPr>
        <w:t>Gaudin</w:t>
      </w:r>
      <w:r w:rsidRPr="0001663B">
        <w:rPr>
          <w:rFonts w:ascii="Times New Roman" w:hAnsi="Times New Roman" w:cs="Times New Roman"/>
          <w:sz w:val="24"/>
          <w:szCs w:val="24"/>
        </w:rPr>
        <w:t xml:space="preserve">) and chewings fescue </w:t>
      </w:r>
      <w:r w:rsidR="00307844">
        <w:rPr>
          <w:rFonts w:ascii="Times New Roman" w:hAnsi="Times New Roman" w:cs="Times New Roman"/>
          <w:sz w:val="24"/>
          <w:szCs w:val="24"/>
        </w:rPr>
        <w:t>[</w:t>
      </w:r>
      <w:r w:rsidRPr="0001663B">
        <w:rPr>
          <w:rFonts w:ascii="Times New Roman" w:hAnsi="Times New Roman" w:cs="Times New Roman"/>
          <w:sz w:val="24"/>
          <w:szCs w:val="24"/>
        </w:rPr>
        <w:t>(</w:t>
      </w:r>
      <w:r w:rsidRPr="0001663B">
        <w:rPr>
          <w:rFonts w:ascii="Times New Roman" w:hAnsi="Times New Roman" w:cs="Times New Roman"/>
          <w:i/>
          <w:sz w:val="24"/>
          <w:szCs w:val="24"/>
        </w:rPr>
        <w:t xml:space="preserve">Festuca rubra </w:t>
      </w:r>
      <w:r w:rsidRPr="0001663B">
        <w:rPr>
          <w:rFonts w:ascii="Times New Roman" w:hAnsi="Times New Roman" w:cs="Times New Roman"/>
          <w:sz w:val="24"/>
          <w:szCs w:val="24"/>
        </w:rPr>
        <w:t>var.</w:t>
      </w:r>
      <w:r w:rsidRPr="0001663B">
        <w:rPr>
          <w:rFonts w:ascii="Times New Roman" w:hAnsi="Times New Roman" w:cs="Times New Roman"/>
          <w:i/>
          <w:sz w:val="24"/>
          <w:szCs w:val="24"/>
        </w:rPr>
        <w:t xml:space="preserve"> commutata</w:t>
      </w:r>
      <w:r w:rsidRPr="0001663B">
        <w:rPr>
          <w:rFonts w:ascii="Times New Roman" w:hAnsi="Times New Roman" w:cs="Times New Roman"/>
          <w:sz w:val="24"/>
          <w:szCs w:val="24"/>
        </w:rPr>
        <w:t xml:space="preserve"> </w:t>
      </w:r>
      <w:r w:rsidR="00307844">
        <w:rPr>
          <w:rFonts w:ascii="Times New Roman" w:hAnsi="Times New Roman" w:cs="Times New Roman"/>
          <w:sz w:val="24"/>
          <w:szCs w:val="24"/>
        </w:rPr>
        <w:t>(Thuill.</w:t>
      </w:r>
      <w:r w:rsidRPr="0001663B">
        <w:rPr>
          <w:rFonts w:ascii="Times New Roman" w:hAnsi="Times New Roman" w:cs="Times New Roman"/>
          <w:sz w:val="24"/>
          <w:szCs w:val="24"/>
        </w:rPr>
        <w:t>)</w:t>
      </w:r>
      <w:r w:rsidR="00307844">
        <w:rPr>
          <w:rFonts w:ascii="Times New Roman" w:hAnsi="Times New Roman" w:cs="Times New Roman"/>
          <w:sz w:val="24"/>
          <w:szCs w:val="24"/>
        </w:rPr>
        <w:t xml:space="preserve"> </w:t>
      </w:r>
      <w:proofErr w:type="gramStart"/>
      <w:r w:rsidR="00307844">
        <w:rPr>
          <w:rFonts w:ascii="Times New Roman" w:hAnsi="Times New Roman" w:cs="Times New Roman"/>
          <w:sz w:val="24"/>
          <w:szCs w:val="24"/>
        </w:rPr>
        <w:t>Nyman]</w:t>
      </w:r>
      <w:r w:rsidRPr="0001663B">
        <w:rPr>
          <w:rFonts w:ascii="Times New Roman" w:hAnsi="Times New Roman" w:cs="Times New Roman"/>
          <w:sz w:val="24"/>
          <w:szCs w:val="24"/>
        </w:rPr>
        <w:t>, meadow fescue (</w:t>
      </w:r>
      <w:r w:rsidRPr="0001663B">
        <w:rPr>
          <w:rFonts w:ascii="Times New Roman" w:hAnsi="Times New Roman" w:cs="Times New Roman"/>
          <w:i/>
          <w:sz w:val="24"/>
          <w:szCs w:val="24"/>
        </w:rPr>
        <w:t>F. elatior</w:t>
      </w:r>
      <w:r w:rsidR="00307844">
        <w:rPr>
          <w:rFonts w:ascii="Times New Roman" w:hAnsi="Times New Roman" w:cs="Times New Roman"/>
          <w:sz w:val="24"/>
          <w:szCs w:val="24"/>
        </w:rPr>
        <w:t xml:space="preserve"> L</w:t>
      </w:r>
      <w:r w:rsidRPr="0001663B">
        <w:rPr>
          <w:rFonts w:ascii="Times New Roman" w:hAnsi="Times New Roman" w:cs="Times New Roman"/>
          <w:sz w:val="24"/>
          <w:szCs w:val="24"/>
        </w:rPr>
        <w:t>), creeping and colonial bentgrass (</w:t>
      </w:r>
      <w:r w:rsidRPr="0001663B">
        <w:rPr>
          <w:rFonts w:ascii="Times New Roman" w:hAnsi="Times New Roman" w:cs="Times New Roman"/>
          <w:i/>
          <w:sz w:val="24"/>
          <w:szCs w:val="24"/>
        </w:rPr>
        <w:t>A. capillaris</w:t>
      </w:r>
      <w:r w:rsidR="00307844">
        <w:rPr>
          <w:rFonts w:ascii="Times New Roman" w:hAnsi="Times New Roman" w:cs="Times New Roman"/>
          <w:sz w:val="24"/>
          <w:szCs w:val="24"/>
        </w:rPr>
        <w:t xml:space="preserve"> L.</w:t>
      </w:r>
      <w:r w:rsidRPr="0001663B">
        <w:rPr>
          <w:rFonts w:ascii="Times New Roman" w:hAnsi="Times New Roman" w:cs="Times New Roman"/>
          <w:sz w:val="24"/>
          <w:szCs w:val="24"/>
        </w:rPr>
        <w:t>), Kentucky bluegrass, rough bluegrass, and big bluegrass (</w:t>
      </w:r>
      <w:r w:rsidRPr="0001663B">
        <w:rPr>
          <w:rFonts w:ascii="Times New Roman" w:hAnsi="Times New Roman" w:cs="Times New Roman"/>
          <w:i/>
          <w:sz w:val="24"/>
          <w:szCs w:val="24"/>
        </w:rPr>
        <w:t>P. ampla</w:t>
      </w:r>
      <w:r w:rsidRPr="0001663B">
        <w:rPr>
          <w:rFonts w:ascii="Times New Roman" w:hAnsi="Times New Roman" w:cs="Times New Roman"/>
          <w:sz w:val="24"/>
          <w:szCs w:val="24"/>
        </w:rPr>
        <w:t xml:space="preserve"> </w:t>
      </w:r>
      <w:r w:rsidR="00307844">
        <w:rPr>
          <w:rFonts w:ascii="Times New Roman" w:hAnsi="Times New Roman" w:cs="Times New Roman"/>
          <w:sz w:val="24"/>
          <w:szCs w:val="24"/>
        </w:rPr>
        <w:t>Merr.</w:t>
      </w:r>
      <w:r w:rsidRPr="0001663B">
        <w:rPr>
          <w:rFonts w:ascii="Times New Roman" w:hAnsi="Times New Roman" w:cs="Times New Roman"/>
          <w:sz w:val="24"/>
          <w:szCs w:val="24"/>
        </w:rPr>
        <w:t>), and timothy (</w:t>
      </w:r>
      <w:r w:rsidRPr="0001663B">
        <w:rPr>
          <w:rFonts w:ascii="Times New Roman" w:hAnsi="Times New Roman" w:cs="Times New Roman"/>
          <w:i/>
          <w:sz w:val="24"/>
          <w:szCs w:val="24"/>
        </w:rPr>
        <w:t>Phloem pretense</w:t>
      </w:r>
      <w:r w:rsidR="00307844">
        <w:rPr>
          <w:rFonts w:ascii="Times New Roman" w:hAnsi="Times New Roman" w:cs="Times New Roman"/>
          <w:sz w:val="24"/>
          <w:szCs w:val="24"/>
        </w:rPr>
        <w:t xml:space="preserve"> L</w:t>
      </w:r>
      <w:r w:rsidRPr="0001663B">
        <w:rPr>
          <w:rFonts w:ascii="Times New Roman" w:hAnsi="Times New Roman" w:cs="Times New Roman"/>
          <w:sz w:val="24"/>
          <w:szCs w:val="24"/>
        </w:rPr>
        <w:t>).</w:t>
      </w:r>
      <w:proofErr w:type="gramEnd"/>
      <w:r w:rsidRPr="0001663B">
        <w:rPr>
          <w:rFonts w:ascii="Times New Roman" w:hAnsi="Times New Roman" w:cs="Times New Roman"/>
          <w:sz w:val="24"/>
          <w:szCs w:val="24"/>
        </w:rPr>
        <w:t xml:space="preserve"> The results showed that no one species was best all the time. However, the authors suggested that when a single species is desired, perennial ryegrass is the best choice. They also recommended omitting annual ryegrass from use in the more northern areas due to its lack of frost and low temperature tolerance (Ward et al., 1974).</w:t>
      </w:r>
    </w:p>
    <w:p w14:paraId="2A40BCB9" w14:textId="2D2BBFD0" w:rsidR="0001663B" w:rsidRPr="0001663B" w:rsidRDefault="0001663B" w:rsidP="0001663B">
      <w:pPr>
        <w:autoSpaceDE w:val="0"/>
        <w:autoSpaceDN w:val="0"/>
        <w:adjustRightInd w:val="0"/>
        <w:spacing w:after="0" w:line="480" w:lineRule="auto"/>
        <w:ind w:firstLine="720"/>
        <w:rPr>
          <w:rFonts w:ascii="Times New Roman" w:hAnsi="Times New Roman" w:cs="Times New Roman"/>
          <w:sz w:val="24"/>
          <w:szCs w:val="24"/>
        </w:rPr>
      </w:pPr>
      <w:r w:rsidRPr="0001663B">
        <w:rPr>
          <w:rFonts w:ascii="Times New Roman" w:hAnsi="Times New Roman" w:cs="Times New Roman"/>
          <w:sz w:val="24"/>
          <w:szCs w:val="24"/>
        </w:rPr>
        <w:t>Similar work was conducted at Virginia Polytechnic Institute between 1969 and 1975. The research focused on perennial ryegrass alone and in mixtures. Overseeding of bermudagrass at putting green and at higher cutting heights (to simulate home lawns, golf tees, fairways, and other turf areas) were evaluated (Schmidt and Shoulders, 1980)</w:t>
      </w:r>
      <w:r w:rsidRPr="0001663B">
        <w:rPr>
          <w:rFonts w:ascii="Times New Roman" w:hAnsi="Times New Roman" w:cs="Times New Roman"/>
          <w:color w:val="FF0000"/>
          <w:sz w:val="24"/>
          <w:szCs w:val="24"/>
        </w:rPr>
        <w:t xml:space="preserve">. </w:t>
      </w:r>
      <w:r w:rsidRPr="0001663B">
        <w:rPr>
          <w:rFonts w:ascii="Times New Roman" w:hAnsi="Times New Roman" w:cs="Times New Roman"/>
          <w:sz w:val="24"/>
          <w:szCs w:val="24"/>
        </w:rPr>
        <w:t>When different cool-season species were seeded alone on a ‘Tifgreen’ hybrid bermudagrass putting green, the results were consistent with other research at the time in that no species performed best at all times</w:t>
      </w:r>
      <w:r w:rsidRPr="0001663B">
        <w:rPr>
          <w:rFonts w:ascii="Times New Roman" w:hAnsi="Times New Roman" w:cs="Times New Roman"/>
          <w:color w:val="FF0000"/>
          <w:sz w:val="24"/>
          <w:szCs w:val="24"/>
        </w:rPr>
        <w:t>.</w:t>
      </w:r>
      <w:r w:rsidRPr="0001663B">
        <w:rPr>
          <w:rFonts w:ascii="Times New Roman" w:hAnsi="Times New Roman" w:cs="Times New Roman"/>
          <w:sz w:val="24"/>
          <w:szCs w:val="24"/>
        </w:rPr>
        <w:t xml:space="preserve"> Perennial ryegrass, as expected, was the highest-performing species when seeded alone. Treatments where perennial ryegrass was used in mixtures also ranked highly. Rough bluegrass was considered less suitable than any other species in the study because of its lack of persistence in the spring. The excessive loss of rough bluegrass enhanced the amount of bermudagrass cover the following spring. Polystands comprised of 65% perennial ryegrass, 30% fine</w:t>
      </w:r>
      <w:r w:rsidR="00F557E1">
        <w:rPr>
          <w:rFonts w:ascii="Times New Roman" w:hAnsi="Times New Roman" w:cs="Times New Roman"/>
          <w:sz w:val="24"/>
          <w:szCs w:val="24"/>
        </w:rPr>
        <w:t xml:space="preserve"> fescue, and 5% </w:t>
      </w:r>
      <w:proofErr w:type="gramStart"/>
      <w:r w:rsidR="00F557E1">
        <w:rPr>
          <w:rFonts w:ascii="Times New Roman" w:hAnsi="Times New Roman" w:cs="Times New Roman"/>
          <w:sz w:val="24"/>
          <w:szCs w:val="24"/>
        </w:rPr>
        <w:t>bentgrass were</w:t>
      </w:r>
      <w:proofErr w:type="gramEnd"/>
      <w:r w:rsidR="00F557E1">
        <w:rPr>
          <w:rFonts w:ascii="Times New Roman" w:hAnsi="Times New Roman" w:cs="Times New Roman"/>
          <w:sz w:val="24"/>
          <w:szCs w:val="24"/>
        </w:rPr>
        <w:t xml:space="preserve"> </w:t>
      </w:r>
      <w:r w:rsidRPr="0001663B">
        <w:rPr>
          <w:rFonts w:ascii="Times New Roman" w:hAnsi="Times New Roman" w:cs="Times New Roman"/>
          <w:sz w:val="24"/>
          <w:szCs w:val="24"/>
        </w:rPr>
        <w:t xml:space="preserve">superior for overall greens use compared to monostands (Schmidt and Shoulders, 1980). </w:t>
      </w:r>
    </w:p>
    <w:p w14:paraId="1094CC04"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tab/>
        <w:t xml:space="preserve">In response to the development of a number of new cultivars of perennial ryegrass, as well as other species, research was carried out during the late 1970’s in Texas to investigate the </w:t>
      </w:r>
      <w:r w:rsidRPr="0001663B">
        <w:rPr>
          <w:rFonts w:ascii="Times New Roman" w:hAnsi="Times New Roman" w:cs="Times New Roman"/>
          <w:sz w:val="24"/>
          <w:szCs w:val="24"/>
        </w:rPr>
        <w:lastRenderedPageBreak/>
        <w:t xml:space="preserve">usefulness of these cultivars and species. The objective was to evaluate these cultivars and species for turf quality, ball roll characteristics, wear tolerance, and annual bluegrass encroachment (Batten et al., 1981). Perennial ryegrass ranked highest in average winter performance among all cool-season species tested. Rough bluegrass was a close second with the improved cultivar Sabre </w:t>
      </w:r>
      <w:r w:rsidR="005C2F7C">
        <w:rPr>
          <w:rFonts w:ascii="Times New Roman" w:hAnsi="Times New Roman" w:cs="Times New Roman"/>
          <w:sz w:val="24"/>
          <w:szCs w:val="24"/>
        </w:rPr>
        <w:t xml:space="preserve">(Dickson et al., 1980) </w:t>
      </w:r>
      <w:r w:rsidRPr="0001663B">
        <w:rPr>
          <w:rFonts w:ascii="Times New Roman" w:hAnsi="Times New Roman" w:cs="Times New Roman"/>
          <w:sz w:val="24"/>
          <w:szCs w:val="24"/>
        </w:rPr>
        <w:t>ranking the highest. Mixtures were consistently rated higher than monostands, with polystands composed of perennial ryegrass and rough bluegrass having the highest performance. Infestations of annual bluegrass were related to slow establishment and inferior turfgrass quality, with emphasis being placed on the density component of turfgrass quality (Batten et al., 1981).</w:t>
      </w:r>
      <w:r w:rsidRPr="0001663B">
        <w:rPr>
          <w:rFonts w:ascii="Times New Roman" w:hAnsi="Times New Roman" w:cs="Times New Roman"/>
          <w:color w:val="FF0000"/>
          <w:sz w:val="24"/>
          <w:szCs w:val="24"/>
        </w:rPr>
        <w:t xml:space="preserve"> </w:t>
      </w:r>
      <w:r w:rsidRPr="0001663B">
        <w:rPr>
          <w:rFonts w:ascii="Times New Roman" w:hAnsi="Times New Roman" w:cs="Times New Roman"/>
          <w:sz w:val="24"/>
          <w:szCs w:val="24"/>
        </w:rPr>
        <w:t>Perennial ryegrass cultivars and rough bluegrass were the top monostands for limiting annual bluegrass encroachment. Polystands of the two species, as expe</w:t>
      </w:r>
      <w:r w:rsidR="00FB65BE">
        <w:rPr>
          <w:rFonts w:ascii="Times New Roman" w:hAnsi="Times New Roman" w:cs="Times New Roman"/>
          <w:sz w:val="24"/>
          <w:szCs w:val="24"/>
        </w:rPr>
        <w:t>cted, also performed well with the</w:t>
      </w:r>
      <w:r w:rsidRPr="0001663B">
        <w:rPr>
          <w:rFonts w:ascii="Times New Roman" w:hAnsi="Times New Roman" w:cs="Times New Roman"/>
          <w:sz w:val="24"/>
          <w:szCs w:val="24"/>
        </w:rPr>
        <w:t xml:space="preserve"> mixtu</w:t>
      </w:r>
      <w:r w:rsidR="00FB65BE">
        <w:rPr>
          <w:rFonts w:ascii="Times New Roman" w:hAnsi="Times New Roman" w:cs="Times New Roman"/>
          <w:sz w:val="24"/>
          <w:szCs w:val="24"/>
        </w:rPr>
        <w:t>re</w:t>
      </w:r>
      <w:r w:rsidRPr="0001663B">
        <w:rPr>
          <w:rFonts w:ascii="Times New Roman" w:hAnsi="Times New Roman" w:cs="Times New Roman"/>
          <w:sz w:val="24"/>
          <w:szCs w:val="24"/>
        </w:rPr>
        <w:t xml:space="preserve"> ‘Dixiegreen’ </w:t>
      </w:r>
      <w:r w:rsidR="00FB65BE">
        <w:rPr>
          <w:rFonts w:ascii="Times New Roman" w:hAnsi="Times New Roman" w:cs="Times New Roman"/>
          <w:sz w:val="24"/>
          <w:szCs w:val="24"/>
        </w:rPr>
        <w:t>(</w:t>
      </w:r>
      <w:r w:rsidRPr="0001663B">
        <w:rPr>
          <w:rFonts w:ascii="Times New Roman" w:hAnsi="Times New Roman" w:cs="Times New Roman"/>
          <w:sz w:val="24"/>
          <w:szCs w:val="24"/>
        </w:rPr>
        <w:t>perennial ryegrass</w:t>
      </w:r>
      <w:r w:rsidR="00FB65BE">
        <w:rPr>
          <w:rFonts w:ascii="Times New Roman" w:hAnsi="Times New Roman" w:cs="Times New Roman"/>
          <w:sz w:val="24"/>
          <w:szCs w:val="24"/>
        </w:rPr>
        <w:t xml:space="preserve"> and chewings fescue) plus</w:t>
      </w:r>
      <w:r w:rsidRPr="0001663B">
        <w:rPr>
          <w:rFonts w:ascii="Times New Roman" w:hAnsi="Times New Roman" w:cs="Times New Roman"/>
          <w:sz w:val="24"/>
          <w:szCs w:val="24"/>
        </w:rPr>
        <w:t xml:space="preserve"> Sabre rough bluegrass performing the best (Batten et al., 1981).  Perennial ryegrasses as a group had the longest ball roll distance.  Older, coarse textured cultivars such as ‘Linn’ had significantly shorter ball roll distance. The shortest distances were found with rough bluegrass, ‘Seaside’ creeping bentgrass, ‘Pennlawn’ and ‘Dawson’ </w:t>
      </w:r>
      <w:r w:rsidR="00632F54">
        <w:rPr>
          <w:rFonts w:ascii="Times New Roman" w:hAnsi="Times New Roman" w:cs="Times New Roman"/>
          <w:sz w:val="24"/>
          <w:szCs w:val="24"/>
        </w:rPr>
        <w:t xml:space="preserve">slender </w:t>
      </w:r>
      <w:r w:rsidRPr="0001663B">
        <w:rPr>
          <w:rFonts w:ascii="Times New Roman" w:hAnsi="Times New Roman" w:cs="Times New Roman"/>
          <w:sz w:val="24"/>
          <w:szCs w:val="24"/>
        </w:rPr>
        <w:t>creeping red fescue</w:t>
      </w:r>
      <w:r w:rsidR="00AB32E4">
        <w:rPr>
          <w:rFonts w:ascii="Times New Roman" w:hAnsi="Times New Roman" w:cs="Times New Roman"/>
          <w:sz w:val="24"/>
          <w:szCs w:val="24"/>
        </w:rPr>
        <w:t xml:space="preserve"> [</w:t>
      </w:r>
      <w:r w:rsidR="00632F54" w:rsidRPr="00632F54">
        <w:rPr>
          <w:rFonts w:ascii="Times New Roman" w:hAnsi="Times New Roman" w:cs="Times New Roman"/>
          <w:i/>
          <w:sz w:val="24"/>
          <w:szCs w:val="24"/>
        </w:rPr>
        <w:t>F. rubra</w:t>
      </w:r>
      <w:r w:rsidR="00632F54">
        <w:rPr>
          <w:rFonts w:ascii="Times New Roman" w:hAnsi="Times New Roman" w:cs="Times New Roman"/>
          <w:sz w:val="24"/>
          <w:szCs w:val="24"/>
        </w:rPr>
        <w:t xml:space="preserve"> ssp. </w:t>
      </w:r>
      <w:r w:rsidR="00632F54" w:rsidRPr="00632F54">
        <w:rPr>
          <w:rFonts w:ascii="Times New Roman" w:hAnsi="Times New Roman" w:cs="Times New Roman"/>
          <w:i/>
          <w:sz w:val="24"/>
          <w:szCs w:val="24"/>
        </w:rPr>
        <w:t>Litoralis</w:t>
      </w:r>
      <w:r w:rsidR="00632F54">
        <w:rPr>
          <w:rFonts w:ascii="Times New Roman" w:hAnsi="Times New Roman" w:cs="Times New Roman"/>
          <w:i/>
          <w:sz w:val="24"/>
          <w:szCs w:val="24"/>
        </w:rPr>
        <w:t xml:space="preserve"> </w:t>
      </w:r>
      <w:r w:rsidR="00632F54">
        <w:rPr>
          <w:rFonts w:ascii="Times New Roman" w:hAnsi="Times New Roman" w:cs="Times New Roman"/>
          <w:sz w:val="24"/>
          <w:szCs w:val="24"/>
        </w:rPr>
        <w:t>(G.F.W. Meyer</w:t>
      </w:r>
      <w:r w:rsidR="00632F54" w:rsidRPr="00632F54">
        <w:rPr>
          <w:rFonts w:ascii="Times New Roman" w:hAnsi="Times New Roman" w:cs="Times New Roman"/>
          <w:sz w:val="24"/>
          <w:szCs w:val="24"/>
        </w:rPr>
        <w:t>)</w:t>
      </w:r>
      <w:r w:rsidR="00632F54">
        <w:rPr>
          <w:rFonts w:ascii="Times New Roman" w:hAnsi="Times New Roman" w:cs="Times New Roman"/>
          <w:sz w:val="24"/>
          <w:szCs w:val="24"/>
        </w:rPr>
        <w:t xml:space="preserve"> Auq</w:t>
      </w:r>
      <w:r w:rsidR="00AB32E4">
        <w:rPr>
          <w:rFonts w:ascii="Times New Roman" w:hAnsi="Times New Roman" w:cs="Times New Roman"/>
          <w:sz w:val="24"/>
          <w:szCs w:val="24"/>
        </w:rPr>
        <w:t>uier]</w:t>
      </w:r>
      <w:r w:rsidRPr="0001663B">
        <w:rPr>
          <w:rFonts w:ascii="Times New Roman" w:hAnsi="Times New Roman" w:cs="Times New Roman"/>
          <w:sz w:val="24"/>
          <w:szCs w:val="24"/>
        </w:rPr>
        <w:t>, and ‘Jamestown’ chewings fescue, Perennial ryegrass cultivars had greater relative wear tolerance, with as much as 50% more verdure remaining three days after wear stress was applied. Cultivars such as Linn displayed less wear tolerance than some of the newer cultivars. ‘Penncross’ creeping bentgrass, Jamestown, and Sabre had significantly higher wear tolerance than Pennlawn, ‘Centurion’ hard fescue (</w:t>
      </w:r>
      <w:r w:rsidRPr="0001663B">
        <w:rPr>
          <w:rFonts w:ascii="Times New Roman" w:hAnsi="Times New Roman" w:cs="Times New Roman"/>
          <w:i/>
          <w:sz w:val="24"/>
          <w:szCs w:val="24"/>
        </w:rPr>
        <w:t>F. longifolia</w:t>
      </w:r>
      <w:r w:rsidRPr="0001663B">
        <w:rPr>
          <w:rFonts w:ascii="Times New Roman" w:hAnsi="Times New Roman" w:cs="Times New Roman"/>
          <w:sz w:val="24"/>
          <w:szCs w:val="24"/>
        </w:rPr>
        <w:t xml:space="preserve"> Thuill.), and ‘Highlight’ chewings fescue. The authors concluded that the perennial ryegrasses and the rough bluegrasses, which exhibited faster establishment, had better winter performance and less annual bluegrass encroachment. Polystands also performed better </w:t>
      </w:r>
      <w:r w:rsidRPr="0001663B">
        <w:rPr>
          <w:rFonts w:ascii="Times New Roman" w:hAnsi="Times New Roman" w:cs="Times New Roman"/>
          <w:sz w:val="24"/>
          <w:szCs w:val="24"/>
        </w:rPr>
        <w:lastRenderedPageBreak/>
        <w:t>under adverse environments and mixtures containing 80% perennial ryegrass and 20% rough bluegrass ranked the highest for turfgrass quality. Perennial ryegrasses were more wear tolerant and had longer ball roll distances than any other species tested (Batten et al., 1981).</w:t>
      </w:r>
    </w:p>
    <w:p w14:paraId="376381E1"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t xml:space="preserve"> </w:t>
      </w:r>
      <w:r w:rsidRPr="0001663B">
        <w:rPr>
          <w:rFonts w:ascii="Times New Roman" w:hAnsi="Times New Roman" w:cs="Times New Roman"/>
          <w:sz w:val="24"/>
          <w:szCs w:val="24"/>
        </w:rPr>
        <w:tab/>
        <w:t>Similar research was conducted in Florida, where turf quality, ball roll, and wear tolerance were evaluated. Only perennial and annual ryegrass was tested, with annual ryegrass considered a control. Research indicated that annual ryegrass established significantly faster than perennial ryegrass, but had a significantly lower mean quality rating across the overseeding season (Dudeck and Peacock, 1981)</w:t>
      </w:r>
      <w:r w:rsidRPr="0001663B">
        <w:rPr>
          <w:rFonts w:ascii="Times New Roman" w:hAnsi="Times New Roman" w:cs="Times New Roman"/>
          <w:color w:val="FF0000"/>
          <w:sz w:val="24"/>
          <w:szCs w:val="24"/>
        </w:rPr>
        <w:t xml:space="preserve">. </w:t>
      </w:r>
      <w:r w:rsidRPr="0001663B">
        <w:rPr>
          <w:rFonts w:ascii="Times New Roman" w:hAnsi="Times New Roman" w:cs="Times New Roman"/>
          <w:sz w:val="24"/>
          <w:szCs w:val="24"/>
        </w:rPr>
        <w:t>Annual ryegrass also had significantly higher damage estimates following traffic stress and a significantly longer ball roll distance than several of the perennial ryegrass cultivars. The authors concluded most perennial ryegrass cultivars in the trial were acceptable for overseeding based on the parameters investigated, and, although annual ryegrass had faster establishment and green speeds, its poor turf quality and wear tolerance imposed limitations on its use (Dudeck and Peacock, 1981).</w:t>
      </w:r>
    </w:p>
    <w:p w14:paraId="7F7A7910"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tab/>
        <w:t>By 1994, the use of rough bluegrass for putting green overseeding had become popular enough to warrant investigations of its tolerance to selected herbicides</w:t>
      </w:r>
      <w:r w:rsidRPr="0001663B">
        <w:rPr>
          <w:rFonts w:ascii="Times New Roman" w:hAnsi="Times New Roman" w:cs="Times New Roman"/>
          <w:color w:val="FF0000"/>
          <w:sz w:val="24"/>
          <w:szCs w:val="24"/>
        </w:rPr>
        <w:t xml:space="preserve"> </w:t>
      </w:r>
      <w:r w:rsidRPr="0001663B">
        <w:rPr>
          <w:rFonts w:ascii="Times New Roman" w:hAnsi="Times New Roman" w:cs="Times New Roman"/>
          <w:sz w:val="24"/>
          <w:szCs w:val="24"/>
        </w:rPr>
        <w:t>(Johnson, 1994).  Perennial ryegrass continued to be the most common choice for higher cut turfs such as golf course fairways and sports turf (Richardson, 2004). Breeding efforts with perennial ryegrass resulted in several improvements, including traits associated with turf quality, such as leaf texture, color, and mowing quality (Meyer and Funk, 1989). These breeding efforts also focused on perennial ryegrass as a perennial turf in more northern climates and thus the breeding advancements resulted in cultivars that were more tolerant of environmental stresses, such as heat, drought, and disease (Meyer and Funk, 1989).</w:t>
      </w:r>
      <w:r w:rsidRPr="0001663B">
        <w:rPr>
          <w:rFonts w:ascii="Times New Roman" w:hAnsi="Times New Roman" w:cs="Times New Roman"/>
          <w:color w:val="FF0000"/>
          <w:sz w:val="24"/>
          <w:szCs w:val="24"/>
        </w:rPr>
        <w:t xml:space="preserve"> </w:t>
      </w:r>
      <w:r w:rsidRPr="0001663B">
        <w:rPr>
          <w:rFonts w:ascii="Times New Roman" w:hAnsi="Times New Roman" w:cs="Times New Roman"/>
          <w:sz w:val="24"/>
          <w:szCs w:val="24"/>
        </w:rPr>
        <w:t xml:space="preserve">This was good for situations where perennial ryegrass is desired as a perennial; however in winter overseeding situations it created a problem </w:t>
      </w:r>
      <w:r w:rsidRPr="0001663B">
        <w:rPr>
          <w:rFonts w:ascii="Times New Roman" w:hAnsi="Times New Roman" w:cs="Times New Roman"/>
          <w:sz w:val="24"/>
          <w:szCs w:val="24"/>
        </w:rPr>
        <w:lastRenderedPageBreak/>
        <w:t>because these cultivars persisted in southern climates (Horgan and Yelverton, 2001). In response to these issues, turfgrass breeders have released cultivars of intermediate ryegrass (Richardson, 2004) as an alternative to perennial ryegrass for overseeding sports and golf turfs (Schmitz, 1999).</w:t>
      </w:r>
    </w:p>
    <w:p w14:paraId="18836356"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t xml:space="preserve"> </w:t>
      </w:r>
      <w:r w:rsidRPr="0001663B">
        <w:rPr>
          <w:rFonts w:ascii="Times New Roman" w:hAnsi="Times New Roman" w:cs="Times New Roman"/>
          <w:sz w:val="24"/>
          <w:szCs w:val="24"/>
        </w:rPr>
        <w:tab/>
        <w:t>In response to the availability of new species, research was conducted to comparing it to perennial and annual ryegrass (Richardson, 2004).</w:t>
      </w:r>
      <w:r w:rsidRPr="0001663B">
        <w:rPr>
          <w:rFonts w:ascii="Times New Roman" w:hAnsi="Times New Roman" w:cs="Times New Roman"/>
          <w:color w:val="FF0000"/>
          <w:sz w:val="24"/>
          <w:szCs w:val="24"/>
        </w:rPr>
        <w:t xml:space="preserve"> </w:t>
      </w:r>
      <w:r w:rsidRPr="0001663B">
        <w:rPr>
          <w:rFonts w:ascii="Times New Roman" w:hAnsi="Times New Roman" w:cs="Times New Roman"/>
          <w:sz w:val="24"/>
          <w:szCs w:val="24"/>
        </w:rPr>
        <w:t>Results for the two intermediate ryegrass cultivars tested, ‘Froghair’ and ‘Transist’, showed considerable variation. Froghair performed more like its annual parent and Transist performed similar to its perennial ryegrass parent. Both cultivars offered a spring transition that was earlier than perennial ryegrass but later than annual ryegrass (Richardson, 2004).</w:t>
      </w:r>
    </w:p>
    <w:p w14:paraId="03868BEC"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tab/>
        <w:t>With the release of much higher density, dwarf type hybrid bermudagrasses, questions arose regarding the possibility of establishing an overseeded turf on such a dense surface.  A study was conducted to compare establishment methodologies on these new bermudagrasses. Results of this study showed that smaller-seeded species such as rough bluegrass and creeping bentgrass were advantageous. However, seeding rates of rough bluegrass at 8 kg and creeping bentgrass at 2 kg 100 m</w:t>
      </w:r>
      <w:r w:rsidRPr="0001663B">
        <w:rPr>
          <w:rFonts w:ascii="Times New Roman" w:hAnsi="Times New Roman" w:cs="Times New Roman"/>
          <w:sz w:val="24"/>
          <w:szCs w:val="24"/>
          <w:vertAlign w:val="superscript"/>
        </w:rPr>
        <w:t>-</w:t>
      </w:r>
      <w:r w:rsidR="00FB65BE" w:rsidRPr="0001663B">
        <w:rPr>
          <w:rFonts w:ascii="Times New Roman" w:hAnsi="Times New Roman" w:cs="Times New Roman"/>
          <w:sz w:val="24"/>
          <w:szCs w:val="24"/>
          <w:vertAlign w:val="superscript"/>
        </w:rPr>
        <w:t>2</w:t>
      </w:r>
      <w:r w:rsidR="00FB65BE" w:rsidRPr="0001663B">
        <w:rPr>
          <w:rFonts w:ascii="Times New Roman" w:hAnsi="Times New Roman" w:cs="Times New Roman"/>
          <w:sz w:val="24"/>
          <w:szCs w:val="24"/>
        </w:rPr>
        <w:t>,</w:t>
      </w:r>
      <w:r w:rsidRPr="0001663B">
        <w:rPr>
          <w:rFonts w:ascii="Times New Roman" w:hAnsi="Times New Roman" w:cs="Times New Roman"/>
          <w:sz w:val="24"/>
          <w:szCs w:val="24"/>
        </w:rPr>
        <w:t xml:space="preserve"> showed a decrease in the root length of the bermudagrass base (Sifers and Beard, 2001).</w:t>
      </w:r>
    </w:p>
    <w:p w14:paraId="5BB2A09E"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tab/>
        <w:t xml:space="preserve">Meadow fescue and tetraploid perennial </w:t>
      </w:r>
      <w:proofErr w:type="gramStart"/>
      <w:r w:rsidRPr="0001663B">
        <w:rPr>
          <w:rFonts w:ascii="Times New Roman" w:hAnsi="Times New Roman" w:cs="Times New Roman"/>
          <w:sz w:val="24"/>
          <w:szCs w:val="24"/>
        </w:rPr>
        <w:t>ryegrass,</w:t>
      </w:r>
      <w:proofErr w:type="gramEnd"/>
      <w:r w:rsidRPr="0001663B">
        <w:rPr>
          <w:rFonts w:ascii="Times New Roman" w:hAnsi="Times New Roman" w:cs="Times New Roman"/>
          <w:sz w:val="24"/>
          <w:szCs w:val="24"/>
        </w:rPr>
        <w:t xml:space="preserve"> were investigated for their usefulness for faster spring transition of bermudagrass managed under simulated fairways conditions (Richardson et al., 2007)</w:t>
      </w:r>
      <w:r w:rsidRPr="0001663B">
        <w:rPr>
          <w:rFonts w:ascii="Times New Roman" w:hAnsi="Times New Roman" w:cs="Times New Roman"/>
          <w:color w:val="FF0000"/>
          <w:sz w:val="24"/>
          <w:szCs w:val="24"/>
        </w:rPr>
        <w:t>.</w:t>
      </w:r>
      <w:r w:rsidRPr="0001663B">
        <w:rPr>
          <w:rFonts w:ascii="Times New Roman" w:hAnsi="Times New Roman" w:cs="Times New Roman"/>
          <w:sz w:val="24"/>
          <w:szCs w:val="24"/>
        </w:rPr>
        <w:t xml:space="preserve"> Both species had good germination and establishment characteristics, good color and quality, and an improved spring transition over perennial ryegrass (Richardson et al., 2007). The authors also noted that rough bluegrass had the lowest seasonal quality, and that its primary use is on close cut systems such as bermudagrass greens (Richardson et al., 2007). </w:t>
      </w:r>
      <w:r w:rsidRPr="0001663B">
        <w:rPr>
          <w:rFonts w:ascii="Times New Roman" w:hAnsi="Times New Roman" w:cs="Times New Roman"/>
          <w:sz w:val="24"/>
          <w:szCs w:val="24"/>
        </w:rPr>
        <w:lastRenderedPageBreak/>
        <w:t>These results were consistent with those of the National Turfgrass Evaluation Program on-site overseeding trials; where rough bluegrass had poorer performance on fairways, compared to perennial ryegrass (Morris, 2004).</w:t>
      </w:r>
    </w:p>
    <w:p w14:paraId="6EC8BCF7"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tab/>
        <w:t>Miller et al. (2005), in fairway/athletic field trials at the University of Florida found ‘LhR205’ intermediate ryegrass to be one of the best at rapid establishment, with ‘Gulf’ annual ryegrass being the slowest. In late April and early May all grasses continued to have good cover with the exception of Gulf annual ryegrass.  The two intermediate ryegrasses tested and annual ryegrass were found to have poor transition turf quality as temperatures warmed in late May (Miller et al., 2005).  A putting green overseeding trial was also performed to investigate the performance where of perennial ryegrass and rough bluegrass. The rates of establishment were consistent for all treatments. Rough bluegrass entries persisted longer than the perennial ryegrass treatments with the exception of ‘SRX 2NEM’. This reduced bermudagrass percentages but produced high turf quality, whereas SRX 2NEM had lower turf quality in June (Miller et al., 2005). Even though SRX 2NEM was listed in the study report as rough bluegrass it was, in fact, wood bluegrass (</w:t>
      </w:r>
      <w:r w:rsidRPr="0001663B">
        <w:rPr>
          <w:rFonts w:ascii="Times New Roman" w:hAnsi="Times New Roman" w:cs="Times New Roman"/>
          <w:i/>
          <w:sz w:val="24"/>
          <w:szCs w:val="24"/>
        </w:rPr>
        <w:t xml:space="preserve">Poa nemoralis </w:t>
      </w:r>
      <w:r w:rsidRPr="0001663B">
        <w:rPr>
          <w:rFonts w:ascii="Times New Roman" w:hAnsi="Times New Roman" w:cs="Times New Roman"/>
          <w:sz w:val="24"/>
          <w:szCs w:val="24"/>
        </w:rPr>
        <w:t xml:space="preserve">L.) (L. Brilman, personal communication, 2010). </w:t>
      </w:r>
    </w:p>
    <w:p w14:paraId="26063B54"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tab/>
        <w:t>The aforementioned studies focused primarily on the overseeding of bermudagrass putting greens, and to a lesser extent, golf course tees and fairways. Bermudagrass sports fields, especially those used for American football, deserve special attention for overseeding research because of the high traffic levels when overseeding should be performed. In the past few years, numerous research projects have addressed these needs (Thoms et al., 2011; Haselbauer et al., 2012; Trappe et al., 2012). One of these studies investigated the effect of different overseeding species, and the results concluded that perennial ryegrass was the best species (Trappe et al., 2012).</w:t>
      </w:r>
    </w:p>
    <w:p w14:paraId="581ED90F"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i/>
          <w:sz w:val="24"/>
          <w:szCs w:val="24"/>
        </w:rPr>
        <w:lastRenderedPageBreak/>
        <w:t>Overseeding Methods, Seeding rates, and Timing</w:t>
      </w:r>
      <w:r w:rsidRPr="0001663B">
        <w:rPr>
          <w:rFonts w:ascii="Times New Roman" w:hAnsi="Times New Roman" w:cs="Times New Roman"/>
          <w:sz w:val="24"/>
          <w:szCs w:val="24"/>
        </w:rPr>
        <w:tab/>
        <w:t xml:space="preserve"> </w:t>
      </w:r>
    </w:p>
    <w:p w14:paraId="327A0298"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tab/>
        <w:t>Many of the previously mentioned research efforts considered aspects of overseeding other than species performance.  These included investigations of seeding timings, seeding rates, and pre-planting sod preparation. In some of the earliest work, the effects of vertical mowing, aerification, topdressing, and seeding date were investigated (Schmidt and Blaser, 1962; Ward et al., 1974). The highest turf quality was found in treatments where vertical mowing and topdressing were used in combination, while aerification did not have positive benefits. Interestingly, in Virginia in 1962, a later seeding date of 4 October produced more winter cover than the earlier seeding date of 14 September (Schmidt and Blaser, 1962).  Studies conducted in Mississippi concluded that vertical mowing had no significant effect on the number of emerged seedlings, but topdressing did significantly increase the stand density of rough bluegrass, seaside bentgrass, and mixtures of redtop bentgrass and seaside bentgrass (Ward et al., 1974). Annual ryegrass was not affected by vertical mowing and creeping red fescue was slightly reduced in 1961. In a later study, topdressing was again found to be beneficial (Ward et al., 1974).</w:t>
      </w:r>
      <w:r w:rsidRPr="0001663B">
        <w:rPr>
          <w:rFonts w:ascii="Times New Roman" w:hAnsi="Times New Roman" w:cs="Times New Roman"/>
          <w:color w:val="FF0000"/>
          <w:sz w:val="24"/>
          <w:szCs w:val="24"/>
        </w:rPr>
        <w:t xml:space="preserve"> </w:t>
      </w:r>
      <w:r w:rsidRPr="0001663B">
        <w:rPr>
          <w:rFonts w:ascii="Times New Roman" w:hAnsi="Times New Roman" w:cs="Times New Roman"/>
          <w:sz w:val="24"/>
          <w:szCs w:val="24"/>
        </w:rPr>
        <w:t>Concurrent with these studies, investigations of seeding timings yielded results indicating that overseeding 20 to 30 days before the first frost is most ideal. After evaluating seeding rates of perennial ryegrass  ranging from 5.3 to 42.4 kg 100 m</w:t>
      </w:r>
      <w:r w:rsidRPr="0001663B">
        <w:rPr>
          <w:rFonts w:ascii="Times New Roman" w:hAnsi="Times New Roman" w:cs="Times New Roman"/>
          <w:sz w:val="24"/>
          <w:szCs w:val="24"/>
          <w:vertAlign w:val="superscript"/>
        </w:rPr>
        <w:t>-2</w:t>
      </w:r>
      <w:r w:rsidRPr="0001663B">
        <w:rPr>
          <w:rFonts w:ascii="Times New Roman" w:hAnsi="Times New Roman" w:cs="Times New Roman"/>
          <w:sz w:val="24"/>
          <w:szCs w:val="24"/>
        </w:rPr>
        <w:t>, the authors concluded that a rate of 17 kg 100 m</w:t>
      </w:r>
      <w:r w:rsidRPr="0001663B">
        <w:rPr>
          <w:rFonts w:ascii="Times New Roman" w:hAnsi="Times New Roman" w:cs="Times New Roman"/>
          <w:sz w:val="24"/>
          <w:szCs w:val="24"/>
          <w:vertAlign w:val="superscript"/>
        </w:rPr>
        <w:t xml:space="preserve">-2 </w:t>
      </w:r>
      <w:r w:rsidRPr="0001663B">
        <w:rPr>
          <w:rFonts w:ascii="Times New Roman" w:hAnsi="Times New Roman" w:cs="Times New Roman"/>
          <w:sz w:val="24"/>
          <w:szCs w:val="24"/>
        </w:rPr>
        <w:t>was best (Ward et al., 1974).</w:t>
      </w:r>
    </w:p>
    <w:p w14:paraId="0DC25B83"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tab/>
        <w:t xml:space="preserve">Research on a ‘Tifgreen’ bermudagrass green evaluated the effect of seeding rate on turf quality and transition characteristics. Turf quality was positively correlated with increasing seeding rates, whereas leaf texture decreased as seeding rates increased (Mazur and Rice, 1999). Higher seeding rates did not result in faster transition in the spring and the authors concluded that </w:t>
      </w:r>
      <w:r w:rsidRPr="0001663B">
        <w:rPr>
          <w:rFonts w:ascii="Times New Roman" w:hAnsi="Times New Roman" w:cs="Times New Roman"/>
          <w:sz w:val="24"/>
          <w:szCs w:val="24"/>
        </w:rPr>
        <w:lastRenderedPageBreak/>
        <w:t>the choice of seeding rate was a compromise between turf quality, best at 150 g m</w:t>
      </w:r>
      <w:r w:rsidRPr="0001663B">
        <w:rPr>
          <w:rFonts w:ascii="Times New Roman" w:hAnsi="Times New Roman" w:cs="Times New Roman"/>
          <w:sz w:val="24"/>
          <w:szCs w:val="24"/>
          <w:vertAlign w:val="superscript"/>
        </w:rPr>
        <w:t>-</w:t>
      </w:r>
      <w:proofErr w:type="gramStart"/>
      <w:r w:rsidRPr="0001663B">
        <w:rPr>
          <w:rFonts w:ascii="Times New Roman" w:hAnsi="Times New Roman" w:cs="Times New Roman"/>
          <w:sz w:val="24"/>
          <w:szCs w:val="24"/>
          <w:vertAlign w:val="superscript"/>
        </w:rPr>
        <w:t xml:space="preserve">2 </w:t>
      </w:r>
      <w:r w:rsidRPr="0001663B">
        <w:rPr>
          <w:rFonts w:ascii="Times New Roman" w:hAnsi="Times New Roman" w:cs="Times New Roman"/>
          <w:sz w:val="24"/>
          <w:szCs w:val="24"/>
        </w:rPr>
        <w:t>,</w:t>
      </w:r>
      <w:proofErr w:type="gramEnd"/>
      <w:r w:rsidRPr="0001663B">
        <w:rPr>
          <w:rFonts w:ascii="Times New Roman" w:hAnsi="Times New Roman" w:cs="Times New Roman"/>
          <w:sz w:val="24"/>
          <w:szCs w:val="24"/>
        </w:rPr>
        <w:t xml:space="preserve"> and transition delayed at this rate (Mazur and Rice, 1999).</w:t>
      </w:r>
    </w:p>
    <w:p w14:paraId="743D5F58"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tab/>
        <w:t>The release of ultradwarf bermudagrass cultivars necessitated further overseeding r</w:t>
      </w:r>
      <w:r w:rsidR="00FB65BE">
        <w:rPr>
          <w:rFonts w:ascii="Times New Roman" w:hAnsi="Times New Roman" w:cs="Times New Roman"/>
          <w:sz w:val="24"/>
          <w:szCs w:val="24"/>
        </w:rPr>
        <w:t>esearch. A three location study (Palm Desert, CA; Phoenix, AZ; Houston, TX)</w:t>
      </w:r>
      <w:r w:rsidRPr="0001663B">
        <w:rPr>
          <w:rFonts w:ascii="Times New Roman" w:hAnsi="Times New Roman" w:cs="Times New Roman"/>
          <w:color w:val="FF0000"/>
          <w:sz w:val="24"/>
          <w:szCs w:val="24"/>
        </w:rPr>
        <w:t xml:space="preserve"> </w:t>
      </w:r>
      <w:r w:rsidRPr="0001663B">
        <w:rPr>
          <w:rFonts w:ascii="Times New Roman" w:hAnsi="Times New Roman" w:cs="Times New Roman"/>
          <w:sz w:val="24"/>
          <w:szCs w:val="24"/>
        </w:rPr>
        <w:t>initiated in 1996, investigated the effects of rates, timing, species, and cultivation. In this study, two cultivation methods were investigated, including vertical mowing alone or vertical mowing along with the use of a plant growth regulator, trinexapac-ethyl, applied either two days before or six days after overseeding. Findings did not indicate a clear choice between the methods, but it was noted that the smaller-seeded species rough bluegrass and creeping bentgrass had more emerged seedlings (Sifers and Beard, 2001).</w:t>
      </w:r>
      <w:r w:rsidRPr="0001663B">
        <w:rPr>
          <w:rFonts w:ascii="Times New Roman" w:hAnsi="Times New Roman" w:cs="Times New Roman"/>
          <w:color w:val="FF0000"/>
          <w:sz w:val="24"/>
          <w:szCs w:val="24"/>
        </w:rPr>
        <w:t xml:space="preserve"> </w:t>
      </w:r>
      <w:r w:rsidRPr="0001663B">
        <w:rPr>
          <w:rFonts w:ascii="Times New Roman" w:hAnsi="Times New Roman" w:cs="Times New Roman"/>
          <w:sz w:val="24"/>
          <w:szCs w:val="24"/>
        </w:rPr>
        <w:t>The authors indicated that timings based on soil temperature resulted in higher success than calendar-based timings, with the optimum soil temperature range between 22 and 26</w:t>
      </w:r>
      <w:r w:rsidRPr="0001663B">
        <w:rPr>
          <w:rFonts w:ascii="Cambria Math" w:hAnsi="Cambria Math" w:cs="Cambria Math"/>
          <w:sz w:val="24"/>
          <w:szCs w:val="24"/>
        </w:rPr>
        <w:t>⁰</w:t>
      </w:r>
      <w:r w:rsidRPr="0001663B">
        <w:rPr>
          <w:rFonts w:ascii="Times New Roman" w:hAnsi="Times New Roman" w:cs="Times New Roman"/>
          <w:sz w:val="24"/>
          <w:szCs w:val="24"/>
        </w:rPr>
        <w:t xml:space="preserve">C at 100 mm depth (Sifers and Beard, 2001). In this study, perennial ryegrass was ranked as the lowest performer at all three sites with a mixture of rough bluegrass and creeping bentgrass ranking the highest (Sifers and Beard, 2001). </w:t>
      </w:r>
    </w:p>
    <w:p w14:paraId="717F99FE" w14:textId="77777777" w:rsidR="0001663B" w:rsidRPr="0001663B" w:rsidRDefault="0001663B" w:rsidP="0001663B">
      <w:pPr>
        <w:autoSpaceDE w:val="0"/>
        <w:autoSpaceDN w:val="0"/>
        <w:adjustRightInd w:val="0"/>
        <w:spacing w:after="0" w:line="480" w:lineRule="auto"/>
        <w:rPr>
          <w:rFonts w:ascii="Times New Roman" w:hAnsi="Times New Roman" w:cs="Times New Roman"/>
          <w:i/>
          <w:sz w:val="24"/>
          <w:szCs w:val="24"/>
        </w:rPr>
      </w:pPr>
      <w:r w:rsidRPr="0001663B">
        <w:rPr>
          <w:rFonts w:ascii="Times New Roman" w:hAnsi="Times New Roman" w:cs="Times New Roman"/>
          <w:i/>
          <w:sz w:val="24"/>
          <w:szCs w:val="24"/>
        </w:rPr>
        <w:t>Spring Transition</w:t>
      </w:r>
    </w:p>
    <w:p w14:paraId="47439C2F"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tab/>
        <w:t>Although overseeding can be advantageous, the cultural practice does have some negative attributes (Horgan and Yelverton, 2001). Timing of transition is important because a transition that occurs too quickly or too early will leave voids in the turf, resulting in poor aesthetics and playability (Horgan and Yelverton, 2001). A transition that is too slow or too late will, through its cool-season plant competition, prevent the bermudagrass from making a full recovery from winter dormancy, and leave the turf in a weakened state going into the next winter’s dormancy period (Askew, 2010).</w:t>
      </w:r>
    </w:p>
    <w:p w14:paraId="07CB9B1B"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lastRenderedPageBreak/>
        <w:tab/>
        <w:t xml:space="preserve">In addition to the natural transition characteristics of these species, the use of chemicals as a tool to remove overseeded species has been studied and is being practiced. One of the earliest herbicides researched for this purpose was pronamide, which was found to be useful if applied at the </w:t>
      </w:r>
      <w:r w:rsidR="000E1B66" w:rsidRPr="0001663B">
        <w:rPr>
          <w:rFonts w:ascii="Times New Roman" w:hAnsi="Times New Roman" w:cs="Times New Roman"/>
          <w:sz w:val="24"/>
          <w:szCs w:val="24"/>
        </w:rPr>
        <w:t>appropriate</w:t>
      </w:r>
      <w:r w:rsidRPr="0001663B">
        <w:rPr>
          <w:rFonts w:ascii="Times New Roman" w:hAnsi="Times New Roman" w:cs="Times New Roman"/>
          <w:sz w:val="24"/>
          <w:szCs w:val="24"/>
        </w:rPr>
        <w:t xml:space="preserve"> time (Johnson, 1975). More recently, sulfonylurea herbicides like Revolver</w:t>
      </w:r>
      <w:r w:rsidR="00F9002C">
        <w:rPr>
          <w:rFonts w:ascii="Times New Roman" w:hAnsi="Times New Roman" w:cs="Times New Roman"/>
          <w:sz w:val="24"/>
          <w:szCs w:val="24"/>
        </w:rPr>
        <w:t xml:space="preserve"> (Formasulfuron)</w:t>
      </w:r>
      <w:r w:rsidRPr="0001663B">
        <w:rPr>
          <w:rFonts w:ascii="Times New Roman" w:hAnsi="Times New Roman" w:cs="Times New Roman"/>
          <w:sz w:val="24"/>
          <w:szCs w:val="24"/>
        </w:rPr>
        <w:t>, Monument</w:t>
      </w:r>
      <w:r w:rsidR="00F9002C">
        <w:rPr>
          <w:rFonts w:ascii="Times New Roman" w:hAnsi="Times New Roman" w:cs="Times New Roman"/>
          <w:sz w:val="24"/>
          <w:szCs w:val="24"/>
        </w:rPr>
        <w:t xml:space="preserve"> (Trifloxysulfuron-sodium</w:t>
      </w:r>
      <w:proofErr w:type="gramStart"/>
      <w:r w:rsidR="00F9002C">
        <w:rPr>
          <w:rFonts w:ascii="Times New Roman" w:hAnsi="Times New Roman" w:cs="Times New Roman"/>
          <w:sz w:val="24"/>
          <w:szCs w:val="24"/>
        </w:rPr>
        <w:t xml:space="preserve">) </w:t>
      </w:r>
      <w:r w:rsidRPr="0001663B">
        <w:rPr>
          <w:rFonts w:ascii="Times New Roman" w:hAnsi="Times New Roman" w:cs="Times New Roman"/>
          <w:sz w:val="24"/>
          <w:szCs w:val="24"/>
        </w:rPr>
        <w:t>,</w:t>
      </w:r>
      <w:proofErr w:type="gramEnd"/>
      <w:r w:rsidRPr="0001663B">
        <w:rPr>
          <w:rFonts w:ascii="Times New Roman" w:hAnsi="Times New Roman" w:cs="Times New Roman"/>
          <w:sz w:val="24"/>
          <w:szCs w:val="24"/>
        </w:rPr>
        <w:t xml:space="preserve"> and Manor</w:t>
      </w:r>
      <w:r w:rsidR="00F9002C">
        <w:rPr>
          <w:rFonts w:ascii="Times New Roman" w:hAnsi="Times New Roman" w:cs="Times New Roman"/>
          <w:sz w:val="24"/>
          <w:szCs w:val="24"/>
        </w:rPr>
        <w:t xml:space="preserve"> (Metsulfuron Methyl)</w:t>
      </w:r>
      <w:r w:rsidRPr="0001663B">
        <w:rPr>
          <w:rFonts w:ascii="Times New Roman" w:hAnsi="Times New Roman" w:cs="Times New Roman"/>
          <w:color w:val="FF0000"/>
          <w:sz w:val="24"/>
          <w:szCs w:val="24"/>
        </w:rPr>
        <w:t xml:space="preserve"> </w:t>
      </w:r>
      <w:r w:rsidRPr="0001663B">
        <w:rPr>
          <w:rFonts w:ascii="Times New Roman" w:hAnsi="Times New Roman" w:cs="Times New Roman"/>
          <w:sz w:val="24"/>
          <w:szCs w:val="24"/>
        </w:rPr>
        <w:t xml:space="preserve">have been studied and found to be mostly effective </w:t>
      </w:r>
      <w:r w:rsidR="00F9002C" w:rsidRPr="0001663B">
        <w:rPr>
          <w:rFonts w:ascii="Times New Roman" w:hAnsi="Times New Roman" w:cs="Times New Roman"/>
          <w:sz w:val="24"/>
          <w:szCs w:val="24"/>
        </w:rPr>
        <w:t>but performance</w:t>
      </w:r>
      <w:r w:rsidRPr="0001663B">
        <w:rPr>
          <w:rFonts w:ascii="Times New Roman" w:hAnsi="Times New Roman" w:cs="Times New Roman"/>
          <w:sz w:val="24"/>
          <w:szCs w:val="24"/>
        </w:rPr>
        <w:t xml:space="preserve"> is dependent on temperature and not always consistent. The rate and application timing dictate how smooth the transition from cool-season to warm-season turf goes (McCauley et al., 2009). Cultural practices such as vertical mowing, aerification, and fertility have been studied as ways to facilitate spring transition without the use of chemicals. None of these cultural practices were consistently reliable when removing perennial ryegrass, and it was determined that temperature played the biggest role in the disappearance of the species (Horgan and Yelverton, 2001). </w:t>
      </w:r>
    </w:p>
    <w:p w14:paraId="290A2118" w14:textId="77777777" w:rsidR="0001663B" w:rsidRPr="0001663B" w:rsidRDefault="0001663B" w:rsidP="0001663B">
      <w:pPr>
        <w:autoSpaceDE w:val="0"/>
        <w:autoSpaceDN w:val="0"/>
        <w:adjustRightInd w:val="0"/>
        <w:spacing w:after="0" w:line="480" w:lineRule="auto"/>
        <w:rPr>
          <w:rFonts w:ascii="Times New Roman" w:hAnsi="Times New Roman" w:cs="Times New Roman"/>
          <w:sz w:val="24"/>
          <w:szCs w:val="24"/>
        </w:rPr>
      </w:pPr>
      <w:r w:rsidRPr="0001663B">
        <w:rPr>
          <w:rFonts w:ascii="Times New Roman" w:hAnsi="Times New Roman" w:cs="Times New Roman"/>
          <w:sz w:val="24"/>
          <w:szCs w:val="24"/>
        </w:rPr>
        <w:tab/>
        <w:t xml:space="preserve">Given that there are more than 10,000 species of grasses, it is likely that several species could be developed to overseed bermudagrass that have both good turf quality during winter dormancy; while, at the same time providing a smooth spring transition that is not dependent on a chemical transition aid. </w:t>
      </w:r>
    </w:p>
    <w:p w14:paraId="04A457BC" w14:textId="77777777" w:rsidR="0001663B" w:rsidRPr="0001663B" w:rsidRDefault="0001663B" w:rsidP="0001663B">
      <w:pPr>
        <w:rPr>
          <w:rFonts w:ascii="Times New Roman" w:hAnsi="Times New Roman" w:cs="Times New Roman"/>
          <w:b/>
          <w:sz w:val="24"/>
          <w:szCs w:val="24"/>
        </w:rPr>
      </w:pPr>
      <w:r w:rsidRPr="0001663B">
        <w:rPr>
          <w:rFonts w:ascii="Times New Roman" w:hAnsi="Times New Roman" w:cs="Times New Roman"/>
          <w:b/>
          <w:sz w:val="24"/>
          <w:szCs w:val="24"/>
        </w:rPr>
        <w:br w:type="page"/>
      </w:r>
    </w:p>
    <w:p w14:paraId="2FC67BBF" w14:textId="77777777" w:rsidR="0001663B" w:rsidRDefault="0001663B" w:rsidP="0001663B">
      <w:pPr>
        <w:pStyle w:val="Heading2"/>
      </w:pPr>
      <w:bookmarkStart w:id="4" w:name="_Toc354003311"/>
      <w:r w:rsidRPr="0001663B">
        <w:lastRenderedPageBreak/>
        <w:t>Objectives</w:t>
      </w:r>
      <w:bookmarkEnd w:id="4"/>
    </w:p>
    <w:p w14:paraId="6C862DEB" w14:textId="77777777" w:rsidR="0001663B" w:rsidRPr="0001663B" w:rsidRDefault="0001663B" w:rsidP="0001663B"/>
    <w:p w14:paraId="729C80E9" w14:textId="77777777" w:rsidR="0001663B" w:rsidRPr="0001663B" w:rsidRDefault="0001663B" w:rsidP="0001663B">
      <w:pPr>
        <w:autoSpaceDE w:val="0"/>
        <w:autoSpaceDN w:val="0"/>
        <w:adjustRightInd w:val="0"/>
        <w:spacing w:after="0" w:line="480" w:lineRule="auto"/>
        <w:rPr>
          <w:rFonts w:ascii="Times New Roman" w:hAnsi="Times New Roman" w:cs="Times New Roman"/>
          <w:bCs/>
          <w:sz w:val="24"/>
          <w:szCs w:val="24"/>
        </w:rPr>
      </w:pPr>
      <w:r w:rsidRPr="0001663B">
        <w:rPr>
          <w:rFonts w:ascii="Times New Roman" w:hAnsi="Times New Roman" w:cs="Times New Roman"/>
          <w:bCs/>
          <w:sz w:val="24"/>
          <w:szCs w:val="24"/>
        </w:rPr>
        <w:t>The objectives of this project were:</w:t>
      </w:r>
    </w:p>
    <w:p w14:paraId="790A6440" w14:textId="77777777" w:rsidR="0001663B" w:rsidRPr="0001663B" w:rsidRDefault="0001663B" w:rsidP="0001663B">
      <w:pPr>
        <w:numPr>
          <w:ilvl w:val="0"/>
          <w:numId w:val="7"/>
        </w:numPr>
        <w:autoSpaceDE w:val="0"/>
        <w:autoSpaceDN w:val="0"/>
        <w:adjustRightInd w:val="0"/>
        <w:spacing w:after="0" w:line="480" w:lineRule="auto"/>
        <w:contextualSpacing/>
        <w:rPr>
          <w:rFonts w:ascii="Times New Roman" w:eastAsiaTheme="minorHAnsi" w:hAnsi="Times New Roman" w:cs="Times New Roman"/>
          <w:bCs/>
          <w:sz w:val="24"/>
          <w:szCs w:val="24"/>
        </w:rPr>
      </w:pPr>
      <w:r w:rsidRPr="0001663B">
        <w:rPr>
          <w:rFonts w:ascii="Times New Roman" w:eastAsiaTheme="minorHAnsi" w:hAnsi="Times New Roman" w:cs="Times New Roman"/>
          <w:bCs/>
          <w:sz w:val="24"/>
          <w:szCs w:val="24"/>
        </w:rPr>
        <w:t xml:space="preserve">To evaluate the performance of alternative </w:t>
      </w:r>
      <w:r w:rsidRPr="0001663B">
        <w:rPr>
          <w:rFonts w:ascii="Times New Roman" w:eastAsiaTheme="minorHAnsi" w:hAnsi="Times New Roman" w:cs="Times New Roman"/>
          <w:bCs/>
          <w:i/>
          <w:sz w:val="24"/>
          <w:szCs w:val="24"/>
        </w:rPr>
        <w:t>Poa</w:t>
      </w:r>
      <w:r w:rsidRPr="0001663B">
        <w:rPr>
          <w:rFonts w:ascii="Times New Roman" w:eastAsiaTheme="minorHAnsi" w:hAnsi="Times New Roman" w:cs="Times New Roman"/>
          <w:bCs/>
          <w:sz w:val="24"/>
          <w:szCs w:val="24"/>
        </w:rPr>
        <w:t xml:space="preserve"> species</w:t>
      </w:r>
      <w:r w:rsidR="00AB32E4">
        <w:rPr>
          <w:rFonts w:ascii="Times New Roman" w:eastAsiaTheme="minorHAnsi" w:hAnsi="Times New Roman" w:cs="Times New Roman"/>
          <w:bCs/>
          <w:sz w:val="24"/>
          <w:szCs w:val="24"/>
        </w:rPr>
        <w:t xml:space="preserve"> as permanent turfgrasses</w:t>
      </w:r>
      <w:r w:rsidRPr="0001663B">
        <w:rPr>
          <w:rFonts w:ascii="Times New Roman" w:eastAsiaTheme="minorHAnsi" w:hAnsi="Times New Roman" w:cs="Times New Roman"/>
          <w:bCs/>
          <w:i/>
          <w:sz w:val="24"/>
          <w:szCs w:val="24"/>
        </w:rPr>
        <w:t xml:space="preserve"> </w:t>
      </w:r>
      <w:r w:rsidRPr="0001663B">
        <w:rPr>
          <w:rFonts w:ascii="Times New Roman" w:eastAsiaTheme="minorHAnsi" w:hAnsi="Times New Roman" w:cs="Times New Roman"/>
          <w:bCs/>
          <w:sz w:val="24"/>
          <w:szCs w:val="24"/>
        </w:rPr>
        <w:t>under a general maintenance regime in the transition zone.</w:t>
      </w:r>
    </w:p>
    <w:p w14:paraId="1EB4E3F6" w14:textId="77777777" w:rsidR="0001663B" w:rsidRPr="0001663B" w:rsidRDefault="0001663B" w:rsidP="0001663B">
      <w:pPr>
        <w:numPr>
          <w:ilvl w:val="0"/>
          <w:numId w:val="7"/>
        </w:numPr>
        <w:autoSpaceDE w:val="0"/>
        <w:autoSpaceDN w:val="0"/>
        <w:adjustRightInd w:val="0"/>
        <w:spacing w:after="0" w:line="480" w:lineRule="auto"/>
        <w:contextualSpacing/>
        <w:rPr>
          <w:rFonts w:ascii="Times New Roman" w:eastAsiaTheme="minorHAnsi" w:hAnsi="Times New Roman" w:cs="Times New Roman"/>
          <w:bCs/>
          <w:sz w:val="24"/>
          <w:szCs w:val="24"/>
        </w:rPr>
      </w:pPr>
      <w:r w:rsidRPr="0001663B">
        <w:rPr>
          <w:rFonts w:ascii="Times New Roman" w:eastAsiaTheme="minorHAnsi" w:hAnsi="Times New Roman" w:cs="Times New Roman"/>
          <w:bCs/>
          <w:sz w:val="24"/>
          <w:szCs w:val="24"/>
        </w:rPr>
        <w:t xml:space="preserve">To evaluate the performance of </w:t>
      </w:r>
      <w:r w:rsidRPr="0001663B">
        <w:rPr>
          <w:rFonts w:ascii="Times New Roman" w:eastAsiaTheme="minorHAnsi" w:hAnsi="Times New Roman" w:cs="Times New Roman"/>
          <w:bCs/>
          <w:i/>
          <w:sz w:val="24"/>
          <w:szCs w:val="24"/>
        </w:rPr>
        <w:t xml:space="preserve">Poa nemoralis </w:t>
      </w:r>
      <w:r w:rsidRPr="0001663B">
        <w:rPr>
          <w:rFonts w:ascii="Times New Roman" w:eastAsiaTheme="minorHAnsi" w:hAnsi="Times New Roman" w:cs="Times New Roman"/>
          <w:bCs/>
          <w:sz w:val="24"/>
          <w:szCs w:val="24"/>
        </w:rPr>
        <w:t xml:space="preserve">and </w:t>
      </w:r>
      <w:r w:rsidRPr="0001663B">
        <w:rPr>
          <w:rFonts w:ascii="Times New Roman" w:eastAsiaTheme="minorHAnsi" w:hAnsi="Times New Roman" w:cs="Times New Roman"/>
          <w:bCs/>
          <w:i/>
          <w:sz w:val="24"/>
          <w:szCs w:val="24"/>
        </w:rPr>
        <w:t>P. supina</w:t>
      </w:r>
      <w:r w:rsidRPr="0001663B">
        <w:rPr>
          <w:rFonts w:ascii="Times New Roman" w:eastAsiaTheme="minorHAnsi" w:hAnsi="Times New Roman" w:cs="Times New Roman"/>
          <w:bCs/>
          <w:sz w:val="24"/>
          <w:szCs w:val="24"/>
        </w:rPr>
        <w:t xml:space="preserve"> as </w:t>
      </w:r>
      <w:r w:rsidR="00AB32E4">
        <w:rPr>
          <w:rFonts w:ascii="Times New Roman" w:eastAsiaTheme="minorHAnsi" w:hAnsi="Times New Roman" w:cs="Times New Roman"/>
          <w:bCs/>
          <w:sz w:val="24"/>
          <w:szCs w:val="24"/>
        </w:rPr>
        <w:t xml:space="preserve">temporary </w:t>
      </w:r>
      <w:r w:rsidRPr="0001663B">
        <w:rPr>
          <w:rFonts w:ascii="Times New Roman" w:eastAsiaTheme="minorHAnsi" w:hAnsi="Times New Roman" w:cs="Times New Roman"/>
          <w:bCs/>
          <w:sz w:val="24"/>
          <w:szCs w:val="24"/>
        </w:rPr>
        <w:t>winter overseeding species for ultra-dwarf bermudagrass greens in the transition zone.</w:t>
      </w:r>
    </w:p>
    <w:p w14:paraId="1C9A1FD3" w14:textId="77777777" w:rsidR="0001663B" w:rsidRPr="0001663B" w:rsidRDefault="0001663B" w:rsidP="0001663B">
      <w:pPr>
        <w:numPr>
          <w:ilvl w:val="0"/>
          <w:numId w:val="7"/>
        </w:numPr>
        <w:autoSpaceDE w:val="0"/>
        <w:autoSpaceDN w:val="0"/>
        <w:adjustRightInd w:val="0"/>
        <w:spacing w:after="0" w:line="480" w:lineRule="auto"/>
        <w:contextualSpacing/>
        <w:rPr>
          <w:rFonts w:ascii="Times New Roman" w:eastAsiaTheme="minorHAnsi" w:hAnsi="Times New Roman" w:cs="Times New Roman"/>
          <w:bCs/>
          <w:sz w:val="24"/>
          <w:szCs w:val="24"/>
        </w:rPr>
      </w:pPr>
      <w:r w:rsidRPr="0001663B">
        <w:rPr>
          <w:rFonts w:ascii="Times New Roman" w:eastAsiaTheme="minorHAnsi" w:hAnsi="Times New Roman" w:cs="Times New Roman"/>
          <w:bCs/>
          <w:sz w:val="24"/>
          <w:szCs w:val="24"/>
        </w:rPr>
        <w:t xml:space="preserve">To evaluate the performance of </w:t>
      </w:r>
      <w:r w:rsidRPr="0001663B">
        <w:rPr>
          <w:rFonts w:ascii="Times New Roman" w:eastAsiaTheme="minorHAnsi" w:hAnsi="Times New Roman" w:cs="Times New Roman"/>
          <w:bCs/>
          <w:i/>
          <w:sz w:val="24"/>
          <w:szCs w:val="24"/>
        </w:rPr>
        <w:t>P. nemoralis</w:t>
      </w:r>
      <w:r w:rsidR="00AB32E4">
        <w:rPr>
          <w:rFonts w:ascii="Times New Roman" w:eastAsiaTheme="minorHAnsi" w:hAnsi="Times New Roman" w:cs="Times New Roman"/>
          <w:bCs/>
          <w:sz w:val="24"/>
          <w:szCs w:val="24"/>
        </w:rPr>
        <w:t xml:space="preserve"> as a temporary</w:t>
      </w:r>
      <w:r w:rsidRPr="0001663B">
        <w:rPr>
          <w:rFonts w:ascii="Times New Roman" w:eastAsiaTheme="minorHAnsi" w:hAnsi="Times New Roman" w:cs="Times New Roman"/>
          <w:bCs/>
          <w:sz w:val="24"/>
          <w:szCs w:val="24"/>
        </w:rPr>
        <w:t xml:space="preserve"> </w:t>
      </w:r>
      <w:r w:rsidR="00AB32E4">
        <w:rPr>
          <w:rFonts w:ascii="Times New Roman" w:eastAsiaTheme="minorHAnsi" w:hAnsi="Times New Roman" w:cs="Times New Roman"/>
          <w:bCs/>
          <w:sz w:val="24"/>
          <w:szCs w:val="24"/>
        </w:rPr>
        <w:t xml:space="preserve">winter </w:t>
      </w:r>
      <w:r w:rsidRPr="0001663B">
        <w:rPr>
          <w:rFonts w:ascii="Times New Roman" w:eastAsiaTheme="minorHAnsi" w:hAnsi="Times New Roman" w:cs="Times New Roman"/>
          <w:bCs/>
          <w:sz w:val="24"/>
          <w:szCs w:val="24"/>
        </w:rPr>
        <w:t>overseeding species for bermudagrass fairways in the transition zone.</w:t>
      </w:r>
    </w:p>
    <w:p w14:paraId="5FC391C1" w14:textId="77777777" w:rsidR="00ED7955" w:rsidRDefault="0001663B" w:rsidP="0001663B">
      <w:pPr>
        <w:numPr>
          <w:ilvl w:val="0"/>
          <w:numId w:val="7"/>
        </w:numPr>
        <w:autoSpaceDE w:val="0"/>
        <w:autoSpaceDN w:val="0"/>
        <w:adjustRightInd w:val="0"/>
        <w:spacing w:after="0" w:line="480" w:lineRule="auto"/>
        <w:contextualSpacing/>
        <w:rPr>
          <w:rFonts w:ascii="Times New Roman" w:eastAsiaTheme="minorHAnsi" w:hAnsi="Times New Roman" w:cs="Times New Roman"/>
          <w:bCs/>
          <w:sz w:val="24"/>
          <w:szCs w:val="24"/>
        </w:rPr>
      </w:pPr>
      <w:r w:rsidRPr="0001663B">
        <w:rPr>
          <w:rFonts w:ascii="Times New Roman" w:eastAsiaTheme="minorHAnsi" w:hAnsi="Times New Roman" w:cs="Times New Roman"/>
          <w:bCs/>
          <w:sz w:val="24"/>
          <w:szCs w:val="24"/>
        </w:rPr>
        <w:t xml:space="preserve">To evaluate the performance of </w:t>
      </w:r>
      <w:r w:rsidRPr="0001663B">
        <w:rPr>
          <w:rFonts w:ascii="Times New Roman" w:eastAsiaTheme="minorHAnsi" w:hAnsi="Times New Roman" w:cs="Times New Roman"/>
          <w:bCs/>
          <w:i/>
          <w:sz w:val="24"/>
          <w:szCs w:val="24"/>
        </w:rPr>
        <w:t xml:space="preserve">P. nemoralis </w:t>
      </w:r>
      <w:r w:rsidR="00AB32E4">
        <w:rPr>
          <w:rFonts w:ascii="Times New Roman" w:eastAsiaTheme="minorHAnsi" w:hAnsi="Times New Roman" w:cs="Times New Roman"/>
          <w:bCs/>
          <w:sz w:val="24"/>
          <w:szCs w:val="24"/>
        </w:rPr>
        <w:t>as a temporary winter</w:t>
      </w:r>
      <w:r w:rsidRPr="0001663B">
        <w:rPr>
          <w:rFonts w:ascii="Times New Roman" w:eastAsiaTheme="minorHAnsi" w:hAnsi="Times New Roman" w:cs="Times New Roman"/>
          <w:bCs/>
          <w:sz w:val="24"/>
          <w:szCs w:val="24"/>
        </w:rPr>
        <w:t xml:space="preserve"> overseeding species for bermudagrass sports fields under simulated football traffic in the transition zone.</w:t>
      </w:r>
    </w:p>
    <w:p w14:paraId="6CBB8A7A" w14:textId="77777777" w:rsidR="0001663B" w:rsidRDefault="00ED7955" w:rsidP="00ED7955">
      <w:pPr>
        <w:rPr>
          <w:rFonts w:eastAsiaTheme="minorHAnsi"/>
        </w:rPr>
      </w:pPr>
      <w:r>
        <w:rPr>
          <w:rFonts w:eastAsiaTheme="minorHAnsi"/>
        </w:rPr>
        <w:br w:type="page"/>
      </w:r>
    </w:p>
    <w:p w14:paraId="71BC63B4" w14:textId="77777777" w:rsidR="00ED7955" w:rsidRDefault="00ED7955" w:rsidP="00ED7955">
      <w:pPr>
        <w:pStyle w:val="Heading2"/>
        <w:rPr>
          <w:rFonts w:eastAsiaTheme="minorHAnsi"/>
        </w:rPr>
      </w:pPr>
      <w:bookmarkStart w:id="5" w:name="_Toc354003312"/>
      <w:r>
        <w:rPr>
          <w:rFonts w:eastAsiaTheme="minorHAnsi"/>
        </w:rPr>
        <w:lastRenderedPageBreak/>
        <w:t>Literature Cited</w:t>
      </w:r>
      <w:bookmarkEnd w:id="5"/>
    </w:p>
    <w:p w14:paraId="6349D41E" w14:textId="77777777" w:rsidR="00ED7955" w:rsidRDefault="00ED7955" w:rsidP="00ED7955">
      <w:pPr>
        <w:ind w:left="720" w:hanging="720"/>
        <w:rPr>
          <w:rFonts w:ascii="Times New Roman" w:eastAsia="Times New Roman" w:hAnsi="Times New Roman" w:cs="Times New Roman"/>
          <w:color w:val="222222"/>
          <w:sz w:val="24"/>
          <w:szCs w:val="24"/>
        </w:rPr>
      </w:pPr>
    </w:p>
    <w:p w14:paraId="225B7A1D" w14:textId="77777777" w:rsidR="00ED7955" w:rsidRPr="000600AF" w:rsidRDefault="00ED7955" w:rsidP="00ED7955">
      <w:pPr>
        <w:spacing w:line="240" w:lineRule="auto"/>
        <w:ind w:left="720" w:hanging="720"/>
        <w:rPr>
          <w:rFonts w:ascii="Times New Roman" w:eastAsia="Times New Roman" w:hAnsi="Times New Roman" w:cs="Times New Roman"/>
          <w:sz w:val="24"/>
          <w:szCs w:val="24"/>
        </w:rPr>
      </w:pPr>
      <w:proofErr w:type="gramStart"/>
      <w:r w:rsidRPr="000600AF">
        <w:rPr>
          <w:rFonts w:ascii="Times New Roman" w:eastAsia="Times New Roman" w:hAnsi="Times New Roman" w:cs="Times New Roman"/>
          <w:sz w:val="24"/>
          <w:szCs w:val="24"/>
        </w:rPr>
        <w:t>Abraham, E. M., Huang, B.</w:t>
      </w:r>
      <w:r w:rsidR="004B0543" w:rsidRPr="000600AF">
        <w:rPr>
          <w:rFonts w:ascii="Times New Roman" w:eastAsia="Times New Roman" w:hAnsi="Times New Roman" w:cs="Times New Roman"/>
          <w:sz w:val="24"/>
          <w:szCs w:val="24"/>
        </w:rPr>
        <w:t>, Bonos, S. A., &amp; Meyer, W. A. 2004</w:t>
      </w:r>
      <w:r w:rsidRPr="000600AF">
        <w:rPr>
          <w:rFonts w:ascii="Times New Roman" w:eastAsia="Times New Roman" w:hAnsi="Times New Roman" w:cs="Times New Roman"/>
          <w:sz w:val="24"/>
          <w:szCs w:val="24"/>
        </w:rPr>
        <w:t>.</w:t>
      </w:r>
      <w:proofErr w:type="gramEnd"/>
      <w:r w:rsidRPr="000600AF">
        <w:rPr>
          <w:rFonts w:ascii="Times New Roman" w:eastAsia="Times New Roman" w:hAnsi="Times New Roman" w:cs="Times New Roman"/>
          <w:sz w:val="24"/>
          <w:szCs w:val="24"/>
        </w:rPr>
        <w:t xml:space="preserve"> </w:t>
      </w:r>
      <w:proofErr w:type="gramStart"/>
      <w:r w:rsidRPr="000600AF">
        <w:rPr>
          <w:rFonts w:ascii="Times New Roman" w:eastAsia="Times New Roman" w:hAnsi="Times New Roman" w:cs="Times New Roman"/>
          <w:sz w:val="24"/>
          <w:szCs w:val="24"/>
        </w:rPr>
        <w:t>Evaluation of drought resistance for Texas bluegrass, Kentucky bluegrass, and their hybrids.</w:t>
      </w:r>
      <w:proofErr w:type="gramEnd"/>
      <w:r w:rsidRPr="000600AF">
        <w:rPr>
          <w:rFonts w:ascii="Times New Roman" w:eastAsia="Times New Roman" w:hAnsi="Times New Roman" w:cs="Times New Roman"/>
          <w:sz w:val="24"/>
          <w:szCs w:val="24"/>
        </w:rPr>
        <w:t xml:space="preserve"> </w:t>
      </w:r>
      <w:r w:rsidR="004B0543" w:rsidRPr="000600AF">
        <w:rPr>
          <w:rFonts w:ascii="Times New Roman" w:eastAsia="Times New Roman" w:hAnsi="Times New Roman" w:cs="Times New Roman"/>
          <w:iCs/>
          <w:sz w:val="24"/>
          <w:szCs w:val="24"/>
        </w:rPr>
        <w:t>Crop S</w:t>
      </w:r>
      <w:r w:rsidR="00AB32E4" w:rsidRPr="000600AF">
        <w:rPr>
          <w:rFonts w:ascii="Times New Roman" w:eastAsia="Times New Roman" w:hAnsi="Times New Roman" w:cs="Times New Roman"/>
          <w:iCs/>
          <w:sz w:val="24"/>
          <w:szCs w:val="24"/>
        </w:rPr>
        <w:t>ci</w:t>
      </w:r>
      <w:r w:rsidRPr="000600AF">
        <w:rPr>
          <w:rFonts w:ascii="Times New Roman" w:eastAsia="Times New Roman" w:hAnsi="Times New Roman" w:cs="Times New Roman"/>
          <w:sz w:val="24"/>
          <w:szCs w:val="24"/>
        </w:rPr>
        <w:t xml:space="preserve">, </w:t>
      </w:r>
      <w:r w:rsidRPr="000600AF">
        <w:rPr>
          <w:rFonts w:ascii="Times New Roman" w:eastAsia="Times New Roman" w:hAnsi="Times New Roman" w:cs="Times New Roman"/>
          <w:iCs/>
          <w:sz w:val="24"/>
          <w:szCs w:val="24"/>
        </w:rPr>
        <w:t>44</w:t>
      </w:r>
      <w:r w:rsidR="004B0543" w:rsidRPr="000600AF">
        <w:rPr>
          <w:rFonts w:ascii="Times New Roman" w:eastAsia="Times New Roman" w:hAnsi="Times New Roman" w:cs="Times New Roman"/>
          <w:sz w:val="24"/>
          <w:szCs w:val="24"/>
        </w:rPr>
        <w:t>:</w:t>
      </w:r>
      <w:r w:rsidRPr="000600AF">
        <w:rPr>
          <w:rFonts w:ascii="Times New Roman" w:eastAsia="Times New Roman" w:hAnsi="Times New Roman" w:cs="Times New Roman"/>
          <w:sz w:val="24"/>
          <w:szCs w:val="24"/>
        </w:rPr>
        <w:t xml:space="preserve"> 1746-1753.</w:t>
      </w:r>
    </w:p>
    <w:p w14:paraId="2A685DA3" w14:textId="77777777" w:rsidR="002D4CE6" w:rsidRPr="000600AF" w:rsidRDefault="002D4CE6" w:rsidP="00ED7955">
      <w:pPr>
        <w:spacing w:line="240" w:lineRule="auto"/>
        <w:ind w:left="720" w:hanging="720"/>
        <w:rPr>
          <w:rFonts w:ascii="Times New Roman" w:eastAsia="Times New Roman" w:hAnsi="Times New Roman" w:cs="Times New Roman"/>
          <w:sz w:val="24"/>
          <w:szCs w:val="24"/>
        </w:rPr>
      </w:pPr>
      <w:r w:rsidRPr="000600AF">
        <w:rPr>
          <w:rFonts w:ascii="Times New Roman" w:hAnsi="Times New Roman" w:cs="Times New Roman"/>
          <w:sz w:val="24"/>
          <w:szCs w:val="24"/>
        </w:rPr>
        <w:t xml:space="preserve">Anonymous. 1937. History of Arlington Turf </w:t>
      </w:r>
      <w:proofErr w:type="gramStart"/>
      <w:r w:rsidRPr="000600AF">
        <w:rPr>
          <w:rFonts w:ascii="Times New Roman" w:hAnsi="Times New Roman" w:cs="Times New Roman"/>
          <w:sz w:val="24"/>
          <w:szCs w:val="24"/>
        </w:rPr>
        <w:t xml:space="preserve">Gardens  </w:t>
      </w:r>
      <w:r w:rsidRPr="000600AF">
        <w:rPr>
          <w:rFonts w:ascii="Times New Roman" w:hAnsi="Times New Roman" w:cs="Times New Roman"/>
          <w:iCs/>
          <w:sz w:val="24"/>
          <w:szCs w:val="24"/>
        </w:rPr>
        <w:t>The</w:t>
      </w:r>
      <w:proofErr w:type="gramEnd"/>
      <w:r w:rsidRPr="000600AF">
        <w:rPr>
          <w:rFonts w:ascii="Times New Roman" w:hAnsi="Times New Roman" w:cs="Times New Roman"/>
          <w:iCs/>
          <w:sz w:val="24"/>
          <w:szCs w:val="24"/>
        </w:rPr>
        <w:t xml:space="preserve"> Greenkeepers' Reporter</w:t>
      </w:r>
      <w:r w:rsidRPr="000600AF">
        <w:rPr>
          <w:rFonts w:ascii="Times New Roman" w:hAnsi="Times New Roman" w:cs="Times New Roman"/>
          <w:sz w:val="24"/>
          <w:szCs w:val="24"/>
        </w:rPr>
        <w:t>. March. 5(2): p. 46-47</w:t>
      </w:r>
    </w:p>
    <w:p w14:paraId="00DD0B6A"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proofErr w:type="gramStart"/>
      <w:r w:rsidRPr="000600AF">
        <w:rPr>
          <w:rFonts w:ascii="Times New Roman" w:eastAsiaTheme="minorHAnsi" w:hAnsi="Times New Roman" w:cs="Times New Roman"/>
          <w:sz w:val="24"/>
          <w:szCs w:val="24"/>
        </w:rPr>
        <w:t>Amundsen, Keenan L.; Shearman, Robert "Bob".</w:t>
      </w:r>
      <w:proofErr w:type="gramEnd"/>
      <w:r w:rsidRPr="000600AF">
        <w:rPr>
          <w:rFonts w:ascii="Times New Roman" w:eastAsiaTheme="minorHAnsi" w:hAnsi="Times New Roman" w:cs="Times New Roman"/>
          <w:sz w:val="24"/>
          <w:szCs w:val="24"/>
        </w:rPr>
        <w:t xml:space="preserve"> 2011. Buffalograss germplasm improvement and management. </w:t>
      </w:r>
      <w:r w:rsidRPr="000600AF">
        <w:rPr>
          <w:rFonts w:ascii="Times New Roman" w:eastAsiaTheme="minorHAnsi" w:hAnsi="Times New Roman" w:cs="Times New Roman"/>
          <w:iCs/>
          <w:sz w:val="24"/>
          <w:szCs w:val="24"/>
        </w:rPr>
        <w:t>2011 USGA Turfgrass and Environmental Research Summary</w:t>
      </w:r>
      <w:r w:rsidRPr="000600AF">
        <w:rPr>
          <w:rFonts w:ascii="Times New Roman" w:eastAsiaTheme="minorHAnsi" w:hAnsi="Times New Roman" w:cs="Times New Roman"/>
          <w:sz w:val="24"/>
          <w:szCs w:val="24"/>
        </w:rPr>
        <w:t>. p. 18.</w:t>
      </w:r>
    </w:p>
    <w:p w14:paraId="3B0B82C7" w14:textId="77777777" w:rsidR="00ED7955" w:rsidRPr="000600AF" w:rsidRDefault="00ED7955" w:rsidP="00ED7955">
      <w:pPr>
        <w:spacing w:line="240" w:lineRule="auto"/>
        <w:ind w:left="720" w:hanging="720"/>
        <w:rPr>
          <w:rFonts w:ascii="Times New Roman" w:eastAsia="Times New Roman" w:hAnsi="Times New Roman" w:cs="Times New Roman"/>
          <w:color w:val="222222"/>
          <w:sz w:val="24"/>
          <w:szCs w:val="24"/>
        </w:rPr>
      </w:pPr>
      <w:r w:rsidRPr="000600AF">
        <w:rPr>
          <w:rFonts w:ascii="Times New Roman" w:eastAsia="Times New Roman" w:hAnsi="Times New Roman" w:cs="Times New Roman"/>
          <w:color w:val="222222"/>
          <w:sz w:val="24"/>
          <w:szCs w:val="24"/>
        </w:rPr>
        <w:t xml:space="preserve">Anton, A. M., &amp; Connor, H. E. 1995. Floral biology and reproduction in Poa (Poeae: Gramineae). </w:t>
      </w:r>
      <w:proofErr w:type="gramStart"/>
      <w:r w:rsidRPr="000600AF">
        <w:rPr>
          <w:rFonts w:ascii="Times New Roman" w:eastAsia="Times New Roman" w:hAnsi="Times New Roman" w:cs="Times New Roman"/>
          <w:iCs/>
          <w:color w:val="222222"/>
          <w:sz w:val="24"/>
          <w:szCs w:val="24"/>
        </w:rPr>
        <w:t>Australian journal of botany</w:t>
      </w:r>
      <w:r w:rsidRPr="000600AF">
        <w:rPr>
          <w:rFonts w:ascii="Times New Roman" w:eastAsia="Times New Roman" w:hAnsi="Times New Roman" w:cs="Times New Roman"/>
          <w:color w:val="222222"/>
          <w:sz w:val="24"/>
          <w:szCs w:val="24"/>
        </w:rPr>
        <w:t xml:space="preserve">, </w:t>
      </w:r>
      <w:r w:rsidRPr="000600AF">
        <w:rPr>
          <w:rFonts w:ascii="Times New Roman" w:eastAsia="Times New Roman" w:hAnsi="Times New Roman" w:cs="Times New Roman"/>
          <w:iCs/>
          <w:color w:val="222222"/>
          <w:sz w:val="24"/>
          <w:szCs w:val="24"/>
        </w:rPr>
        <w:t>43</w:t>
      </w:r>
      <w:r w:rsidRPr="000600AF">
        <w:rPr>
          <w:rFonts w:ascii="Times New Roman" w:eastAsia="Times New Roman" w:hAnsi="Times New Roman" w:cs="Times New Roman"/>
          <w:color w:val="222222"/>
          <w:sz w:val="24"/>
          <w:szCs w:val="24"/>
        </w:rPr>
        <w:t>(6), 577-599.</w:t>
      </w:r>
      <w:proofErr w:type="gramEnd"/>
    </w:p>
    <w:p w14:paraId="43A4D8A5" w14:textId="77777777" w:rsidR="00ED7955" w:rsidRPr="000600AF" w:rsidRDefault="00ED7955" w:rsidP="00ED7955">
      <w:pPr>
        <w:ind w:left="720" w:hanging="720"/>
        <w:rPr>
          <w:rFonts w:ascii="Times New Roman" w:hAnsi="Times New Roman" w:cs="Times New Roman"/>
          <w:sz w:val="24"/>
          <w:szCs w:val="24"/>
        </w:rPr>
      </w:pPr>
      <w:proofErr w:type="gramStart"/>
      <w:r w:rsidRPr="000600AF">
        <w:rPr>
          <w:rFonts w:ascii="Times New Roman" w:hAnsi="Times New Roman" w:cs="Times New Roman"/>
          <w:sz w:val="24"/>
          <w:szCs w:val="24"/>
        </w:rPr>
        <w:t>Askew, Shawn.</w:t>
      </w:r>
      <w:proofErr w:type="gramEnd"/>
      <w:r w:rsidRPr="000600AF">
        <w:rPr>
          <w:rFonts w:ascii="Times New Roman" w:hAnsi="Times New Roman" w:cs="Times New Roman"/>
          <w:sz w:val="24"/>
          <w:szCs w:val="24"/>
        </w:rPr>
        <w:t xml:space="preserve"> 2010. Perennial ryegrass competition affects bermudagrass health.  </w:t>
      </w:r>
      <w:proofErr w:type="gramStart"/>
      <w:r w:rsidRPr="000600AF">
        <w:rPr>
          <w:rFonts w:ascii="Times New Roman" w:hAnsi="Times New Roman" w:cs="Times New Roman"/>
          <w:sz w:val="24"/>
          <w:szCs w:val="24"/>
        </w:rPr>
        <w:t>Golf Course Management.</w:t>
      </w:r>
      <w:proofErr w:type="gramEnd"/>
      <w:r w:rsidRPr="000600AF">
        <w:rPr>
          <w:rFonts w:ascii="Times New Roman" w:hAnsi="Times New Roman" w:cs="Times New Roman"/>
          <w:sz w:val="24"/>
          <w:szCs w:val="24"/>
        </w:rPr>
        <w:t xml:space="preserve"> October. 78(10): p. 96-98, 100, 102.</w:t>
      </w:r>
    </w:p>
    <w:p w14:paraId="26181AC5"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proofErr w:type="gramStart"/>
      <w:r w:rsidRPr="000600AF">
        <w:rPr>
          <w:rFonts w:ascii="Times New Roman" w:eastAsiaTheme="minorHAnsi" w:hAnsi="Times New Roman" w:cs="Times New Roman"/>
          <w:sz w:val="24"/>
          <w:szCs w:val="24"/>
        </w:rPr>
        <w:t>Bashaw, E. C.; Funk, C. Reed.</w:t>
      </w:r>
      <w:proofErr w:type="gramEnd"/>
      <w:r w:rsidRPr="000600AF">
        <w:rPr>
          <w:rFonts w:ascii="Times New Roman" w:eastAsiaTheme="minorHAnsi" w:hAnsi="Times New Roman" w:cs="Times New Roman"/>
          <w:sz w:val="24"/>
          <w:szCs w:val="24"/>
        </w:rPr>
        <w:t xml:space="preserve"> 1987. p. 40-82. In: Fehr, Walter R., ed. </w:t>
      </w:r>
      <w:r w:rsidRPr="000600AF">
        <w:rPr>
          <w:rFonts w:ascii="Times New Roman" w:eastAsiaTheme="minorHAnsi" w:hAnsi="Times New Roman" w:cs="Times New Roman"/>
          <w:iCs/>
          <w:sz w:val="24"/>
          <w:szCs w:val="24"/>
        </w:rPr>
        <w:t>Principles of Cultivar Development: Volume 2 Crop Species</w:t>
      </w:r>
      <w:r w:rsidRPr="000600AF">
        <w:rPr>
          <w:rFonts w:ascii="Times New Roman" w:eastAsiaTheme="minorHAnsi" w:hAnsi="Times New Roman" w:cs="Times New Roman"/>
          <w:sz w:val="24"/>
          <w:szCs w:val="24"/>
        </w:rPr>
        <w:t>. New York, NY: Macmillan Publishing Company.</w:t>
      </w:r>
    </w:p>
    <w:p w14:paraId="05C7AF77"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Batten, S., J. B. Beard, and D. Johns. 1980. Monitoring soil temperature to determine overseeding rates. Grounds Maint. 15(9):42-48.</w:t>
      </w:r>
    </w:p>
    <w:p w14:paraId="58A32F09"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Batten, S.M., J.B. Beard, D. Johns, A. Almodares, and J. Eckhardt. 1981.Characterization of cool season turfgrasses for winter overseeding of dormant bermudagrass. </w:t>
      </w:r>
      <w:proofErr w:type="gramStart"/>
      <w:r w:rsidRPr="000600AF">
        <w:rPr>
          <w:rFonts w:ascii="Times New Roman" w:hAnsi="Times New Roman" w:cs="Times New Roman"/>
          <w:sz w:val="24"/>
          <w:szCs w:val="24"/>
        </w:rPr>
        <w:t>Proceedings of the International Turfgrass Research Conference.</w:t>
      </w:r>
      <w:proofErr w:type="gramEnd"/>
      <w:r w:rsidRPr="000600AF">
        <w:rPr>
          <w:rFonts w:ascii="Times New Roman" w:hAnsi="Times New Roman" w:cs="Times New Roman"/>
          <w:sz w:val="24"/>
          <w:szCs w:val="24"/>
        </w:rPr>
        <w:t xml:space="preserve"> 4:83-89.</w:t>
      </w:r>
    </w:p>
    <w:p w14:paraId="07505F10"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Beard, J.B. 1973. Turfgrass: Science and culture. </w:t>
      </w:r>
      <w:proofErr w:type="gramStart"/>
      <w:r w:rsidRPr="000600AF">
        <w:rPr>
          <w:rFonts w:ascii="Times New Roman" w:hAnsi="Times New Roman" w:cs="Times New Roman"/>
          <w:sz w:val="24"/>
          <w:szCs w:val="24"/>
        </w:rPr>
        <w:t>Prentice-Hall, Inc. Englewood Cliffs, N.J.</w:t>
      </w:r>
      <w:proofErr w:type="gramEnd"/>
    </w:p>
    <w:p w14:paraId="315BA6C8"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r w:rsidRPr="000600AF">
        <w:rPr>
          <w:rFonts w:ascii="Times New Roman" w:eastAsiaTheme="minorHAnsi" w:hAnsi="Times New Roman" w:cs="Times New Roman"/>
          <w:sz w:val="24"/>
          <w:szCs w:val="24"/>
        </w:rPr>
        <w:t xml:space="preserve">Beard, James B. 1998. The origins of turfgrass species: Before spiked shoes and triplex mowers, hooves and teeth shaped the grasses we play on. </w:t>
      </w:r>
      <w:proofErr w:type="gramStart"/>
      <w:r w:rsidRPr="000600AF">
        <w:rPr>
          <w:rFonts w:ascii="Times New Roman" w:eastAsiaTheme="minorHAnsi" w:hAnsi="Times New Roman" w:cs="Times New Roman"/>
          <w:iCs/>
          <w:sz w:val="24"/>
          <w:szCs w:val="24"/>
        </w:rPr>
        <w:t>Golf Course Management</w:t>
      </w:r>
      <w:r w:rsidRPr="000600AF">
        <w:rPr>
          <w:rFonts w:ascii="Times New Roman" w:eastAsiaTheme="minorHAnsi" w:hAnsi="Times New Roman" w:cs="Times New Roman"/>
          <w:sz w:val="24"/>
          <w:szCs w:val="24"/>
        </w:rPr>
        <w:t>.</w:t>
      </w:r>
      <w:proofErr w:type="gramEnd"/>
      <w:r w:rsidRPr="000600AF">
        <w:rPr>
          <w:rFonts w:ascii="Times New Roman" w:eastAsiaTheme="minorHAnsi" w:hAnsi="Times New Roman" w:cs="Times New Roman"/>
          <w:sz w:val="24"/>
          <w:szCs w:val="24"/>
        </w:rPr>
        <w:t xml:space="preserve"> March. 66(3): p. 49-55.</w:t>
      </w:r>
    </w:p>
    <w:p w14:paraId="241A0273"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Beard, James B; Beard, Harriet J. 2005.  Beard's Turfgrass Encyclopedia for Golf Courses, Grounds, Lawns, Sports Fields</w:t>
      </w:r>
      <w:r w:rsidR="00FB70A1" w:rsidRPr="000600AF">
        <w:rPr>
          <w:rFonts w:ascii="Times New Roman" w:hAnsi="Times New Roman" w:cs="Times New Roman"/>
          <w:sz w:val="24"/>
          <w:szCs w:val="24"/>
        </w:rPr>
        <w:t xml:space="preserve"> </w:t>
      </w:r>
      <w:r w:rsidRPr="000600AF">
        <w:rPr>
          <w:rFonts w:ascii="Times New Roman" w:hAnsi="Times New Roman" w:cs="Times New Roman"/>
          <w:sz w:val="24"/>
          <w:szCs w:val="24"/>
        </w:rPr>
        <w:t xml:space="preserve">East Lansing, </w:t>
      </w:r>
      <w:proofErr w:type="gramStart"/>
      <w:r w:rsidRPr="000600AF">
        <w:rPr>
          <w:rFonts w:ascii="Times New Roman" w:hAnsi="Times New Roman" w:cs="Times New Roman"/>
          <w:sz w:val="24"/>
          <w:szCs w:val="24"/>
        </w:rPr>
        <w:t>MI :</w:t>
      </w:r>
      <w:proofErr w:type="gramEnd"/>
      <w:r w:rsidRPr="000600AF">
        <w:rPr>
          <w:rFonts w:ascii="Times New Roman" w:hAnsi="Times New Roman" w:cs="Times New Roman"/>
          <w:sz w:val="24"/>
          <w:szCs w:val="24"/>
        </w:rPr>
        <w:t xml:space="preserve"> Michigan State University Press. </w:t>
      </w:r>
      <w:proofErr w:type="gramStart"/>
      <w:r w:rsidRPr="000600AF">
        <w:rPr>
          <w:rFonts w:ascii="Times New Roman" w:hAnsi="Times New Roman" w:cs="Times New Roman"/>
          <w:sz w:val="24"/>
          <w:szCs w:val="24"/>
        </w:rPr>
        <w:t>ix</w:t>
      </w:r>
      <w:proofErr w:type="gramEnd"/>
      <w:r w:rsidRPr="000600AF">
        <w:rPr>
          <w:rFonts w:ascii="Times New Roman" w:hAnsi="Times New Roman" w:cs="Times New Roman"/>
          <w:sz w:val="24"/>
          <w:szCs w:val="24"/>
        </w:rPr>
        <w:t>, 513 pp.</w:t>
      </w:r>
    </w:p>
    <w:p w14:paraId="14DCCDAC" w14:textId="77777777" w:rsidR="000E1B66" w:rsidRPr="000600AF" w:rsidRDefault="000E1B66"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Johnson, B. J. 1977. Effect of herbicide treatments on overseeded putting green turf. Weed Science, 343-347.</w:t>
      </w:r>
    </w:p>
    <w:p w14:paraId="75CAF56E"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Bornino, Brian F. 2011. Overseeding bermudagrass fields on the north edge of the transition zone. SportsTurf.  June. 27(6): p. 12-13.</w:t>
      </w:r>
    </w:p>
    <w:p w14:paraId="063674C6"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Brede, Doug. 2000. </w:t>
      </w:r>
      <w:r w:rsidRPr="000600AF">
        <w:rPr>
          <w:rFonts w:ascii="Times New Roman" w:hAnsi="Times New Roman" w:cs="Times New Roman"/>
          <w:iCs/>
          <w:sz w:val="24"/>
          <w:szCs w:val="24"/>
        </w:rPr>
        <w:t xml:space="preserve">Turfgrass Maintenance Reduction Handbook: Sports, Lawns, and Golf. </w:t>
      </w:r>
      <w:r w:rsidRPr="000600AF">
        <w:rPr>
          <w:rFonts w:ascii="Times New Roman" w:hAnsi="Times New Roman" w:cs="Times New Roman"/>
          <w:sz w:val="24"/>
          <w:szCs w:val="24"/>
        </w:rPr>
        <w:t xml:space="preserve">Chelsea, Michigan: Sleeping Bear Press. </w:t>
      </w:r>
      <w:proofErr w:type="gramStart"/>
      <w:r w:rsidRPr="000600AF">
        <w:rPr>
          <w:rFonts w:ascii="Times New Roman" w:hAnsi="Times New Roman" w:cs="Times New Roman"/>
          <w:sz w:val="24"/>
          <w:szCs w:val="24"/>
        </w:rPr>
        <w:t>xii</w:t>
      </w:r>
      <w:proofErr w:type="gramEnd"/>
      <w:r w:rsidRPr="000600AF">
        <w:rPr>
          <w:rFonts w:ascii="Times New Roman" w:hAnsi="Times New Roman" w:cs="Times New Roman"/>
          <w:sz w:val="24"/>
          <w:szCs w:val="24"/>
        </w:rPr>
        <w:t>, 374 pp.</w:t>
      </w:r>
    </w:p>
    <w:p w14:paraId="722A947D"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Brown, Max; Horn, Granville C. 1961. Winter greens a symposium: Part 2: Overseeding in the Southeast. </w:t>
      </w:r>
      <w:proofErr w:type="gramStart"/>
      <w:r w:rsidRPr="000600AF">
        <w:rPr>
          <w:rFonts w:ascii="Times New Roman" w:hAnsi="Times New Roman" w:cs="Times New Roman"/>
          <w:sz w:val="24"/>
          <w:szCs w:val="24"/>
        </w:rPr>
        <w:t>The Golf Course Reporter.</w:t>
      </w:r>
      <w:proofErr w:type="gramEnd"/>
      <w:r w:rsidRPr="000600AF">
        <w:rPr>
          <w:rFonts w:ascii="Times New Roman" w:hAnsi="Times New Roman" w:cs="Times New Roman"/>
          <w:sz w:val="24"/>
          <w:szCs w:val="24"/>
        </w:rPr>
        <w:t xml:space="preserve"> September/October. 29(9): p. 16, 22-24, 26.</w:t>
      </w:r>
    </w:p>
    <w:p w14:paraId="668F60F7" w14:textId="77777777" w:rsidR="00ED7955" w:rsidRPr="000600AF" w:rsidRDefault="00ED7955" w:rsidP="00ED7955">
      <w:pPr>
        <w:spacing w:line="240" w:lineRule="auto"/>
        <w:ind w:left="720" w:hanging="720"/>
        <w:rPr>
          <w:rFonts w:ascii="Times New Roman" w:eastAsia="Times New Roman" w:hAnsi="Times New Roman" w:cs="Times New Roman"/>
          <w:color w:val="222222"/>
          <w:sz w:val="24"/>
          <w:szCs w:val="24"/>
        </w:rPr>
      </w:pPr>
      <w:r w:rsidRPr="000600AF">
        <w:rPr>
          <w:rFonts w:ascii="Times New Roman" w:eastAsia="Times New Roman" w:hAnsi="Times New Roman" w:cs="Times New Roman"/>
          <w:sz w:val="24"/>
          <w:szCs w:val="24"/>
        </w:rPr>
        <w:lastRenderedPageBreak/>
        <w:t xml:space="preserve">Bushman, B. S., Waldron, B. L., Robins, J. G., Bhattarai, K., &amp; Johnson, P. G. (2012). Summer Percent Green Cover among Kentucky </w:t>
      </w:r>
      <w:proofErr w:type="gramStart"/>
      <w:r w:rsidRPr="000600AF">
        <w:rPr>
          <w:rFonts w:ascii="Times New Roman" w:eastAsia="Times New Roman" w:hAnsi="Times New Roman" w:cs="Times New Roman"/>
          <w:sz w:val="24"/>
          <w:szCs w:val="24"/>
        </w:rPr>
        <w:t>Bluegrass</w:t>
      </w:r>
      <w:proofErr w:type="gramEnd"/>
      <w:r w:rsidRPr="000600AF">
        <w:rPr>
          <w:rFonts w:ascii="Times New Roman" w:eastAsia="Times New Roman" w:hAnsi="Times New Roman" w:cs="Times New Roman"/>
          <w:sz w:val="24"/>
          <w:szCs w:val="24"/>
        </w:rPr>
        <w:t xml:space="preserve"> Cultivars, Accessions, and Other Species Managed under Deficit Irrigation. </w:t>
      </w:r>
      <w:r w:rsidRPr="000600AF">
        <w:rPr>
          <w:rFonts w:ascii="Times New Roman" w:eastAsia="Times New Roman" w:hAnsi="Times New Roman" w:cs="Times New Roman"/>
          <w:iCs/>
          <w:sz w:val="24"/>
          <w:szCs w:val="24"/>
        </w:rPr>
        <w:t>Crop Science</w:t>
      </w:r>
      <w:r w:rsidRPr="000600AF">
        <w:rPr>
          <w:rFonts w:ascii="Times New Roman" w:eastAsia="Times New Roman" w:hAnsi="Times New Roman" w:cs="Times New Roman"/>
          <w:sz w:val="24"/>
          <w:szCs w:val="24"/>
        </w:rPr>
        <w:t xml:space="preserve">, </w:t>
      </w:r>
      <w:r w:rsidRPr="000600AF">
        <w:rPr>
          <w:rFonts w:ascii="Times New Roman" w:eastAsia="Times New Roman" w:hAnsi="Times New Roman" w:cs="Times New Roman"/>
          <w:iCs/>
          <w:sz w:val="24"/>
          <w:szCs w:val="24"/>
        </w:rPr>
        <w:t>52</w:t>
      </w:r>
      <w:r w:rsidRPr="000600AF">
        <w:rPr>
          <w:rFonts w:ascii="Times New Roman" w:eastAsia="Times New Roman" w:hAnsi="Times New Roman" w:cs="Times New Roman"/>
          <w:sz w:val="24"/>
          <w:szCs w:val="24"/>
        </w:rPr>
        <w:t>(1), 400-407</w:t>
      </w:r>
      <w:r w:rsidRPr="000600AF">
        <w:rPr>
          <w:rFonts w:ascii="Times New Roman" w:eastAsia="Times New Roman" w:hAnsi="Times New Roman" w:cs="Times New Roman"/>
          <w:color w:val="222222"/>
          <w:sz w:val="24"/>
          <w:szCs w:val="24"/>
        </w:rPr>
        <w:t>.</w:t>
      </w:r>
    </w:p>
    <w:p w14:paraId="2587D0C1" w14:textId="77777777" w:rsidR="00ED7955" w:rsidRPr="000600AF" w:rsidRDefault="00ED7955" w:rsidP="00ED7955">
      <w:pPr>
        <w:spacing w:line="240" w:lineRule="auto"/>
        <w:ind w:left="720" w:hanging="720"/>
        <w:rPr>
          <w:rFonts w:ascii="Times New Roman" w:hAnsi="Times New Roman" w:cs="Times New Roman"/>
          <w:sz w:val="24"/>
          <w:szCs w:val="24"/>
        </w:rPr>
      </w:pPr>
      <w:proofErr w:type="gramStart"/>
      <w:r w:rsidRPr="000600AF">
        <w:rPr>
          <w:rFonts w:ascii="Times New Roman" w:hAnsi="Times New Roman" w:cs="Times New Roman"/>
          <w:sz w:val="24"/>
          <w:szCs w:val="24"/>
        </w:rPr>
        <w:t>Christians, N. 2004.</w:t>
      </w:r>
      <w:proofErr w:type="gramEnd"/>
      <w:r w:rsidRPr="000600AF">
        <w:rPr>
          <w:rFonts w:ascii="Times New Roman" w:hAnsi="Times New Roman" w:cs="Times New Roman"/>
          <w:sz w:val="24"/>
          <w:szCs w:val="24"/>
        </w:rPr>
        <w:t xml:space="preserve"> </w:t>
      </w:r>
      <w:proofErr w:type="gramStart"/>
      <w:r w:rsidRPr="000600AF">
        <w:rPr>
          <w:rFonts w:ascii="Times New Roman" w:hAnsi="Times New Roman" w:cs="Times New Roman"/>
          <w:sz w:val="24"/>
          <w:szCs w:val="24"/>
        </w:rPr>
        <w:t>Fundamentals of turfgrass management.</w:t>
      </w:r>
      <w:proofErr w:type="gramEnd"/>
      <w:r w:rsidRPr="000600AF">
        <w:rPr>
          <w:rFonts w:ascii="Times New Roman" w:hAnsi="Times New Roman" w:cs="Times New Roman"/>
          <w:sz w:val="24"/>
          <w:szCs w:val="24"/>
        </w:rPr>
        <w:t xml:space="preserve"> </w:t>
      </w:r>
      <w:proofErr w:type="gramStart"/>
      <w:r w:rsidRPr="000600AF">
        <w:rPr>
          <w:rFonts w:ascii="Times New Roman" w:hAnsi="Times New Roman" w:cs="Times New Roman"/>
          <w:sz w:val="24"/>
          <w:szCs w:val="24"/>
        </w:rPr>
        <w:t>2nd ed. John Wiley and Sons, N.J.</w:t>
      </w:r>
      <w:proofErr w:type="gramEnd"/>
    </w:p>
    <w:p w14:paraId="66603A9A" w14:textId="77777777" w:rsidR="00ED7955" w:rsidRPr="000600AF" w:rsidRDefault="00ED7955" w:rsidP="00ED7955">
      <w:pPr>
        <w:spacing w:line="240" w:lineRule="auto"/>
        <w:ind w:left="720" w:hanging="720"/>
        <w:rPr>
          <w:rFonts w:ascii="Times New Roman" w:eastAsia="Times New Roman" w:hAnsi="Times New Roman" w:cs="Times New Roman"/>
          <w:color w:val="222222"/>
          <w:sz w:val="24"/>
          <w:szCs w:val="24"/>
        </w:rPr>
      </w:pPr>
      <w:r w:rsidRPr="000600AF">
        <w:rPr>
          <w:rFonts w:ascii="Times New Roman" w:eastAsia="Times New Roman" w:hAnsi="Times New Roman" w:cs="Times New Roman"/>
          <w:color w:val="222222"/>
          <w:sz w:val="24"/>
          <w:szCs w:val="24"/>
        </w:rPr>
        <w:t xml:space="preserve">Clausen, J.1961. Introgression facilitated by apomixis in polyploid Poas. </w:t>
      </w:r>
      <w:r w:rsidRPr="000600AF">
        <w:rPr>
          <w:rFonts w:ascii="Times New Roman" w:eastAsia="Times New Roman" w:hAnsi="Times New Roman" w:cs="Times New Roman"/>
          <w:iCs/>
          <w:color w:val="222222"/>
          <w:sz w:val="24"/>
          <w:szCs w:val="24"/>
        </w:rPr>
        <w:t>Euphytica</w:t>
      </w:r>
      <w:r w:rsidRPr="000600AF">
        <w:rPr>
          <w:rFonts w:ascii="Times New Roman" w:eastAsia="Times New Roman" w:hAnsi="Times New Roman" w:cs="Times New Roman"/>
          <w:color w:val="222222"/>
          <w:sz w:val="24"/>
          <w:szCs w:val="24"/>
        </w:rPr>
        <w:t xml:space="preserve">, </w:t>
      </w:r>
      <w:r w:rsidRPr="000600AF">
        <w:rPr>
          <w:rFonts w:ascii="Times New Roman" w:eastAsia="Times New Roman" w:hAnsi="Times New Roman" w:cs="Times New Roman"/>
          <w:iCs/>
          <w:color w:val="222222"/>
          <w:sz w:val="24"/>
          <w:szCs w:val="24"/>
        </w:rPr>
        <w:t>10</w:t>
      </w:r>
      <w:r w:rsidRPr="000600AF">
        <w:rPr>
          <w:rFonts w:ascii="Times New Roman" w:eastAsia="Times New Roman" w:hAnsi="Times New Roman" w:cs="Times New Roman"/>
          <w:color w:val="222222"/>
          <w:sz w:val="24"/>
          <w:szCs w:val="24"/>
        </w:rPr>
        <w:t>(1), 87-94.</w:t>
      </w:r>
    </w:p>
    <w:p w14:paraId="14B51285" w14:textId="77777777" w:rsidR="00ED7955" w:rsidRPr="000600AF" w:rsidRDefault="00ED7955" w:rsidP="00ED7955">
      <w:pPr>
        <w:spacing w:line="240" w:lineRule="auto"/>
        <w:ind w:left="720" w:hanging="720"/>
        <w:rPr>
          <w:rFonts w:ascii="Times New Roman" w:eastAsia="Times New Roman" w:hAnsi="Times New Roman" w:cs="Times New Roman"/>
          <w:color w:val="222222"/>
          <w:sz w:val="24"/>
          <w:szCs w:val="24"/>
        </w:rPr>
      </w:pPr>
      <w:r w:rsidRPr="000600AF">
        <w:rPr>
          <w:rFonts w:ascii="Times New Roman" w:eastAsia="Times New Roman" w:hAnsi="Times New Roman" w:cs="Times New Roman"/>
          <w:color w:val="222222"/>
          <w:sz w:val="24"/>
          <w:szCs w:val="24"/>
        </w:rPr>
        <w:t xml:space="preserve">Dale, M. R., Ahmed, M. K., Jelenkovic, G., &amp; Funk, C. R. 1975. Characteristics and Performance of Interspecific Hybrids </w:t>
      </w:r>
      <w:proofErr w:type="gramStart"/>
      <w:r w:rsidRPr="000600AF">
        <w:rPr>
          <w:rFonts w:ascii="Times New Roman" w:eastAsia="Times New Roman" w:hAnsi="Times New Roman" w:cs="Times New Roman"/>
          <w:color w:val="222222"/>
          <w:sz w:val="24"/>
          <w:szCs w:val="24"/>
        </w:rPr>
        <w:t>Between</w:t>
      </w:r>
      <w:proofErr w:type="gramEnd"/>
      <w:r w:rsidRPr="000600AF">
        <w:rPr>
          <w:rFonts w:ascii="Times New Roman" w:eastAsia="Times New Roman" w:hAnsi="Times New Roman" w:cs="Times New Roman"/>
          <w:color w:val="222222"/>
          <w:sz w:val="24"/>
          <w:szCs w:val="24"/>
        </w:rPr>
        <w:t xml:space="preserve"> Kentucky Bluegrass and Canada Bluegrass. </w:t>
      </w:r>
      <w:r w:rsidRPr="000600AF">
        <w:rPr>
          <w:rFonts w:ascii="Times New Roman" w:eastAsia="Times New Roman" w:hAnsi="Times New Roman" w:cs="Times New Roman"/>
          <w:iCs/>
          <w:color w:val="222222"/>
          <w:sz w:val="24"/>
          <w:szCs w:val="24"/>
        </w:rPr>
        <w:t>Crop Science</w:t>
      </w:r>
      <w:r w:rsidRPr="000600AF">
        <w:rPr>
          <w:rFonts w:ascii="Times New Roman" w:eastAsia="Times New Roman" w:hAnsi="Times New Roman" w:cs="Times New Roman"/>
          <w:color w:val="222222"/>
          <w:sz w:val="24"/>
          <w:szCs w:val="24"/>
        </w:rPr>
        <w:t xml:space="preserve">, </w:t>
      </w:r>
      <w:r w:rsidRPr="000600AF">
        <w:rPr>
          <w:rFonts w:ascii="Times New Roman" w:eastAsia="Times New Roman" w:hAnsi="Times New Roman" w:cs="Times New Roman"/>
          <w:iCs/>
          <w:color w:val="222222"/>
          <w:sz w:val="24"/>
          <w:szCs w:val="24"/>
        </w:rPr>
        <w:t>15</w:t>
      </w:r>
      <w:r w:rsidRPr="000600AF">
        <w:rPr>
          <w:rFonts w:ascii="Times New Roman" w:eastAsia="Times New Roman" w:hAnsi="Times New Roman" w:cs="Times New Roman"/>
          <w:color w:val="222222"/>
          <w:sz w:val="24"/>
          <w:szCs w:val="24"/>
        </w:rPr>
        <w:t>(6), 797-799.</w:t>
      </w:r>
    </w:p>
    <w:p w14:paraId="0194335D" w14:textId="77777777" w:rsidR="00ED7955" w:rsidRPr="000600AF" w:rsidRDefault="00ED7955" w:rsidP="00ED7955">
      <w:pPr>
        <w:spacing w:line="240" w:lineRule="auto"/>
        <w:ind w:left="720" w:hanging="720"/>
        <w:rPr>
          <w:rFonts w:ascii="Times New Roman" w:hAnsi="Times New Roman" w:cs="Times New Roman"/>
          <w:sz w:val="24"/>
          <w:szCs w:val="24"/>
        </w:rPr>
      </w:pPr>
      <w:proofErr w:type="gramStart"/>
      <w:r w:rsidRPr="000600AF">
        <w:rPr>
          <w:rFonts w:ascii="Times New Roman" w:hAnsi="Times New Roman" w:cs="Times New Roman"/>
          <w:sz w:val="24"/>
          <w:szCs w:val="24"/>
        </w:rPr>
        <w:t>Dodson, Kathleen L.; Jordan, Katerina S.; Tardif, Francois; Lyons, Eric M. 2012.</w:t>
      </w:r>
      <w:proofErr w:type="gramEnd"/>
      <w:r w:rsidRPr="000600AF">
        <w:rPr>
          <w:rFonts w:ascii="Times New Roman" w:hAnsi="Times New Roman" w:cs="Times New Roman"/>
          <w:sz w:val="24"/>
          <w:szCs w:val="24"/>
        </w:rPr>
        <w:t xml:space="preserve"> </w:t>
      </w:r>
      <w:proofErr w:type="gramStart"/>
      <w:r w:rsidRPr="000600AF">
        <w:rPr>
          <w:rFonts w:ascii="Times New Roman" w:hAnsi="Times New Roman" w:cs="Times New Roman"/>
          <w:sz w:val="24"/>
          <w:szCs w:val="24"/>
        </w:rPr>
        <w:t>An examination of overseeding species on athletic fields and the fate of the seed in the environment.</w:t>
      </w:r>
      <w:proofErr w:type="gramEnd"/>
      <w:r w:rsidRPr="000600AF">
        <w:rPr>
          <w:rFonts w:ascii="Times New Roman" w:hAnsi="Times New Roman" w:cs="Times New Roman"/>
          <w:sz w:val="24"/>
          <w:szCs w:val="24"/>
        </w:rPr>
        <w:t xml:space="preserve">  ASA, CSSA and SSSA Annual Meetings [2012]. p. 73432.</w:t>
      </w:r>
    </w:p>
    <w:p w14:paraId="2D832F5C"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Dudeck, A. E. and C.H. Peacock. 1981. Effects of several overseeded ryegrass on turf quality, traffic tolerance, and ball roll. </w:t>
      </w:r>
      <w:proofErr w:type="gramStart"/>
      <w:r w:rsidRPr="000600AF">
        <w:rPr>
          <w:rFonts w:ascii="Times New Roman" w:hAnsi="Times New Roman" w:cs="Times New Roman"/>
          <w:sz w:val="24"/>
          <w:szCs w:val="24"/>
        </w:rPr>
        <w:t>Proceedings of the International Turfgrass Research Conference.</w:t>
      </w:r>
      <w:proofErr w:type="gramEnd"/>
      <w:r w:rsidRPr="000600AF">
        <w:rPr>
          <w:rFonts w:ascii="Times New Roman" w:hAnsi="Times New Roman" w:cs="Times New Roman"/>
          <w:sz w:val="24"/>
          <w:szCs w:val="24"/>
        </w:rPr>
        <w:t xml:space="preserve"> 4:75-81.</w:t>
      </w:r>
    </w:p>
    <w:p w14:paraId="1CBC9539"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Dunn, J.H., and K. Diesburg. 2004. Turf management in the transition zone. </w:t>
      </w:r>
      <w:proofErr w:type="gramStart"/>
      <w:r w:rsidRPr="000600AF">
        <w:rPr>
          <w:rFonts w:ascii="Times New Roman" w:hAnsi="Times New Roman" w:cs="Times New Roman"/>
          <w:sz w:val="24"/>
          <w:szCs w:val="24"/>
        </w:rPr>
        <w:t>John Wiley &amp; Sons, Hoboken, NJ.</w:t>
      </w:r>
      <w:proofErr w:type="gramEnd"/>
    </w:p>
    <w:p w14:paraId="09B55E8D"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r w:rsidRPr="000600AF">
        <w:rPr>
          <w:rFonts w:ascii="Times New Roman" w:eastAsiaTheme="minorHAnsi" w:hAnsi="Times New Roman" w:cs="Times New Roman"/>
          <w:sz w:val="24"/>
          <w:szCs w:val="24"/>
        </w:rPr>
        <w:t xml:space="preserve">Ellis, W. M. 1973. </w:t>
      </w:r>
      <w:proofErr w:type="gramStart"/>
      <w:r w:rsidRPr="000600AF">
        <w:rPr>
          <w:rFonts w:ascii="Times New Roman" w:eastAsiaTheme="minorHAnsi" w:hAnsi="Times New Roman" w:cs="Times New Roman"/>
          <w:sz w:val="24"/>
          <w:szCs w:val="24"/>
        </w:rPr>
        <w:t xml:space="preserve">The breeding system and variation in populations of Poa annua L. </w:t>
      </w:r>
      <w:r w:rsidRPr="000600AF">
        <w:rPr>
          <w:rFonts w:ascii="Times New Roman" w:eastAsiaTheme="minorHAnsi" w:hAnsi="Times New Roman" w:cs="Times New Roman"/>
          <w:iCs/>
          <w:sz w:val="24"/>
          <w:szCs w:val="24"/>
        </w:rPr>
        <w:t>Evolution</w:t>
      </w:r>
      <w:r w:rsidRPr="000600AF">
        <w:rPr>
          <w:rFonts w:ascii="Times New Roman" w:eastAsiaTheme="minorHAnsi" w:hAnsi="Times New Roman" w:cs="Times New Roman"/>
          <w:sz w:val="24"/>
          <w:szCs w:val="24"/>
        </w:rPr>
        <w:t>.</w:t>
      </w:r>
      <w:proofErr w:type="gramEnd"/>
      <w:r w:rsidRPr="000600AF">
        <w:rPr>
          <w:rFonts w:ascii="Times New Roman" w:eastAsiaTheme="minorHAnsi" w:hAnsi="Times New Roman" w:cs="Times New Roman"/>
          <w:sz w:val="24"/>
          <w:szCs w:val="24"/>
        </w:rPr>
        <w:t xml:space="preserve"> 27(4): p. 656-662.</w:t>
      </w:r>
    </w:p>
    <w:p w14:paraId="0DF8F0D9" w14:textId="77777777" w:rsidR="00ED7955" w:rsidRPr="000600AF" w:rsidRDefault="00ED7955" w:rsidP="00ED7955">
      <w:pPr>
        <w:spacing w:line="240" w:lineRule="auto"/>
        <w:ind w:left="720" w:hanging="720"/>
        <w:rPr>
          <w:rFonts w:ascii="Times New Roman" w:eastAsia="Times New Roman" w:hAnsi="Times New Roman" w:cs="Times New Roman"/>
          <w:color w:val="222222"/>
          <w:sz w:val="24"/>
          <w:szCs w:val="24"/>
        </w:rPr>
      </w:pPr>
      <w:r w:rsidRPr="000600AF">
        <w:rPr>
          <w:rFonts w:ascii="Times New Roman" w:eastAsia="Times New Roman" w:hAnsi="Times New Roman" w:cs="Times New Roman"/>
          <w:color w:val="222222"/>
          <w:sz w:val="24"/>
          <w:szCs w:val="24"/>
        </w:rPr>
        <w:t xml:space="preserve">Ellis, W. M., </w:t>
      </w:r>
      <w:r w:rsidR="00FB70A1" w:rsidRPr="000600AF">
        <w:rPr>
          <w:rFonts w:ascii="Times New Roman" w:eastAsia="Times New Roman" w:hAnsi="Times New Roman" w:cs="Times New Roman"/>
          <w:color w:val="222222"/>
          <w:sz w:val="24"/>
          <w:szCs w:val="24"/>
        </w:rPr>
        <w:t>Lee, B. T. O., &amp; Calder, D. M. 1973</w:t>
      </w:r>
      <w:r w:rsidRPr="000600AF">
        <w:rPr>
          <w:rFonts w:ascii="Times New Roman" w:eastAsia="Times New Roman" w:hAnsi="Times New Roman" w:cs="Times New Roman"/>
          <w:color w:val="222222"/>
          <w:sz w:val="24"/>
          <w:szCs w:val="24"/>
        </w:rPr>
        <w:t xml:space="preserve">. Chromosome Pairing In Poa annua L. </w:t>
      </w:r>
      <w:r w:rsidRPr="000600AF">
        <w:rPr>
          <w:rFonts w:ascii="Times New Roman" w:eastAsia="Times New Roman" w:hAnsi="Times New Roman" w:cs="Times New Roman"/>
          <w:iCs/>
          <w:color w:val="222222"/>
          <w:sz w:val="24"/>
          <w:szCs w:val="24"/>
        </w:rPr>
        <w:t>Canadian Journal of Genetics and Cytology</w:t>
      </w:r>
      <w:r w:rsidRPr="000600AF">
        <w:rPr>
          <w:rFonts w:ascii="Times New Roman" w:eastAsia="Times New Roman" w:hAnsi="Times New Roman" w:cs="Times New Roman"/>
          <w:color w:val="222222"/>
          <w:sz w:val="24"/>
          <w:szCs w:val="24"/>
        </w:rPr>
        <w:t xml:space="preserve">, </w:t>
      </w:r>
      <w:r w:rsidRPr="000600AF">
        <w:rPr>
          <w:rFonts w:ascii="Times New Roman" w:eastAsia="Times New Roman" w:hAnsi="Times New Roman" w:cs="Times New Roman"/>
          <w:iCs/>
          <w:color w:val="222222"/>
          <w:sz w:val="24"/>
          <w:szCs w:val="24"/>
        </w:rPr>
        <w:t>15</w:t>
      </w:r>
      <w:r w:rsidRPr="000600AF">
        <w:rPr>
          <w:rFonts w:ascii="Times New Roman" w:eastAsia="Times New Roman" w:hAnsi="Times New Roman" w:cs="Times New Roman"/>
          <w:color w:val="222222"/>
          <w:sz w:val="24"/>
          <w:szCs w:val="24"/>
        </w:rPr>
        <w:t>(3), 549-551.</w:t>
      </w:r>
    </w:p>
    <w:p w14:paraId="223C77B5" w14:textId="77777777" w:rsidR="00ED7955" w:rsidRPr="000600AF" w:rsidRDefault="00FB70A1" w:rsidP="00ED7955">
      <w:pPr>
        <w:spacing w:line="240" w:lineRule="auto"/>
        <w:ind w:left="720" w:hanging="720"/>
        <w:rPr>
          <w:rFonts w:ascii="Times New Roman" w:eastAsia="Times New Roman" w:hAnsi="Times New Roman" w:cs="Times New Roman"/>
          <w:color w:val="222222"/>
          <w:sz w:val="24"/>
          <w:szCs w:val="24"/>
        </w:rPr>
      </w:pPr>
      <w:r w:rsidRPr="000600AF">
        <w:rPr>
          <w:rFonts w:ascii="Times New Roman" w:eastAsia="Times New Roman" w:hAnsi="Times New Roman" w:cs="Times New Roman"/>
          <w:color w:val="222222"/>
          <w:sz w:val="24"/>
          <w:szCs w:val="24"/>
        </w:rPr>
        <w:t>Fenner, M. 1985</w:t>
      </w:r>
      <w:r w:rsidR="00ED7955" w:rsidRPr="000600AF">
        <w:rPr>
          <w:rFonts w:ascii="Times New Roman" w:eastAsia="Times New Roman" w:hAnsi="Times New Roman" w:cs="Times New Roman"/>
          <w:color w:val="222222"/>
          <w:sz w:val="24"/>
          <w:szCs w:val="24"/>
        </w:rPr>
        <w:t xml:space="preserve">. </w:t>
      </w:r>
      <w:r w:rsidR="00ED7955" w:rsidRPr="000600AF">
        <w:rPr>
          <w:rFonts w:ascii="Times New Roman" w:eastAsia="Times New Roman" w:hAnsi="Times New Roman" w:cs="Times New Roman"/>
          <w:iCs/>
          <w:color w:val="222222"/>
          <w:sz w:val="24"/>
          <w:szCs w:val="24"/>
        </w:rPr>
        <w:t>Seed ecology</w:t>
      </w:r>
      <w:r w:rsidR="00ED7955" w:rsidRPr="000600AF">
        <w:rPr>
          <w:rFonts w:ascii="Times New Roman" w:eastAsia="Times New Roman" w:hAnsi="Times New Roman" w:cs="Times New Roman"/>
          <w:color w:val="222222"/>
          <w:sz w:val="24"/>
          <w:szCs w:val="24"/>
        </w:rPr>
        <w:t>. Chapman and Hall.</w:t>
      </w:r>
    </w:p>
    <w:p w14:paraId="04C925CC"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Fry, J. and B. Huang. 2004 Applied Turfgrass Science and Physiology. John Wiley and Sons. </w:t>
      </w:r>
      <w:proofErr w:type="gramStart"/>
      <w:r w:rsidRPr="000600AF">
        <w:rPr>
          <w:rFonts w:ascii="Times New Roman" w:hAnsi="Times New Roman" w:cs="Times New Roman"/>
          <w:sz w:val="24"/>
          <w:szCs w:val="24"/>
        </w:rPr>
        <w:t>Hoboken, NJ p.277.</w:t>
      </w:r>
      <w:proofErr w:type="gramEnd"/>
    </w:p>
    <w:p w14:paraId="33BBC66F" w14:textId="77777777" w:rsidR="00ED7955" w:rsidRPr="000600AF" w:rsidRDefault="00ED7955" w:rsidP="00ED7955">
      <w:pPr>
        <w:spacing w:line="240" w:lineRule="auto"/>
        <w:ind w:left="720" w:hanging="720"/>
        <w:rPr>
          <w:rFonts w:ascii="Times New Roman" w:eastAsia="Times New Roman" w:hAnsi="Times New Roman" w:cs="Times New Roman"/>
          <w:color w:val="222222"/>
          <w:sz w:val="24"/>
          <w:szCs w:val="24"/>
        </w:rPr>
      </w:pPr>
      <w:r w:rsidRPr="000600AF">
        <w:rPr>
          <w:rFonts w:ascii="Times New Roman" w:eastAsia="Times New Roman" w:hAnsi="Times New Roman" w:cs="Times New Roman"/>
          <w:color w:val="222222"/>
          <w:sz w:val="24"/>
          <w:szCs w:val="24"/>
        </w:rPr>
        <w:t xml:space="preserve">Gardarin, A., Dürr, C., &amp; Colbach, N. (2009). Which model species for weed seedbank and emergence studies? A review. </w:t>
      </w:r>
      <w:r w:rsidRPr="000600AF">
        <w:rPr>
          <w:rFonts w:ascii="Times New Roman" w:eastAsia="Times New Roman" w:hAnsi="Times New Roman" w:cs="Times New Roman"/>
          <w:iCs/>
          <w:color w:val="222222"/>
          <w:sz w:val="24"/>
          <w:szCs w:val="24"/>
        </w:rPr>
        <w:t>Weed Research</w:t>
      </w:r>
      <w:r w:rsidRPr="000600AF">
        <w:rPr>
          <w:rFonts w:ascii="Times New Roman" w:eastAsia="Times New Roman" w:hAnsi="Times New Roman" w:cs="Times New Roman"/>
          <w:color w:val="222222"/>
          <w:sz w:val="24"/>
          <w:szCs w:val="24"/>
        </w:rPr>
        <w:t xml:space="preserve">, </w:t>
      </w:r>
      <w:r w:rsidRPr="000600AF">
        <w:rPr>
          <w:rFonts w:ascii="Times New Roman" w:eastAsia="Times New Roman" w:hAnsi="Times New Roman" w:cs="Times New Roman"/>
          <w:iCs/>
          <w:color w:val="222222"/>
          <w:sz w:val="24"/>
          <w:szCs w:val="24"/>
        </w:rPr>
        <w:t>49</w:t>
      </w:r>
      <w:r w:rsidRPr="000600AF">
        <w:rPr>
          <w:rFonts w:ascii="Times New Roman" w:eastAsia="Times New Roman" w:hAnsi="Times New Roman" w:cs="Times New Roman"/>
          <w:color w:val="222222"/>
          <w:sz w:val="24"/>
          <w:szCs w:val="24"/>
        </w:rPr>
        <w:t>(2), 117-130.</w:t>
      </w:r>
    </w:p>
    <w:p w14:paraId="45B85ED0" w14:textId="77777777" w:rsidR="00ED7955" w:rsidRPr="000600AF" w:rsidRDefault="00ED7955" w:rsidP="00ED7955">
      <w:pPr>
        <w:spacing w:line="240" w:lineRule="auto"/>
        <w:ind w:left="720" w:hanging="720"/>
        <w:rPr>
          <w:rFonts w:ascii="Times New Roman" w:hAnsi="Times New Roman" w:cs="Times New Roman"/>
          <w:sz w:val="24"/>
          <w:szCs w:val="24"/>
        </w:rPr>
      </w:pPr>
      <w:proofErr w:type="gramStart"/>
      <w:r w:rsidRPr="000600AF">
        <w:rPr>
          <w:rFonts w:ascii="Times New Roman" w:hAnsi="Times New Roman" w:cs="Times New Roman"/>
          <w:sz w:val="24"/>
          <w:szCs w:val="24"/>
        </w:rPr>
        <w:t>Gill, W. J.; Thompson, W. R. Jr.; Ward, C. Y. 1967.</w:t>
      </w:r>
      <w:proofErr w:type="gramEnd"/>
      <w:r w:rsidRPr="000600AF">
        <w:rPr>
          <w:rFonts w:ascii="Times New Roman" w:hAnsi="Times New Roman" w:cs="Times New Roman"/>
          <w:sz w:val="24"/>
          <w:szCs w:val="24"/>
        </w:rPr>
        <w:t xml:space="preserve"> </w:t>
      </w:r>
      <w:proofErr w:type="gramStart"/>
      <w:r w:rsidRPr="000600AF">
        <w:rPr>
          <w:rFonts w:ascii="Times New Roman" w:hAnsi="Times New Roman" w:cs="Times New Roman"/>
          <w:sz w:val="24"/>
          <w:szCs w:val="24"/>
        </w:rPr>
        <w:t>Species and methods for overseeding bermudagrass greens.</w:t>
      </w:r>
      <w:proofErr w:type="gramEnd"/>
      <w:r w:rsidRPr="000600AF">
        <w:rPr>
          <w:rFonts w:ascii="Times New Roman" w:hAnsi="Times New Roman" w:cs="Times New Roman"/>
          <w:sz w:val="24"/>
          <w:szCs w:val="24"/>
        </w:rPr>
        <w:t xml:space="preserve"> The Golf Superintendent. September/October. 35(9): p. 10, 13, 15, 17.</w:t>
      </w:r>
    </w:p>
    <w:p w14:paraId="4D1A2286" w14:textId="77777777" w:rsidR="00ED7955" w:rsidRPr="000600AF" w:rsidRDefault="00ED7955" w:rsidP="00ED7955">
      <w:pPr>
        <w:spacing w:line="240" w:lineRule="auto"/>
        <w:ind w:left="720" w:hanging="720"/>
        <w:rPr>
          <w:rFonts w:ascii="Times New Roman" w:eastAsia="Times New Roman" w:hAnsi="Times New Roman" w:cs="Times New Roman"/>
          <w:color w:val="222222"/>
          <w:sz w:val="24"/>
          <w:szCs w:val="24"/>
        </w:rPr>
      </w:pPr>
      <w:r w:rsidRPr="000600AF">
        <w:rPr>
          <w:rFonts w:ascii="Times New Roman" w:eastAsia="Times New Roman" w:hAnsi="Times New Roman" w:cs="Times New Roman"/>
          <w:color w:val="222222"/>
          <w:sz w:val="24"/>
          <w:szCs w:val="24"/>
        </w:rPr>
        <w:t>Gillespie, L. J.</w:t>
      </w:r>
      <w:proofErr w:type="gramStart"/>
      <w:r w:rsidRPr="000600AF">
        <w:rPr>
          <w:rFonts w:ascii="Times New Roman" w:eastAsia="Times New Roman" w:hAnsi="Times New Roman" w:cs="Times New Roman"/>
          <w:color w:val="222222"/>
          <w:sz w:val="24"/>
          <w:szCs w:val="24"/>
        </w:rPr>
        <w:t>,&amp;</w:t>
      </w:r>
      <w:proofErr w:type="gramEnd"/>
      <w:r w:rsidRPr="000600AF">
        <w:rPr>
          <w:rFonts w:ascii="Times New Roman" w:eastAsia="Times New Roman" w:hAnsi="Times New Roman" w:cs="Times New Roman"/>
          <w:color w:val="222222"/>
          <w:sz w:val="24"/>
          <w:szCs w:val="24"/>
        </w:rPr>
        <w:t xml:space="preserve"> Soreng, R. J. 2005. A phylogenetic analysis of the bluegrass genus Poa based on cpDNA restriction site data. </w:t>
      </w:r>
      <w:r w:rsidRPr="000600AF">
        <w:rPr>
          <w:rFonts w:ascii="Times New Roman" w:eastAsia="Times New Roman" w:hAnsi="Times New Roman" w:cs="Times New Roman"/>
          <w:iCs/>
          <w:color w:val="222222"/>
          <w:sz w:val="24"/>
          <w:szCs w:val="24"/>
        </w:rPr>
        <w:t>Systematic Botany</w:t>
      </w:r>
      <w:r w:rsidRPr="000600AF">
        <w:rPr>
          <w:rFonts w:ascii="Times New Roman" w:eastAsia="Times New Roman" w:hAnsi="Times New Roman" w:cs="Times New Roman"/>
          <w:color w:val="222222"/>
          <w:sz w:val="24"/>
          <w:szCs w:val="24"/>
        </w:rPr>
        <w:t xml:space="preserve">, </w:t>
      </w:r>
      <w:r w:rsidRPr="000600AF">
        <w:rPr>
          <w:rFonts w:ascii="Times New Roman" w:eastAsia="Times New Roman" w:hAnsi="Times New Roman" w:cs="Times New Roman"/>
          <w:iCs/>
          <w:color w:val="222222"/>
          <w:sz w:val="24"/>
          <w:szCs w:val="24"/>
        </w:rPr>
        <w:t>30</w:t>
      </w:r>
      <w:r w:rsidRPr="000600AF">
        <w:rPr>
          <w:rFonts w:ascii="Times New Roman" w:eastAsia="Times New Roman" w:hAnsi="Times New Roman" w:cs="Times New Roman"/>
          <w:color w:val="222222"/>
          <w:sz w:val="24"/>
          <w:szCs w:val="24"/>
        </w:rPr>
        <w:t>(1), 84-105.</w:t>
      </w:r>
    </w:p>
    <w:p w14:paraId="7EAB3F73"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Goddard, Matthew J. R.; Askew, Shawn D.; Brecke, Barry J.; Derr, Jeffrey F.; Murphy, Timothy R. 2009. Poa annua population response to overseeded perennial ryegrass seeding rate and bispyribac-sodium. </w:t>
      </w:r>
      <w:proofErr w:type="gramStart"/>
      <w:r w:rsidRPr="000600AF">
        <w:rPr>
          <w:rFonts w:ascii="Times New Roman" w:hAnsi="Times New Roman" w:cs="Times New Roman"/>
          <w:sz w:val="24"/>
          <w:szCs w:val="24"/>
        </w:rPr>
        <w:t>International Turfgrass Society Research Journal.</w:t>
      </w:r>
      <w:proofErr w:type="gramEnd"/>
      <w:r w:rsidRPr="000600AF">
        <w:rPr>
          <w:rFonts w:ascii="Times New Roman" w:hAnsi="Times New Roman" w:cs="Times New Roman"/>
          <w:sz w:val="24"/>
          <w:szCs w:val="24"/>
        </w:rPr>
        <w:t xml:space="preserve"> 11(Part 2): p. 1183-1189.</w:t>
      </w:r>
    </w:p>
    <w:p w14:paraId="0AAE17A4"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proofErr w:type="gramStart"/>
      <w:r w:rsidRPr="000600AF">
        <w:rPr>
          <w:rFonts w:ascii="Times New Roman" w:eastAsiaTheme="minorHAnsi" w:hAnsi="Times New Roman" w:cs="Times New Roman"/>
          <w:sz w:val="24"/>
          <w:szCs w:val="24"/>
        </w:rPr>
        <w:lastRenderedPageBreak/>
        <w:t>Goldman, J. J.; Sims, P. L. 2005.</w:t>
      </w:r>
      <w:proofErr w:type="gramEnd"/>
      <w:r w:rsidRPr="000600AF">
        <w:rPr>
          <w:rFonts w:ascii="Times New Roman" w:eastAsiaTheme="minorHAnsi" w:hAnsi="Times New Roman" w:cs="Times New Roman"/>
          <w:sz w:val="24"/>
          <w:szCs w:val="24"/>
        </w:rPr>
        <w:t xml:space="preserve"> Production of an interspecific hybrid between Texas and Argentine </w:t>
      </w:r>
      <w:proofErr w:type="gramStart"/>
      <w:r w:rsidRPr="000600AF">
        <w:rPr>
          <w:rFonts w:ascii="Times New Roman" w:eastAsiaTheme="minorHAnsi" w:hAnsi="Times New Roman" w:cs="Times New Roman"/>
          <w:sz w:val="24"/>
          <w:szCs w:val="24"/>
        </w:rPr>
        <w:t>bluegrass .</w:t>
      </w:r>
      <w:proofErr w:type="gramEnd"/>
      <w:r w:rsidRPr="000600AF">
        <w:rPr>
          <w:rFonts w:ascii="Times New Roman" w:eastAsiaTheme="minorHAnsi" w:hAnsi="Times New Roman" w:cs="Times New Roman"/>
          <w:sz w:val="24"/>
          <w:szCs w:val="24"/>
        </w:rPr>
        <w:t xml:space="preserve"> Plant Breeding. August. 124(4): p. 419-420.</w:t>
      </w:r>
    </w:p>
    <w:p w14:paraId="53CDA19A" w14:textId="77777777" w:rsidR="00ED7955" w:rsidRPr="000600AF" w:rsidRDefault="00FB70A1" w:rsidP="00ED7955">
      <w:pPr>
        <w:spacing w:line="240" w:lineRule="auto"/>
        <w:ind w:left="720" w:hanging="720"/>
        <w:rPr>
          <w:rFonts w:ascii="Times New Roman" w:eastAsia="Times New Roman" w:hAnsi="Times New Roman" w:cs="Times New Roman"/>
          <w:color w:val="222222"/>
          <w:sz w:val="24"/>
          <w:szCs w:val="24"/>
        </w:rPr>
      </w:pPr>
      <w:proofErr w:type="gramStart"/>
      <w:r w:rsidRPr="000600AF">
        <w:rPr>
          <w:rFonts w:ascii="Times New Roman" w:eastAsia="Times New Roman" w:hAnsi="Times New Roman" w:cs="Times New Roman"/>
          <w:color w:val="222222"/>
          <w:sz w:val="24"/>
          <w:szCs w:val="24"/>
        </w:rPr>
        <w:t>Hartley, W. 1961</w:t>
      </w:r>
      <w:r w:rsidR="00ED7955" w:rsidRPr="000600AF">
        <w:rPr>
          <w:rFonts w:ascii="Times New Roman" w:eastAsia="Times New Roman" w:hAnsi="Times New Roman" w:cs="Times New Roman"/>
          <w:color w:val="222222"/>
          <w:sz w:val="24"/>
          <w:szCs w:val="24"/>
        </w:rPr>
        <w:t>.</w:t>
      </w:r>
      <w:proofErr w:type="gramEnd"/>
      <w:r w:rsidR="00ED7955" w:rsidRPr="000600AF">
        <w:rPr>
          <w:rFonts w:ascii="Times New Roman" w:eastAsia="Times New Roman" w:hAnsi="Times New Roman" w:cs="Times New Roman"/>
          <w:color w:val="222222"/>
          <w:sz w:val="24"/>
          <w:szCs w:val="24"/>
        </w:rPr>
        <w:t xml:space="preserve"> </w:t>
      </w:r>
      <w:proofErr w:type="gramStart"/>
      <w:r w:rsidR="00ED7955" w:rsidRPr="000600AF">
        <w:rPr>
          <w:rFonts w:ascii="Times New Roman" w:eastAsia="Times New Roman" w:hAnsi="Times New Roman" w:cs="Times New Roman"/>
          <w:color w:val="222222"/>
          <w:sz w:val="24"/>
          <w:szCs w:val="24"/>
        </w:rPr>
        <w:t>Studies on the origin, evolution and distribution of the Gramineae.</w:t>
      </w:r>
      <w:proofErr w:type="gramEnd"/>
      <w:r w:rsidR="00ED7955" w:rsidRPr="000600AF">
        <w:rPr>
          <w:rFonts w:ascii="Times New Roman" w:eastAsia="Times New Roman" w:hAnsi="Times New Roman" w:cs="Times New Roman"/>
          <w:color w:val="222222"/>
          <w:sz w:val="24"/>
          <w:szCs w:val="24"/>
        </w:rPr>
        <w:t xml:space="preserve"> IV. The genus Poa L. </w:t>
      </w:r>
      <w:r w:rsidR="00ED7955" w:rsidRPr="000600AF">
        <w:rPr>
          <w:rFonts w:ascii="Times New Roman" w:eastAsia="Times New Roman" w:hAnsi="Times New Roman" w:cs="Times New Roman"/>
          <w:iCs/>
          <w:color w:val="222222"/>
          <w:sz w:val="24"/>
          <w:szCs w:val="24"/>
        </w:rPr>
        <w:t>Australian Journal of Botany</w:t>
      </w:r>
      <w:r w:rsidR="00ED7955" w:rsidRPr="000600AF">
        <w:rPr>
          <w:rFonts w:ascii="Times New Roman" w:eastAsia="Times New Roman" w:hAnsi="Times New Roman" w:cs="Times New Roman"/>
          <w:color w:val="222222"/>
          <w:sz w:val="24"/>
          <w:szCs w:val="24"/>
        </w:rPr>
        <w:t xml:space="preserve">, </w:t>
      </w:r>
      <w:r w:rsidR="00ED7955" w:rsidRPr="000600AF">
        <w:rPr>
          <w:rFonts w:ascii="Times New Roman" w:eastAsia="Times New Roman" w:hAnsi="Times New Roman" w:cs="Times New Roman"/>
          <w:iCs/>
          <w:color w:val="222222"/>
          <w:sz w:val="24"/>
          <w:szCs w:val="24"/>
        </w:rPr>
        <w:t>9</w:t>
      </w:r>
      <w:r w:rsidR="00ED7955" w:rsidRPr="000600AF">
        <w:rPr>
          <w:rFonts w:ascii="Times New Roman" w:eastAsia="Times New Roman" w:hAnsi="Times New Roman" w:cs="Times New Roman"/>
          <w:color w:val="222222"/>
          <w:sz w:val="24"/>
          <w:szCs w:val="24"/>
        </w:rPr>
        <w:t>(2), 152-161.</w:t>
      </w:r>
    </w:p>
    <w:p w14:paraId="12BD8589"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Haselbauer, W. D., Thoms, A. W., Sorochan, J. C., Brosnan, J. T., Schwartz, B. M., &amp; Hanna, W. W. (2012). </w:t>
      </w:r>
      <w:proofErr w:type="gramStart"/>
      <w:r w:rsidRPr="000600AF">
        <w:rPr>
          <w:rFonts w:ascii="Times New Roman" w:hAnsi="Times New Roman" w:cs="Times New Roman"/>
          <w:sz w:val="24"/>
          <w:szCs w:val="24"/>
        </w:rPr>
        <w:t>Evaluation of Experimental Bermudagrasses under Simulated Athletic Field Traffic with Perennial Ryegrass Overseeding.</w:t>
      </w:r>
      <w:proofErr w:type="gramEnd"/>
      <w:r w:rsidRPr="000600AF">
        <w:rPr>
          <w:rFonts w:ascii="Times New Roman" w:hAnsi="Times New Roman" w:cs="Times New Roman"/>
          <w:sz w:val="24"/>
          <w:szCs w:val="24"/>
        </w:rPr>
        <w:t xml:space="preserve"> HortTechnology, 22(1), 94-98.</w:t>
      </w:r>
    </w:p>
    <w:p w14:paraId="0BB8A487"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Henderson, J. J.; Lanovaz, J. L.; Rogers, J. N. III; Sorochan, J. C.; Vanini, J. T. 2005. A new apparatus to simulate athletic field traffic: The cady traffic simulator. Agronomy Journal. July/August. 97(4): p. 1153-1157.</w:t>
      </w:r>
    </w:p>
    <w:p w14:paraId="458C74A8"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r w:rsidRPr="000600AF">
        <w:rPr>
          <w:rFonts w:ascii="Times New Roman" w:eastAsiaTheme="minorHAnsi" w:hAnsi="Times New Roman" w:cs="Times New Roman"/>
          <w:sz w:val="24"/>
          <w:szCs w:val="24"/>
        </w:rPr>
        <w:t xml:space="preserve">Hitchcock, A. S. 1950. Manual of the grasses of the </w:t>
      </w:r>
      <w:proofErr w:type="gramStart"/>
      <w:r w:rsidRPr="000600AF">
        <w:rPr>
          <w:rFonts w:ascii="Times New Roman" w:eastAsiaTheme="minorHAnsi" w:hAnsi="Times New Roman" w:cs="Times New Roman"/>
          <w:sz w:val="24"/>
          <w:szCs w:val="24"/>
        </w:rPr>
        <w:t>united states</w:t>
      </w:r>
      <w:proofErr w:type="gramEnd"/>
      <w:r w:rsidRPr="000600AF">
        <w:rPr>
          <w:rFonts w:ascii="Times New Roman" w:eastAsiaTheme="minorHAnsi" w:hAnsi="Times New Roman" w:cs="Times New Roman"/>
          <w:sz w:val="24"/>
          <w:szCs w:val="24"/>
        </w:rPr>
        <w:t>. End. Ed. [Revised by Agnes Chase.] U. S. Misc. Publ. 200.</w:t>
      </w:r>
    </w:p>
    <w:p w14:paraId="386431EA" w14:textId="77777777" w:rsidR="00ED7955" w:rsidRPr="000600AF" w:rsidRDefault="00ED7955" w:rsidP="00286B4D">
      <w:pPr>
        <w:spacing w:line="240" w:lineRule="auto"/>
        <w:ind w:left="720" w:hanging="720"/>
        <w:rPr>
          <w:rFonts w:ascii="Times New Roman" w:hAnsi="Times New Roman" w:cs="Times New Roman"/>
          <w:sz w:val="24"/>
          <w:szCs w:val="24"/>
        </w:rPr>
      </w:pPr>
      <w:proofErr w:type="gramStart"/>
      <w:r w:rsidRPr="000600AF">
        <w:rPr>
          <w:rFonts w:ascii="Times New Roman" w:hAnsi="Times New Roman" w:cs="Times New Roman"/>
          <w:sz w:val="24"/>
          <w:szCs w:val="24"/>
        </w:rPr>
        <w:t>Horgan, B.P. and Yelverton, F. H. 2001.</w:t>
      </w:r>
      <w:proofErr w:type="gramEnd"/>
      <w:r w:rsidRPr="000600AF">
        <w:rPr>
          <w:rFonts w:ascii="Times New Roman" w:hAnsi="Times New Roman" w:cs="Times New Roman"/>
          <w:sz w:val="24"/>
          <w:szCs w:val="24"/>
        </w:rPr>
        <w:t xml:space="preserve"> </w:t>
      </w:r>
      <w:proofErr w:type="gramStart"/>
      <w:r w:rsidRPr="000600AF">
        <w:rPr>
          <w:rFonts w:ascii="Times New Roman" w:hAnsi="Times New Roman" w:cs="Times New Roman"/>
          <w:sz w:val="24"/>
          <w:szCs w:val="24"/>
        </w:rPr>
        <w:t>Removal of perennial ryegrass from overseeded bermudagrass using cultural methods.</w:t>
      </w:r>
      <w:proofErr w:type="gramEnd"/>
      <w:r w:rsidRPr="000600AF">
        <w:rPr>
          <w:rFonts w:ascii="Times New Roman" w:hAnsi="Times New Roman" w:cs="Times New Roman"/>
          <w:sz w:val="24"/>
          <w:szCs w:val="24"/>
        </w:rPr>
        <w:t xml:space="preserve"> Crop Science. 41:118-126.</w:t>
      </w:r>
    </w:p>
    <w:p w14:paraId="76DBB286" w14:textId="77777777" w:rsidR="00286B4D" w:rsidRPr="000600AF" w:rsidRDefault="00286B4D" w:rsidP="00286B4D">
      <w:pPr>
        <w:spacing w:line="240" w:lineRule="auto"/>
        <w:ind w:left="720" w:hanging="720"/>
        <w:rPr>
          <w:rFonts w:ascii="Times New Roman" w:eastAsia="Times New Roman" w:hAnsi="Times New Roman" w:cs="Times New Roman"/>
          <w:color w:val="222222"/>
          <w:sz w:val="24"/>
          <w:szCs w:val="24"/>
        </w:rPr>
      </w:pPr>
      <w:proofErr w:type="gramStart"/>
      <w:r w:rsidRPr="000600AF">
        <w:rPr>
          <w:rFonts w:ascii="Times New Roman" w:eastAsia="Times New Roman" w:hAnsi="Times New Roman" w:cs="Times New Roman"/>
          <w:color w:val="222222"/>
          <w:sz w:val="24"/>
          <w:szCs w:val="24"/>
        </w:rPr>
        <w:t>Huff, D. 2003a.</w:t>
      </w:r>
      <w:proofErr w:type="gramEnd"/>
      <w:r w:rsidRPr="000600AF">
        <w:rPr>
          <w:rFonts w:ascii="Times New Roman" w:eastAsia="Times New Roman" w:hAnsi="Times New Roman" w:cs="Times New Roman"/>
          <w:color w:val="222222"/>
          <w:sz w:val="24"/>
          <w:szCs w:val="24"/>
        </w:rPr>
        <w:t xml:space="preserve"> Kentucky </w:t>
      </w:r>
      <w:proofErr w:type="gramStart"/>
      <w:r w:rsidRPr="000600AF">
        <w:rPr>
          <w:rFonts w:ascii="Times New Roman" w:eastAsia="Times New Roman" w:hAnsi="Times New Roman" w:cs="Times New Roman"/>
          <w:color w:val="222222"/>
          <w:sz w:val="24"/>
          <w:szCs w:val="24"/>
        </w:rPr>
        <w:t>Bluegrass</w:t>
      </w:r>
      <w:proofErr w:type="gramEnd"/>
      <w:r w:rsidRPr="000600AF">
        <w:rPr>
          <w:rFonts w:ascii="Times New Roman" w:eastAsia="Times New Roman" w:hAnsi="Times New Roman" w:cs="Times New Roman"/>
          <w:color w:val="222222"/>
          <w:sz w:val="24"/>
          <w:szCs w:val="24"/>
        </w:rPr>
        <w:t xml:space="preserve"> (Poa pratensis L.).</w:t>
      </w:r>
      <w:r w:rsidR="000600AF">
        <w:rPr>
          <w:rFonts w:ascii="Times New Roman" w:eastAsiaTheme="minorHAnsi" w:hAnsi="Times New Roman" w:cs="Times New Roman"/>
          <w:sz w:val="24"/>
          <w:szCs w:val="24"/>
        </w:rPr>
        <w:t xml:space="preserve"> 2003</w:t>
      </w:r>
      <w:r w:rsidRPr="000600AF">
        <w:rPr>
          <w:rFonts w:ascii="Times New Roman" w:eastAsiaTheme="minorHAnsi" w:hAnsi="Times New Roman" w:cs="Times New Roman"/>
          <w:sz w:val="24"/>
          <w:szCs w:val="24"/>
        </w:rPr>
        <w:t xml:space="preserve">. In: Casler, Michael D.; Duncan, Ronny R., eds. </w:t>
      </w:r>
      <w:r w:rsidRPr="000600AF">
        <w:rPr>
          <w:rFonts w:ascii="Times New Roman" w:eastAsiaTheme="minorHAnsi" w:hAnsi="Times New Roman" w:cs="Times New Roman"/>
          <w:iCs/>
          <w:sz w:val="24"/>
          <w:szCs w:val="24"/>
        </w:rPr>
        <w:t>Turfgrass Biology, Genetics, and Breeding</w:t>
      </w:r>
      <w:r w:rsidRPr="000600AF">
        <w:rPr>
          <w:rFonts w:ascii="Times New Roman" w:eastAsiaTheme="minorHAnsi" w:hAnsi="Times New Roman" w:cs="Times New Roman"/>
          <w:sz w:val="24"/>
          <w:szCs w:val="24"/>
        </w:rPr>
        <w:t>. Hoboken, NJ: John Wiley &amp; Sons.</w:t>
      </w:r>
      <w:r w:rsidRPr="000600AF">
        <w:rPr>
          <w:rFonts w:ascii="Times New Roman" w:eastAsia="Times New Roman" w:hAnsi="Times New Roman" w:cs="Times New Roman"/>
          <w:color w:val="222222"/>
          <w:sz w:val="24"/>
          <w:szCs w:val="24"/>
        </w:rPr>
        <w:t xml:space="preserve">p. </w:t>
      </w:r>
      <w:r w:rsidR="00411DC6" w:rsidRPr="000600AF">
        <w:rPr>
          <w:rFonts w:ascii="Times New Roman" w:eastAsia="Times New Roman" w:hAnsi="Times New Roman" w:cs="Times New Roman"/>
          <w:sz w:val="24"/>
          <w:szCs w:val="24"/>
        </w:rPr>
        <w:t>27-38</w:t>
      </w:r>
      <w:r w:rsidRPr="000600AF">
        <w:rPr>
          <w:rFonts w:ascii="Times New Roman" w:eastAsia="Times New Roman" w:hAnsi="Times New Roman" w:cs="Times New Roman"/>
          <w:color w:val="222222"/>
          <w:sz w:val="24"/>
          <w:szCs w:val="24"/>
        </w:rPr>
        <w:t>.</w:t>
      </w:r>
    </w:p>
    <w:p w14:paraId="655CBAAF" w14:textId="77777777" w:rsidR="00ED7955" w:rsidRPr="000600AF" w:rsidRDefault="00ED7955" w:rsidP="00286B4D">
      <w:pPr>
        <w:spacing w:line="240" w:lineRule="auto"/>
        <w:ind w:left="720" w:hanging="720"/>
        <w:rPr>
          <w:rFonts w:ascii="Times New Roman" w:eastAsia="Times New Roman" w:hAnsi="Times New Roman" w:cs="Times New Roman"/>
          <w:color w:val="222222"/>
          <w:sz w:val="24"/>
          <w:szCs w:val="24"/>
        </w:rPr>
      </w:pPr>
      <w:proofErr w:type="gramStart"/>
      <w:r w:rsidRPr="000600AF">
        <w:rPr>
          <w:rFonts w:ascii="Times New Roman" w:eastAsia="Times New Roman" w:hAnsi="Times New Roman" w:cs="Times New Roman"/>
          <w:color w:val="222222"/>
          <w:sz w:val="24"/>
          <w:szCs w:val="24"/>
        </w:rPr>
        <w:t>Huff, D. 2003</w:t>
      </w:r>
      <w:r w:rsidR="00286B4D" w:rsidRPr="000600AF">
        <w:rPr>
          <w:rFonts w:ascii="Times New Roman" w:eastAsia="Times New Roman" w:hAnsi="Times New Roman" w:cs="Times New Roman"/>
          <w:color w:val="222222"/>
          <w:sz w:val="24"/>
          <w:szCs w:val="24"/>
        </w:rPr>
        <w:t>b</w:t>
      </w:r>
      <w:r w:rsidRPr="000600AF">
        <w:rPr>
          <w:rFonts w:ascii="Times New Roman" w:eastAsia="Times New Roman" w:hAnsi="Times New Roman" w:cs="Times New Roman"/>
          <w:color w:val="222222"/>
          <w:sz w:val="24"/>
          <w:szCs w:val="24"/>
        </w:rPr>
        <w:t>.</w:t>
      </w:r>
      <w:proofErr w:type="gramEnd"/>
      <w:r w:rsidRPr="000600AF">
        <w:rPr>
          <w:rFonts w:ascii="Times New Roman" w:eastAsia="Times New Roman" w:hAnsi="Times New Roman" w:cs="Times New Roman"/>
          <w:color w:val="222222"/>
          <w:sz w:val="24"/>
          <w:szCs w:val="24"/>
        </w:rPr>
        <w:t xml:space="preserve"> </w:t>
      </w:r>
      <w:proofErr w:type="gramStart"/>
      <w:r w:rsidRPr="000600AF">
        <w:rPr>
          <w:rFonts w:ascii="Times New Roman" w:eastAsia="Times New Roman" w:hAnsi="Times New Roman" w:cs="Times New Roman"/>
          <w:color w:val="222222"/>
          <w:sz w:val="24"/>
          <w:szCs w:val="24"/>
        </w:rPr>
        <w:t>Annual bluegrass (Poa annua L.)</w:t>
      </w:r>
      <w:r w:rsidR="00286B4D" w:rsidRPr="000600AF">
        <w:rPr>
          <w:rFonts w:ascii="Times New Roman" w:eastAsiaTheme="minorHAnsi" w:hAnsi="Times New Roman" w:cs="Times New Roman"/>
          <w:sz w:val="24"/>
          <w:szCs w:val="24"/>
        </w:rPr>
        <w:t>.</w:t>
      </w:r>
      <w:proofErr w:type="gramEnd"/>
      <w:r w:rsidR="000600AF">
        <w:rPr>
          <w:rFonts w:ascii="Times New Roman" w:eastAsiaTheme="minorHAnsi" w:hAnsi="Times New Roman" w:cs="Times New Roman"/>
          <w:sz w:val="24"/>
          <w:szCs w:val="24"/>
        </w:rPr>
        <w:t xml:space="preserve"> 2003.</w:t>
      </w:r>
      <w:r w:rsidR="00286B4D" w:rsidRPr="000600AF">
        <w:rPr>
          <w:rFonts w:ascii="Times New Roman" w:eastAsiaTheme="minorHAnsi" w:hAnsi="Times New Roman" w:cs="Times New Roman"/>
          <w:sz w:val="24"/>
          <w:szCs w:val="24"/>
        </w:rPr>
        <w:t xml:space="preserve"> In: Casler, Michael D.; Duncan, Ronny R., eds. </w:t>
      </w:r>
      <w:r w:rsidR="00286B4D" w:rsidRPr="000600AF">
        <w:rPr>
          <w:rFonts w:ascii="Times New Roman" w:eastAsiaTheme="minorHAnsi" w:hAnsi="Times New Roman" w:cs="Times New Roman"/>
          <w:iCs/>
          <w:sz w:val="24"/>
          <w:szCs w:val="24"/>
        </w:rPr>
        <w:t>Turfgrass Biology, Genetics, and Breeding</w:t>
      </w:r>
      <w:r w:rsidR="00286B4D" w:rsidRPr="000600AF">
        <w:rPr>
          <w:rFonts w:ascii="Times New Roman" w:eastAsiaTheme="minorHAnsi" w:hAnsi="Times New Roman" w:cs="Times New Roman"/>
          <w:sz w:val="24"/>
          <w:szCs w:val="24"/>
        </w:rPr>
        <w:t>. Hoboken, NJ: John Wiley &amp; Sons.</w:t>
      </w:r>
      <w:r w:rsidR="00286B4D" w:rsidRPr="000600AF">
        <w:rPr>
          <w:rFonts w:ascii="Times New Roman" w:eastAsia="Times New Roman" w:hAnsi="Times New Roman" w:cs="Times New Roman"/>
          <w:color w:val="222222"/>
          <w:sz w:val="24"/>
          <w:szCs w:val="24"/>
        </w:rPr>
        <w:t xml:space="preserve">p. </w:t>
      </w:r>
      <w:r w:rsidR="00411DC6" w:rsidRPr="000600AF">
        <w:rPr>
          <w:rFonts w:ascii="Times New Roman" w:eastAsia="Times New Roman" w:hAnsi="Times New Roman" w:cs="Times New Roman"/>
          <w:sz w:val="24"/>
          <w:szCs w:val="24"/>
        </w:rPr>
        <w:t>39-51</w:t>
      </w:r>
      <w:r w:rsidRPr="000600AF">
        <w:rPr>
          <w:rFonts w:ascii="Times New Roman" w:eastAsia="Times New Roman" w:hAnsi="Times New Roman" w:cs="Times New Roman"/>
          <w:color w:val="222222"/>
          <w:sz w:val="24"/>
          <w:szCs w:val="24"/>
        </w:rPr>
        <w:t>.</w:t>
      </w:r>
    </w:p>
    <w:p w14:paraId="3172BD17" w14:textId="77777777" w:rsidR="005A2894" w:rsidRPr="000600AF" w:rsidRDefault="005A2894" w:rsidP="005A2894">
      <w:pPr>
        <w:spacing w:line="240" w:lineRule="auto"/>
        <w:ind w:left="720" w:hanging="720"/>
        <w:rPr>
          <w:rFonts w:ascii="Times New Roman" w:eastAsiaTheme="minorHAnsi" w:hAnsi="Times New Roman" w:cs="Times New Roman"/>
          <w:sz w:val="24"/>
          <w:szCs w:val="24"/>
        </w:rPr>
      </w:pPr>
      <w:r w:rsidRPr="000600AF">
        <w:rPr>
          <w:rFonts w:ascii="Times New Roman" w:eastAsiaTheme="minorHAnsi" w:hAnsi="Times New Roman" w:cs="Times New Roman"/>
          <w:sz w:val="24"/>
          <w:szCs w:val="24"/>
        </w:rPr>
        <w:t xml:space="preserve">Huff, David. </w:t>
      </w:r>
      <w:proofErr w:type="gramStart"/>
      <w:r w:rsidRPr="000600AF">
        <w:rPr>
          <w:rFonts w:ascii="Times New Roman" w:eastAsiaTheme="minorHAnsi" w:hAnsi="Times New Roman" w:cs="Times New Roman"/>
          <w:sz w:val="24"/>
          <w:szCs w:val="24"/>
        </w:rPr>
        <w:t>2003c. Cultivar development and extreme temperature tolerance of greens-type Poa annua.</w:t>
      </w:r>
      <w:proofErr w:type="gramEnd"/>
      <w:r w:rsidRPr="000600AF">
        <w:rPr>
          <w:rFonts w:ascii="Times New Roman" w:eastAsiaTheme="minorHAnsi" w:hAnsi="Times New Roman" w:cs="Times New Roman"/>
          <w:sz w:val="24"/>
          <w:szCs w:val="24"/>
        </w:rPr>
        <w:t xml:space="preserve"> </w:t>
      </w:r>
      <w:r w:rsidRPr="000600AF">
        <w:rPr>
          <w:rFonts w:ascii="Times New Roman" w:eastAsiaTheme="minorHAnsi" w:hAnsi="Times New Roman" w:cs="Times New Roman"/>
          <w:iCs/>
          <w:sz w:val="24"/>
          <w:szCs w:val="24"/>
        </w:rPr>
        <w:t>2003 Turfgrass and Environmental Research Summary</w:t>
      </w:r>
      <w:r w:rsidRPr="000600AF">
        <w:rPr>
          <w:rFonts w:ascii="Times New Roman" w:eastAsiaTheme="minorHAnsi" w:hAnsi="Times New Roman" w:cs="Times New Roman"/>
          <w:sz w:val="24"/>
          <w:szCs w:val="24"/>
        </w:rPr>
        <w:t>. p. 35.</w:t>
      </w:r>
    </w:p>
    <w:p w14:paraId="19CCFC51"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proofErr w:type="gramStart"/>
      <w:r w:rsidRPr="000600AF">
        <w:rPr>
          <w:rFonts w:ascii="Times New Roman" w:eastAsiaTheme="minorHAnsi" w:hAnsi="Times New Roman" w:cs="Times New Roman"/>
          <w:sz w:val="24"/>
          <w:szCs w:val="24"/>
        </w:rPr>
        <w:t>Huff, David R. 1998.</w:t>
      </w:r>
      <w:proofErr w:type="gramEnd"/>
      <w:r w:rsidRPr="000600AF">
        <w:rPr>
          <w:rFonts w:ascii="Times New Roman" w:eastAsiaTheme="minorHAnsi" w:hAnsi="Times New Roman" w:cs="Times New Roman"/>
          <w:sz w:val="24"/>
          <w:szCs w:val="24"/>
        </w:rPr>
        <w:t xml:space="preserve"> </w:t>
      </w:r>
      <w:proofErr w:type="gramStart"/>
      <w:r w:rsidRPr="000600AF">
        <w:rPr>
          <w:rFonts w:ascii="Times New Roman" w:eastAsiaTheme="minorHAnsi" w:hAnsi="Times New Roman" w:cs="Times New Roman"/>
          <w:sz w:val="24"/>
          <w:szCs w:val="24"/>
        </w:rPr>
        <w:t>Cultivar development and extreme temperature tolerance of greens-type Poa annua.</w:t>
      </w:r>
      <w:proofErr w:type="gramEnd"/>
      <w:r w:rsidRPr="000600AF">
        <w:rPr>
          <w:rFonts w:ascii="Times New Roman" w:eastAsiaTheme="minorHAnsi" w:hAnsi="Times New Roman" w:cs="Times New Roman"/>
          <w:sz w:val="24"/>
          <w:szCs w:val="24"/>
        </w:rPr>
        <w:t xml:space="preserve"> 1998 Turfgrass and Environmental Research Summary [USGA]. p. 46.</w:t>
      </w:r>
    </w:p>
    <w:p w14:paraId="67F8648C" w14:textId="77777777" w:rsidR="00ED7955" w:rsidRPr="000600AF" w:rsidRDefault="00ED7955" w:rsidP="00ED7955">
      <w:pPr>
        <w:spacing w:line="240" w:lineRule="auto"/>
        <w:ind w:left="720" w:hanging="720"/>
        <w:rPr>
          <w:rFonts w:ascii="Times New Roman" w:hAnsi="Times New Roman" w:cs="Times New Roman"/>
          <w:sz w:val="24"/>
          <w:szCs w:val="24"/>
        </w:rPr>
      </w:pPr>
      <w:proofErr w:type="gramStart"/>
      <w:r w:rsidRPr="000600AF">
        <w:rPr>
          <w:rFonts w:ascii="Times New Roman" w:hAnsi="Times New Roman" w:cs="Times New Roman"/>
          <w:sz w:val="24"/>
          <w:szCs w:val="24"/>
        </w:rPr>
        <w:t>Huff, David R. 2001.</w:t>
      </w:r>
      <w:proofErr w:type="gramEnd"/>
      <w:r w:rsidRPr="000600AF">
        <w:rPr>
          <w:rFonts w:ascii="Times New Roman" w:hAnsi="Times New Roman" w:cs="Times New Roman"/>
          <w:sz w:val="24"/>
          <w:szCs w:val="24"/>
        </w:rPr>
        <w:t xml:space="preserve"> </w:t>
      </w:r>
      <w:proofErr w:type="gramStart"/>
      <w:r w:rsidRPr="000600AF">
        <w:rPr>
          <w:rFonts w:ascii="Times New Roman" w:hAnsi="Times New Roman" w:cs="Times New Roman"/>
          <w:sz w:val="24"/>
          <w:szCs w:val="24"/>
        </w:rPr>
        <w:t>New bluegrass species for turf.</w:t>
      </w:r>
      <w:proofErr w:type="gramEnd"/>
      <w:r w:rsidRPr="000600AF">
        <w:rPr>
          <w:rFonts w:ascii="Times New Roman" w:hAnsi="Times New Roman" w:cs="Times New Roman"/>
          <w:sz w:val="24"/>
          <w:szCs w:val="24"/>
        </w:rPr>
        <w:t xml:space="preserve"> TurfGrass TRENDS. January. 10(1): p. 8-11.</w:t>
      </w:r>
    </w:p>
    <w:p w14:paraId="3F3646BF"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r w:rsidRPr="000600AF">
        <w:rPr>
          <w:rFonts w:ascii="Times New Roman" w:eastAsiaTheme="minorHAnsi" w:hAnsi="Times New Roman" w:cs="Times New Roman"/>
          <w:sz w:val="24"/>
          <w:szCs w:val="24"/>
        </w:rPr>
        <w:t>Huff, David. 1996.</w:t>
      </w:r>
      <w:r w:rsidRPr="000600AF">
        <w:rPr>
          <w:rFonts w:ascii="Times New Roman" w:eastAsiaTheme="minorHAnsi" w:hAnsi="Times New Roman" w:cs="Times New Roman"/>
          <w:iCs/>
          <w:sz w:val="24"/>
          <w:szCs w:val="24"/>
        </w:rPr>
        <w:t xml:space="preserve"> Poa annua</w:t>
      </w:r>
      <w:r w:rsidRPr="000600AF">
        <w:rPr>
          <w:rFonts w:ascii="Times New Roman" w:eastAsiaTheme="minorHAnsi" w:hAnsi="Times New Roman" w:cs="Times New Roman"/>
          <w:sz w:val="24"/>
          <w:szCs w:val="24"/>
        </w:rPr>
        <w:t xml:space="preserve"> for golf course greens. </w:t>
      </w:r>
      <w:r w:rsidRPr="000600AF">
        <w:rPr>
          <w:rFonts w:ascii="Times New Roman" w:eastAsiaTheme="minorHAnsi" w:hAnsi="Times New Roman" w:cs="Times New Roman"/>
          <w:iCs/>
          <w:sz w:val="24"/>
          <w:szCs w:val="24"/>
        </w:rPr>
        <w:t>Grounds Maintenance</w:t>
      </w:r>
      <w:r w:rsidRPr="000600AF">
        <w:rPr>
          <w:rFonts w:ascii="Times New Roman" w:eastAsiaTheme="minorHAnsi" w:hAnsi="Times New Roman" w:cs="Times New Roman"/>
          <w:sz w:val="24"/>
          <w:szCs w:val="24"/>
        </w:rPr>
        <w:t>. January. 31(1): p. G2, G6, G10</w:t>
      </w:r>
    </w:p>
    <w:p w14:paraId="2044D8D7" w14:textId="77777777" w:rsidR="00ED7955" w:rsidRPr="000600AF" w:rsidRDefault="00ED7955" w:rsidP="00ED7955">
      <w:pPr>
        <w:spacing w:line="240" w:lineRule="atLeast"/>
        <w:ind w:left="720" w:hanging="720"/>
        <w:rPr>
          <w:rFonts w:ascii="Times New Roman" w:eastAsiaTheme="minorHAnsi" w:hAnsi="Times New Roman" w:cs="Times New Roman"/>
          <w:sz w:val="24"/>
          <w:szCs w:val="24"/>
        </w:rPr>
      </w:pPr>
      <w:proofErr w:type="gramStart"/>
      <w:r w:rsidRPr="000600AF">
        <w:rPr>
          <w:rFonts w:ascii="Times New Roman" w:eastAsiaTheme="minorHAnsi" w:hAnsi="Times New Roman" w:cs="Times New Roman"/>
          <w:sz w:val="24"/>
          <w:szCs w:val="24"/>
        </w:rPr>
        <w:t>Hurley, R. H.; Funk, C. R. 1982.</w:t>
      </w:r>
      <w:proofErr w:type="gramEnd"/>
      <w:r w:rsidRPr="000600AF">
        <w:rPr>
          <w:rFonts w:ascii="Times New Roman" w:eastAsiaTheme="minorHAnsi" w:hAnsi="Times New Roman" w:cs="Times New Roman"/>
          <w:sz w:val="24"/>
          <w:szCs w:val="24"/>
        </w:rPr>
        <w:t xml:space="preserve"> Heritability estimates for rough bluegrass based on variability of replicated clonal material. </w:t>
      </w:r>
      <w:r w:rsidRPr="000600AF">
        <w:rPr>
          <w:rFonts w:ascii="Times New Roman" w:eastAsiaTheme="minorHAnsi" w:hAnsi="Times New Roman" w:cs="Times New Roman"/>
          <w:iCs/>
          <w:sz w:val="24"/>
          <w:szCs w:val="24"/>
        </w:rPr>
        <w:t>Agronomy Abstracts</w:t>
      </w:r>
      <w:r w:rsidRPr="000600AF">
        <w:rPr>
          <w:rFonts w:ascii="Times New Roman" w:eastAsiaTheme="minorHAnsi" w:hAnsi="Times New Roman" w:cs="Times New Roman"/>
          <w:sz w:val="24"/>
          <w:szCs w:val="24"/>
        </w:rPr>
        <w:t>. November. p. 143.</w:t>
      </w:r>
    </w:p>
    <w:p w14:paraId="0C3F8694"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r w:rsidRPr="000600AF">
        <w:rPr>
          <w:rFonts w:ascii="Times New Roman" w:eastAsiaTheme="minorHAnsi" w:hAnsi="Times New Roman" w:cs="Times New Roman"/>
          <w:sz w:val="24"/>
          <w:szCs w:val="24"/>
        </w:rPr>
        <w:t>Hurley, Richard. 2003</w:t>
      </w:r>
      <w:proofErr w:type="gramStart"/>
      <w:r w:rsidRPr="000600AF">
        <w:rPr>
          <w:rFonts w:ascii="Times New Roman" w:eastAsiaTheme="minorHAnsi" w:hAnsi="Times New Roman" w:cs="Times New Roman"/>
          <w:sz w:val="24"/>
          <w:szCs w:val="24"/>
        </w:rPr>
        <w:t>..</w:t>
      </w:r>
      <w:proofErr w:type="gramEnd"/>
      <w:r w:rsidRPr="000600AF">
        <w:rPr>
          <w:rFonts w:ascii="Times New Roman" w:eastAsiaTheme="minorHAnsi" w:hAnsi="Times New Roman" w:cs="Times New Roman"/>
          <w:sz w:val="24"/>
          <w:szCs w:val="24"/>
        </w:rPr>
        <w:t xml:space="preserve"> Rough bluegrass (</w:t>
      </w:r>
      <w:r w:rsidRPr="000600AF">
        <w:rPr>
          <w:rFonts w:ascii="Times New Roman" w:eastAsiaTheme="minorHAnsi" w:hAnsi="Times New Roman" w:cs="Times New Roman"/>
          <w:iCs/>
          <w:sz w:val="24"/>
          <w:szCs w:val="24"/>
        </w:rPr>
        <w:t>Poa trivialis</w:t>
      </w:r>
      <w:r w:rsidRPr="000600AF">
        <w:rPr>
          <w:rFonts w:ascii="Times New Roman" w:eastAsiaTheme="minorHAnsi" w:hAnsi="Times New Roman" w:cs="Times New Roman"/>
          <w:sz w:val="24"/>
          <w:szCs w:val="24"/>
        </w:rPr>
        <w:t xml:space="preserve"> L.). In: Casler, Michael D.; Duncan, Ronny R., eds. </w:t>
      </w:r>
      <w:r w:rsidRPr="000600AF">
        <w:rPr>
          <w:rFonts w:ascii="Times New Roman" w:eastAsiaTheme="minorHAnsi" w:hAnsi="Times New Roman" w:cs="Times New Roman"/>
          <w:iCs/>
          <w:sz w:val="24"/>
          <w:szCs w:val="24"/>
        </w:rPr>
        <w:t>Turfgrass Biology, Genetics, and Breeding</w:t>
      </w:r>
      <w:r w:rsidRPr="000600AF">
        <w:rPr>
          <w:rFonts w:ascii="Times New Roman" w:eastAsiaTheme="minorHAnsi" w:hAnsi="Times New Roman" w:cs="Times New Roman"/>
          <w:sz w:val="24"/>
          <w:szCs w:val="24"/>
        </w:rPr>
        <w:t>. Hoboken, NJ: John Wiley &amp; Sons.</w:t>
      </w:r>
      <w:r w:rsidR="00286B4D" w:rsidRPr="000600AF">
        <w:rPr>
          <w:rFonts w:ascii="Times New Roman" w:eastAsiaTheme="minorHAnsi" w:hAnsi="Times New Roman" w:cs="Times New Roman"/>
          <w:sz w:val="24"/>
          <w:szCs w:val="24"/>
        </w:rPr>
        <w:t xml:space="preserve"> p. 67-73.</w:t>
      </w:r>
    </w:p>
    <w:p w14:paraId="7C1A8067"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Johnson, B. Jack. "Fenarimol tolerance of roughstalk bluegrass overseeded in bermudagrass greens." Agronomy journal 86.3 (1994): 519-522.</w:t>
      </w:r>
    </w:p>
    <w:p w14:paraId="1FBCE8CE" w14:textId="77777777" w:rsidR="00ED7955" w:rsidRPr="000600AF" w:rsidRDefault="00ED7955" w:rsidP="00ED7955">
      <w:pPr>
        <w:spacing w:line="240" w:lineRule="auto"/>
        <w:ind w:left="720" w:hanging="720"/>
        <w:rPr>
          <w:rFonts w:ascii="Times New Roman" w:eastAsia="Times New Roman" w:hAnsi="Times New Roman" w:cs="Times New Roman"/>
          <w:color w:val="222222"/>
          <w:sz w:val="24"/>
          <w:szCs w:val="24"/>
        </w:rPr>
      </w:pPr>
      <w:r w:rsidRPr="000600AF">
        <w:rPr>
          <w:rFonts w:ascii="Times New Roman" w:eastAsia="Times New Roman" w:hAnsi="Times New Roman" w:cs="Times New Roman"/>
          <w:color w:val="222222"/>
          <w:sz w:val="24"/>
          <w:szCs w:val="24"/>
        </w:rPr>
        <w:lastRenderedPageBreak/>
        <w:t>Kelley, A. M., Johnson, P. G.,</w:t>
      </w:r>
      <w:r w:rsidR="000600AF">
        <w:rPr>
          <w:rFonts w:ascii="Times New Roman" w:eastAsia="Times New Roman" w:hAnsi="Times New Roman" w:cs="Times New Roman"/>
          <w:color w:val="222222"/>
          <w:sz w:val="24"/>
          <w:szCs w:val="24"/>
        </w:rPr>
        <w:t xml:space="preserve"> Waldron, B. L., &amp; Peel, M. D. 2009</w:t>
      </w:r>
      <w:r w:rsidRPr="000600AF">
        <w:rPr>
          <w:rFonts w:ascii="Times New Roman" w:eastAsia="Times New Roman" w:hAnsi="Times New Roman" w:cs="Times New Roman"/>
          <w:color w:val="222222"/>
          <w:sz w:val="24"/>
          <w:szCs w:val="24"/>
        </w:rPr>
        <w:t>. A Survey of Apomixis and Ploidy Levels among L</w:t>
      </w:r>
      <w:proofErr w:type="gramStart"/>
      <w:r w:rsidRPr="000600AF">
        <w:rPr>
          <w:rFonts w:ascii="Times New Roman" w:eastAsia="Times New Roman" w:hAnsi="Times New Roman" w:cs="Times New Roman"/>
          <w:color w:val="222222"/>
          <w:sz w:val="24"/>
          <w:szCs w:val="24"/>
        </w:rPr>
        <w:t>.(</w:t>
      </w:r>
      <w:proofErr w:type="gramEnd"/>
      <w:r w:rsidRPr="000600AF">
        <w:rPr>
          <w:rFonts w:ascii="Times New Roman" w:eastAsia="Times New Roman" w:hAnsi="Times New Roman" w:cs="Times New Roman"/>
          <w:color w:val="222222"/>
          <w:sz w:val="24"/>
          <w:szCs w:val="24"/>
        </w:rPr>
        <w:t xml:space="preserve">Poaceae) Using Flow Cytometry. </w:t>
      </w:r>
      <w:proofErr w:type="gramStart"/>
      <w:r w:rsidRPr="000600AF">
        <w:rPr>
          <w:rFonts w:ascii="Times New Roman" w:eastAsia="Times New Roman" w:hAnsi="Times New Roman" w:cs="Times New Roman"/>
          <w:iCs/>
          <w:color w:val="222222"/>
          <w:sz w:val="24"/>
          <w:szCs w:val="24"/>
        </w:rPr>
        <w:t>Crop science</w:t>
      </w:r>
      <w:r w:rsidRPr="000600AF">
        <w:rPr>
          <w:rFonts w:ascii="Times New Roman" w:eastAsia="Times New Roman" w:hAnsi="Times New Roman" w:cs="Times New Roman"/>
          <w:color w:val="222222"/>
          <w:sz w:val="24"/>
          <w:szCs w:val="24"/>
        </w:rPr>
        <w:t xml:space="preserve">, </w:t>
      </w:r>
      <w:r w:rsidRPr="000600AF">
        <w:rPr>
          <w:rFonts w:ascii="Times New Roman" w:eastAsia="Times New Roman" w:hAnsi="Times New Roman" w:cs="Times New Roman"/>
          <w:iCs/>
          <w:color w:val="222222"/>
          <w:sz w:val="24"/>
          <w:szCs w:val="24"/>
        </w:rPr>
        <w:t>49</w:t>
      </w:r>
      <w:r w:rsidRPr="000600AF">
        <w:rPr>
          <w:rFonts w:ascii="Times New Roman" w:eastAsia="Times New Roman" w:hAnsi="Times New Roman" w:cs="Times New Roman"/>
          <w:color w:val="222222"/>
          <w:sz w:val="24"/>
          <w:szCs w:val="24"/>
        </w:rPr>
        <w:t>(4), 1395-1402.</w:t>
      </w:r>
      <w:proofErr w:type="gramEnd"/>
    </w:p>
    <w:p w14:paraId="2D3BE434"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proofErr w:type="gramStart"/>
      <w:r w:rsidRPr="000600AF">
        <w:rPr>
          <w:rFonts w:ascii="Times New Roman" w:eastAsiaTheme="minorHAnsi" w:hAnsi="Times New Roman" w:cs="Times New Roman"/>
          <w:sz w:val="24"/>
          <w:szCs w:val="24"/>
        </w:rPr>
        <w:t>Kopec, D. M.; Smith, S. E.; Pessarakli, M. 2008.</w:t>
      </w:r>
      <w:proofErr w:type="gramEnd"/>
      <w:r w:rsidRPr="000600AF">
        <w:rPr>
          <w:rFonts w:ascii="Times New Roman" w:eastAsiaTheme="minorHAnsi" w:hAnsi="Times New Roman" w:cs="Times New Roman"/>
          <w:sz w:val="24"/>
          <w:szCs w:val="24"/>
        </w:rPr>
        <w:t xml:space="preserve"> Collection and evaluation of native grasses from grazed arid environments for turfgrass development. </w:t>
      </w:r>
      <w:r w:rsidRPr="000600AF">
        <w:rPr>
          <w:rFonts w:ascii="Times New Roman" w:eastAsiaTheme="minorHAnsi" w:hAnsi="Times New Roman" w:cs="Times New Roman"/>
          <w:iCs/>
          <w:sz w:val="24"/>
          <w:szCs w:val="24"/>
        </w:rPr>
        <w:t>2008 Turfgrass and Environmental Research Summary</w:t>
      </w:r>
      <w:r w:rsidRPr="000600AF">
        <w:rPr>
          <w:rFonts w:ascii="Times New Roman" w:eastAsiaTheme="minorHAnsi" w:hAnsi="Times New Roman" w:cs="Times New Roman"/>
          <w:sz w:val="24"/>
          <w:szCs w:val="24"/>
        </w:rPr>
        <w:t>. p. 52.</w:t>
      </w:r>
    </w:p>
    <w:p w14:paraId="6DAE6FA9" w14:textId="77777777" w:rsidR="006B0A9E" w:rsidRPr="000600AF" w:rsidRDefault="006B0A9E" w:rsidP="00ED7955">
      <w:pPr>
        <w:spacing w:line="240" w:lineRule="auto"/>
        <w:ind w:left="720" w:hanging="720"/>
        <w:rPr>
          <w:rFonts w:ascii="Times New Roman" w:eastAsiaTheme="minorHAnsi" w:hAnsi="Times New Roman" w:cs="Times New Roman"/>
          <w:sz w:val="24"/>
          <w:szCs w:val="24"/>
        </w:rPr>
      </w:pPr>
      <w:r w:rsidRPr="000600AF">
        <w:rPr>
          <w:rFonts w:ascii="Times New Roman" w:eastAsiaTheme="minorHAnsi" w:hAnsi="Times New Roman" w:cs="Times New Roman"/>
          <w:sz w:val="24"/>
          <w:szCs w:val="24"/>
        </w:rPr>
        <w:t xml:space="preserve">McCauley, R. K. 2009. </w:t>
      </w:r>
      <w:proofErr w:type="gramStart"/>
      <w:r w:rsidRPr="000600AF">
        <w:rPr>
          <w:rFonts w:ascii="Times New Roman" w:eastAsiaTheme="minorHAnsi" w:hAnsi="Times New Roman" w:cs="Times New Roman"/>
          <w:sz w:val="24"/>
          <w:szCs w:val="24"/>
        </w:rPr>
        <w:t>Overseeded Bermudagrass Spring Transition Response to Mowing Height, Nitrogen Rate, Sulfonylurea Herbicide, and Allelopathy.</w:t>
      </w:r>
      <w:proofErr w:type="gramEnd"/>
      <w:r w:rsidRPr="000600AF">
        <w:rPr>
          <w:rFonts w:ascii="Times New Roman" w:eastAsiaTheme="minorHAnsi" w:hAnsi="Times New Roman" w:cs="Times New Roman"/>
          <w:sz w:val="24"/>
          <w:szCs w:val="24"/>
        </w:rPr>
        <w:t xml:space="preserve"> ProQuest.</w:t>
      </w:r>
    </w:p>
    <w:p w14:paraId="57FE9F41"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proofErr w:type="gramStart"/>
      <w:r w:rsidRPr="000600AF">
        <w:rPr>
          <w:rFonts w:ascii="Times New Roman" w:eastAsiaTheme="minorHAnsi" w:hAnsi="Times New Roman" w:cs="Times New Roman"/>
          <w:sz w:val="24"/>
          <w:szCs w:val="24"/>
        </w:rPr>
        <w:t>Mao, Qing; Huff, David R. 2012.</w:t>
      </w:r>
      <w:proofErr w:type="gramEnd"/>
      <w:r w:rsidRPr="000600AF">
        <w:rPr>
          <w:rFonts w:ascii="Times New Roman" w:eastAsiaTheme="minorHAnsi" w:hAnsi="Times New Roman" w:cs="Times New Roman"/>
          <w:sz w:val="24"/>
          <w:szCs w:val="24"/>
        </w:rPr>
        <w:t xml:space="preserve"> </w:t>
      </w:r>
      <w:proofErr w:type="gramStart"/>
      <w:r w:rsidRPr="000600AF">
        <w:rPr>
          <w:rFonts w:ascii="Times New Roman" w:eastAsiaTheme="minorHAnsi" w:hAnsi="Times New Roman" w:cs="Times New Roman"/>
          <w:sz w:val="24"/>
          <w:szCs w:val="24"/>
        </w:rPr>
        <w:t xml:space="preserve">Evolutionary origin of Poa annua L. </w:t>
      </w:r>
      <w:r w:rsidRPr="000600AF">
        <w:rPr>
          <w:rFonts w:ascii="Times New Roman" w:eastAsiaTheme="minorHAnsi" w:hAnsi="Times New Roman" w:cs="Times New Roman"/>
          <w:iCs/>
          <w:sz w:val="24"/>
          <w:szCs w:val="24"/>
        </w:rPr>
        <w:t>Crop Science</w:t>
      </w:r>
      <w:r w:rsidRPr="000600AF">
        <w:rPr>
          <w:rFonts w:ascii="Times New Roman" w:eastAsiaTheme="minorHAnsi" w:hAnsi="Times New Roman" w:cs="Times New Roman"/>
          <w:sz w:val="24"/>
          <w:szCs w:val="24"/>
        </w:rPr>
        <w:t>.</w:t>
      </w:r>
      <w:proofErr w:type="gramEnd"/>
      <w:r w:rsidRPr="000600AF">
        <w:rPr>
          <w:rFonts w:ascii="Times New Roman" w:eastAsiaTheme="minorHAnsi" w:hAnsi="Times New Roman" w:cs="Times New Roman"/>
          <w:sz w:val="24"/>
          <w:szCs w:val="24"/>
        </w:rPr>
        <w:t xml:space="preserve"> July. 52(4): p. 1910-1922.</w:t>
      </w:r>
    </w:p>
    <w:p w14:paraId="5E305A00"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Mazur, A. R., and J. S. Rice. 1999. Impact of overseeding bermudagrass with various amounts of perennial ryegrass for winter putting turf. HortScience. 34(5):p. 864-870.</w:t>
      </w:r>
    </w:p>
    <w:p w14:paraId="7FF9A696"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Mazur, A.R. and D.F. Wagner. 1987. Influence of aeration, topdressing, and vertical mowing on overseeded bermudagrass putting green turf. HortScience 22(6):1276-1278.</w:t>
      </w:r>
    </w:p>
    <w:p w14:paraId="2778BA9C"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Meyer, William A., and C. Reed Funk. </w:t>
      </w:r>
      <w:proofErr w:type="gramStart"/>
      <w:r w:rsidRPr="000600AF">
        <w:rPr>
          <w:rFonts w:ascii="Times New Roman" w:hAnsi="Times New Roman" w:cs="Times New Roman"/>
          <w:sz w:val="24"/>
          <w:szCs w:val="24"/>
        </w:rPr>
        <w:t>"Progress and benefits to humanity from breeding cool-season grasses for turf."</w:t>
      </w:r>
      <w:proofErr w:type="gramEnd"/>
      <w:r w:rsidRPr="000600AF">
        <w:rPr>
          <w:rFonts w:ascii="Times New Roman" w:hAnsi="Times New Roman" w:cs="Times New Roman"/>
          <w:sz w:val="24"/>
          <w:szCs w:val="24"/>
        </w:rPr>
        <w:t xml:space="preserve"> Contributions from Breeding Forage and Turf Grasses r (1989): 31-48.</w:t>
      </w:r>
    </w:p>
    <w:p w14:paraId="5D9BBEB9"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proofErr w:type="gramStart"/>
      <w:r w:rsidRPr="000600AF">
        <w:rPr>
          <w:rFonts w:ascii="Times New Roman" w:eastAsiaTheme="minorHAnsi" w:hAnsi="Times New Roman" w:cs="Times New Roman"/>
          <w:sz w:val="24"/>
          <w:szCs w:val="24"/>
        </w:rPr>
        <w:t>Meyer, William A.; Watkins, Eric.</w:t>
      </w:r>
      <w:proofErr w:type="gramEnd"/>
      <w:r w:rsidRPr="000600AF">
        <w:rPr>
          <w:rFonts w:ascii="Times New Roman" w:eastAsiaTheme="minorHAnsi" w:hAnsi="Times New Roman" w:cs="Times New Roman"/>
          <w:sz w:val="24"/>
          <w:szCs w:val="24"/>
        </w:rPr>
        <w:t xml:space="preserve"> 2003. Tall Fescue (Festuca arundinacea). p. 107-127. In: Casler, Michael D.; Duncan, Ronny R., eds. </w:t>
      </w:r>
      <w:r w:rsidRPr="000600AF">
        <w:rPr>
          <w:rFonts w:ascii="Times New Roman" w:eastAsiaTheme="minorHAnsi" w:hAnsi="Times New Roman" w:cs="Times New Roman"/>
          <w:iCs/>
          <w:sz w:val="24"/>
          <w:szCs w:val="24"/>
        </w:rPr>
        <w:t>Turfgrass Biology, Genetics, and Breeding</w:t>
      </w:r>
      <w:r w:rsidRPr="000600AF">
        <w:rPr>
          <w:rFonts w:ascii="Times New Roman" w:eastAsiaTheme="minorHAnsi" w:hAnsi="Times New Roman" w:cs="Times New Roman"/>
          <w:sz w:val="24"/>
          <w:szCs w:val="24"/>
        </w:rPr>
        <w:t>. Hoboken, NJ: John Wiley &amp; Sons.</w:t>
      </w:r>
    </w:p>
    <w:p w14:paraId="3AF0A70F"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Miller, G., J. Weinbrecht, and J. Haugh.</w:t>
      </w:r>
      <w:r w:rsidR="000600AF">
        <w:rPr>
          <w:rFonts w:ascii="Times New Roman" w:hAnsi="Times New Roman" w:cs="Times New Roman"/>
          <w:sz w:val="24"/>
          <w:szCs w:val="24"/>
        </w:rPr>
        <w:t xml:space="preserve"> 2005.</w:t>
      </w:r>
      <w:r w:rsidRPr="000600AF">
        <w:rPr>
          <w:rFonts w:ascii="Times New Roman" w:hAnsi="Times New Roman" w:cs="Times New Roman"/>
          <w:sz w:val="24"/>
          <w:szCs w:val="24"/>
        </w:rPr>
        <w:t xml:space="preserve"> "Winter Overseeding Trials on fairway and putting green bermudagrass–2004/20</w:t>
      </w:r>
      <w:r w:rsidR="000600AF">
        <w:rPr>
          <w:rFonts w:ascii="Times New Roman" w:hAnsi="Times New Roman" w:cs="Times New Roman"/>
          <w:sz w:val="24"/>
          <w:szCs w:val="24"/>
        </w:rPr>
        <w:t xml:space="preserve">05." </w:t>
      </w:r>
      <w:proofErr w:type="gramStart"/>
      <w:r w:rsidR="000600AF">
        <w:rPr>
          <w:rFonts w:ascii="Times New Roman" w:hAnsi="Times New Roman" w:cs="Times New Roman"/>
          <w:sz w:val="24"/>
          <w:szCs w:val="24"/>
        </w:rPr>
        <w:t>Available on request</w:t>
      </w:r>
      <w:r w:rsidRPr="000600AF">
        <w:rPr>
          <w:rFonts w:ascii="Times New Roman" w:hAnsi="Times New Roman" w:cs="Times New Roman"/>
          <w:sz w:val="24"/>
          <w:szCs w:val="24"/>
        </w:rPr>
        <w:t>.</w:t>
      </w:r>
      <w:proofErr w:type="gramEnd"/>
    </w:p>
    <w:p w14:paraId="3D45BAD9" w14:textId="77777777" w:rsidR="00ED7955" w:rsidRPr="000600AF" w:rsidRDefault="00ED7955" w:rsidP="00ED7955">
      <w:pPr>
        <w:spacing w:line="240" w:lineRule="auto"/>
        <w:ind w:left="720" w:hanging="720"/>
        <w:rPr>
          <w:rFonts w:ascii="Times New Roman" w:eastAsia="Times New Roman" w:hAnsi="Times New Roman" w:cs="Times New Roman"/>
          <w:color w:val="222222"/>
          <w:sz w:val="24"/>
          <w:szCs w:val="24"/>
        </w:rPr>
      </w:pPr>
      <w:r w:rsidRPr="000600AF">
        <w:rPr>
          <w:rFonts w:ascii="Times New Roman" w:eastAsia="Times New Roman" w:hAnsi="Times New Roman" w:cs="Times New Roman"/>
          <w:color w:val="222222"/>
          <w:sz w:val="24"/>
          <w:szCs w:val="24"/>
        </w:rPr>
        <w:t xml:space="preserve">Mintenko, A. S., </w:t>
      </w:r>
      <w:r w:rsidR="000600AF">
        <w:rPr>
          <w:rFonts w:ascii="Times New Roman" w:eastAsia="Times New Roman" w:hAnsi="Times New Roman" w:cs="Times New Roman"/>
          <w:color w:val="222222"/>
          <w:sz w:val="24"/>
          <w:szCs w:val="24"/>
        </w:rPr>
        <w:t>Smith, S. R., &amp; Cattani, D. J. 2002</w:t>
      </w:r>
      <w:r w:rsidRPr="000600AF">
        <w:rPr>
          <w:rFonts w:ascii="Times New Roman" w:eastAsia="Times New Roman" w:hAnsi="Times New Roman" w:cs="Times New Roman"/>
          <w:color w:val="222222"/>
          <w:sz w:val="24"/>
          <w:szCs w:val="24"/>
        </w:rPr>
        <w:t xml:space="preserve">. </w:t>
      </w:r>
      <w:proofErr w:type="gramStart"/>
      <w:r w:rsidRPr="000600AF">
        <w:rPr>
          <w:rFonts w:ascii="Times New Roman" w:eastAsia="Times New Roman" w:hAnsi="Times New Roman" w:cs="Times New Roman"/>
          <w:color w:val="222222"/>
          <w:sz w:val="24"/>
          <w:szCs w:val="24"/>
        </w:rPr>
        <w:t>Turfgrass evaluation of native grasses for the northern Great Plains region.</w:t>
      </w:r>
      <w:proofErr w:type="gramEnd"/>
      <w:r w:rsidRPr="000600AF">
        <w:rPr>
          <w:rFonts w:ascii="Times New Roman" w:eastAsia="Times New Roman" w:hAnsi="Times New Roman" w:cs="Times New Roman"/>
          <w:color w:val="222222"/>
          <w:sz w:val="24"/>
          <w:szCs w:val="24"/>
        </w:rPr>
        <w:t xml:space="preserve"> </w:t>
      </w:r>
      <w:proofErr w:type="gramStart"/>
      <w:r w:rsidRPr="000600AF">
        <w:rPr>
          <w:rFonts w:ascii="Times New Roman" w:eastAsia="Times New Roman" w:hAnsi="Times New Roman" w:cs="Times New Roman"/>
          <w:iCs/>
          <w:color w:val="222222"/>
          <w:sz w:val="24"/>
          <w:szCs w:val="24"/>
        </w:rPr>
        <w:t>Crop science</w:t>
      </w:r>
      <w:r w:rsidRPr="000600AF">
        <w:rPr>
          <w:rFonts w:ascii="Times New Roman" w:eastAsia="Times New Roman" w:hAnsi="Times New Roman" w:cs="Times New Roman"/>
          <w:color w:val="222222"/>
          <w:sz w:val="24"/>
          <w:szCs w:val="24"/>
        </w:rPr>
        <w:t xml:space="preserve">, </w:t>
      </w:r>
      <w:r w:rsidRPr="000600AF">
        <w:rPr>
          <w:rFonts w:ascii="Times New Roman" w:eastAsia="Times New Roman" w:hAnsi="Times New Roman" w:cs="Times New Roman"/>
          <w:iCs/>
          <w:color w:val="222222"/>
          <w:sz w:val="24"/>
          <w:szCs w:val="24"/>
        </w:rPr>
        <w:t>42</w:t>
      </w:r>
      <w:r w:rsidRPr="000600AF">
        <w:rPr>
          <w:rFonts w:ascii="Times New Roman" w:eastAsia="Times New Roman" w:hAnsi="Times New Roman" w:cs="Times New Roman"/>
          <w:color w:val="222222"/>
          <w:sz w:val="24"/>
          <w:szCs w:val="24"/>
        </w:rPr>
        <w:t>(6), 2018-2024.</w:t>
      </w:r>
      <w:proofErr w:type="gramEnd"/>
    </w:p>
    <w:p w14:paraId="371DECDA" w14:textId="77777777" w:rsidR="001F4A16" w:rsidRPr="000600AF" w:rsidRDefault="001F4A16"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Merewitz, E., Mey</w:t>
      </w:r>
      <w:r w:rsidR="000600AF">
        <w:rPr>
          <w:rFonts w:ascii="Times New Roman" w:hAnsi="Times New Roman" w:cs="Times New Roman"/>
          <w:sz w:val="24"/>
          <w:szCs w:val="24"/>
        </w:rPr>
        <w:t>er, W., Bonos, S., &amp; Huang, B. 2010</w:t>
      </w:r>
      <w:r w:rsidRPr="000600AF">
        <w:rPr>
          <w:rFonts w:ascii="Times New Roman" w:hAnsi="Times New Roman" w:cs="Times New Roman"/>
          <w:sz w:val="24"/>
          <w:szCs w:val="24"/>
        </w:rPr>
        <w:t xml:space="preserve">. </w:t>
      </w:r>
      <w:proofErr w:type="gramStart"/>
      <w:r w:rsidRPr="000600AF">
        <w:rPr>
          <w:rFonts w:ascii="Times New Roman" w:hAnsi="Times New Roman" w:cs="Times New Roman"/>
          <w:sz w:val="24"/>
          <w:szCs w:val="24"/>
        </w:rPr>
        <w:t>Drought stress responses and recovery of Texas× Kentucky hybrids and Kentucky bluegrass genotypes in temperate climate conditions.</w:t>
      </w:r>
      <w:proofErr w:type="gramEnd"/>
      <w:r w:rsidRPr="000600AF">
        <w:rPr>
          <w:rFonts w:ascii="Times New Roman" w:hAnsi="Times New Roman" w:cs="Times New Roman"/>
          <w:sz w:val="24"/>
          <w:szCs w:val="24"/>
        </w:rPr>
        <w:t xml:space="preserve"> Agronomy Journal, 102(1), 258-268.</w:t>
      </w:r>
    </w:p>
    <w:p w14:paraId="12142EC1"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Morris, K. N. 2004. </w:t>
      </w:r>
      <w:proofErr w:type="gramStart"/>
      <w:r w:rsidRPr="000600AF">
        <w:rPr>
          <w:rFonts w:ascii="Times New Roman" w:hAnsi="Times New Roman" w:cs="Times New Roman"/>
          <w:sz w:val="24"/>
          <w:szCs w:val="24"/>
        </w:rPr>
        <w:t>Grasses for overseeding bermudagrass fairways.</w:t>
      </w:r>
      <w:proofErr w:type="gramEnd"/>
      <w:r w:rsidRPr="000600AF">
        <w:rPr>
          <w:rFonts w:ascii="Times New Roman" w:hAnsi="Times New Roman" w:cs="Times New Roman"/>
          <w:sz w:val="24"/>
          <w:szCs w:val="24"/>
        </w:rPr>
        <w:t xml:space="preserve"> USGA Turfgrass and Environmental Research Online. January 1. 3(1): p. 1-12.</w:t>
      </w:r>
    </w:p>
    <w:p w14:paraId="2B526780"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Munshaw, G.C., E.H. Ervin, C. Shang, S.D. Askew, X. Zhang, and R.W. Lemus. 2006.  Influence of late-season iron, nitrogen, and seaweed extract on fall color retention and cold tolerance of four bermudagrass cultivars. Crop Sci. 46:273–283.</w:t>
      </w:r>
    </w:p>
    <w:p w14:paraId="1359549F"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r w:rsidRPr="000600AF">
        <w:rPr>
          <w:rFonts w:ascii="Times New Roman" w:eastAsiaTheme="minorHAnsi" w:hAnsi="Times New Roman" w:cs="Times New Roman"/>
          <w:sz w:val="24"/>
          <w:szCs w:val="24"/>
        </w:rPr>
        <w:t xml:space="preserve">Nanfeldt, J. 1937. </w:t>
      </w:r>
      <w:proofErr w:type="gramStart"/>
      <w:r w:rsidRPr="000600AF">
        <w:rPr>
          <w:rFonts w:ascii="Times New Roman" w:eastAsiaTheme="minorHAnsi" w:hAnsi="Times New Roman" w:cs="Times New Roman"/>
          <w:sz w:val="24"/>
          <w:szCs w:val="24"/>
        </w:rPr>
        <w:t>The chromosome number of Poa Sect.</w:t>
      </w:r>
      <w:proofErr w:type="gramEnd"/>
      <w:r w:rsidRPr="000600AF">
        <w:rPr>
          <w:rFonts w:ascii="Times New Roman" w:eastAsiaTheme="minorHAnsi" w:hAnsi="Times New Roman" w:cs="Times New Roman"/>
          <w:sz w:val="24"/>
          <w:szCs w:val="24"/>
        </w:rPr>
        <w:t xml:space="preserve"> </w:t>
      </w:r>
      <w:proofErr w:type="gramStart"/>
      <w:r w:rsidRPr="000600AF">
        <w:rPr>
          <w:rFonts w:ascii="Times New Roman" w:eastAsiaTheme="minorHAnsi" w:hAnsi="Times New Roman" w:cs="Times New Roman"/>
          <w:sz w:val="24"/>
          <w:szCs w:val="24"/>
        </w:rPr>
        <w:t>Ochlopoa  A</w:t>
      </w:r>
      <w:proofErr w:type="gramEnd"/>
      <w:r w:rsidRPr="000600AF">
        <w:rPr>
          <w:rFonts w:ascii="Times New Roman" w:eastAsiaTheme="minorHAnsi" w:hAnsi="Times New Roman" w:cs="Times New Roman"/>
          <w:sz w:val="24"/>
          <w:szCs w:val="24"/>
        </w:rPr>
        <w:t xml:space="preserve">. &amp; GR. </w:t>
      </w:r>
      <w:proofErr w:type="gramStart"/>
      <w:r w:rsidRPr="000600AF">
        <w:rPr>
          <w:rFonts w:ascii="Times New Roman" w:eastAsiaTheme="minorHAnsi" w:hAnsi="Times New Roman" w:cs="Times New Roman"/>
          <w:sz w:val="24"/>
          <w:szCs w:val="24"/>
        </w:rPr>
        <w:t>And their taxonomic significance.</w:t>
      </w:r>
      <w:proofErr w:type="gramEnd"/>
      <w:r w:rsidRPr="000600AF">
        <w:rPr>
          <w:rFonts w:ascii="Times New Roman" w:eastAsiaTheme="minorHAnsi" w:hAnsi="Times New Roman" w:cs="Times New Roman"/>
          <w:sz w:val="24"/>
          <w:szCs w:val="24"/>
        </w:rPr>
        <w:t xml:space="preserve"> Bot. Not. 1937:238-254</w:t>
      </w:r>
    </w:p>
    <w:p w14:paraId="6510174D"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lastRenderedPageBreak/>
        <w:t xml:space="preserve">O'Brien, Patrick; Hartwiger, Christopher. 2011. A time to change: The ultradwarf bermudagrass putting green golf model is solid in the southern USA. </w:t>
      </w:r>
      <w:proofErr w:type="gramStart"/>
      <w:r w:rsidRPr="000600AF">
        <w:rPr>
          <w:rFonts w:ascii="Times New Roman" w:hAnsi="Times New Roman" w:cs="Times New Roman"/>
          <w:sz w:val="24"/>
          <w:szCs w:val="24"/>
        </w:rPr>
        <w:t>USGA Green Section Record.</w:t>
      </w:r>
      <w:proofErr w:type="gramEnd"/>
      <w:r w:rsidRPr="000600AF">
        <w:rPr>
          <w:rFonts w:ascii="Times New Roman" w:hAnsi="Times New Roman" w:cs="Times New Roman"/>
          <w:sz w:val="24"/>
          <w:szCs w:val="24"/>
        </w:rPr>
        <w:t xml:space="preserve"> February 25. 49(8): p. 1-5.</w:t>
      </w:r>
    </w:p>
    <w:p w14:paraId="355AC003"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Patton, Aaron. 2012. Warming up in the transition zone: Golf courses are increasingly choosing warm-season turfgrasses as maintenance budgets continue to be squeezed. </w:t>
      </w:r>
      <w:proofErr w:type="gramStart"/>
      <w:r w:rsidRPr="000600AF">
        <w:rPr>
          <w:rFonts w:ascii="Times New Roman" w:hAnsi="Times New Roman" w:cs="Times New Roman"/>
          <w:sz w:val="24"/>
          <w:szCs w:val="24"/>
        </w:rPr>
        <w:t>USGA Green Section Record.</w:t>
      </w:r>
      <w:proofErr w:type="gramEnd"/>
      <w:r w:rsidRPr="000600AF">
        <w:rPr>
          <w:rFonts w:ascii="Times New Roman" w:hAnsi="Times New Roman" w:cs="Times New Roman"/>
          <w:sz w:val="24"/>
          <w:szCs w:val="24"/>
        </w:rPr>
        <w:t xml:space="preserve"> September 21. 50(20): p. 1-5.</w:t>
      </w:r>
    </w:p>
    <w:p w14:paraId="7585012A" w14:textId="77777777" w:rsidR="000E1B66" w:rsidRPr="000600AF" w:rsidRDefault="000E1B66"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Pepin, G. W., &amp; Funk, C. R. 1971. </w:t>
      </w:r>
      <w:proofErr w:type="gramStart"/>
      <w:r w:rsidRPr="000600AF">
        <w:rPr>
          <w:rFonts w:ascii="Times New Roman" w:hAnsi="Times New Roman" w:cs="Times New Roman"/>
          <w:sz w:val="24"/>
          <w:szCs w:val="24"/>
        </w:rPr>
        <w:t>Intraspecific hybridization as a method of breeding Kentucky bluegrass (Poa pratemis L.) for turf.</w:t>
      </w:r>
      <w:proofErr w:type="gramEnd"/>
      <w:r w:rsidRPr="000600AF">
        <w:rPr>
          <w:rFonts w:ascii="Times New Roman" w:hAnsi="Times New Roman" w:cs="Times New Roman"/>
          <w:sz w:val="24"/>
          <w:szCs w:val="24"/>
        </w:rPr>
        <w:t xml:space="preserve"> Crop Science, 11(3), 445-448.</w:t>
      </w:r>
    </w:p>
    <w:p w14:paraId="0A8A8C71"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proofErr w:type="gramStart"/>
      <w:r w:rsidRPr="000600AF">
        <w:rPr>
          <w:rFonts w:ascii="Times New Roman" w:eastAsiaTheme="minorHAnsi" w:hAnsi="Times New Roman" w:cs="Times New Roman"/>
          <w:sz w:val="24"/>
          <w:szCs w:val="24"/>
        </w:rPr>
        <w:t>Pitman, W. D.; Redfearn, D. D.; Read, J. C. 2000.</w:t>
      </w:r>
      <w:proofErr w:type="gramEnd"/>
      <w:r w:rsidRPr="000600AF">
        <w:rPr>
          <w:rFonts w:ascii="Times New Roman" w:eastAsiaTheme="minorHAnsi" w:hAnsi="Times New Roman" w:cs="Times New Roman"/>
          <w:sz w:val="24"/>
          <w:szCs w:val="24"/>
        </w:rPr>
        <w:t xml:space="preserve"> </w:t>
      </w:r>
      <w:proofErr w:type="gramStart"/>
      <w:r w:rsidRPr="000600AF">
        <w:rPr>
          <w:rFonts w:ascii="Times New Roman" w:eastAsiaTheme="minorHAnsi" w:hAnsi="Times New Roman" w:cs="Times New Roman"/>
          <w:sz w:val="24"/>
          <w:szCs w:val="24"/>
        </w:rPr>
        <w:t>Response of Texas bluegrass to season of nitrogen fertilization on the Louisiana coastal plain.</w:t>
      </w:r>
      <w:proofErr w:type="gramEnd"/>
      <w:r w:rsidRPr="000600AF">
        <w:rPr>
          <w:rFonts w:ascii="Times New Roman" w:eastAsiaTheme="minorHAnsi" w:hAnsi="Times New Roman" w:cs="Times New Roman"/>
          <w:sz w:val="24"/>
          <w:szCs w:val="24"/>
        </w:rPr>
        <w:t xml:space="preserve">  </w:t>
      </w:r>
      <w:proofErr w:type="gramStart"/>
      <w:r w:rsidRPr="000600AF">
        <w:rPr>
          <w:rFonts w:ascii="Times New Roman" w:eastAsiaTheme="minorHAnsi" w:hAnsi="Times New Roman" w:cs="Times New Roman"/>
          <w:iCs/>
          <w:sz w:val="24"/>
          <w:szCs w:val="24"/>
        </w:rPr>
        <w:t>Journal of Plant Nutrition</w:t>
      </w:r>
      <w:r w:rsidRPr="000600AF">
        <w:rPr>
          <w:rFonts w:ascii="Times New Roman" w:eastAsiaTheme="minorHAnsi" w:hAnsi="Times New Roman" w:cs="Times New Roman"/>
          <w:sz w:val="24"/>
          <w:szCs w:val="24"/>
        </w:rPr>
        <w:t>.</w:t>
      </w:r>
      <w:proofErr w:type="gramEnd"/>
      <w:r w:rsidRPr="000600AF">
        <w:rPr>
          <w:rFonts w:ascii="Times New Roman" w:eastAsiaTheme="minorHAnsi" w:hAnsi="Times New Roman" w:cs="Times New Roman"/>
          <w:sz w:val="24"/>
          <w:szCs w:val="24"/>
        </w:rPr>
        <w:t xml:space="preserve"> 23(4): p. 423-429</w:t>
      </w:r>
    </w:p>
    <w:p w14:paraId="003A78FC"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r w:rsidRPr="000600AF">
        <w:rPr>
          <w:rFonts w:ascii="Times New Roman" w:eastAsiaTheme="minorHAnsi" w:hAnsi="Times New Roman" w:cs="Times New Roman"/>
          <w:sz w:val="24"/>
          <w:szCs w:val="24"/>
        </w:rPr>
        <w:t xml:space="preserve">Read, J. C. 2001. </w:t>
      </w:r>
      <w:proofErr w:type="gramStart"/>
      <w:r w:rsidRPr="000600AF">
        <w:rPr>
          <w:rFonts w:ascii="Times New Roman" w:eastAsiaTheme="minorHAnsi" w:hAnsi="Times New Roman" w:cs="Times New Roman"/>
          <w:sz w:val="24"/>
          <w:szCs w:val="24"/>
        </w:rPr>
        <w:t>Utilization of apomictic and dioecious method of reproduction in breeding of Poa spp. International Turfgrass Society Research Journal.</w:t>
      </w:r>
      <w:proofErr w:type="gramEnd"/>
      <w:r w:rsidRPr="000600AF">
        <w:rPr>
          <w:rFonts w:ascii="Times New Roman" w:eastAsiaTheme="minorHAnsi" w:hAnsi="Times New Roman" w:cs="Times New Roman"/>
          <w:sz w:val="24"/>
          <w:szCs w:val="24"/>
        </w:rPr>
        <w:t xml:space="preserve"> 9(Part 1): p. 202-205.</w:t>
      </w:r>
    </w:p>
    <w:p w14:paraId="5E401C49"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proofErr w:type="gramStart"/>
      <w:r w:rsidRPr="000600AF">
        <w:rPr>
          <w:rFonts w:ascii="Times New Roman" w:eastAsiaTheme="minorHAnsi" w:hAnsi="Times New Roman" w:cs="Times New Roman"/>
          <w:sz w:val="24"/>
          <w:szCs w:val="24"/>
        </w:rPr>
        <w:t>Read, James C.; Anderson, Sharon J. 2003.</w:t>
      </w:r>
      <w:proofErr w:type="gramEnd"/>
      <w:r w:rsidRPr="000600AF">
        <w:rPr>
          <w:rFonts w:ascii="Times New Roman" w:eastAsiaTheme="minorHAnsi" w:hAnsi="Times New Roman" w:cs="Times New Roman"/>
          <w:sz w:val="24"/>
          <w:szCs w:val="24"/>
        </w:rPr>
        <w:t xml:space="preserve"> </w:t>
      </w:r>
      <w:proofErr w:type="gramStart"/>
      <w:r w:rsidRPr="000600AF">
        <w:rPr>
          <w:rFonts w:ascii="Times New Roman" w:eastAsiaTheme="minorHAnsi" w:hAnsi="Times New Roman" w:cs="Times New Roman"/>
          <w:sz w:val="24"/>
          <w:szCs w:val="24"/>
        </w:rPr>
        <w:t>Texas bluegrass (</w:t>
      </w:r>
      <w:r w:rsidRPr="000600AF">
        <w:rPr>
          <w:rFonts w:ascii="Times New Roman" w:eastAsiaTheme="minorHAnsi" w:hAnsi="Times New Roman" w:cs="Times New Roman"/>
          <w:iCs/>
          <w:sz w:val="24"/>
          <w:szCs w:val="24"/>
        </w:rPr>
        <w:t>Poa arachnifera</w:t>
      </w:r>
      <w:r w:rsidRPr="000600AF">
        <w:rPr>
          <w:rFonts w:ascii="Times New Roman" w:eastAsiaTheme="minorHAnsi" w:hAnsi="Times New Roman" w:cs="Times New Roman"/>
          <w:sz w:val="24"/>
          <w:szCs w:val="24"/>
        </w:rPr>
        <w:t xml:space="preserve"> Torr.).</w:t>
      </w:r>
      <w:proofErr w:type="gramEnd"/>
      <w:r w:rsidRPr="000600AF">
        <w:rPr>
          <w:rFonts w:ascii="Times New Roman" w:eastAsiaTheme="minorHAnsi" w:hAnsi="Times New Roman" w:cs="Times New Roman"/>
          <w:sz w:val="24"/>
          <w:szCs w:val="24"/>
        </w:rPr>
        <w:t xml:space="preserve"> p. 61-66. In: Casler, Michael D.; Duncan, Ronny R., eds. Turfgrass Biology, Genetics, and Breeding. Hoboken, NJ: John Wiley &amp; Sons.</w:t>
      </w:r>
    </w:p>
    <w:p w14:paraId="5C89F3F6" w14:textId="77777777" w:rsidR="00C87E31" w:rsidRPr="000600AF" w:rsidRDefault="00C87E31"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Richardson, M. D., Karcher, D</w:t>
      </w:r>
      <w:r w:rsidR="001F4A16" w:rsidRPr="000600AF">
        <w:rPr>
          <w:rFonts w:ascii="Times New Roman" w:hAnsi="Times New Roman" w:cs="Times New Roman"/>
          <w:sz w:val="24"/>
          <w:szCs w:val="24"/>
        </w:rPr>
        <w:t>. E., Hignight, K., &amp; Rush, D. 2009</w:t>
      </w:r>
      <w:r w:rsidRPr="000600AF">
        <w:rPr>
          <w:rFonts w:ascii="Times New Roman" w:hAnsi="Times New Roman" w:cs="Times New Roman"/>
          <w:sz w:val="24"/>
          <w:szCs w:val="24"/>
        </w:rPr>
        <w:t xml:space="preserve">. </w:t>
      </w:r>
      <w:proofErr w:type="gramStart"/>
      <w:r w:rsidRPr="000600AF">
        <w:rPr>
          <w:rFonts w:ascii="Times New Roman" w:hAnsi="Times New Roman" w:cs="Times New Roman"/>
          <w:sz w:val="24"/>
          <w:szCs w:val="24"/>
        </w:rPr>
        <w:t>Drought tolerance of Kentucky bluegrass and hybrid bluegrass cultivars.</w:t>
      </w:r>
      <w:proofErr w:type="gramEnd"/>
      <w:r w:rsidRPr="000600AF">
        <w:rPr>
          <w:rFonts w:ascii="Times New Roman" w:hAnsi="Times New Roman" w:cs="Times New Roman"/>
          <w:sz w:val="24"/>
          <w:szCs w:val="24"/>
        </w:rPr>
        <w:t xml:space="preserve"> Appl. Turf. </w:t>
      </w:r>
      <w:proofErr w:type="gramStart"/>
      <w:r w:rsidRPr="000600AF">
        <w:rPr>
          <w:rFonts w:ascii="Times New Roman" w:hAnsi="Times New Roman" w:cs="Times New Roman"/>
          <w:sz w:val="24"/>
          <w:szCs w:val="24"/>
        </w:rPr>
        <w:t>Sci, 10, 03042009.</w:t>
      </w:r>
      <w:proofErr w:type="gramEnd"/>
    </w:p>
    <w:p w14:paraId="33610B9F"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Richardson, M. D., K. W. Hignight, R. H. Walker, C. A. Rodgers, D. Rush, J. H. McCalla, D. E. Karcher. 2007. Meadow fescue and tetraploid perennial ryegrass-two new species for overseeding dormant bermudagrass turf. Crop Sci. January/February. 47(1): p. 83-90.</w:t>
      </w:r>
    </w:p>
    <w:p w14:paraId="2D0791C7" w14:textId="77777777" w:rsidR="00ED7955" w:rsidRPr="000600AF" w:rsidRDefault="00ED7955" w:rsidP="00ED7955">
      <w:pPr>
        <w:spacing w:line="240" w:lineRule="auto"/>
        <w:ind w:left="720" w:hanging="720"/>
        <w:rPr>
          <w:rFonts w:ascii="Times New Roman" w:eastAsia="Times New Roman" w:hAnsi="Times New Roman" w:cs="Times New Roman"/>
          <w:color w:val="222222"/>
          <w:sz w:val="24"/>
          <w:szCs w:val="24"/>
        </w:rPr>
      </w:pPr>
      <w:r w:rsidRPr="000600AF">
        <w:rPr>
          <w:rFonts w:ascii="Times New Roman" w:eastAsia="Times New Roman" w:hAnsi="Times New Roman" w:cs="Times New Roman"/>
          <w:color w:val="222222"/>
          <w:sz w:val="24"/>
          <w:szCs w:val="24"/>
        </w:rPr>
        <w:t>Richardson, M. D., Karcher, D</w:t>
      </w:r>
      <w:r w:rsidR="001F4A16" w:rsidRPr="000600AF">
        <w:rPr>
          <w:rFonts w:ascii="Times New Roman" w:eastAsia="Times New Roman" w:hAnsi="Times New Roman" w:cs="Times New Roman"/>
          <w:color w:val="222222"/>
          <w:sz w:val="24"/>
          <w:szCs w:val="24"/>
        </w:rPr>
        <w:t>. E., Hignight, K., &amp; Rush, D. 2008</w:t>
      </w:r>
      <w:r w:rsidRPr="000600AF">
        <w:rPr>
          <w:rFonts w:ascii="Times New Roman" w:eastAsia="Times New Roman" w:hAnsi="Times New Roman" w:cs="Times New Roman"/>
          <w:color w:val="222222"/>
          <w:sz w:val="24"/>
          <w:szCs w:val="24"/>
        </w:rPr>
        <w:t xml:space="preserve">. </w:t>
      </w:r>
      <w:proofErr w:type="gramStart"/>
      <w:r w:rsidRPr="000600AF">
        <w:rPr>
          <w:rFonts w:ascii="Times New Roman" w:eastAsia="Times New Roman" w:hAnsi="Times New Roman" w:cs="Times New Roman"/>
          <w:color w:val="222222"/>
          <w:sz w:val="24"/>
          <w:szCs w:val="24"/>
        </w:rPr>
        <w:t>Drought tolerance and rooting capacity of Kentucky bluegrass cultivars.</w:t>
      </w:r>
      <w:proofErr w:type="gramEnd"/>
      <w:r w:rsidRPr="000600AF">
        <w:rPr>
          <w:rFonts w:ascii="Times New Roman" w:eastAsia="Times New Roman" w:hAnsi="Times New Roman" w:cs="Times New Roman"/>
          <w:color w:val="222222"/>
          <w:sz w:val="24"/>
          <w:szCs w:val="24"/>
        </w:rPr>
        <w:t xml:space="preserve"> </w:t>
      </w:r>
      <w:proofErr w:type="gramStart"/>
      <w:r w:rsidRPr="000600AF">
        <w:rPr>
          <w:rFonts w:ascii="Times New Roman" w:eastAsia="Times New Roman" w:hAnsi="Times New Roman" w:cs="Times New Roman"/>
          <w:iCs/>
          <w:color w:val="222222"/>
          <w:sz w:val="24"/>
          <w:szCs w:val="24"/>
        </w:rPr>
        <w:t>Crop science</w:t>
      </w:r>
      <w:r w:rsidRPr="000600AF">
        <w:rPr>
          <w:rFonts w:ascii="Times New Roman" w:eastAsia="Times New Roman" w:hAnsi="Times New Roman" w:cs="Times New Roman"/>
          <w:color w:val="222222"/>
          <w:sz w:val="24"/>
          <w:szCs w:val="24"/>
        </w:rPr>
        <w:t xml:space="preserve">, </w:t>
      </w:r>
      <w:r w:rsidRPr="000600AF">
        <w:rPr>
          <w:rFonts w:ascii="Times New Roman" w:eastAsia="Times New Roman" w:hAnsi="Times New Roman" w:cs="Times New Roman"/>
          <w:iCs/>
          <w:color w:val="222222"/>
          <w:sz w:val="24"/>
          <w:szCs w:val="24"/>
        </w:rPr>
        <w:t>48</w:t>
      </w:r>
      <w:r w:rsidRPr="000600AF">
        <w:rPr>
          <w:rFonts w:ascii="Times New Roman" w:eastAsia="Times New Roman" w:hAnsi="Times New Roman" w:cs="Times New Roman"/>
          <w:color w:val="222222"/>
          <w:sz w:val="24"/>
          <w:szCs w:val="24"/>
        </w:rPr>
        <w:t>(6), 2429-2436.</w:t>
      </w:r>
      <w:proofErr w:type="gramEnd"/>
    </w:p>
    <w:p w14:paraId="16704FEB"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Richardson, M.D. 2004. Morphology, turf quality and heat tolerance of intermediate ryegrass. HortScience. 39(1):170-173.</w:t>
      </w:r>
    </w:p>
    <w:p w14:paraId="6DB6AEEE" w14:textId="77777777" w:rsidR="00ED7955" w:rsidRPr="000600AF" w:rsidRDefault="00ED7955" w:rsidP="00ED7955">
      <w:pPr>
        <w:autoSpaceDE w:val="0"/>
        <w:autoSpaceDN w:val="0"/>
        <w:adjustRightInd w:val="0"/>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Richardson, M.D., D.E. Karcher and L.C. Purcell. 2001. Quantifying turfgrass cover using digital image analysis. Crop Science. 41:1884-1888.</w:t>
      </w:r>
    </w:p>
    <w:p w14:paraId="1461C205"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proofErr w:type="gramStart"/>
      <w:r w:rsidRPr="000600AF">
        <w:rPr>
          <w:rFonts w:ascii="Times New Roman" w:eastAsiaTheme="minorHAnsi" w:hAnsi="Times New Roman" w:cs="Times New Roman"/>
          <w:sz w:val="24"/>
          <w:szCs w:val="24"/>
        </w:rPr>
        <w:t>Riordan, T. P.; Browning, S. J. 2003.</w:t>
      </w:r>
      <w:proofErr w:type="gramEnd"/>
      <w:r w:rsidRPr="000600AF">
        <w:rPr>
          <w:rFonts w:ascii="Times New Roman" w:eastAsiaTheme="minorHAnsi" w:hAnsi="Times New Roman" w:cs="Times New Roman"/>
          <w:sz w:val="24"/>
          <w:szCs w:val="24"/>
        </w:rPr>
        <w:t xml:space="preserve"> Buffalograss, </w:t>
      </w:r>
      <w:r w:rsidRPr="000600AF">
        <w:rPr>
          <w:rFonts w:ascii="Times New Roman" w:eastAsiaTheme="minorHAnsi" w:hAnsi="Times New Roman" w:cs="Times New Roman"/>
          <w:iCs/>
          <w:sz w:val="24"/>
          <w:szCs w:val="24"/>
        </w:rPr>
        <w:t>Buchloe dactyloides</w:t>
      </w:r>
      <w:r w:rsidRPr="000600AF">
        <w:rPr>
          <w:rFonts w:ascii="Times New Roman" w:eastAsiaTheme="minorHAnsi" w:hAnsi="Times New Roman" w:cs="Times New Roman"/>
          <w:sz w:val="24"/>
          <w:szCs w:val="24"/>
        </w:rPr>
        <w:t xml:space="preserve"> (Nutt.) Engelm. p. 257-270. In: Casler, Michael D.; Duncan, Ronny R., eds. </w:t>
      </w:r>
      <w:r w:rsidRPr="000600AF">
        <w:rPr>
          <w:rFonts w:ascii="Times New Roman" w:eastAsiaTheme="minorHAnsi" w:hAnsi="Times New Roman" w:cs="Times New Roman"/>
          <w:iCs/>
          <w:sz w:val="24"/>
          <w:szCs w:val="24"/>
        </w:rPr>
        <w:t>Turfgrass Biology, Genetics, and Breeding</w:t>
      </w:r>
      <w:r w:rsidRPr="000600AF">
        <w:rPr>
          <w:rFonts w:ascii="Times New Roman" w:eastAsiaTheme="minorHAnsi" w:hAnsi="Times New Roman" w:cs="Times New Roman"/>
          <w:sz w:val="24"/>
          <w:szCs w:val="24"/>
        </w:rPr>
        <w:t>. Hoboken, NJ: John Wiley &amp; Sons.</w:t>
      </w:r>
    </w:p>
    <w:p w14:paraId="055D007A"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r w:rsidRPr="000600AF">
        <w:rPr>
          <w:rFonts w:ascii="Times New Roman" w:eastAsiaTheme="minorHAnsi" w:hAnsi="Times New Roman" w:cs="Times New Roman"/>
          <w:sz w:val="24"/>
          <w:szCs w:val="24"/>
        </w:rPr>
        <w:t xml:space="preserve">Salaiz, Thomas A. 2011. Evaluation of native and traditional turfgrass species for low maintenance lawns </w:t>
      </w:r>
      <w:r w:rsidRPr="000600AF">
        <w:rPr>
          <w:rFonts w:ascii="Times New Roman" w:eastAsiaTheme="minorHAnsi" w:hAnsi="Times New Roman" w:cs="Times New Roman"/>
          <w:iCs/>
          <w:sz w:val="24"/>
          <w:szCs w:val="24"/>
        </w:rPr>
        <w:t>2011 International Annual Meetings: [Abstracts][ASA-CSSA-SSSA]</w:t>
      </w:r>
      <w:r w:rsidRPr="000600AF">
        <w:rPr>
          <w:rFonts w:ascii="Times New Roman" w:eastAsiaTheme="minorHAnsi" w:hAnsi="Times New Roman" w:cs="Times New Roman"/>
          <w:sz w:val="24"/>
          <w:szCs w:val="24"/>
        </w:rPr>
        <w:t>. p. 66873.</w:t>
      </w:r>
    </w:p>
    <w:p w14:paraId="5BE806CF" w14:textId="77777777" w:rsidR="00ED7955" w:rsidRPr="000600AF" w:rsidRDefault="00ED7955" w:rsidP="00ED7955">
      <w:pPr>
        <w:spacing w:line="240" w:lineRule="auto"/>
        <w:ind w:left="720" w:hanging="720"/>
        <w:rPr>
          <w:rFonts w:ascii="Times New Roman" w:hAnsi="Times New Roman" w:cs="Times New Roman"/>
          <w:sz w:val="24"/>
          <w:szCs w:val="24"/>
        </w:rPr>
      </w:pPr>
      <w:proofErr w:type="gramStart"/>
      <w:r w:rsidRPr="000600AF">
        <w:rPr>
          <w:rFonts w:ascii="Times New Roman" w:hAnsi="Times New Roman" w:cs="Times New Roman"/>
          <w:sz w:val="24"/>
          <w:szCs w:val="24"/>
        </w:rPr>
        <w:t>Schmidt, R. E.; Blaser, R. E. 1961.</w:t>
      </w:r>
      <w:proofErr w:type="gramEnd"/>
      <w:r w:rsidRPr="000600AF">
        <w:rPr>
          <w:rFonts w:ascii="Times New Roman" w:hAnsi="Times New Roman" w:cs="Times New Roman"/>
          <w:sz w:val="24"/>
          <w:szCs w:val="24"/>
        </w:rPr>
        <w:t xml:space="preserve"> Winter greens a symposium: Part 3: Overseeding in the Mid-Atlantic. USGA Journal and Turf Management. September. 14(5): p. 25-29.</w:t>
      </w:r>
    </w:p>
    <w:p w14:paraId="6F5A1FC5" w14:textId="77777777" w:rsidR="00ED7955" w:rsidRPr="000600AF" w:rsidRDefault="00ED7955" w:rsidP="00ED7955">
      <w:pPr>
        <w:spacing w:line="240" w:lineRule="auto"/>
        <w:ind w:left="720" w:hanging="720"/>
        <w:rPr>
          <w:rFonts w:ascii="Times New Roman" w:hAnsi="Times New Roman" w:cs="Times New Roman"/>
          <w:sz w:val="24"/>
          <w:szCs w:val="24"/>
        </w:rPr>
      </w:pPr>
      <w:proofErr w:type="gramStart"/>
      <w:r w:rsidRPr="000600AF">
        <w:rPr>
          <w:rFonts w:ascii="Times New Roman" w:hAnsi="Times New Roman" w:cs="Times New Roman"/>
          <w:sz w:val="24"/>
          <w:szCs w:val="24"/>
        </w:rPr>
        <w:lastRenderedPageBreak/>
        <w:t>Schmidt, R. E.; Blaser, R. E. 1962.</w:t>
      </w:r>
      <w:proofErr w:type="gramEnd"/>
      <w:r w:rsidRPr="000600AF">
        <w:rPr>
          <w:rFonts w:ascii="Times New Roman" w:hAnsi="Times New Roman" w:cs="Times New Roman"/>
          <w:sz w:val="24"/>
          <w:szCs w:val="24"/>
        </w:rPr>
        <w:t xml:space="preserve"> Establishing winter </w:t>
      </w:r>
      <w:proofErr w:type="gramStart"/>
      <w:r w:rsidRPr="000600AF">
        <w:rPr>
          <w:rFonts w:ascii="Times New Roman" w:hAnsi="Times New Roman" w:cs="Times New Roman"/>
          <w:sz w:val="24"/>
          <w:szCs w:val="24"/>
        </w:rPr>
        <w:t>bermuda</w:t>
      </w:r>
      <w:proofErr w:type="gramEnd"/>
      <w:r w:rsidRPr="000600AF">
        <w:rPr>
          <w:rFonts w:ascii="Times New Roman" w:hAnsi="Times New Roman" w:cs="Times New Roman"/>
          <w:sz w:val="24"/>
          <w:szCs w:val="24"/>
        </w:rPr>
        <w:t xml:space="preserve"> putting turf. USGA Journal and Turf Management. September. 15(5): p. 30-32.</w:t>
      </w:r>
    </w:p>
    <w:p w14:paraId="6F81A9F8" w14:textId="77777777" w:rsidR="00ED7955" w:rsidRPr="000600AF" w:rsidRDefault="00ED7955" w:rsidP="00ED7955">
      <w:pPr>
        <w:spacing w:line="240" w:lineRule="auto"/>
        <w:ind w:left="720" w:hanging="720"/>
        <w:rPr>
          <w:rFonts w:ascii="Times New Roman" w:hAnsi="Times New Roman" w:cs="Times New Roman"/>
          <w:sz w:val="24"/>
          <w:szCs w:val="24"/>
        </w:rPr>
      </w:pPr>
      <w:proofErr w:type="gramStart"/>
      <w:r w:rsidRPr="000600AF">
        <w:rPr>
          <w:rFonts w:ascii="Times New Roman" w:hAnsi="Times New Roman" w:cs="Times New Roman"/>
          <w:sz w:val="24"/>
          <w:szCs w:val="24"/>
        </w:rPr>
        <w:t>Schmidt, R. E.; Shoulders, J. F. 1980.</w:t>
      </w:r>
      <w:proofErr w:type="gramEnd"/>
      <w:r w:rsidRPr="000600AF">
        <w:rPr>
          <w:rFonts w:ascii="Times New Roman" w:hAnsi="Times New Roman" w:cs="Times New Roman"/>
          <w:sz w:val="24"/>
          <w:szCs w:val="24"/>
        </w:rPr>
        <w:t xml:space="preserve"> Seasonal performance of selected temperate turfgrasses overseeded on bermudagrass turf for winter sports. </w:t>
      </w:r>
      <w:proofErr w:type="gramStart"/>
      <w:r w:rsidRPr="000600AF">
        <w:rPr>
          <w:rFonts w:ascii="Times New Roman" w:hAnsi="Times New Roman" w:cs="Times New Roman"/>
          <w:sz w:val="24"/>
          <w:szCs w:val="24"/>
        </w:rPr>
        <w:t>Proceedings of the Third International Turfgrass Research Conference.</w:t>
      </w:r>
      <w:proofErr w:type="gramEnd"/>
      <w:r w:rsidRPr="000600AF">
        <w:rPr>
          <w:rFonts w:ascii="Times New Roman" w:hAnsi="Times New Roman" w:cs="Times New Roman"/>
          <w:sz w:val="24"/>
          <w:szCs w:val="24"/>
        </w:rPr>
        <w:t xml:space="preserve"> p. 75-86.</w:t>
      </w:r>
    </w:p>
    <w:p w14:paraId="5C629464"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Schmitz, John. 1999. A smooth transition: A new, more stable intermediate ryegrass aims to solve overseeding concerns in the South. </w:t>
      </w:r>
      <w:proofErr w:type="gramStart"/>
      <w:r w:rsidRPr="000600AF">
        <w:rPr>
          <w:rFonts w:ascii="Times New Roman" w:hAnsi="Times New Roman" w:cs="Times New Roman"/>
          <w:sz w:val="24"/>
          <w:szCs w:val="24"/>
        </w:rPr>
        <w:t>Golf Course Management.</w:t>
      </w:r>
      <w:proofErr w:type="gramEnd"/>
      <w:r w:rsidRPr="000600AF">
        <w:rPr>
          <w:rFonts w:ascii="Times New Roman" w:hAnsi="Times New Roman" w:cs="Times New Roman"/>
          <w:sz w:val="24"/>
          <w:szCs w:val="24"/>
        </w:rPr>
        <w:t xml:space="preserve"> July. 67(7): p. 108, 112, 118, 120, 122.</w:t>
      </w:r>
    </w:p>
    <w:p w14:paraId="4CE39F90"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Sifers, S. I., J. B. Beard. 2001. Turf quality and morphological comparisons of winter overseeding methodologies for a high-density dwarf Cynodon turf. </w:t>
      </w:r>
      <w:proofErr w:type="gramStart"/>
      <w:r w:rsidRPr="000600AF">
        <w:rPr>
          <w:rFonts w:ascii="Times New Roman" w:hAnsi="Times New Roman" w:cs="Times New Roman"/>
          <w:sz w:val="24"/>
          <w:szCs w:val="24"/>
        </w:rPr>
        <w:t>International Turfgrass Society Research Journal.</w:t>
      </w:r>
      <w:proofErr w:type="gramEnd"/>
      <w:r w:rsidRPr="000600AF">
        <w:rPr>
          <w:rFonts w:ascii="Times New Roman" w:hAnsi="Times New Roman" w:cs="Times New Roman"/>
          <w:sz w:val="24"/>
          <w:szCs w:val="24"/>
        </w:rPr>
        <w:t xml:space="preserve"> 9(Part 2): p. 934-940.</w:t>
      </w:r>
    </w:p>
    <w:p w14:paraId="536D2BFB"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r w:rsidRPr="000600AF">
        <w:rPr>
          <w:rFonts w:ascii="Times New Roman" w:eastAsiaTheme="minorHAnsi" w:hAnsi="Times New Roman" w:cs="Times New Roman"/>
          <w:sz w:val="24"/>
          <w:szCs w:val="24"/>
        </w:rPr>
        <w:t xml:space="preserve">Smith, D. 1981. Forage management in the north. </w:t>
      </w:r>
      <w:proofErr w:type="gramStart"/>
      <w:r w:rsidRPr="000600AF">
        <w:rPr>
          <w:rFonts w:ascii="Times New Roman" w:eastAsiaTheme="minorHAnsi" w:hAnsi="Times New Roman" w:cs="Times New Roman"/>
          <w:sz w:val="24"/>
          <w:szCs w:val="24"/>
        </w:rPr>
        <w:t>4</w:t>
      </w:r>
      <w:r w:rsidRPr="000600AF">
        <w:rPr>
          <w:rFonts w:ascii="Times New Roman" w:eastAsiaTheme="minorHAnsi" w:hAnsi="Times New Roman" w:cs="Times New Roman"/>
          <w:sz w:val="24"/>
          <w:szCs w:val="24"/>
          <w:vertAlign w:val="superscript"/>
        </w:rPr>
        <w:t>th</w:t>
      </w:r>
      <w:r w:rsidRPr="000600AF">
        <w:rPr>
          <w:rFonts w:ascii="Times New Roman" w:eastAsiaTheme="minorHAnsi" w:hAnsi="Times New Roman" w:cs="Times New Roman"/>
          <w:sz w:val="24"/>
          <w:szCs w:val="24"/>
        </w:rPr>
        <w:t xml:space="preserve"> ed. Kendall/Hunt, Dubuque, IA.</w:t>
      </w:r>
      <w:proofErr w:type="gramEnd"/>
    </w:p>
    <w:p w14:paraId="1E3D1FC4" w14:textId="77777777" w:rsidR="00ED7955" w:rsidRPr="000600AF" w:rsidRDefault="00ED7955" w:rsidP="00ED7955">
      <w:pPr>
        <w:spacing w:line="240" w:lineRule="auto"/>
        <w:ind w:left="720" w:hanging="720"/>
        <w:rPr>
          <w:rFonts w:ascii="Times New Roman" w:eastAsia="Times New Roman" w:hAnsi="Times New Roman" w:cs="Times New Roman"/>
          <w:color w:val="222222"/>
          <w:sz w:val="24"/>
          <w:szCs w:val="24"/>
        </w:rPr>
      </w:pPr>
      <w:r w:rsidRPr="000600AF">
        <w:rPr>
          <w:rFonts w:ascii="Times New Roman" w:eastAsia="Times New Roman" w:hAnsi="Times New Roman" w:cs="Times New Roman"/>
          <w:color w:val="222222"/>
          <w:sz w:val="24"/>
          <w:szCs w:val="24"/>
        </w:rPr>
        <w:t>Soreng, R. J.</w:t>
      </w:r>
      <w:r w:rsidR="000600AF">
        <w:rPr>
          <w:rFonts w:ascii="Times New Roman" w:eastAsia="Times New Roman" w:hAnsi="Times New Roman" w:cs="Times New Roman"/>
          <w:color w:val="222222"/>
          <w:sz w:val="24"/>
          <w:szCs w:val="24"/>
        </w:rPr>
        <w:t>, Davis, J. I., &amp; Doyle, J. J. 1990</w:t>
      </w:r>
      <w:r w:rsidRPr="000600AF">
        <w:rPr>
          <w:rFonts w:ascii="Times New Roman" w:eastAsia="Times New Roman" w:hAnsi="Times New Roman" w:cs="Times New Roman"/>
          <w:color w:val="222222"/>
          <w:sz w:val="24"/>
          <w:szCs w:val="24"/>
        </w:rPr>
        <w:t xml:space="preserve">. </w:t>
      </w:r>
      <w:proofErr w:type="gramStart"/>
      <w:r w:rsidRPr="000600AF">
        <w:rPr>
          <w:rFonts w:ascii="Times New Roman" w:eastAsia="Times New Roman" w:hAnsi="Times New Roman" w:cs="Times New Roman"/>
          <w:color w:val="222222"/>
          <w:sz w:val="24"/>
          <w:szCs w:val="24"/>
        </w:rPr>
        <w:t>A phylogenetic analysis of chloroplast DNA restriction site variation in Poaceae subfam.</w:t>
      </w:r>
      <w:proofErr w:type="gramEnd"/>
      <w:r w:rsidRPr="000600AF">
        <w:rPr>
          <w:rFonts w:ascii="Times New Roman" w:eastAsia="Times New Roman" w:hAnsi="Times New Roman" w:cs="Times New Roman"/>
          <w:color w:val="222222"/>
          <w:sz w:val="24"/>
          <w:szCs w:val="24"/>
        </w:rPr>
        <w:t xml:space="preserve"> Pooideae. </w:t>
      </w:r>
      <w:r w:rsidRPr="000600AF">
        <w:rPr>
          <w:rFonts w:ascii="Times New Roman" w:eastAsia="Times New Roman" w:hAnsi="Times New Roman" w:cs="Times New Roman"/>
          <w:iCs/>
          <w:color w:val="222222"/>
          <w:sz w:val="24"/>
          <w:szCs w:val="24"/>
        </w:rPr>
        <w:t>Plant systematics and evolution</w:t>
      </w:r>
      <w:r w:rsidRPr="000600AF">
        <w:rPr>
          <w:rFonts w:ascii="Times New Roman" w:eastAsia="Times New Roman" w:hAnsi="Times New Roman" w:cs="Times New Roman"/>
          <w:color w:val="222222"/>
          <w:sz w:val="24"/>
          <w:szCs w:val="24"/>
        </w:rPr>
        <w:t xml:space="preserve">, </w:t>
      </w:r>
      <w:r w:rsidRPr="000600AF">
        <w:rPr>
          <w:rFonts w:ascii="Times New Roman" w:eastAsia="Times New Roman" w:hAnsi="Times New Roman" w:cs="Times New Roman"/>
          <w:iCs/>
          <w:color w:val="222222"/>
          <w:sz w:val="24"/>
          <w:szCs w:val="24"/>
        </w:rPr>
        <w:t>172</w:t>
      </w:r>
      <w:r w:rsidRPr="000600AF">
        <w:rPr>
          <w:rFonts w:ascii="Times New Roman" w:eastAsia="Times New Roman" w:hAnsi="Times New Roman" w:cs="Times New Roman"/>
          <w:color w:val="222222"/>
          <w:sz w:val="24"/>
          <w:szCs w:val="24"/>
        </w:rPr>
        <w:t>(1), 83-97.</w:t>
      </w:r>
    </w:p>
    <w:p w14:paraId="29F8650A"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Sorochan, J. C.; Rogers, J. N. III; Stier, J. C.; Karcher, D. E. 2001. Fertility and simulated traffic effects on Kentucky bluegrass / supina bluegrass mixtures. </w:t>
      </w:r>
      <w:proofErr w:type="gramStart"/>
      <w:r w:rsidRPr="000600AF">
        <w:rPr>
          <w:rFonts w:ascii="Times New Roman" w:hAnsi="Times New Roman" w:cs="Times New Roman"/>
          <w:sz w:val="24"/>
          <w:szCs w:val="24"/>
        </w:rPr>
        <w:t>International Turfgrass Society Research Journal.</w:t>
      </w:r>
      <w:proofErr w:type="gramEnd"/>
      <w:r w:rsidRPr="000600AF">
        <w:rPr>
          <w:rFonts w:ascii="Times New Roman" w:hAnsi="Times New Roman" w:cs="Times New Roman"/>
          <w:sz w:val="24"/>
          <w:szCs w:val="24"/>
        </w:rPr>
        <w:t xml:space="preserve"> 9(Part 2): p. 941-946.</w:t>
      </w:r>
    </w:p>
    <w:p w14:paraId="39490B5F" w14:textId="77777777" w:rsidR="00ED7955" w:rsidRPr="000600AF" w:rsidRDefault="00ED7955" w:rsidP="00ED7955">
      <w:pPr>
        <w:spacing w:line="240" w:lineRule="auto"/>
        <w:ind w:left="720" w:hanging="720"/>
        <w:rPr>
          <w:rFonts w:ascii="Times New Roman" w:hAnsi="Times New Roman" w:cs="Times New Roman"/>
          <w:sz w:val="24"/>
          <w:szCs w:val="24"/>
        </w:rPr>
      </w:pPr>
      <w:proofErr w:type="gramStart"/>
      <w:r w:rsidRPr="000600AF">
        <w:rPr>
          <w:rFonts w:ascii="Times New Roman" w:hAnsi="Times New Roman" w:cs="Times New Roman"/>
          <w:sz w:val="24"/>
          <w:szCs w:val="24"/>
        </w:rPr>
        <w:t>Sorochan, John; Rogers, John N. III.</w:t>
      </w:r>
      <w:proofErr w:type="gramEnd"/>
      <w:r w:rsidRPr="000600AF">
        <w:rPr>
          <w:rFonts w:ascii="Times New Roman" w:hAnsi="Times New Roman" w:cs="Times New Roman"/>
          <w:sz w:val="24"/>
          <w:szCs w:val="24"/>
        </w:rPr>
        <w:t xml:space="preserve"> 2000. Supina bluegrass: A new turf species for the North. </w:t>
      </w:r>
      <w:r w:rsidRPr="000600AF">
        <w:rPr>
          <w:rFonts w:ascii="Times New Roman" w:hAnsi="Times New Roman" w:cs="Times New Roman"/>
          <w:iCs/>
          <w:sz w:val="24"/>
          <w:szCs w:val="24"/>
        </w:rPr>
        <w:t>Grounds Maintenance</w:t>
      </w:r>
      <w:r w:rsidRPr="000600AF">
        <w:rPr>
          <w:rFonts w:ascii="Times New Roman" w:hAnsi="Times New Roman" w:cs="Times New Roman"/>
          <w:sz w:val="24"/>
          <w:szCs w:val="24"/>
        </w:rPr>
        <w:t>. April. 35(4): p. Contractor 2, C6, C10.</w:t>
      </w:r>
    </w:p>
    <w:p w14:paraId="42461414" w14:textId="77777777" w:rsidR="00ED7955" w:rsidRPr="000600AF" w:rsidRDefault="00ED7955" w:rsidP="00ED7955">
      <w:pPr>
        <w:spacing w:line="240" w:lineRule="atLeast"/>
        <w:ind w:left="720" w:hanging="720"/>
        <w:rPr>
          <w:rFonts w:ascii="Times New Roman" w:eastAsiaTheme="minorHAnsi" w:hAnsi="Times New Roman" w:cs="Times New Roman"/>
          <w:sz w:val="24"/>
          <w:szCs w:val="24"/>
        </w:rPr>
      </w:pPr>
      <w:proofErr w:type="gramStart"/>
      <w:r w:rsidRPr="000600AF">
        <w:rPr>
          <w:rFonts w:ascii="Times New Roman" w:eastAsiaTheme="minorHAnsi" w:hAnsi="Times New Roman" w:cs="Times New Roman"/>
          <w:sz w:val="24"/>
          <w:szCs w:val="24"/>
        </w:rPr>
        <w:t>Sprague, Howard B.; Evaul, E. E. 1930.</w:t>
      </w:r>
      <w:proofErr w:type="gramEnd"/>
      <w:r w:rsidRPr="000600AF">
        <w:rPr>
          <w:rFonts w:ascii="Times New Roman" w:eastAsiaTheme="minorHAnsi" w:hAnsi="Times New Roman" w:cs="Times New Roman"/>
          <w:sz w:val="24"/>
          <w:szCs w:val="24"/>
        </w:rPr>
        <w:t xml:space="preserve"> </w:t>
      </w:r>
      <w:r w:rsidRPr="000600AF">
        <w:rPr>
          <w:rFonts w:ascii="Times New Roman" w:eastAsiaTheme="minorHAnsi" w:hAnsi="Times New Roman" w:cs="Times New Roman"/>
          <w:iCs/>
          <w:sz w:val="24"/>
          <w:szCs w:val="24"/>
        </w:rPr>
        <w:t xml:space="preserve">Experiments </w:t>
      </w:r>
      <w:proofErr w:type="gramStart"/>
      <w:r w:rsidRPr="000600AF">
        <w:rPr>
          <w:rFonts w:ascii="Times New Roman" w:eastAsiaTheme="minorHAnsi" w:hAnsi="Times New Roman" w:cs="Times New Roman"/>
          <w:iCs/>
          <w:sz w:val="24"/>
          <w:szCs w:val="24"/>
        </w:rPr>
        <w:t>With</w:t>
      </w:r>
      <w:proofErr w:type="gramEnd"/>
      <w:r w:rsidRPr="000600AF">
        <w:rPr>
          <w:rFonts w:ascii="Times New Roman" w:eastAsiaTheme="minorHAnsi" w:hAnsi="Times New Roman" w:cs="Times New Roman"/>
          <w:iCs/>
          <w:sz w:val="24"/>
          <w:szCs w:val="24"/>
        </w:rPr>
        <w:t xml:space="preserve"> Turf Grasses In New Jersey. </w:t>
      </w:r>
      <w:r w:rsidRPr="000600AF">
        <w:rPr>
          <w:rFonts w:ascii="Times New Roman" w:eastAsiaTheme="minorHAnsi" w:hAnsi="Times New Roman" w:cs="Times New Roman"/>
          <w:sz w:val="24"/>
          <w:szCs w:val="24"/>
        </w:rPr>
        <w:t>New Brunswick, NJ: New Jersey Agricultural Experiment Station. 55 pp.</w:t>
      </w:r>
    </w:p>
    <w:p w14:paraId="157D1192"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Stewart, B., C.J. Nettles, Jr., G. Munshaw, H. Philley, and W. Wells. 2008. Traffic-ability of dormant bermudagrass. </w:t>
      </w:r>
      <w:proofErr w:type="gramStart"/>
      <w:r w:rsidRPr="000600AF">
        <w:rPr>
          <w:rFonts w:ascii="Times New Roman" w:hAnsi="Times New Roman" w:cs="Times New Roman"/>
          <w:sz w:val="24"/>
          <w:szCs w:val="24"/>
        </w:rPr>
        <w:t>In 2008 annual meeting abstracts.</w:t>
      </w:r>
      <w:proofErr w:type="gramEnd"/>
      <w:r w:rsidRPr="000600AF">
        <w:rPr>
          <w:rFonts w:ascii="Times New Roman" w:hAnsi="Times New Roman" w:cs="Times New Roman"/>
          <w:sz w:val="24"/>
          <w:szCs w:val="24"/>
        </w:rPr>
        <w:t xml:space="preserve"> ASA, CSSA, and SSSA, Madison, WI.</w:t>
      </w:r>
    </w:p>
    <w:p w14:paraId="7A17BA65" w14:textId="77777777" w:rsidR="00ED7955" w:rsidRPr="000600AF" w:rsidRDefault="00ED7955" w:rsidP="00ED7955">
      <w:pPr>
        <w:spacing w:line="240" w:lineRule="atLeast"/>
        <w:ind w:left="720" w:hanging="720"/>
        <w:rPr>
          <w:rFonts w:ascii="Times New Roman" w:eastAsia="Times New Roman" w:hAnsi="Times New Roman" w:cs="Times New Roman"/>
          <w:color w:val="111111"/>
          <w:sz w:val="24"/>
          <w:szCs w:val="24"/>
        </w:rPr>
      </w:pPr>
      <w:proofErr w:type="gramStart"/>
      <w:r w:rsidRPr="000600AF">
        <w:rPr>
          <w:rFonts w:ascii="Times New Roman" w:eastAsiaTheme="minorHAnsi" w:hAnsi="Times New Roman" w:cs="Times New Roman"/>
          <w:sz w:val="24"/>
          <w:szCs w:val="24"/>
        </w:rPr>
        <w:t>Stier, J. C.; Rogers, J. N. III.</w:t>
      </w:r>
      <w:proofErr w:type="gramEnd"/>
      <w:r w:rsidRPr="000600AF">
        <w:rPr>
          <w:rFonts w:ascii="Times New Roman" w:eastAsiaTheme="minorHAnsi" w:hAnsi="Times New Roman" w:cs="Times New Roman"/>
          <w:sz w:val="24"/>
          <w:szCs w:val="24"/>
        </w:rPr>
        <w:t xml:space="preserve"> 2001. Trinexapac-ethyl and iron effects on supina and Kentucky bluegrasses under low irradiance. </w:t>
      </w:r>
      <w:r w:rsidRPr="000600AF">
        <w:rPr>
          <w:rFonts w:ascii="Times New Roman" w:eastAsiaTheme="minorHAnsi" w:hAnsi="Times New Roman" w:cs="Times New Roman"/>
          <w:iCs/>
          <w:sz w:val="24"/>
          <w:szCs w:val="24"/>
        </w:rPr>
        <w:t>Crop Science</w:t>
      </w:r>
      <w:r w:rsidRPr="000600AF">
        <w:rPr>
          <w:rFonts w:ascii="Times New Roman" w:eastAsiaTheme="minorHAnsi" w:hAnsi="Times New Roman" w:cs="Times New Roman"/>
          <w:sz w:val="24"/>
          <w:szCs w:val="24"/>
        </w:rPr>
        <w:t>. March/April. 41(2): p. 457-465.</w:t>
      </w:r>
    </w:p>
    <w:p w14:paraId="7B56A2E8"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Stier, John C. 1998. Supina bluegrass (Poa supina Schrad.): A not so new turf species The Grass Roots. July/August. 27(4): p. 45, 47-49</w:t>
      </w:r>
    </w:p>
    <w:p w14:paraId="45B4A5FA" w14:textId="77777777" w:rsidR="00ED7955" w:rsidRPr="000600AF" w:rsidRDefault="00ED7955" w:rsidP="00ED7955">
      <w:pPr>
        <w:spacing w:after="0" w:line="240" w:lineRule="auto"/>
        <w:ind w:left="720" w:hanging="720"/>
        <w:contextualSpacing/>
        <w:rPr>
          <w:rFonts w:ascii="Times New Roman" w:eastAsia="Times New Roman" w:hAnsi="Times New Roman" w:cs="Times New Roman"/>
          <w:color w:val="222222"/>
          <w:sz w:val="24"/>
          <w:szCs w:val="24"/>
        </w:rPr>
      </w:pPr>
      <w:r w:rsidRPr="000600AF">
        <w:rPr>
          <w:rFonts w:ascii="Times New Roman" w:eastAsia="Times New Roman" w:hAnsi="Times New Roman" w:cs="Times New Roman"/>
          <w:color w:val="222222"/>
          <w:sz w:val="24"/>
          <w:szCs w:val="24"/>
        </w:rPr>
        <w:t xml:space="preserve">Su, K., Bremer, D. J., Keeley, </w:t>
      </w:r>
      <w:r w:rsidR="000600AF" w:rsidRPr="000600AF">
        <w:rPr>
          <w:rFonts w:ascii="Times New Roman" w:eastAsia="Times New Roman" w:hAnsi="Times New Roman" w:cs="Times New Roman"/>
          <w:color w:val="222222"/>
          <w:sz w:val="24"/>
          <w:szCs w:val="24"/>
        </w:rPr>
        <w:t>S. J., &amp; Fry, J. D. 2007</w:t>
      </w:r>
      <w:r w:rsidRPr="000600AF">
        <w:rPr>
          <w:rFonts w:ascii="Times New Roman" w:eastAsia="Times New Roman" w:hAnsi="Times New Roman" w:cs="Times New Roman"/>
          <w:color w:val="222222"/>
          <w:sz w:val="24"/>
          <w:szCs w:val="24"/>
        </w:rPr>
        <w:t xml:space="preserve">. Effects of high temperature and drought on a hybrid bluegrass compared with Kentucky bluegrass and tall fescue. </w:t>
      </w:r>
      <w:proofErr w:type="gramStart"/>
      <w:r w:rsidRPr="000600AF">
        <w:rPr>
          <w:rFonts w:ascii="Times New Roman" w:eastAsia="Times New Roman" w:hAnsi="Times New Roman" w:cs="Times New Roman"/>
          <w:iCs/>
          <w:color w:val="222222"/>
          <w:sz w:val="24"/>
          <w:szCs w:val="24"/>
        </w:rPr>
        <w:t>Crop Science</w:t>
      </w:r>
      <w:r w:rsidRPr="000600AF">
        <w:rPr>
          <w:rFonts w:ascii="Times New Roman" w:eastAsia="Times New Roman" w:hAnsi="Times New Roman" w:cs="Times New Roman"/>
          <w:color w:val="222222"/>
          <w:sz w:val="24"/>
          <w:szCs w:val="24"/>
        </w:rPr>
        <w:t xml:space="preserve">, </w:t>
      </w:r>
      <w:r w:rsidRPr="000600AF">
        <w:rPr>
          <w:rFonts w:ascii="Times New Roman" w:eastAsia="Times New Roman" w:hAnsi="Times New Roman" w:cs="Times New Roman"/>
          <w:iCs/>
          <w:color w:val="222222"/>
          <w:sz w:val="24"/>
          <w:szCs w:val="24"/>
        </w:rPr>
        <w:t>47</w:t>
      </w:r>
      <w:r w:rsidRPr="000600AF">
        <w:rPr>
          <w:rFonts w:ascii="Times New Roman" w:eastAsia="Times New Roman" w:hAnsi="Times New Roman" w:cs="Times New Roman"/>
          <w:color w:val="222222"/>
          <w:sz w:val="24"/>
          <w:szCs w:val="24"/>
        </w:rPr>
        <w:t>(5), 2152-2161.</w:t>
      </w:r>
      <w:proofErr w:type="gramEnd"/>
    </w:p>
    <w:p w14:paraId="3E503FDD" w14:textId="77777777" w:rsidR="00ED7955" w:rsidRPr="000600AF" w:rsidRDefault="00ED7955" w:rsidP="00ED7955">
      <w:pPr>
        <w:spacing w:line="240" w:lineRule="auto"/>
        <w:ind w:left="720" w:hanging="720"/>
        <w:contextualSpacing/>
        <w:rPr>
          <w:rFonts w:ascii="Times New Roman" w:hAnsi="Times New Roman" w:cs="Times New Roman"/>
          <w:sz w:val="24"/>
          <w:szCs w:val="24"/>
        </w:rPr>
      </w:pPr>
    </w:p>
    <w:p w14:paraId="27AEC52C"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Teuton, Travis C.; Sorochan, John C.; Main, Christopher L.; Mueller, Thomas C. 2009. </w:t>
      </w:r>
      <w:proofErr w:type="gramStart"/>
      <w:r w:rsidRPr="000600AF">
        <w:rPr>
          <w:rFonts w:ascii="Times New Roman" w:hAnsi="Times New Roman" w:cs="Times New Roman"/>
          <w:sz w:val="24"/>
          <w:szCs w:val="24"/>
        </w:rPr>
        <w:t>Establishment and maintenance during establishment of hybrid bluegrass (P. arachnifera Torr. x P. pratensis L.) in the transition zone.</w:t>
      </w:r>
      <w:proofErr w:type="gramEnd"/>
      <w:r w:rsidRPr="000600AF">
        <w:rPr>
          <w:rFonts w:ascii="Times New Roman" w:hAnsi="Times New Roman" w:cs="Times New Roman"/>
          <w:sz w:val="24"/>
          <w:szCs w:val="24"/>
        </w:rPr>
        <w:t xml:space="preserve"> </w:t>
      </w:r>
      <w:r w:rsidRPr="000600AF">
        <w:rPr>
          <w:rFonts w:ascii="Times New Roman" w:hAnsi="Times New Roman" w:cs="Times New Roman"/>
          <w:iCs/>
          <w:sz w:val="24"/>
          <w:szCs w:val="24"/>
        </w:rPr>
        <w:t>HortScience</w:t>
      </w:r>
      <w:r w:rsidRPr="000600AF">
        <w:rPr>
          <w:rFonts w:ascii="Times New Roman" w:hAnsi="Times New Roman" w:cs="Times New Roman"/>
          <w:sz w:val="24"/>
          <w:szCs w:val="24"/>
        </w:rPr>
        <w:t>. June. 44(3): p. 815-819.</w:t>
      </w:r>
    </w:p>
    <w:p w14:paraId="76CEF230"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lastRenderedPageBreak/>
        <w:t xml:space="preserve">Teuton, Travis C.; Sorochan, John C.; Main, Christopher L.; Samples, Thomas J.; Parham, John M.; Mueller, Thomas C. 2007. Hybrid bluegrass, Kentucky bluegrass, and tall fescue response to nitrogen fertilization in the transition </w:t>
      </w:r>
      <w:proofErr w:type="gramStart"/>
      <w:r w:rsidRPr="000600AF">
        <w:rPr>
          <w:rFonts w:ascii="Times New Roman" w:hAnsi="Times New Roman" w:cs="Times New Roman"/>
          <w:sz w:val="24"/>
          <w:szCs w:val="24"/>
        </w:rPr>
        <w:t xml:space="preserve">zone  </w:t>
      </w:r>
      <w:r w:rsidRPr="000600AF">
        <w:rPr>
          <w:rFonts w:ascii="Times New Roman" w:hAnsi="Times New Roman" w:cs="Times New Roman"/>
          <w:iCs/>
          <w:sz w:val="24"/>
          <w:szCs w:val="24"/>
        </w:rPr>
        <w:t>HortScience</w:t>
      </w:r>
      <w:proofErr w:type="gramEnd"/>
      <w:r w:rsidRPr="000600AF">
        <w:rPr>
          <w:rFonts w:ascii="Times New Roman" w:hAnsi="Times New Roman" w:cs="Times New Roman"/>
          <w:sz w:val="24"/>
          <w:szCs w:val="24"/>
        </w:rPr>
        <w:t>. April. 42(2): p. 369-372.</w:t>
      </w:r>
    </w:p>
    <w:p w14:paraId="7C2E0708"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Thoms, Adam W.; Sorochan, John C.; Brosnan, James T.; Samples, Thomas J. 2011. Perennial ryegrass (Lolium perenne L.) and grooming affect bermudagrass traffic tolerance Crop Science. September. 51(5): p. 2204-2211.</w:t>
      </w:r>
    </w:p>
    <w:p w14:paraId="0CD0B7D1"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Trappe, Jon M., Michael D. Richardson, and Aaron J. Patton. "Species Selection, Pre-Plant Cultivation, and Traffic Affect Overseeding Establishment in Bermudagrass Turf." Agronomy Journal 104.4 (2012): 1130-1135.</w:t>
      </w:r>
    </w:p>
    <w:p w14:paraId="3E2894C8" w14:textId="77777777" w:rsidR="00ED7955" w:rsidRPr="000600AF" w:rsidRDefault="00C87E31"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Turgeon, A.J. 2002</w:t>
      </w:r>
      <w:r w:rsidR="00ED7955" w:rsidRPr="000600AF">
        <w:rPr>
          <w:rFonts w:ascii="Times New Roman" w:hAnsi="Times New Roman" w:cs="Times New Roman"/>
          <w:sz w:val="24"/>
          <w:szCs w:val="24"/>
        </w:rPr>
        <w:t xml:space="preserve">. Turfgrass management. </w:t>
      </w:r>
      <w:proofErr w:type="gramStart"/>
      <w:r w:rsidR="00ED7955" w:rsidRPr="000600AF">
        <w:rPr>
          <w:rFonts w:ascii="Times New Roman" w:hAnsi="Times New Roman" w:cs="Times New Roman"/>
          <w:sz w:val="24"/>
          <w:szCs w:val="24"/>
        </w:rPr>
        <w:t>Reston Pub, VA 22090.</w:t>
      </w:r>
      <w:proofErr w:type="gramEnd"/>
      <w:r w:rsidR="00ED7955" w:rsidRPr="000600AF">
        <w:rPr>
          <w:rFonts w:ascii="Times New Roman" w:hAnsi="Times New Roman" w:cs="Times New Roman"/>
          <w:sz w:val="24"/>
          <w:szCs w:val="24"/>
        </w:rPr>
        <w:t xml:space="preserve"> p. 45, 79-80</w:t>
      </w:r>
    </w:p>
    <w:p w14:paraId="35E09DEA" w14:textId="77777777" w:rsidR="00ED7955" w:rsidRPr="000600AF" w:rsidRDefault="00ED7955" w:rsidP="00ED7955">
      <w:pPr>
        <w:spacing w:line="240" w:lineRule="auto"/>
        <w:ind w:left="720" w:hanging="720"/>
        <w:rPr>
          <w:rFonts w:ascii="Times New Roman" w:hAnsi="Times New Roman" w:cs="Times New Roman"/>
          <w:sz w:val="24"/>
          <w:szCs w:val="24"/>
        </w:rPr>
      </w:pPr>
      <w:r w:rsidRPr="000600AF">
        <w:rPr>
          <w:rFonts w:ascii="Times New Roman" w:hAnsi="Times New Roman" w:cs="Times New Roman"/>
          <w:sz w:val="24"/>
          <w:szCs w:val="24"/>
        </w:rPr>
        <w:t xml:space="preserve">USDA, ARS, National Genetic Resources Program. </w:t>
      </w:r>
      <w:proofErr w:type="gramStart"/>
      <w:r w:rsidRPr="000600AF">
        <w:rPr>
          <w:rFonts w:ascii="Times New Roman" w:hAnsi="Times New Roman" w:cs="Times New Roman"/>
          <w:sz w:val="24"/>
          <w:szCs w:val="24"/>
        </w:rPr>
        <w:t>Germplasm Resources Information Network - (GRIN) [Online Database].</w:t>
      </w:r>
      <w:proofErr w:type="gramEnd"/>
      <w:r w:rsidRPr="000600AF">
        <w:rPr>
          <w:rFonts w:ascii="Times New Roman" w:hAnsi="Times New Roman" w:cs="Times New Roman"/>
          <w:sz w:val="24"/>
          <w:szCs w:val="24"/>
        </w:rPr>
        <w:t xml:space="preserve"> National Germplasm Resources Laboratory, Beltsville, Maryland.URL: http://www.ars-grin.gov/cgi-bin/npgs/html/taxon.pl?28982 (30 January 2013) </w:t>
      </w:r>
    </w:p>
    <w:p w14:paraId="0516EB02"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proofErr w:type="gramStart"/>
      <w:r w:rsidRPr="000600AF">
        <w:rPr>
          <w:rFonts w:ascii="Times New Roman" w:eastAsiaTheme="minorHAnsi" w:hAnsi="Times New Roman" w:cs="Times New Roman"/>
          <w:sz w:val="24"/>
          <w:szCs w:val="24"/>
        </w:rPr>
        <w:t>Vinall, H. N.; Hein, M. A. 1937.</w:t>
      </w:r>
      <w:proofErr w:type="gramEnd"/>
      <w:r w:rsidRPr="000600AF">
        <w:rPr>
          <w:rFonts w:ascii="Times New Roman" w:eastAsiaTheme="minorHAnsi" w:hAnsi="Times New Roman" w:cs="Times New Roman"/>
          <w:sz w:val="24"/>
          <w:szCs w:val="24"/>
        </w:rPr>
        <w:t xml:space="preserve"> Breeding miscellaneous grasses. p. 1032-1102. In: Hambidge, Gove; Bressman, E. N., eds. </w:t>
      </w:r>
      <w:r w:rsidRPr="000600AF">
        <w:rPr>
          <w:rFonts w:ascii="Times New Roman" w:eastAsiaTheme="minorHAnsi" w:hAnsi="Times New Roman" w:cs="Times New Roman"/>
          <w:iCs/>
          <w:sz w:val="24"/>
          <w:szCs w:val="24"/>
        </w:rPr>
        <w:t>Yearbook of Agriculture, 1937</w:t>
      </w:r>
      <w:r w:rsidRPr="000600AF">
        <w:rPr>
          <w:rFonts w:ascii="Times New Roman" w:eastAsiaTheme="minorHAnsi" w:hAnsi="Times New Roman" w:cs="Times New Roman"/>
          <w:sz w:val="24"/>
          <w:szCs w:val="24"/>
        </w:rPr>
        <w:t>. Washington, D.C.: United States Department of Agriculture.</w:t>
      </w:r>
    </w:p>
    <w:p w14:paraId="5B426CC3" w14:textId="77777777" w:rsidR="00ED7955" w:rsidRPr="000600AF" w:rsidRDefault="00ED7955" w:rsidP="00ED7955">
      <w:pPr>
        <w:spacing w:line="240" w:lineRule="auto"/>
        <w:ind w:left="720" w:hanging="720"/>
        <w:rPr>
          <w:rFonts w:ascii="Times New Roman" w:hAnsi="Times New Roman" w:cs="Times New Roman"/>
          <w:sz w:val="24"/>
          <w:szCs w:val="24"/>
        </w:rPr>
      </w:pPr>
      <w:proofErr w:type="gramStart"/>
      <w:r w:rsidRPr="000600AF">
        <w:rPr>
          <w:rFonts w:ascii="Times New Roman" w:hAnsi="Times New Roman" w:cs="Times New Roman"/>
          <w:sz w:val="24"/>
          <w:szCs w:val="24"/>
        </w:rPr>
        <w:t>Ward, C. Y., E.L. McWhirter, and W. R. Thompson Jr. 1974.</w:t>
      </w:r>
      <w:proofErr w:type="gramEnd"/>
      <w:r w:rsidRPr="000600AF">
        <w:rPr>
          <w:rFonts w:ascii="Times New Roman" w:hAnsi="Times New Roman" w:cs="Times New Roman"/>
          <w:sz w:val="24"/>
          <w:szCs w:val="24"/>
        </w:rPr>
        <w:t xml:space="preserve"> </w:t>
      </w:r>
      <w:proofErr w:type="gramStart"/>
      <w:r w:rsidRPr="000600AF">
        <w:rPr>
          <w:rFonts w:ascii="Times New Roman" w:hAnsi="Times New Roman" w:cs="Times New Roman"/>
          <w:sz w:val="24"/>
          <w:szCs w:val="24"/>
        </w:rPr>
        <w:t>Evaluation of cool season turf species and planting techniques for overseeding bermudagrass golf greens.</w:t>
      </w:r>
      <w:proofErr w:type="gramEnd"/>
      <w:r w:rsidRPr="000600AF">
        <w:rPr>
          <w:rFonts w:ascii="Times New Roman" w:hAnsi="Times New Roman" w:cs="Times New Roman"/>
          <w:sz w:val="24"/>
          <w:szCs w:val="24"/>
        </w:rPr>
        <w:t xml:space="preserve"> </w:t>
      </w:r>
      <w:proofErr w:type="gramStart"/>
      <w:r w:rsidRPr="000600AF">
        <w:rPr>
          <w:rFonts w:ascii="Times New Roman" w:hAnsi="Times New Roman" w:cs="Times New Roman"/>
          <w:sz w:val="24"/>
          <w:szCs w:val="24"/>
        </w:rPr>
        <w:t>Proceedings of the 2nd International Turfgrass Research Conference.</w:t>
      </w:r>
      <w:proofErr w:type="gramEnd"/>
      <w:r w:rsidRPr="000600AF">
        <w:rPr>
          <w:rFonts w:ascii="Times New Roman" w:hAnsi="Times New Roman" w:cs="Times New Roman"/>
          <w:sz w:val="24"/>
          <w:szCs w:val="24"/>
        </w:rPr>
        <w:t xml:space="preserve"> p. 480-495.</w:t>
      </w:r>
    </w:p>
    <w:p w14:paraId="1E536828"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proofErr w:type="gramStart"/>
      <w:r w:rsidRPr="000600AF">
        <w:rPr>
          <w:rFonts w:ascii="Times New Roman" w:eastAsiaTheme="minorHAnsi" w:hAnsi="Times New Roman" w:cs="Times New Roman"/>
          <w:sz w:val="24"/>
          <w:szCs w:val="24"/>
        </w:rPr>
        <w:t>Warnke, Scott; Amundsen, Keenan.</w:t>
      </w:r>
      <w:proofErr w:type="gramEnd"/>
      <w:r w:rsidRPr="000600AF">
        <w:rPr>
          <w:rFonts w:ascii="Times New Roman" w:eastAsiaTheme="minorHAnsi" w:hAnsi="Times New Roman" w:cs="Times New Roman"/>
          <w:sz w:val="24"/>
          <w:szCs w:val="24"/>
        </w:rPr>
        <w:t xml:space="preserve"> 2009. Development of new sustainable turfgrass species from the genus Danthonia. </w:t>
      </w:r>
      <w:r w:rsidRPr="000600AF">
        <w:rPr>
          <w:rFonts w:ascii="Times New Roman" w:eastAsiaTheme="minorHAnsi" w:hAnsi="Times New Roman" w:cs="Times New Roman"/>
          <w:iCs/>
          <w:sz w:val="24"/>
          <w:szCs w:val="24"/>
        </w:rPr>
        <w:t>2009 International Annual Meetings: [Abstracts][ASA-CSSA-SSSA]</w:t>
      </w:r>
      <w:r w:rsidRPr="000600AF">
        <w:rPr>
          <w:rFonts w:ascii="Times New Roman" w:eastAsiaTheme="minorHAnsi" w:hAnsi="Times New Roman" w:cs="Times New Roman"/>
          <w:sz w:val="24"/>
          <w:szCs w:val="24"/>
        </w:rPr>
        <w:t>. p. 53406.</w:t>
      </w:r>
    </w:p>
    <w:p w14:paraId="00CF8EEB"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r w:rsidRPr="000600AF">
        <w:rPr>
          <w:rFonts w:ascii="Times New Roman" w:eastAsiaTheme="minorHAnsi" w:hAnsi="Times New Roman" w:cs="Times New Roman"/>
          <w:sz w:val="24"/>
          <w:szCs w:val="24"/>
        </w:rPr>
        <w:t xml:space="preserve">Watkins, Eric. 2011. Genetic improvement of prairie junegrass. </w:t>
      </w:r>
      <w:r w:rsidRPr="000600AF">
        <w:rPr>
          <w:rFonts w:ascii="Times New Roman" w:eastAsiaTheme="minorHAnsi" w:hAnsi="Times New Roman" w:cs="Times New Roman"/>
          <w:iCs/>
          <w:sz w:val="24"/>
          <w:szCs w:val="24"/>
        </w:rPr>
        <w:t>2011 USGA Turfgrass and Environmental Research Summary</w:t>
      </w:r>
      <w:r w:rsidRPr="000600AF">
        <w:rPr>
          <w:rFonts w:ascii="Times New Roman" w:eastAsiaTheme="minorHAnsi" w:hAnsi="Times New Roman" w:cs="Times New Roman"/>
          <w:sz w:val="24"/>
          <w:szCs w:val="24"/>
        </w:rPr>
        <w:t>. p. 19.</w:t>
      </w:r>
    </w:p>
    <w:p w14:paraId="35AA6C51"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r w:rsidRPr="000600AF">
        <w:rPr>
          <w:rFonts w:ascii="Times New Roman" w:eastAsiaTheme="minorHAnsi" w:hAnsi="Times New Roman" w:cs="Times New Roman"/>
          <w:sz w:val="24"/>
          <w:szCs w:val="24"/>
        </w:rPr>
        <w:t xml:space="preserve">Watkins, Eric; Hollman, Andrew B.; Horgan, Brian P. 2010. </w:t>
      </w:r>
      <w:proofErr w:type="gramStart"/>
      <w:r w:rsidRPr="000600AF">
        <w:rPr>
          <w:rFonts w:ascii="Times New Roman" w:eastAsiaTheme="minorHAnsi" w:hAnsi="Times New Roman" w:cs="Times New Roman"/>
          <w:sz w:val="24"/>
          <w:szCs w:val="24"/>
        </w:rPr>
        <w:t>Evaluation of alternative turfgrass species for low-input golf course fairways.</w:t>
      </w:r>
      <w:proofErr w:type="gramEnd"/>
      <w:r w:rsidRPr="000600AF">
        <w:rPr>
          <w:rFonts w:ascii="Times New Roman" w:eastAsiaTheme="minorHAnsi" w:hAnsi="Times New Roman" w:cs="Times New Roman"/>
          <w:sz w:val="24"/>
          <w:szCs w:val="24"/>
        </w:rPr>
        <w:t xml:space="preserve"> </w:t>
      </w:r>
      <w:r w:rsidRPr="000600AF">
        <w:rPr>
          <w:rFonts w:ascii="Times New Roman" w:eastAsiaTheme="minorHAnsi" w:hAnsi="Times New Roman" w:cs="Times New Roman"/>
          <w:iCs/>
          <w:sz w:val="24"/>
          <w:szCs w:val="24"/>
        </w:rPr>
        <w:t>HortScience</w:t>
      </w:r>
      <w:r w:rsidRPr="000600AF">
        <w:rPr>
          <w:rFonts w:ascii="Times New Roman" w:eastAsiaTheme="minorHAnsi" w:hAnsi="Times New Roman" w:cs="Times New Roman"/>
          <w:sz w:val="24"/>
          <w:szCs w:val="24"/>
        </w:rPr>
        <w:t>. January. 45(1): p. 113-118.</w:t>
      </w:r>
    </w:p>
    <w:p w14:paraId="660A39F0" w14:textId="77777777" w:rsidR="00ED7955" w:rsidRPr="000600AF" w:rsidRDefault="00ED7955" w:rsidP="00ED7955">
      <w:pPr>
        <w:spacing w:line="240" w:lineRule="auto"/>
        <w:ind w:left="720" w:hanging="720"/>
        <w:rPr>
          <w:rFonts w:ascii="Times New Roman" w:eastAsia="Times New Roman" w:hAnsi="Times New Roman" w:cs="Times New Roman"/>
          <w:color w:val="222222"/>
          <w:sz w:val="24"/>
          <w:szCs w:val="24"/>
        </w:rPr>
      </w:pPr>
      <w:r w:rsidRPr="000600AF">
        <w:rPr>
          <w:rFonts w:ascii="Times New Roman" w:eastAsia="Times New Roman" w:hAnsi="Times New Roman" w:cs="Times New Roman"/>
          <w:color w:val="222222"/>
          <w:sz w:val="24"/>
          <w:szCs w:val="24"/>
        </w:rPr>
        <w:t xml:space="preserve">Watson, L., &amp; Dallwitz, M. J. (1992). </w:t>
      </w:r>
      <w:proofErr w:type="gramStart"/>
      <w:r w:rsidRPr="000600AF">
        <w:rPr>
          <w:rFonts w:ascii="Times New Roman" w:eastAsia="Times New Roman" w:hAnsi="Times New Roman" w:cs="Times New Roman"/>
          <w:iCs/>
          <w:color w:val="222222"/>
          <w:sz w:val="24"/>
          <w:szCs w:val="24"/>
        </w:rPr>
        <w:t>The grass genera of the world</w:t>
      </w:r>
      <w:r w:rsidRPr="000600AF">
        <w:rPr>
          <w:rFonts w:ascii="Times New Roman" w:eastAsia="Times New Roman" w:hAnsi="Times New Roman" w:cs="Times New Roman"/>
          <w:color w:val="222222"/>
          <w:sz w:val="24"/>
          <w:szCs w:val="24"/>
        </w:rPr>
        <w:t>.</w:t>
      </w:r>
      <w:proofErr w:type="gramEnd"/>
      <w:r w:rsidRPr="000600AF">
        <w:rPr>
          <w:rFonts w:ascii="Times New Roman" w:eastAsia="Times New Roman" w:hAnsi="Times New Roman" w:cs="Times New Roman"/>
          <w:color w:val="222222"/>
          <w:sz w:val="24"/>
          <w:szCs w:val="24"/>
        </w:rPr>
        <w:t xml:space="preserve"> Cab International.</w:t>
      </w:r>
    </w:p>
    <w:p w14:paraId="315DA1AD" w14:textId="77777777" w:rsidR="00ED7955" w:rsidRPr="000600AF" w:rsidRDefault="00ED7955" w:rsidP="00ED7955">
      <w:pPr>
        <w:spacing w:line="240" w:lineRule="auto"/>
        <w:ind w:left="720" w:hanging="720"/>
        <w:rPr>
          <w:rFonts w:ascii="Times New Roman" w:eastAsiaTheme="minorHAnsi" w:hAnsi="Times New Roman" w:cs="Times New Roman"/>
          <w:sz w:val="24"/>
          <w:szCs w:val="24"/>
        </w:rPr>
      </w:pPr>
      <w:r w:rsidRPr="000600AF">
        <w:rPr>
          <w:rFonts w:ascii="Times New Roman" w:eastAsiaTheme="minorHAnsi" w:hAnsi="Times New Roman" w:cs="Times New Roman"/>
          <w:sz w:val="24"/>
          <w:szCs w:val="24"/>
        </w:rPr>
        <w:t xml:space="preserve">Wenger, L. E. 1943. </w:t>
      </w:r>
      <w:r w:rsidRPr="000600AF">
        <w:rPr>
          <w:rFonts w:ascii="Times New Roman" w:eastAsiaTheme="minorHAnsi" w:hAnsi="Times New Roman" w:cs="Times New Roman"/>
          <w:iCs/>
          <w:sz w:val="24"/>
          <w:szCs w:val="24"/>
        </w:rPr>
        <w:t xml:space="preserve">Buffalo Grass. </w:t>
      </w:r>
      <w:r w:rsidRPr="000600AF">
        <w:rPr>
          <w:rFonts w:ascii="Times New Roman" w:eastAsiaTheme="minorHAnsi" w:hAnsi="Times New Roman" w:cs="Times New Roman"/>
          <w:sz w:val="24"/>
          <w:szCs w:val="24"/>
        </w:rPr>
        <w:t>Manhattan, KS: Kansas State College of Agriculture and Applied Science Agricultural Experiment Station. 78 pp.</w:t>
      </w:r>
    </w:p>
    <w:p w14:paraId="70103C7E" w14:textId="77777777" w:rsidR="00ED7955" w:rsidRPr="000600AF" w:rsidRDefault="00ED7955" w:rsidP="00ED7955">
      <w:pPr>
        <w:spacing w:line="240" w:lineRule="auto"/>
        <w:ind w:left="720" w:hanging="720"/>
        <w:rPr>
          <w:rFonts w:ascii="Times New Roman" w:hAnsi="Times New Roman" w:cs="Times New Roman"/>
          <w:b/>
          <w:sz w:val="24"/>
          <w:szCs w:val="24"/>
        </w:rPr>
      </w:pPr>
      <w:r w:rsidRPr="000600AF">
        <w:rPr>
          <w:rFonts w:ascii="Times New Roman" w:hAnsi="Times New Roman" w:cs="Times New Roman"/>
          <w:sz w:val="24"/>
          <w:szCs w:val="24"/>
        </w:rPr>
        <w:t xml:space="preserve">White, Bud. 2011. Moving north with ultradwarf bermudagrass greens. </w:t>
      </w:r>
      <w:proofErr w:type="gramStart"/>
      <w:r w:rsidRPr="000600AF">
        <w:rPr>
          <w:rFonts w:ascii="Times New Roman" w:hAnsi="Times New Roman" w:cs="Times New Roman"/>
          <w:sz w:val="24"/>
          <w:szCs w:val="24"/>
        </w:rPr>
        <w:t>Bulletin for Sports Surface Management.</w:t>
      </w:r>
      <w:proofErr w:type="gramEnd"/>
      <w:r w:rsidRPr="000600AF">
        <w:rPr>
          <w:rFonts w:ascii="Times New Roman" w:hAnsi="Times New Roman" w:cs="Times New Roman"/>
          <w:sz w:val="24"/>
          <w:szCs w:val="24"/>
        </w:rPr>
        <w:t xml:space="preserve"> October. 255: p. 35-37.</w:t>
      </w:r>
    </w:p>
    <w:p w14:paraId="39ED9506" w14:textId="77777777" w:rsidR="008072D0" w:rsidRDefault="00ED7955" w:rsidP="00ED7955">
      <w:pPr>
        <w:spacing w:line="240" w:lineRule="auto"/>
        <w:ind w:left="720" w:hanging="720"/>
        <w:rPr>
          <w:rFonts w:ascii="Times New Roman" w:eastAsiaTheme="minorHAnsi" w:hAnsi="Times New Roman" w:cs="Times New Roman"/>
          <w:sz w:val="24"/>
          <w:szCs w:val="24"/>
        </w:rPr>
      </w:pPr>
      <w:r w:rsidRPr="000600AF">
        <w:rPr>
          <w:rFonts w:ascii="Times New Roman" w:eastAsiaTheme="minorHAnsi" w:hAnsi="Times New Roman" w:cs="Times New Roman"/>
          <w:sz w:val="24"/>
          <w:szCs w:val="24"/>
        </w:rPr>
        <w:t xml:space="preserve">White, Donald. 1994. Improvement of poa annua var reptans for golf turf. </w:t>
      </w:r>
      <w:proofErr w:type="gramStart"/>
      <w:r w:rsidRPr="000600AF">
        <w:rPr>
          <w:rFonts w:ascii="Times New Roman" w:eastAsiaTheme="minorHAnsi" w:hAnsi="Times New Roman" w:cs="Times New Roman"/>
          <w:iCs/>
          <w:sz w:val="24"/>
          <w:szCs w:val="24"/>
        </w:rPr>
        <w:t>1994 Turfgrass Research Summary</w:t>
      </w:r>
      <w:r w:rsidRPr="000600AF">
        <w:rPr>
          <w:rFonts w:ascii="Times New Roman" w:eastAsiaTheme="minorHAnsi" w:hAnsi="Times New Roman" w:cs="Times New Roman"/>
          <w:sz w:val="24"/>
          <w:szCs w:val="24"/>
        </w:rPr>
        <w:t xml:space="preserve"> [USGA].</w:t>
      </w:r>
      <w:proofErr w:type="gramEnd"/>
      <w:r w:rsidRPr="000600AF">
        <w:rPr>
          <w:rFonts w:ascii="Times New Roman" w:eastAsiaTheme="minorHAnsi" w:hAnsi="Times New Roman" w:cs="Times New Roman"/>
          <w:sz w:val="24"/>
          <w:szCs w:val="24"/>
        </w:rPr>
        <w:t xml:space="preserve"> p. 18-20</w:t>
      </w:r>
      <w:r w:rsidRPr="0073154C">
        <w:rPr>
          <w:rFonts w:ascii="Times New Roman" w:eastAsiaTheme="minorHAnsi" w:hAnsi="Times New Roman" w:cs="Times New Roman"/>
          <w:sz w:val="24"/>
          <w:szCs w:val="24"/>
        </w:rPr>
        <w:t>.</w:t>
      </w:r>
    </w:p>
    <w:p w14:paraId="6A7AECB5" w14:textId="77777777" w:rsidR="008072D0" w:rsidRDefault="008072D0">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14:paraId="08D7BA51" w14:textId="77777777" w:rsidR="00ED7955" w:rsidRDefault="00ED7955" w:rsidP="00ED7955">
      <w:pPr>
        <w:spacing w:line="240" w:lineRule="auto"/>
        <w:ind w:left="720" w:hanging="720"/>
        <w:rPr>
          <w:rFonts w:ascii="Times New Roman" w:eastAsiaTheme="minorHAnsi" w:hAnsi="Times New Roman" w:cs="Times New Roman"/>
          <w:sz w:val="24"/>
          <w:szCs w:val="24"/>
        </w:rPr>
      </w:pPr>
    </w:p>
    <w:p w14:paraId="571371BE"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1FFF6855"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24524458"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0314B80B"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4CE529D4"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0E828DD3"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4187A009"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0B133E95"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7C548E47"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52E323D1" w14:textId="77777777" w:rsidR="008072D0" w:rsidRDefault="008072D0" w:rsidP="008072D0">
      <w:pPr>
        <w:spacing w:line="240" w:lineRule="auto"/>
        <w:rPr>
          <w:rFonts w:ascii="Times New Roman" w:eastAsiaTheme="minorHAnsi" w:hAnsi="Times New Roman" w:cs="Times New Roman"/>
          <w:sz w:val="24"/>
          <w:szCs w:val="24"/>
        </w:rPr>
      </w:pPr>
    </w:p>
    <w:p w14:paraId="6EE1E3A9" w14:textId="77777777" w:rsidR="008072D0" w:rsidRDefault="008072D0" w:rsidP="008072D0">
      <w:pPr>
        <w:pStyle w:val="Heading1"/>
        <w:rPr>
          <w:rFonts w:eastAsiaTheme="minorHAnsi"/>
        </w:rPr>
      </w:pPr>
      <w:bookmarkStart w:id="6" w:name="_Toc354003313"/>
      <w:bookmarkEnd w:id="6"/>
    </w:p>
    <w:p w14:paraId="6AE7C952" w14:textId="77777777" w:rsidR="008072D0" w:rsidRDefault="008072D0" w:rsidP="008072D0"/>
    <w:p w14:paraId="5923439A" w14:textId="77777777" w:rsidR="008072D0" w:rsidRDefault="008072D0" w:rsidP="006C761E">
      <w:pPr>
        <w:pStyle w:val="Heading2"/>
      </w:pPr>
      <w:bookmarkStart w:id="7" w:name="_Toc354003314"/>
      <w:r w:rsidRPr="008072D0">
        <w:rPr>
          <w:i/>
        </w:rPr>
        <w:t>POA</w:t>
      </w:r>
      <w:r w:rsidRPr="008072D0">
        <w:t xml:space="preserve"> SPECIES AS ALTERNATIVE</w:t>
      </w:r>
      <w:r w:rsidR="004A61F9">
        <w:t xml:space="preserve"> PERMANENT</w:t>
      </w:r>
      <w:r w:rsidRPr="008072D0">
        <w:t xml:space="preserve"> TURFGRASS SPECIES IN THE TRANSITION ZONE</w:t>
      </w:r>
      <w:bookmarkEnd w:id="7"/>
    </w:p>
    <w:p w14:paraId="38E54BAE" w14:textId="77777777" w:rsidR="008072D0" w:rsidRDefault="008072D0">
      <w:pPr>
        <w:rPr>
          <w:rFonts w:asciiTheme="majorHAnsi" w:eastAsiaTheme="majorEastAsia" w:hAnsiTheme="majorHAnsi" w:cstheme="majorBidi"/>
          <w:b/>
          <w:bCs/>
          <w:sz w:val="24"/>
        </w:rPr>
      </w:pPr>
      <w:r>
        <w:br w:type="page"/>
      </w:r>
    </w:p>
    <w:p w14:paraId="4F9518CB" w14:textId="77777777" w:rsidR="008072D0" w:rsidRDefault="00CF3747" w:rsidP="00CF3747">
      <w:pPr>
        <w:pStyle w:val="Heading3"/>
      </w:pPr>
      <w:bookmarkStart w:id="8" w:name="_Toc354003315"/>
      <w:r w:rsidRPr="00CF3747">
        <w:lastRenderedPageBreak/>
        <w:t>Abstract</w:t>
      </w:r>
      <w:bookmarkEnd w:id="8"/>
    </w:p>
    <w:p w14:paraId="25E501A2" w14:textId="77777777" w:rsidR="00CF3747" w:rsidRPr="00CF3747" w:rsidRDefault="00CF3747" w:rsidP="00CF3747"/>
    <w:p w14:paraId="5D7C6E2E" w14:textId="77777777" w:rsidR="00CF3747" w:rsidRDefault="00CF3747" w:rsidP="00CF3747">
      <w:pPr>
        <w:spacing w:line="480" w:lineRule="auto"/>
        <w:ind w:firstLine="720"/>
        <w:rPr>
          <w:rFonts w:ascii="Times New Roman" w:eastAsiaTheme="minorHAnsi" w:hAnsi="Times New Roman" w:cs="Times New Roman"/>
          <w:sz w:val="24"/>
          <w:szCs w:val="24"/>
        </w:rPr>
      </w:pPr>
      <w:r w:rsidRPr="00CF3747">
        <w:rPr>
          <w:rFonts w:ascii="Times New Roman" w:eastAsiaTheme="minorHAnsi" w:hAnsi="Times New Roman" w:cs="Times New Roman"/>
          <w:sz w:val="24"/>
          <w:szCs w:val="24"/>
        </w:rPr>
        <w:t xml:space="preserve">Turfgrass species that are adapted to certain regions and their intended use can have a positive benefit to the surrounding environment. The objective of this study was to evaluate </w:t>
      </w:r>
      <w:r w:rsidRPr="00CF3747">
        <w:rPr>
          <w:rFonts w:ascii="Times New Roman" w:eastAsiaTheme="minorHAnsi" w:hAnsi="Times New Roman" w:cs="Times New Roman"/>
          <w:i/>
          <w:sz w:val="24"/>
          <w:szCs w:val="24"/>
        </w:rPr>
        <w:t>Poa</w:t>
      </w:r>
      <w:r w:rsidRPr="00CF3747">
        <w:rPr>
          <w:rFonts w:ascii="Times New Roman" w:eastAsiaTheme="minorHAnsi" w:hAnsi="Times New Roman" w:cs="Times New Roman"/>
          <w:sz w:val="24"/>
          <w:szCs w:val="24"/>
        </w:rPr>
        <w:t xml:space="preserve"> species for their potential use as</w:t>
      </w:r>
      <w:r w:rsidR="004A61F9">
        <w:rPr>
          <w:rFonts w:ascii="Times New Roman" w:eastAsiaTheme="minorHAnsi" w:hAnsi="Times New Roman" w:cs="Times New Roman"/>
          <w:sz w:val="24"/>
          <w:szCs w:val="24"/>
        </w:rPr>
        <w:t xml:space="preserve"> permanent</w:t>
      </w:r>
      <w:r w:rsidRPr="00CF3747">
        <w:rPr>
          <w:rFonts w:ascii="Times New Roman" w:eastAsiaTheme="minorHAnsi" w:hAnsi="Times New Roman" w:cs="Times New Roman"/>
          <w:sz w:val="24"/>
          <w:szCs w:val="24"/>
        </w:rPr>
        <w:t xml:space="preserve"> turfgrasses in the transition zone. In 2010 and 2011, 37 different </w:t>
      </w:r>
      <w:r w:rsidRPr="00CF3747">
        <w:rPr>
          <w:rFonts w:ascii="Times New Roman" w:eastAsiaTheme="minorHAnsi" w:hAnsi="Times New Roman" w:cs="Times New Roman"/>
          <w:i/>
          <w:sz w:val="24"/>
          <w:szCs w:val="24"/>
        </w:rPr>
        <w:t>Poa</w:t>
      </w:r>
      <w:r w:rsidRPr="00CF3747">
        <w:rPr>
          <w:rFonts w:ascii="Times New Roman" w:eastAsiaTheme="minorHAnsi" w:hAnsi="Times New Roman" w:cs="Times New Roman"/>
          <w:sz w:val="24"/>
          <w:szCs w:val="24"/>
        </w:rPr>
        <w:t xml:space="preserve"> species (45 total treatments) were established from seed in the greenhouse and grown as plugs that were transplanted to native soil in Knoxville,</w:t>
      </w:r>
      <w:r w:rsidR="006B0A9E">
        <w:rPr>
          <w:rFonts w:ascii="Times New Roman" w:eastAsiaTheme="minorHAnsi" w:hAnsi="Times New Roman" w:cs="Times New Roman"/>
          <w:sz w:val="24"/>
          <w:szCs w:val="24"/>
        </w:rPr>
        <w:t xml:space="preserve"> TN. Plots were managed based on recommendations for </w:t>
      </w:r>
      <w:r w:rsidRPr="00CF3747">
        <w:rPr>
          <w:rFonts w:ascii="Times New Roman" w:eastAsiaTheme="minorHAnsi" w:hAnsi="Times New Roman" w:cs="Times New Roman"/>
          <w:sz w:val="24"/>
          <w:szCs w:val="24"/>
        </w:rPr>
        <w:t>Kentucky bluegrass (</w:t>
      </w:r>
      <w:r w:rsidRPr="00CF3747">
        <w:rPr>
          <w:rFonts w:ascii="Times New Roman" w:eastAsiaTheme="minorHAnsi" w:hAnsi="Times New Roman" w:cs="Times New Roman"/>
          <w:i/>
          <w:sz w:val="24"/>
          <w:szCs w:val="24"/>
        </w:rPr>
        <w:t>P. pratensis</w:t>
      </w:r>
      <w:r w:rsidR="006B0A9E">
        <w:rPr>
          <w:rFonts w:ascii="Times New Roman" w:eastAsiaTheme="minorHAnsi" w:hAnsi="Times New Roman" w:cs="Times New Roman"/>
          <w:sz w:val="24"/>
          <w:szCs w:val="24"/>
        </w:rPr>
        <w:t xml:space="preserve"> L.) in the transition zone</w:t>
      </w:r>
      <w:r w:rsidRPr="00CF3747">
        <w:rPr>
          <w:rFonts w:ascii="Times New Roman" w:eastAsiaTheme="minorHAnsi" w:hAnsi="Times New Roman" w:cs="Times New Roman"/>
          <w:sz w:val="24"/>
          <w:szCs w:val="24"/>
        </w:rPr>
        <w:t xml:space="preserve">. Treatment sources were from the USDA NPGS, commercially available </w:t>
      </w:r>
      <w:r w:rsidRPr="00CF3747">
        <w:rPr>
          <w:rFonts w:ascii="Times New Roman" w:eastAsiaTheme="minorHAnsi" w:hAnsi="Times New Roman" w:cs="Times New Roman"/>
          <w:i/>
          <w:sz w:val="24"/>
          <w:szCs w:val="24"/>
        </w:rPr>
        <w:t>Poa</w:t>
      </w:r>
      <w:r w:rsidRPr="00CF3747">
        <w:rPr>
          <w:rFonts w:ascii="Times New Roman" w:eastAsiaTheme="minorHAnsi" w:hAnsi="Times New Roman" w:cs="Times New Roman"/>
          <w:sz w:val="24"/>
          <w:szCs w:val="24"/>
        </w:rPr>
        <w:t xml:space="preserve"> species, or naturalized </w:t>
      </w:r>
      <w:r w:rsidRPr="00CF3747">
        <w:rPr>
          <w:rFonts w:ascii="Times New Roman" w:eastAsiaTheme="minorHAnsi" w:hAnsi="Times New Roman" w:cs="Times New Roman"/>
          <w:i/>
          <w:sz w:val="24"/>
          <w:szCs w:val="24"/>
        </w:rPr>
        <w:t>Poa</w:t>
      </w:r>
      <w:r w:rsidRPr="00CF3747">
        <w:rPr>
          <w:rFonts w:ascii="Times New Roman" w:eastAsiaTheme="minorHAnsi" w:hAnsi="Times New Roman" w:cs="Times New Roman"/>
          <w:sz w:val="24"/>
          <w:szCs w:val="24"/>
        </w:rPr>
        <w:t xml:space="preserve"> species collected regionally. Each treatment was evaluated for percent green cover on a monthly basis for one year. In both years, </w:t>
      </w:r>
      <w:r w:rsidRPr="00CF3747">
        <w:rPr>
          <w:rFonts w:ascii="Times New Roman" w:eastAsiaTheme="minorHAnsi" w:hAnsi="Times New Roman" w:cs="Times New Roman"/>
          <w:i/>
          <w:sz w:val="24"/>
          <w:szCs w:val="24"/>
        </w:rPr>
        <w:t>Poa stiriaca</w:t>
      </w:r>
      <w:r w:rsidRPr="00CF3747">
        <w:rPr>
          <w:rFonts w:ascii="Times New Roman" w:eastAsiaTheme="minorHAnsi" w:hAnsi="Times New Roman" w:cs="Times New Roman"/>
          <w:sz w:val="24"/>
          <w:szCs w:val="24"/>
        </w:rPr>
        <w:t xml:space="preserve"> Fritsch &amp; Hayek and </w:t>
      </w:r>
      <w:r w:rsidRPr="00CF3747">
        <w:rPr>
          <w:rFonts w:ascii="Times New Roman" w:eastAsiaTheme="minorHAnsi" w:hAnsi="Times New Roman" w:cs="Times New Roman"/>
          <w:i/>
          <w:sz w:val="24"/>
          <w:szCs w:val="24"/>
        </w:rPr>
        <w:t>P. maniototo</w:t>
      </w:r>
      <w:r w:rsidRPr="00CF3747">
        <w:rPr>
          <w:rFonts w:ascii="Times New Roman" w:eastAsiaTheme="minorHAnsi" w:hAnsi="Times New Roman" w:cs="Times New Roman"/>
          <w:sz w:val="24"/>
          <w:szCs w:val="24"/>
        </w:rPr>
        <w:t xml:space="preserve"> Petrie were in the top statistical category along with the three cultivars of Kentucky bluegrass</w:t>
      </w:r>
      <w:r w:rsidR="006B0A9E">
        <w:rPr>
          <w:rFonts w:ascii="Times New Roman" w:eastAsiaTheme="minorHAnsi" w:hAnsi="Times New Roman" w:cs="Times New Roman"/>
          <w:sz w:val="24"/>
          <w:szCs w:val="24"/>
        </w:rPr>
        <w:t>; ‘Midnight Star’, ‘Kenblue’, and a locally na</w:t>
      </w:r>
      <w:r w:rsidR="004A61F9">
        <w:rPr>
          <w:rFonts w:ascii="Times New Roman" w:eastAsiaTheme="minorHAnsi" w:hAnsi="Times New Roman" w:cs="Times New Roman"/>
          <w:sz w:val="24"/>
          <w:szCs w:val="24"/>
        </w:rPr>
        <w:t>turalized biotype.</w:t>
      </w:r>
      <w:r w:rsidRPr="00CF3747">
        <w:rPr>
          <w:rFonts w:ascii="Times New Roman" w:eastAsiaTheme="minorHAnsi" w:hAnsi="Times New Roman" w:cs="Times New Roman"/>
          <w:sz w:val="24"/>
          <w:szCs w:val="24"/>
        </w:rPr>
        <w:t xml:space="preserve"> </w:t>
      </w:r>
      <w:r w:rsidR="004A61F9">
        <w:rPr>
          <w:rFonts w:ascii="Times New Roman" w:eastAsiaTheme="minorHAnsi" w:hAnsi="Times New Roman" w:cs="Times New Roman"/>
          <w:sz w:val="24"/>
          <w:szCs w:val="24"/>
        </w:rPr>
        <w:t xml:space="preserve">One hybrid, ‘Armadillo’ </w:t>
      </w:r>
      <w:r w:rsidRPr="00CF3747">
        <w:rPr>
          <w:rFonts w:ascii="Times New Roman" w:eastAsiaTheme="minorHAnsi" w:hAnsi="Times New Roman" w:cs="Times New Roman"/>
          <w:sz w:val="24"/>
          <w:szCs w:val="24"/>
        </w:rPr>
        <w:t>(</w:t>
      </w:r>
      <w:r w:rsidRPr="00CF3747">
        <w:rPr>
          <w:rFonts w:ascii="Times New Roman" w:eastAsiaTheme="minorHAnsi" w:hAnsi="Times New Roman" w:cs="Times New Roman"/>
          <w:i/>
          <w:sz w:val="24"/>
          <w:szCs w:val="24"/>
        </w:rPr>
        <w:t>P. arachnifera</w:t>
      </w:r>
      <w:r w:rsidRPr="00CF3747">
        <w:rPr>
          <w:rFonts w:ascii="Times New Roman" w:eastAsiaTheme="minorHAnsi" w:hAnsi="Times New Roman" w:cs="Times New Roman"/>
          <w:sz w:val="24"/>
          <w:szCs w:val="24"/>
        </w:rPr>
        <w:t xml:space="preserve"> Torr. x </w:t>
      </w:r>
      <w:r w:rsidRPr="00CF3747">
        <w:rPr>
          <w:rFonts w:ascii="Times New Roman" w:eastAsiaTheme="minorHAnsi" w:hAnsi="Times New Roman" w:cs="Times New Roman"/>
          <w:i/>
          <w:sz w:val="24"/>
          <w:szCs w:val="24"/>
        </w:rPr>
        <w:t>P. pratensis</w:t>
      </w:r>
      <w:r w:rsidRPr="00CF3747">
        <w:rPr>
          <w:rFonts w:ascii="Times New Roman" w:eastAsiaTheme="minorHAnsi" w:hAnsi="Times New Roman" w:cs="Times New Roman"/>
          <w:sz w:val="24"/>
          <w:szCs w:val="24"/>
        </w:rPr>
        <w:t>)</w:t>
      </w:r>
      <w:r w:rsidR="004A61F9">
        <w:rPr>
          <w:rFonts w:ascii="Times New Roman" w:eastAsiaTheme="minorHAnsi" w:hAnsi="Times New Roman" w:cs="Times New Roman"/>
          <w:sz w:val="24"/>
          <w:szCs w:val="24"/>
        </w:rPr>
        <w:t xml:space="preserve"> was also included. As a group stoloniferous species established faster than the bunch type and rhizomatous species. The rhizomatous species maintained the highest cover after summer and at the end of the one year trial period. As a group, the bunch type species performed poorly, but </w:t>
      </w:r>
      <w:r w:rsidR="00151B3F">
        <w:rPr>
          <w:rFonts w:ascii="Times New Roman" w:eastAsiaTheme="minorHAnsi" w:hAnsi="Times New Roman" w:cs="Times New Roman"/>
          <w:sz w:val="24"/>
          <w:szCs w:val="24"/>
        </w:rPr>
        <w:t xml:space="preserve">contained species that are potentially useful in overseeding systems, while others were able to maintain higher levels of cover after summer heat stress. </w:t>
      </w:r>
      <w:r w:rsidRPr="00CF3747">
        <w:rPr>
          <w:rFonts w:ascii="Times New Roman" w:eastAsiaTheme="minorHAnsi" w:hAnsi="Times New Roman" w:cs="Times New Roman"/>
          <w:sz w:val="24"/>
          <w:szCs w:val="24"/>
        </w:rPr>
        <w:t>Further research is needed to determine if these species can perform under reduced input management.</w:t>
      </w:r>
    </w:p>
    <w:p w14:paraId="099BBBBF" w14:textId="77777777" w:rsidR="00CF3747" w:rsidRDefault="00CF3747">
      <w:pPr>
        <w:rPr>
          <w:rFonts w:ascii="Times New Roman" w:eastAsiaTheme="minorHAnsi" w:hAnsi="Times New Roman" w:cs="Times New Roman"/>
          <w:sz w:val="24"/>
          <w:szCs w:val="24"/>
        </w:rPr>
      </w:pPr>
    </w:p>
    <w:p w14:paraId="367E4A7B" w14:textId="77777777" w:rsidR="008072D0" w:rsidRDefault="00CF3747" w:rsidP="00CF3747">
      <w:pPr>
        <w:pStyle w:val="Heading3"/>
      </w:pPr>
      <w:bookmarkStart w:id="9" w:name="_Toc354003316"/>
      <w:r>
        <w:t>Introduction</w:t>
      </w:r>
      <w:bookmarkEnd w:id="9"/>
    </w:p>
    <w:p w14:paraId="25FC1E16" w14:textId="77777777" w:rsidR="003151DE" w:rsidRDefault="003151DE" w:rsidP="003151DE"/>
    <w:p w14:paraId="541AFDD2" w14:textId="77777777" w:rsidR="00E90848" w:rsidRPr="0001663B" w:rsidRDefault="00E90848" w:rsidP="00151B3F">
      <w:pPr>
        <w:spacing w:line="480" w:lineRule="auto"/>
        <w:ind w:firstLine="720"/>
        <w:rPr>
          <w:rFonts w:ascii="Times New Roman" w:eastAsiaTheme="minorHAnsi" w:hAnsi="Times New Roman" w:cs="Times New Roman"/>
          <w:sz w:val="24"/>
        </w:rPr>
      </w:pPr>
      <w:r w:rsidRPr="0001663B">
        <w:rPr>
          <w:rFonts w:ascii="Times New Roman" w:eastAsiaTheme="minorHAnsi" w:hAnsi="Times New Roman" w:cs="Times New Roman"/>
          <w:sz w:val="24"/>
        </w:rPr>
        <w:t xml:space="preserve">Restrictions on water, fertilizer, and pesticide use have challenged the turf industry to develop or discover turfgrass species and cultivars capable of maintaining acceptable turfgrass </w:t>
      </w:r>
      <w:r w:rsidRPr="0001663B">
        <w:rPr>
          <w:rFonts w:ascii="Times New Roman" w:eastAsiaTheme="minorHAnsi" w:hAnsi="Times New Roman" w:cs="Times New Roman"/>
          <w:sz w:val="24"/>
        </w:rPr>
        <w:lastRenderedPageBreak/>
        <w:t>quality under reduce</w:t>
      </w:r>
      <w:r w:rsidR="00151B3F">
        <w:rPr>
          <w:rFonts w:ascii="Times New Roman" w:eastAsiaTheme="minorHAnsi" w:hAnsi="Times New Roman" w:cs="Times New Roman"/>
          <w:sz w:val="24"/>
        </w:rPr>
        <w:t>d inputs.</w:t>
      </w:r>
      <w:r w:rsidRPr="0001663B">
        <w:rPr>
          <w:rFonts w:ascii="Times New Roman" w:eastAsiaTheme="minorHAnsi" w:hAnsi="Times New Roman" w:cs="Times New Roman"/>
          <w:sz w:val="24"/>
        </w:rPr>
        <w:t xml:space="preserve"> Turfgrass researchers have evaluated alternative s</w:t>
      </w:r>
      <w:r w:rsidR="00784586">
        <w:rPr>
          <w:rFonts w:ascii="Times New Roman" w:eastAsiaTheme="minorHAnsi" w:hAnsi="Times New Roman" w:cs="Times New Roman"/>
          <w:sz w:val="24"/>
        </w:rPr>
        <w:t>pecies for use as turfgrasses</w:t>
      </w:r>
      <w:r w:rsidRPr="0001663B">
        <w:rPr>
          <w:rFonts w:ascii="Times New Roman" w:eastAsiaTheme="minorHAnsi" w:hAnsi="Times New Roman" w:cs="Times New Roman"/>
          <w:sz w:val="24"/>
        </w:rPr>
        <w:t xml:space="preserve"> focusing strictly on native species (Mintenko et al., 2002; Salaiz, 2011; Kopec et al., 2008). Other researchers have focused on evaluating a wide array of traditional, non-traditional, and native species in specific systems, such as fairways (Watkins et al., 2010). Breeding efforts have begun with some native species with the goal of improving turf quality while keeping and improving low maintenance qualities. These species include buffalograss [</w:t>
      </w:r>
      <w:r w:rsidRPr="0001663B">
        <w:rPr>
          <w:rFonts w:ascii="Times New Roman" w:eastAsiaTheme="minorHAnsi" w:hAnsi="Times New Roman" w:cs="Times New Roman"/>
          <w:i/>
          <w:sz w:val="24"/>
        </w:rPr>
        <w:t>Buchloe dactyloides</w:t>
      </w:r>
      <w:r w:rsidRPr="0001663B">
        <w:rPr>
          <w:rFonts w:ascii="Times New Roman" w:eastAsiaTheme="minorHAnsi" w:hAnsi="Times New Roman" w:cs="Times New Roman"/>
          <w:sz w:val="24"/>
        </w:rPr>
        <w:t xml:space="preserve"> (Nutt) Engelm.], prairie junegrass [</w:t>
      </w:r>
      <w:r w:rsidRPr="0001663B">
        <w:rPr>
          <w:rFonts w:ascii="Times New Roman" w:eastAsiaTheme="minorHAnsi" w:hAnsi="Times New Roman" w:cs="Times New Roman"/>
          <w:i/>
          <w:iCs/>
          <w:sz w:val="24"/>
          <w:szCs w:val="24"/>
        </w:rPr>
        <w:t xml:space="preserve">Koeleria macrantha </w:t>
      </w:r>
      <w:r w:rsidRPr="0001663B">
        <w:rPr>
          <w:rFonts w:ascii="Times New Roman" w:hAnsi="Times New Roman" w:cs="Times New Roman"/>
          <w:sz w:val="24"/>
          <w:szCs w:val="24"/>
        </w:rPr>
        <w:t>(Ledeb.) Schult.],</w:t>
      </w:r>
      <w:r w:rsidRPr="0001663B">
        <w:rPr>
          <w:rFonts w:ascii="Times New Roman" w:eastAsiaTheme="minorHAnsi" w:hAnsi="Times New Roman" w:cs="Times New Roman"/>
          <w:sz w:val="24"/>
          <w:szCs w:val="24"/>
        </w:rPr>
        <w:t xml:space="preserve"> </w:t>
      </w:r>
      <w:r w:rsidRPr="0001663B">
        <w:rPr>
          <w:rFonts w:ascii="Times New Roman" w:eastAsiaTheme="minorHAnsi" w:hAnsi="Times New Roman" w:cs="Times New Roman"/>
          <w:sz w:val="24"/>
        </w:rPr>
        <w:t>and poverty oatgrass [</w:t>
      </w:r>
      <w:r w:rsidRPr="0001663B">
        <w:rPr>
          <w:rFonts w:ascii="Times New Roman" w:eastAsiaTheme="minorHAnsi" w:hAnsi="Times New Roman" w:cs="Times New Roman"/>
          <w:i/>
          <w:sz w:val="24"/>
        </w:rPr>
        <w:t>Danthonia spicata</w:t>
      </w:r>
      <w:r w:rsidRPr="0001663B">
        <w:rPr>
          <w:rFonts w:ascii="Times New Roman" w:eastAsiaTheme="minorHAnsi" w:hAnsi="Times New Roman" w:cs="Times New Roman"/>
          <w:sz w:val="24"/>
        </w:rPr>
        <w:t xml:space="preserve"> </w:t>
      </w:r>
      <w:r w:rsidRPr="0001663B">
        <w:rPr>
          <w:rFonts w:ascii="Times New Roman" w:hAnsi="Times New Roman" w:cs="Times New Roman"/>
          <w:sz w:val="24"/>
        </w:rPr>
        <w:t>(L.) P. Beauv. ex Roem. &amp; Schult.</w:t>
      </w:r>
      <w:r w:rsidRPr="0001663B">
        <w:rPr>
          <w:rFonts w:ascii="Times New Roman" w:eastAsiaTheme="minorHAnsi" w:hAnsi="Times New Roman" w:cs="Times New Roman"/>
          <w:sz w:val="24"/>
        </w:rPr>
        <w:t xml:space="preserve">] </w:t>
      </w:r>
      <w:proofErr w:type="gramStart"/>
      <w:r w:rsidRPr="0001663B">
        <w:rPr>
          <w:rFonts w:ascii="Times New Roman" w:eastAsiaTheme="minorHAnsi" w:hAnsi="Times New Roman" w:cs="Times New Roman"/>
          <w:sz w:val="24"/>
        </w:rPr>
        <w:t>(Amundsen and Shearman, 2011</w:t>
      </w:r>
      <w:r w:rsidRPr="0001663B">
        <w:rPr>
          <w:rFonts w:eastAsiaTheme="minorHAnsi"/>
        </w:rPr>
        <w:t xml:space="preserve">; </w:t>
      </w:r>
      <w:r w:rsidRPr="0001663B">
        <w:rPr>
          <w:rFonts w:ascii="Times New Roman" w:eastAsiaTheme="minorHAnsi" w:hAnsi="Times New Roman" w:cs="Times New Roman"/>
          <w:sz w:val="24"/>
        </w:rPr>
        <w:t>Watkins, 20</w:t>
      </w:r>
      <w:r w:rsidR="00151B3F">
        <w:rPr>
          <w:rFonts w:ascii="Times New Roman" w:eastAsiaTheme="minorHAnsi" w:hAnsi="Times New Roman" w:cs="Times New Roman"/>
          <w:sz w:val="24"/>
        </w:rPr>
        <w:t>11; Warnke and Amundsen, 2009).</w:t>
      </w:r>
      <w:proofErr w:type="gramEnd"/>
      <w:r w:rsidR="00151B3F">
        <w:rPr>
          <w:rFonts w:ascii="Times New Roman" w:eastAsiaTheme="minorHAnsi" w:hAnsi="Times New Roman" w:cs="Times New Roman"/>
          <w:sz w:val="24"/>
        </w:rPr>
        <w:t xml:space="preserve"> </w:t>
      </w:r>
      <w:r w:rsidRPr="0001663B">
        <w:rPr>
          <w:rFonts w:ascii="Times New Roman" w:eastAsiaTheme="minorHAnsi" w:hAnsi="Times New Roman" w:cs="Times New Roman"/>
          <w:sz w:val="24"/>
        </w:rPr>
        <w:t xml:space="preserve">Recorded experimental testing of turfgrass species and cultivars by professional organizations has been conducted for almost 100 years, starting in 1916 with the Arlington Turf Gardens (Anonymous, 1937). Variety testing, such as that done by the National Turfgrass Evaluation Program (NTEP), and many universities, provides a wealth of information on the performance of varieties within the same species. </w:t>
      </w:r>
    </w:p>
    <w:p w14:paraId="2A88343C" w14:textId="77777777" w:rsidR="00E90848" w:rsidRPr="0001663B" w:rsidRDefault="00844624" w:rsidP="00E90848">
      <w:pPr>
        <w:spacing w:line="480" w:lineRule="auto"/>
        <w:rPr>
          <w:rFonts w:ascii="Times New Roman" w:eastAsiaTheme="minorHAnsi" w:hAnsi="Times New Roman" w:cs="Times New Roman"/>
          <w:sz w:val="24"/>
        </w:rPr>
      </w:pPr>
      <w:r>
        <w:rPr>
          <w:rFonts w:ascii="Times New Roman" w:eastAsiaTheme="minorHAnsi" w:hAnsi="Times New Roman" w:cs="Times New Roman"/>
          <w:sz w:val="24"/>
        </w:rPr>
        <w:tab/>
        <w:t>R</w:t>
      </w:r>
      <w:r w:rsidR="00E90848" w:rsidRPr="0001663B">
        <w:rPr>
          <w:rFonts w:ascii="Times New Roman" w:eastAsiaTheme="minorHAnsi" w:hAnsi="Times New Roman" w:cs="Times New Roman"/>
          <w:sz w:val="24"/>
        </w:rPr>
        <w:t>esearch examining alternative species has been performed in particul</w:t>
      </w:r>
      <w:r>
        <w:rPr>
          <w:rFonts w:ascii="Times New Roman" w:eastAsiaTheme="minorHAnsi" w:hAnsi="Times New Roman" w:cs="Times New Roman"/>
          <w:sz w:val="24"/>
        </w:rPr>
        <w:t>ar climates like</w:t>
      </w:r>
      <w:r w:rsidR="00E90848" w:rsidRPr="0001663B">
        <w:rPr>
          <w:rFonts w:ascii="Times New Roman" w:eastAsiaTheme="minorHAnsi" w:hAnsi="Times New Roman" w:cs="Times New Roman"/>
          <w:sz w:val="24"/>
        </w:rPr>
        <w:t xml:space="preserve"> the northern Great Plains (Mintenko et al., 2002). Many of the native species that have been studied, such as buffalograss, are not adapted to the humid, transition zone climate. No research involving the use of a non-traditional turf species has been performed in the transition zone. This is partly because many states in the transition zone, including Tennessee, have no current use restrictions on water or fertilizer. However, the need for reduced maintenance is recognized and if current trends continue, it is possible that restrictions could be put into place. </w:t>
      </w:r>
    </w:p>
    <w:p w14:paraId="4648BE8F" w14:textId="77777777" w:rsidR="00E90848" w:rsidRPr="0001663B" w:rsidRDefault="00E90848" w:rsidP="00E90848">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 xml:space="preserve">Studies examining native species have focused on species that had seed readily available. However, this is a small percentage of the approximately 10,000 species of grass. Examination of the sub-families within Poaceae (true grasses) reveals species that do not fit the criteria of a </w:t>
      </w:r>
      <w:r w:rsidRPr="0001663B">
        <w:rPr>
          <w:rFonts w:ascii="Times New Roman" w:eastAsiaTheme="minorHAnsi" w:hAnsi="Times New Roman" w:cs="Times New Roman"/>
          <w:sz w:val="24"/>
        </w:rPr>
        <w:lastRenderedPageBreak/>
        <w:t xml:space="preserve">turfgrass, including the subfamily Bambusoideae, which contains the species we know as bamboo. Traditional turfgrass species come from three sub-families; the Poioideae, containing the cool-season grasses; the Panicoidae, containing warm-season species such as centipedegrass </w:t>
      </w:r>
      <w:r w:rsidRPr="0001663B">
        <w:rPr>
          <w:rFonts w:ascii="Times New Roman" w:eastAsiaTheme="minorHAnsi" w:hAnsi="Times New Roman" w:cs="Times New Roman"/>
          <w:sz w:val="24"/>
          <w:szCs w:val="24"/>
        </w:rPr>
        <w:t>[</w:t>
      </w:r>
      <w:r w:rsidRPr="0001663B">
        <w:rPr>
          <w:rFonts w:ascii="Times New Roman" w:eastAsiaTheme="minorHAnsi" w:hAnsi="Times New Roman" w:cs="Times New Roman"/>
          <w:i/>
          <w:iCs/>
          <w:sz w:val="24"/>
          <w:szCs w:val="24"/>
        </w:rPr>
        <w:t>Eremochloa ophiuroides</w:t>
      </w:r>
      <w:r w:rsidRPr="0001663B">
        <w:rPr>
          <w:rFonts w:ascii="Times New Roman" w:eastAsiaTheme="minorHAnsi" w:hAnsi="Times New Roman" w:cs="Times New Roman"/>
          <w:sz w:val="24"/>
          <w:szCs w:val="24"/>
        </w:rPr>
        <w:t xml:space="preserve"> (Munro) Hack]</w:t>
      </w:r>
      <w:r w:rsidRPr="0001663B">
        <w:rPr>
          <w:rFonts w:ascii="Times New Roman" w:eastAsiaTheme="minorHAnsi" w:hAnsi="Times New Roman" w:cs="Times New Roman"/>
          <w:sz w:val="24"/>
        </w:rPr>
        <w:t xml:space="preserve"> and seashore paspalum (</w:t>
      </w:r>
      <w:r w:rsidRPr="0001663B">
        <w:rPr>
          <w:rFonts w:ascii="Times New Roman" w:eastAsiaTheme="minorHAnsi" w:hAnsi="Times New Roman" w:cs="Times New Roman"/>
          <w:bCs/>
          <w:i/>
          <w:color w:val="000000"/>
          <w:sz w:val="24"/>
          <w:szCs w:val="24"/>
        </w:rPr>
        <w:t xml:space="preserve">Paspalum </w:t>
      </w:r>
      <w:r w:rsidRPr="0001663B">
        <w:rPr>
          <w:rFonts w:ascii="Times New Roman" w:eastAsiaTheme="minorHAnsi" w:hAnsi="Times New Roman" w:cs="Times New Roman"/>
          <w:i/>
          <w:color w:val="222222"/>
          <w:sz w:val="24"/>
          <w:szCs w:val="24"/>
        </w:rPr>
        <w:t>vaginatum</w:t>
      </w:r>
      <w:r w:rsidRPr="0001663B">
        <w:rPr>
          <w:rFonts w:ascii="Times New Roman" w:eastAsiaTheme="minorHAnsi" w:hAnsi="Times New Roman" w:cs="Times New Roman"/>
          <w:color w:val="222222"/>
          <w:sz w:val="24"/>
          <w:szCs w:val="24"/>
        </w:rPr>
        <w:t xml:space="preserve"> Swartz</w:t>
      </w:r>
      <w:r w:rsidRPr="0001663B">
        <w:rPr>
          <w:rFonts w:ascii="Times New Roman" w:eastAsiaTheme="minorHAnsi" w:hAnsi="Times New Roman" w:cs="Times New Roman"/>
          <w:color w:val="222222"/>
          <w:szCs w:val="20"/>
        </w:rPr>
        <w:t>)</w:t>
      </w:r>
      <w:r w:rsidRPr="0001663B">
        <w:rPr>
          <w:rFonts w:ascii="Times New Roman" w:eastAsiaTheme="minorHAnsi" w:hAnsi="Times New Roman" w:cs="Times New Roman"/>
          <w:sz w:val="24"/>
        </w:rPr>
        <w:t>; and the Chlorideae, containing the warm-season species bermudagrass (</w:t>
      </w:r>
      <w:r w:rsidRPr="0001663B">
        <w:rPr>
          <w:rFonts w:ascii="Times New Roman" w:eastAsiaTheme="minorHAnsi" w:hAnsi="Times New Roman" w:cs="Times New Roman"/>
          <w:i/>
          <w:sz w:val="24"/>
        </w:rPr>
        <w:t>Cynodon</w:t>
      </w:r>
      <w:r w:rsidRPr="0001663B">
        <w:rPr>
          <w:rFonts w:ascii="Times New Roman" w:eastAsiaTheme="minorHAnsi" w:hAnsi="Times New Roman" w:cs="Times New Roman"/>
          <w:sz w:val="24"/>
        </w:rPr>
        <w:t xml:space="preserve"> spp.) and zoysiagrass (</w:t>
      </w:r>
      <w:r w:rsidRPr="0001663B">
        <w:rPr>
          <w:rFonts w:ascii="Times New Roman" w:eastAsiaTheme="minorHAnsi" w:hAnsi="Times New Roman" w:cs="Times New Roman"/>
          <w:i/>
          <w:sz w:val="24"/>
        </w:rPr>
        <w:t>Zoysia</w:t>
      </w:r>
      <w:r w:rsidRPr="0001663B">
        <w:rPr>
          <w:rFonts w:ascii="Times New Roman" w:eastAsiaTheme="minorHAnsi" w:hAnsi="Times New Roman" w:cs="Times New Roman"/>
          <w:sz w:val="24"/>
        </w:rPr>
        <w:t xml:space="preserve"> spp.). </w:t>
      </w:r>
    </w:p>
    <w:p w14:paraId="6FC348D7" w14:textId="77777777" w:rsidR="00E90848" w:rsidRPr="0001663B" w:rsidRDefault="00E90848" w:rsidP="00E90848">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In the transition zone, both cool</w:t>
      </w:r>
      <w:r w:rsidR="00844624">
        <w:rPr>
          <w:rFonts w:ascii="Times New Roman" w:eastAsiaTheme="minorHAnsi" w:hAnsi="Times New Roman" w:cs="Times New Roman"/>
          <w:sz w:val="24"/>
        </w:rPr>
        <w:t>- and warm-</w:t>
      </w:r>
      <w:r w:rsidRPr="0001663B">
        <w:rPr>
          <w:rFonts w:ascii="Times New Roman" w:eastAsiaTheme="minorHAnsi" w:hAnsi="Times New Roman" w:cs="Times New Roman"/>
          <w:sz w:val="24"/>
        </w:rPr>
        <w:t>season turfgrass species can be grown successfully, but with limitations. Cool-season species are limited by their heat intolerance and warm-season species by their intolerance to freezing temperatures. Adapted cool-season grasses, like tall fescue</w:t>
      </w:r>
      <w:r>
        <w:rPr>
          <w:rFonts w:ascii="Times New Roman" w:eastAsiaTheme="minorHAnsi" w:hAnsi="Times New Roman" w:cs="Times New Roman"/>
          <w:sz w:val="24"/>
        </w:rPr>
        <w:t xml:space="preserve"> (</w:t>
      </w:r>
      <w:r w:rsidRPr="00204B96">
        <w:rPr>
          <w:rFonts w:ascii="Times New Roman" w:eastAsiaTheme="minorHAnsi" w:hAnsi="Times New Roman" w:cs="Times New Roman"/>
          <w:i/>
          <w:sz w:val="24"/>
        </w:rPr>
        <w:t>Festuca arundinacea</w:t>
      </w:r>
      <w:r>
        <w:rPr>
          <w:rFonts w:ascii="Times New Roman" w:eastAsiaTheme="minorHAnsi" w:hAnsi="Times New Roman" w:cs="Times New Roman"/>
          <w:sz w:val="24"/>
        </w:rPr>
        <w:t xml:space="preserve"> Shreb.)</w:t>
      </w:r>
      <w:r w:rsidRPr="0001663B">
        <w:rPr>
          <w:rFonts w:ascii="Times New Roman" w:eastAsiaTheme="minorHAnsi" w:hAnsi="Times New Roman" w:cs="Times New Roman"/>
          <w:sz w:val="24"/>
        </w:rPr>
        <w:t xml:space="preserve"> are typically used in home lawns and general turf areas because they are green year-round.  Adapted warm-season grasses, like bermudagrass, are favored in high use environments, such as golf courses and sports fields, where their ability to tolerate low mowing heights, resist wear, and recover from traffic are essential. Warm-season grasses are often overseeded with cool-season species to provide green and actively growing turf during winter (Ward e</w:t>
      </w:r>
      <w:r w:rsidR="00844624">
        <w:rPr>
          <w:rFonts w:ascii="Times New Roman" w:eastAsiaTheme="minorHAnsi" w:hAnsi="Times New Roman" w:cs="Times New Roman"/>
          <w:sz w:val="24"/>
        </w:rPr>
        <w:t>t al., 1974). Overseeding increases cost and labor of the management budget. Therefore,</w:t>
      </w:r>
      <w:r w:rsidRPr="0001663B">
        <w:rPr>
          <w:rFonts w:ascii="Times New Roman" w:eastAsiaTheme="minorHAnsi" w:hAnsi="Times New Roman" w:cs="Times New Roman"/>
          <w:sz w:val="24"/>
        </w:rPr>
        <w:t xml:space="preserve"> a</w:t>
      </w:r>
      <w:r w:rsidR="00844624">
        <w:rPr>
          <w:rFonts w:ascii="Times New Roman" w:eastAsiaTheme="minorHAnsi" w:hAnsi="Times New Roman" w:cs="Times New Roman"/>
          <w:sz w:val="24"/>
        </w:rPr>
        <w:t xml:space="preserve"> p</w:t>
      </w:r>
      <w:r w:rsidR="0076797E">
        <w:rPr>
          <w:rFonts w:ascii="Times New Roman" w:eastAsiaTheme="minorHAnsi" w:hAnsi="Times New Roman" w:cs="Times New Roman"/>
          <w:sz w:val="24"/>
        </w:rPr>
        <w:t>ermanent coo</w:t>
      </w:r>
      <w:r w:rsidR="00F468CE">
        <w:rPr>
          <w:rFonts w:ascii="Times New Roman" w:eastAsiaTheme="minorHAnsi" w:hAnsi="Times New Roman" w:cs="Times New Roman"/>
          <w:sz w:val="24"/>
        </w:rPr>
        <w:t>l-season species</w:t>
      </w:r>
      <w:r w:rsidRPr="0001663B">
        <w:rPr>
          <w:rFonts w:ascii="Times New Roman" w:eastAsiaTheme="minorHAnsi" w:hAnsi="Times New Roman" w:cs="Times New Roman"/>
          <w:sz w:val="24"/>
        </w:rPr>
        <w:t xml:space="preserve"> would be desirable.</w:t>
      </w:r>
    </w:p>
    <w:p w14:paraId="31CE5897" w14:textId="4C5A38B0" w:rsidR="00E90848" w:rsidRPr="0001663B" w:rsidRDefault="00E90848" w:rsidP="00E90848">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Kentucky bluegrass (</w:t>
      </w:r>
      <w:r w:rsidRPr="0001663B">
        <w:rPr>
          <w:rFonts w:ascii="Times New Roman" w:eastAsiaTheme="minorHAnsi" w:hAnsi="Times New Roman" w:cs="Times New Roman"/>
          <w:i/>
          <w:sz w:val="24"/>
        </w:rPr>
        <w:t>Poa pratensis</w:t>
      </w:r>
      <w:r w:rsidRPr="0001663B">
        <w:rPr>
          <w:rFonts w:ascii="Times New Roman" w:eastAsiaTheme="minorHAnsi" w:hAnsi="Times New Roman" w:cs="Times New Roman"/>
          <w:sz w:val="24"/>
        </w:rPr>
        <w:t xml:space="preserve"> L.) is suited for use on</w:t>
      </w:r>
      <w:r w:rsidR="00F468CE">
        <w:rPr>
          <w:rFonts w:ascii="Times New Roman" w:eastAsiaTheme="minorHAnsi" w:hAnsi="Times New Roman" w:cs="Times New Roman"/>
          <w:sz w:val="24"/>
        </w:rPr>
        <w:t xml:space="preserve"> home lawns,</w:t>
      </w:r>
      <w:r w:rsidRPr="0001663B">
        <w:rPr>
          <w:rFonts w:ascii="Times New Roman" w:eastAsiaTheme="minorHAnsi" w:hAnsi="Times New Roman" w:cs="Times New Roman"/>
          <w:sz w:val="24"/>
        </w:rPr>
        <w:t xml:space="preserve"> golf course tees and fairways</w:t>
      </w:r>
      <w:r w:rsidR="00F468CE">
        <w:rPr>
          <w:rFonts w:ascii="Times New Roman" w:eastAsiaTheme="minorHAnsi" w:hAnsi="Times New Roman" w:cs="Times New Roman"/>
          <w:sz w:val="24"/>
        </w:rPr>
        <w:t>,</w:t>
      </w:r>
      <w:r w:rsidRPr="0001663B">
        <w:rPr>
          <w:rFonts w:ascii="Times New Roman" w:eastAsiaTheme="minorHAnsi" w:hAnsi="Times New Roman" w:cs="Times New Roman"/>
          <w:sz w:val="24"/>
        </w:rPr>
        <w:t xml:space="preserve"> and on sports fields in its temperate area of adaptation. Tall fescue is better adapted to a transition zone climate because of its higher tolerance to heat and deeper roots.  However, tall fescue is not adapted to low mowing heights and has less recuperative ability because of its bunch type growth</w:t>
      </w:r>
      <w:r w:rsidR="00E67C9F">
        <w:rPr>
          <w:rFonts w:ascii="Times New Roman" w:eastAsiaTheme="minorHAnsi" w:hAnsi="Times New Roman" w:cs="Times New Roman"/>
          <w:sz w:val="24"/>
        </w:rPr>
        <w:t xml:space="preserve"> habit</w:t>
      </w:r>
      <w:r w:rsidRPr="0001663B">
        <w:rPr>
          <w:rFonts w:ascii="Times New Roman" w:eastAsiaTheme="minorHAnsi" w:hAnsi="Times New Roman" w:cs="Times New Roman"/>
          <w:sz w:val="24"/>
        </w:rPr>
        <w:t>. Ideally, a cool-season turfgrass for widespread use in the transition zone would need heat tolerance, drought tolerance, a spreading growth habit, wear tolerance and rapid recovery rate, and disease resistance.</w:t>
      </w:r>
    </w:p>
    <w:p w14:paraId="542975B1" w14:textId="77777777" w:rsidR="00E90848" w:rsidRPr="0001663B" w:rsidRDefault="00E90848" w:rsidP="00E90848">
      <w:pPr>
        <w:spacing w:line="480" w:lineRule="auto"/>
        <w:rPr>
          <w:rFonts w:ascii="Times New Roman" w:eastAsiaTheme="minorHAnsi" w:hAnsi="Times New Roman" w:cs="Times New Roman"/>
          <w:i/>
          <w:sz w:val="24"/>
        </w:rPr>
      </w:pPr>
      <w:r w:rsidRPr="0001663B">
        <w:rPr>
          <w:rFonts w:ascii="Times New Roman" w:eastAsiaTheme="minorHAnsi" w:hAnsi="Times New Roman" w:cs="Times New Roman"/>
          <w:i/>
          <w:sz w:val="24"/>
        </w:rPr>
        <w:lastRenderedPageBreak/>
        <w:t>The Poa genus</w:t>
      </w:r>
    </w:p>
    <w:p w14:paraId="5594E329" w14:textId="77777777" w:rsidR="00E90848" w:rsidRPr="0001663B" w:rsidRDefault="00E90848" w:rsidP="00E90848">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The bluegrass genus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is comprised of as many as 575 species (Gillespie and Sore</w:t>
      </w:r>
      <w:r w:rsidR="00F468CE">
        <w:rPr>
          <w:rFonts w:ascii="Times New Roman" w:eastAsiaTheme="minorHAnsi" w:hAnsi="Times New Roman" w:cs="Times New Roman"/>
          <w:sz w:val="24"/>
        </w:rPr>
        <w:t>ng, 2005) compared to the fescue genus</w:t>
      </w:r>
      <w:r w:rsidRPr="0001663B">
        <w:rPr>
          <w:rFonts w:ascii="Times New Roman" w:eastAsiaTheme="minorHAnsi" w:hAnsi="Times New Roman" w:cs="Times New Roman"/>
          <w:sz w:val="24"/>
        </w:rPr>
        <w:t xml:space="preserve"> (</w:t>
      </w:r>
      <w:r w:rsidRPr="0001663B">
        <w:rPr>
          <w:rFonts w:ascii="Times New Roman" w:eastAsiaTheme="minorHAnsi" w:hAnsi="Times New Roman" w:cs="Times New Roman"/>
          <w:i/>
          <w:sz w:val="24"/>
        </w:rPr>
        <w:t>Festuca</w:t>
      </w:r>
      <w:r w:rsidR="00F468CE">
        <w:rPr>
          <w:rFonts w:ascii="Times New Roman" w:eastAsiaTheme="minorHAnsi" w:hAnsi="Times New Roman" w:cs="Times New Roman"/>
          <w:sz w:val="24"/>
        </w:rPr>
        <w:t>)</w:t>
      </w:r>
      <w:r w:rsidRPr="0001663B">
        <w:rPr>
          <w:rFonts w:ascii="Times New Roman" w:eastAsiaTheme="minorHAnsi" w:hAnsi="Times New Roman" w:cs="Times New Roman"/>
          <w:sz w:val="24"/>
        </w:rPr>
        <w:t xml:space="preserve">, which has 360 species (Watson and Dallwitz, 1992).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a diverse genus, occurs in a wide range of habitats (Soreng, 1990). Life forms may be annual or short- or long-lived perennials (Anton and Connor, 1995). Growth habits include bunch, stoloniferous, and rhizomatous types (Hitchcock, 1950). The bluegrasses are economically important, with many species occurring in natural grasslands worldwide, some species incorporated into improved pastures, and still others known as weeds (Anton and Connor, 1995). These species are also well known for their diversity and distribution of sex forms. For example, forty-one of the 54 known dioecious species occur in southern South America (Anton and Connor, 1995). Diversity in breeding systems is common in the genus, with some species being highly apomictic, others highly sexual and self-incompatible, and others comple</w:t>
      </w:r>
      <w:r w:rsidR="00CB51DA">
        <w:rPr>
          <w:rFonts w:ascii="Times New Roman" w:eastAsiaTheme="minorHAnsi" w:hAnsi="Times New Roman" w:cs="Times New Roman"/>
          <w:sz w:val="24"/>
        </w:rPr>
        <w:t>tely self-compatible (Huff, 2003 a-b</w:t>
      </w:r>
      <w:r w:rsidRPr="0001663B">
        <w:rPr>
          <w:rFonts w:ascii="Times New Roman" w:eastAsiaTheme="minorHAnsi" w:hAnsi="Times New Roman" w:cs="Times New Roman"/>
          <w:sz w:val="24"/>
        </w:rPr>
        <w:t>; Hurley, 2003). The genus is characterized and easily recognized by its leaf morphology that is described as having a boat-shaped leaf tip and parallel light lines down the center of the leaf (Turgeon, 2002).</w:t>
      </w:r>
    </w:p>
    <w:p w14:paraId="4BDB9042" w14:textId="77777777" w:rsidR="00E90848" w:rsidRPr="0001663B" w:rsidRDefault="00E90848" w:rsidP="00E90848">
      <w:pPr>
        <w:spacing w:line="480" w:lineRule="auto"/>
        <w:rPr>
          <w:rFonts w:ascii="Times New Roman" w:eastAsiaTheme="minorHAnsi" w:hAnsi="Times New Roman" w:cs="Times New Roman"/>
          <w:i/>
          <w:sz w:val="24"/>
        </w:rPr>
      </w:pPr>
      <w:r w:rsidRPr="0001663B">
        <w:rPr>
          <w:rFonts w:ascii="Times New Roman" w:eastAsiaTheme="minorHAnsi" w:hAnsi="Times New Roman" w:cs="Times New Roman"/>
          <w:i/>
          <w:sz w:val="24"/>
        </w:rPr>
        <w:t>Traditional Poa species</w:t>
      </w:r>
    </w:p>
    <w:p w14:paraId="413A1130" w14:textId="77777777" w:rsidR="00E90848" w:rsidRPr="0001663B" w:rsidRDefault="00E90848" w:rsidP="00E90848">
      <w:pPr>
        <w:spacing w:line="480" w:lineRule="auto"/>
        <w:ind w:firstLine="720"/>
        <w:rPr>
          <w:rFonts w:ascii="Times New Roman" w:eastAsiaTheme="minorHAnsi" w:hAnsi="Times New Roman" w:cs="Times New Roman"/>
          <w:sz w:val="24"/>
        </w:rPr>
      </w:pPr>
      <w:r w:rsidRPr="0001663B">
        <w:rPr>
          <w:rFonts w:ascii="Times New Roman" w:eastAsiaTheme="minorHAnsi" w:hAnsi="Times New Roman" w:cs="Times New Roman"/>
          <w:sz w:val="24"/>
        </w:rPr>
        <w:t xml:space="preserve">Several species of bluegrass have been utilized as turfgrasses, with Kentucky bluegrass being the most important and widely utilized of all cool-season turfgrass species (Beard, 1973). This species has become naturalized throughout the temperate regions of the world and was most likely introduced as an agronomic crop to North America (Bashaw and Funk, 1987). Movement closer to the equator is only limited by high temperatures (Hartley, 1961). Kentucky bluegrass is not only important for turf, but also as a forage grass where it is prized for its feed quality </w:t>
      </w:r>
      <w:r w:rsidRPr="0001663B">
        <w:rPr>
          <w:rFonts w:ascii="Times New Roman" w:eastAsiaTheme="minorHAnsi" w:hAnsi="Times New Roman" w:cs="Times New Roman"/>
          <w:sz w:val="24"/>
        </w:rPr>
        <w:lastRenderedPageBreak/>
        <w:t>(Smith, 1981). In turfgrass systems, Kentucky bluegrass is used in everything from utility turfs to golf course tees and fairways and sports fields. The species is best adapted to cutting heights of 1.9 cm or higher (Turgeon, 2002) and thus is not suitable for putting greens. The most widespread and well known use of Kentucky bluegrass is for home lawns.  It is the number one choice for lawns in the northern half of the USA (Huff, 2003</w:t>
      </w:r>
      <w:r w:rsidR="001D6C56">
        <w:rPr>
          <w:rFonts w:ascii="Times New Roman" w:eastAsiaTheme="minorHAnsi" w:hAnsi="Times New Roman" w:cs="Times New Roman"/>
          <w:sz w:val="24"/>
        </w:rPr>
        <w:t>a</w:t>
      </w:r>
      <w:r w:rsidRPr="0001663B">
        <w:rPr>
          <w:rFonts w:ascii="Times New Roman" w:eastAsiaTheme="minorHAnsi" w:hAnsi="Times New Roman" w:cs="Times New Roman"/>
          <w:sz w:val="24"/>
        </w:rPr>
        <w:t>). A commonly known limitation of Kentucky bluegrass is its overall lack of drought tolerance, which necessitates the use of irrigation to maintain active growth, especially in the arid western states. In face of watering restrictions, many drought tolerance studies with this species have been conducted in the past decade (Bushman et al., 2012; Richardson et. al., 2008; Abraham et al., 2004).</w:t>
      </w:r>
    </w:p>
    <w:p w14:paraId="6BB236C7" w14:textId="77777777" w:rsidR="00E90848" w:rsidRDefault="00E90848" w:rsidP="00E90848">
      <w:pPr>
        <w:spacing w:line="480" w:lineRule="auto"/>
        <w:ind w:firstLine="720"/>
        <w:rPr>
          <w:rFonts w:ascii="Times New Roman" w:eastAsiaTheme="minorHAnsi" w:hAnsi="Times New Roman" w:cs="Times New Roman"/>
          <w:sz w:val="24"/>
        </w:rPr>
      </w:pPr>
      <w:r w:rsidRPr="0001663B">
        <w:rPr>
          <w:rFonts w:ascii="Times New Roman" w:eastAsiaTheme="minorHAnsi" w:hAnsi="Times New Roman" w:cs="Times New Roman"/>
          <w:sz w:val="24"/>
        </w:rPr>
        <w:t xml:space="preserve">A second influential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species is annual bluegrass (</w:t>
      </w:r>
      <w:r w:rsidRPr="0001663B">
        <w:rPr>
          <w:rFonts w:ascii="Times New Roman" w:eastAsiaTheme="minorHAnsi" w:hAnsi="Times New Roman" w:cs="Times New Roman"/>
          <w:i/>
          <w:sz w:val="24"/>
        </w:rPr>
        <w:t>Poa annua</w:t>
      </w:r>
      <w:r w:rsidRPr="0001663B">
        <w:rPr>
          <w:rFonts w:ascii="Times New Roman" w:eastAsiaTheme="minorHAnsi" w:hAnsi="Times New Roman" w:cs="Times New Roman"/>
          <w:sz w:val="24"/>
        </w:rPr>
        <w:t xml:space="preserve"> L.). </w:t>
      </w:r>
      <w:r w:rsidRPr="0001663B">
        <w:rPr>
          <w:rFonts w:ascii="Times New Roman" w:eastAsiaTheme="minorHAnsi" w:hAnsi="Times New Roman" w:cs="Times New Roman"/>
          <w:i/>
          <w:sz w:val="24"/>
        </w:rPr>
        <w:t>Poa annua</w:t>
      </w:r>
      <w:r w:rsidRPr="0001663B">
        <w:rPr>
          <w:rFonts w:ascii="Times New Roman" w:eastAsiaTheme="minorHAnsi" w:hAnsi="Times New Roman" w:cs="Times New Roman"/>
          <w:sz w:val="24"/>
        </w:rPr>
        <w:t xml:space="preserve"> is commonly regarded as a weed.  It is one of the top five most widely distributed plants in the world</w:t>
      </w:r>
      <w:r>
        <w:rPr>
          <w:rFonts w:ascii="Times New Roman" w:eastAsiaTheme="minorHAnsi" w:hAnsi="Times New Roman" w:cs="Times New Roman"/>
          <w:sz w:val="24"/>
        </w:rPr>
        <w:t xml:space="preserve"> and occurs almost everywhere man inhabits</w:t>
      </w:r>
      <w:r w:rsidRPr="0001663B">
        <w:rPr>
          <w:rFonts w:ascii="Times New Roman" w:eastAsiaTheme="minorHAnsi" w:hAnsi="Times New Roman" w:cs="Times New Roman"/>
          <w:sz w:val="24"/>
        </w:rPr>
        <w:t xml:space="preserve"> (Fenner, 1985) and one of the top 10 most studied weeds (Gardarin et al., 2009). ). </w:t>
      </w:r>
      <w:r w:rsidRPr="0001663B">
        <w:rPr>
          <w:rFonts w:ascii="Times New Roman" w:eastAsiaTheme="minorHAnsi" w:hAnsi="Times New Roman" w:cs="Times New Roman"/>
          <w:i/>
          <w:sz w:val="24"/>
        </w:rPr>
        <w:t>Poa annua</w:t>
      </w:r>
      <w:r w:rsidRPr="0001663B">
        <w:rPr>
          <w:rFonts w:ascii="Times New Roman" w:eastAsiaTheme="minorHAnsi" w:hAnsi="Times New Roman" w:cs="Times New Roman"/>
          <w:sz w:val="24"/>
        </w:rPr>
        <w:t xml:space="preserve">, like many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species, is highly variable. Two life forms, with variations in between, are known to occur; an annual type (</w:t>
      </w:r>
      <w:r w:rsidRPr="0001663B">
        <w:rPr>
          <w:rFonts w:ascii="Times New Roman" w:eastAsiaTheme="minorHAnsi" w:hAnsi="Times New Roman" w:cs="Times New Roman"/>
          <w:i/>
          <w:sz w:val="24"/>
        </w:rPr>
        <w:t>P. annua</w:t>
      </w:r>
      <w:r w:rsidRPr="0001663B">
        <w:rPr>
          <w:rFonts w:ascii="Times New Roman" w:eastAsiaTheme="minorHAnsi" w:hAnsi="Times New Roman" w:cs="Times New Roman"/>
          <w:sz w:val="24"/>
        </w:rPr>
        <w:t xml:space="preserve"> L. f. </w:t>
      </w:r>
      <w:r w:rsidRPr="0001663B">
        <w:rPr>
          <w:rFonts w:ascii="Times New Roman" w:eastAsiaTheme="minorHAnsi" w:hAnsi="Times New Roman" w:cs="Times New Roman"/>
          <w:i/>
          <w:sz w:val="24"/>
        </w:rPr>
        <w:t>annua</w:t>
      </w:r>
      <w:r w:rsidRPr="0001663B">
        <w:rPr>
          <w:rFonts w:ascii="Times New Roman" w:eastAsiaTheme="minorHAnsi" w:hAnsi="Times New Roman" w:cs="Times New Roman"/>
          <w:sz w:val="24"/>
        </w:rPr>
        <w:t>), and a perennial type (P</w:t>
      </w:r>
      <w:r w:rsidRPr="0001663B">
        <w:rPr>
          <w:rFonts w:ascii="Times New Roman" w:eastAsiaTheme="minorHAnsi" w:hAnsi="Times New Roman" w:cs="Times New Roman"/>
          <w:i/>
          <w:sz w:val="24"/>
        </w:rPr>
        <w:t>. annua</w:t>
      </w:r>
      <w:r w:rsidRPr="0001663B">
        <w:rPr>
          <w:rFonts w:ascii="Times New Roman" w:eastAsiaTheme="minorHAnsi" w:hAnsi="Times New Roman" w:cs="Times New Roman"/>
          <w:sz w:val="24"/>
        </w:rPr>
        <w:t xml:space="preserve"> L. f. </w:t>
      </w:r>
      <w:r w:rsidRPr="0001663B">
        <w:rPr>
          <w:rFonts w:ascii="Times New Roman" w:eastAsiaTheme="minorHAnsi" w:hAnsi="Times New Roman" w:cs="Times New Roman"/>
          <w:i/>
          <w:sz w:val="24"/>
        </w:rPr>
        <w:t>reptans</w:t>
      </w:r>
      <w:r w:rsidRPr="0001663B">
        <w:rPr>
          <w:rFonts w:ascii="Times New Roman" w:eastAsiaTheme="minorHAnsi" w:hAnsi="Times New Roman" w:cs="Times New Roman"/>
          <w:sz w:val="24"/>
        </w:rPr>
        <w:t>). Although its control as a weed continues to be studied, its use as a turfgrass</w:t>
      </w:r>
      <w:r>
        <w:rPr>
          <w:rFonts w:ascii="Times New Roman" w:eastAsiaTheme="minorHAnsi" w:hAnsi="Times New Roman" w:cs="Times New Roman"/>
          <w:sz w:val="24"/>
        </w:rPr>
        <w:t>, particularly on putting greens,</w:t>
      </w:r>
      <w:r w:rsidRPr="0001663B">
        <w:rPr>
          <w:rFonts w:ascii="Times New Roman" w:eastAsiaTheme="minorHAnsi" w:hAnsi="Times New Roman" w:cs="Times New Roman"/>
          <w:sz w:val="24"/>
        </w:rPr>
        <w:t xml:space="preserve"> has also received attention (Huff, 1996, 1998, 2003</w:t>
      </w:r>
      <w:r w:rsidR="001D6C56">
        <w:rPr>
          <w:rFonts w:ascii="Times New Roman" w:eastAsiaTheme="minorHAnsi" w:hAnsi="Times New Roman" w:cs="Times New Roman"/>
          <w:sz w:val="24"/>
        </w:rPr>
        <w:t>b</w:t>
      </w:r>
      <w:r w:rsidRPr="0001663B">
        <w:rPr>
          <w:rFonts w:ascii="Times New Roman" w:eastAsiaTheme="minorHAnsi" w:hAnsi="Times New Roman" w:cs="Times New Roman"/>
          <w:sz w:val="24"/>
        </w:rPr>
        <w:t>; White, 1994</w:t>
      </w:r>
      <w:r>
        <w:rPr>
          <w:rFonts w:ascii="Times New Roman" w:eastAsiaTheme="minorHAnsi" w:hAnsi="Times New Roman" w:cs="Times New Roman"/>
          <w:sz w:val="24"/>
        </w:rPr>
        <w:t>).</w:t>
      </w:r>
    </w:p>
    <w:p w14:paraId="2EEC500D" w14:textId="77777777" w:rsidR="00E90848" w:rsidRPr="0001663B" w:rsidRDefault="00E90848" w:rsidP="00E90848">
      <w:pPr>
        <w:spacing w:line="480" w:lineRule="auto"/>
        <w:ind w:firstLine="720"/>
        <w:rPr>
          <w:rFonts w:ascii="Times New Roman" w:eastAsiaTheme="minorHAnsi" w:hAnsi="Times New Roman" w:cs="Times New Roman"/>
          <w:sz w:val="24"/>
        </w:rPr>
      </w:pPr>
      <w:r w:rsidRPr="0001663B">
        <w:rPr>
          <w:rFonts w:ascii="Times New Roman" w:eastAsiaTheme="minorHAnsi" w:hAnsi="Times New Roman" w:cs="Times New Roman"/>
          <w:i/>
          <w:sz w:val="24"/>
        </w:rPr>
        <w:t>P. trivialis</w:t>
      </w:r>
      <w:r w:rsidRPr="0001663B">
        <w:rPr>
          <w:rFonts w:ascii="Times New Roman" w:eastAsiaTheme="minorHAnsi" w:hAnsi="Times New Roman" w:cs="Times New Roman"/>
          <w:sz w:val="24"/>
        </w:rPr>
        <w:t>, or rough bluegrass,</w:t>
      </w:r>
      <w:r w:rsidRPr="0001663B">
        <w:rPr>
          <w:rFonts w:ascii="Times New Roman" w:eastAsiaTheme="minorHAnsi" w:hAnsi="Times New Roman" w:cs="Times New Roman"/>
          <w:i/>
          <w:sz w:val="24"/>
        </w:rPr>
        <w:t xml:space="preserve"> </w:t>
      </w:r>
      <w:r w:rsidRPr="0001663B">
        <w:rPr>
          <w:rFonts w:ascii="Times New Roman" w:eastAsiaTheme="minorHAnsi" w:hAnsi="Times New Roman" w:cs="Times New Roman"/>
          <w:sz w:val="24"/>
        </w:rPr>
        <w:t>is another</w:t>
      </w:r>
      <w:r w:rsidRPr="0001663B">
        <w:rPr>
          <w:rFonts w:ascii="Times New Roman" w:eastAsiaTheme="minorHAnsi" w:hAnsi="Times New Roman" w:cs="Times New Roman"/>
          <w:i/>
          <w:sz w:val="24"/>
        </w:rPr>
        <w:t xml:space="preserve"> </w:t>
      </w:r>
      <w:r w:rsidRPr="0001663B">
        <w:rPr>
          <w:rFonts w:ascii="Times New Roman" w:eastAsiaTheme="minorHAnsi" w:hAnsi="Times New Roman" w:cs="Times New Roman"/>
          <w:sz w:val="24"/>
        </w:rPr>
        <w:t xml:space="preserve">species that has had widespread use as a turfgrass. It is described as a perennial, stoloniferous species that is completely sexual in its reproduction and performs best in cool, moist environments (Hurley and Funk, 1982). Its use as a permanent turfgrass in the USA is limited because of its poor heat and drought tolerance and inability to maintain uniformity when mixed with other species (Hurley, 2003), but is recommended in northern states for shaded moist environments (Sprague, 1930). This species is </w:t>
      </w:r>
      <w:r w:rsidRPr="0001663B">
        <w:rPr>
          <w:rFonts w:ascii="Times New Roman" w:eastAsiaTheme="minorHAnsi" w:hAnsi="Times New Roman" w:cs="Times New Roman"/>
          <w:sz w:val="24"/>
        </w:rPr>
        <w:lastRenderedPageBreak/>
        <w:t>used in the southern USA as a temporary cover in winter overseeding of dormant bermudagrass putting greens, where it provides a green, actively growing putting surface throughout the winter months (Sifers and Beard, 20</w:t>
      </w:r>
      <w:r w:rsidR="003B6311">
        <w:rPr>
          <w:rFonts w:ascii="Times New Roman" w:eastAsiaTheme="minorHAnsi" w:hAnsi="Times New Roman" w:cs="Times New Roman"/>
          <w:sz w:val="24"/>
        </w:rPr>
        <w:t>01; Batten et al., 1981</w:t>
      </w:r>
      <w:r w:rsidRPr="0001663B">
        <w:rPr>
          <w:rFonts w:ascii="Times New Roman" w:eastAsiaTheme="minorHAnsi" w:hAnsi="Times New Roman" w:cs="Times New Roman"/>
          <w:sz w:val="24"/>
        </w:rPr>
        <w:t xml:space="preserve">, Richardson et al., 2007).  </w:t>
      </w:r>
    </w:p>
    <w:p w14:paraId="3AC7E1F5" w14:textId="77777777" w:rsidR="00E90848" w:rsidRPr="0001663B" w:rsidRDefault="00E90848" w:rsidP="00E90848">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 xml:space="preserve"> </w:t>
      </w:r>
      <w:r w:rsidRPr="0001663B">
        <w:rPr>
          <w:rFonts w:ascii="Times New Roman" w:eastAsiaTheme="minorHAnsi" w:hAnsi="Times New Roman" w:cs="Times New Roman"/>
          <w:sz w:val="24"/>
        </w:rPr>
        <w:tab/>
        <w:t xml:space="preserve">Several other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species have been utilized as turfgrasses, but none to the same degree as the aforementioned species. Recently, improved cultivars of </w:t>
      </w:r>
      <w:r w:rsidRPr="0001663B">
        <w:rPr>
          <w:rFonts w:ascii="Times New Roman" w:eastAsiaTheme="minorHAnsi" w:hAnsi="Times New Roman" w:cs="Times New Roman"/>
          <w:i/>
          <w:sz w:val="24"/>
        </w:rPr>
        <w:t>P. supina</w:t>
      </w:r>
      <w:r>
        <w:rPr>
          <w:rFonts w:ascii="Times New Roman" w:eastAsiaTheme="minorHAnsi" w:hAnsi="Times New Roman" w:cs="Times New Roman"/>
          <w:sz w:val="24"/>
        </w:rPr>
        <w:t xml:space="preserve"> have been released in the U.S.</w:t>
      </w:r>
      <w:r w:rsidRPr="0001663B">
        <w:rPr>
          <w:rFonts w:ascii="Times New Roman" w:eastAsiaTheme="minorHAnsi" w:hAnsi="Times New Roman" w:cs="Times New Roman"/>
          <w:sz w:val="24"/>
        </w:rPr>
        <w:t>, and researchers have found this stoloniferous species to be very tolerant of traffic (Sorochan et al., 2001) and shade (Stier and Rogers, 2001). Canada bluegrass (</w:t>
      </w:r>
      <w:r w:rsidRPr="0001663B">
        <w:rPr>
          <w:rFonts w:ascii="Times New Roman" w:eastAsiaTheme="minorHAnsi" w:hAnsi="Times New Roman" w:cs="Times New Roman"/>
          <w:i/>
          <w:sz w:val="24"/>
        </w:rPr>
        <w:t>P. compressa</w:t>
      </w:r>
      <w:r w:rsidRPr="0001663B">
        <w:rPr>
          <w:rFonts w:ascii="Times New Roman" w:eastAsiaTheme="minorHAnsi" w:hAnsi="Times New Roman" w:cs="Times New Roman"/>
          <w:sz w:val="24"/>
        </w:rPr>
        <w:t xml:space="preserve"> L.) has also been utilized and has generally been found to be adapted to similar climates as </w:t>
      </w:r>
      <w:r w:rsidRPr="0001663B">
        <w:rPr>
          <w:rFonts w:ascii="Times New Roman" w:eastAsiaTheme="minorHAnsi" w:hAnsi="Times New Roman" w:cs="Times New Roman"/>
          <w:i/>
          <w:sz w:val="24"/>
        </w:rPr>
        <w:t>P. pratensis</w:t>
      </w:r>
      <w:r w:rsidRPr="0001663B">
        <w:rPr>
          <w:rFonts w:ascii="Times New Roman" w:eastAsiaTheme="minorHAnsi" w:hAnsi="Times New Roman" w:cs="Times New Roman"/>
          <w:sz w:val="24"/>
        </w:rPr>
        <w:t xml:space="preserve">. It is adapted to lower fertility soils, but generally does not have high turf quality, compared to Kentucky bluegrass (Beard, 1973). </w:t>
      </w:r>
    </w:p>
    <w:p w14:paraId="213448AD" w14:textId="77777777" w:rsidR="00E90848" w:rsidRPr="0001663B" w:rsidRDefault="00E90848" w:rsidP="00E90848">
      <w:pPr>
        <w:spacing w:line="480" w:lineRule="auto"/>
        <w:rPr>
          <w:rFonts w:ascii="Times New Roman" w:eastAsiaTheme="minorHAnsi" w:hAnsi="Times New Roman" w:cs="Times New Roman"/>
          <w:i/>
          <w:sz w:val="24"/>
        </w:rPr>
      </w:pPr>
      <w:r w:rsidRPr="0001663B">
        <w:rPr>
          <w:rFonts w:ascii="Times New Roman" w:eastAsiaTheme="minorHAnsi" w:hAnsi="Times New Roman" w:cs="Times New Roman"/>
          <w:i/>
          <w:sz w:val="24"/>
        </w:rPr>
        <w:t>Native Poa species</w:t>
      </w:r>
    </w:p>
    <w:p w14:paraId="6DD4D210" w14:textId="77777777" w:rsidR="00E90848" w:rsidRPr="0001663B" w:rsidRDefault="00E90848" w:rsidP="00E90848">
      <w:pPr>
        <w:spacing w:line="480" w:lineRule="auto"/>
        <w:ind w:firstLine="720"/>
        <w:rPr>
          <w:rFonts w:ascii="Times New Roman" w:hAnsi="Times New Roman" w:cs="Times New Roman"/>
          <w:sz w:val="24"/>
          <w:szCs w:val="24"/>
        </w:rPr>
      </w:pPr>
      <w:r w:rsidRPr="0001663B">
        <w:rPr>
          <w:rFonts w:ascii="Times New Roman" w:hAnsi="Times New Roman" w:cs="Times New Roman"/>
          <w:sz w:val="24"/>
          <w:szCs w:val="24"/>
        </w:rPr>
        <w:t xml:space="preserve">The USDA (2013) recognizes 96 species of </w:t>
      </w:r>
      <w:r w:rsidRPr="0001663B">
        <w:rPr>
          <w:rFonts w:ascii="Times New Roman" w:hAnsi="Times New Roman" w:cs="Times New Roman"/>
          <w:i/>
          <w:sz w:val="24"/>
          <w:szCs w:val="24"/>
        </w:rPr>
        <w:t>Poa</w:t>
      </w:r>
      <w:r w:rsidRPr="0001663B">
        <w:rPr>
          <w:rFonts w:ascii="Times New Roman" w:hAnsi="Times New Roman" w:cs="Times New Roman"/>
          <w:sz w:val="24"/>
          <w:szCs w:val="24"/>
        </w:rPr>
        <w:t xml:space="preserve"> as being native to the USA. A large majority of these occur in western and northern regions. Of the 96 species, only about 10 have been documented in Tennessee and the surrounding transition zone states. Many of these species are categorized as endangered or rare. Also included are species, such as Kentucky bluegrass and Texas bluegrass (</w:t>
      </w:r>
      <w:r w:rsidRPr="0001663B">
        <w:rPr>
          <w:rFonts w:ascii="Times New Roman" w:hAnsi="Times New Roman" w:cs="Times New Roman"/>
          <w:i/>
          <w:sz w:val="24"/>
          <w:szCs w:val="24"/>
        </w:rPr>
        <w:t>P. arachnifera</w:t>
      </w:r>
      <w:r w:rsidRPr="0001663B">
        <w:rPr>
          <w:rFonts w:ascii="Times New Roman" w:hAnsi="Times New Roman" w:cs="Times New Roman"/>
          <w:sz w:val="24"/>
          <w:szCs w:val="24"/>
        </w:rPr>
        <w:t xml:space="preserve"> Torr.), which is likely not native to Tennessee.  With the exception of Texas bluegrass, Kentucky bluegrass, </w:t>
      </w:r>
      <w:r w:rsidRPr="0001663B">
        <w:rPr>
          <w:rFonts w:ascii="Times New Roman" w:hAnsi="Times New Roman" w:cs="Times New Roman"/>
          <w:i/>
          <w:sz w:val="24"/>
          <w:szCs w:val="24"/>
        </w:rPr>
        <w:t>P. nemoralis,</w:t>
      </w:r>
      <w:r w:rsidRPr="0001663B">
        <w:rPr>
          <w:rFonts w:ascii="Times New Roman" w:hAnsi="Times New Roman" w:cs="Times New Roman"/>
          <w:sz w:val="24"/>
          <w:szCs w:val="24"/>
        </w:rPr>
        <w:t xml:space="preserve"> and </w:t>
      </w:r>
      <w:r w:rsidRPr="0001663B">
        <w:rPr>
          <w:rFonts w:ascii="Times New Roman" w:hAnsi="Times New Roman" w:cs="Times New Roman"/>
          <w:i/>
          <w:sz w:val="24"/>
          <w:szCs w:val="24"/>
        </w:rPr>
        <w:t>P. palustris,</w:t>
      </w:r>
      <w:r w:rsidRPr="0001663B">
        <w:rPr>
          <w:rFonts w:ascii="Times New Roman" w:hAnsi="Times New Roman" w:cs="Times New Roman"/>
          <w:sz w:val="24"/>
          <w:szCs w:val="24"/>
        </w:rPr>
        <w:t xml:space="preserve"> there is no available germplasm for these native Poa species in the USDA National Plant Germplasm Syste</w:t>
      </w:r>
      <w:r w:rsidR="00151B3F">
        <w:rPr>
          <w:rFonts w:ascii="Times New Roman" w:hAnsi="Times New Roman" w:cs="Times New Roman"/>
          <w:sz w:val="24"/>
          <w:szCs w:val="24"/>
        </w:rPr>
        <w:t>m (USDA, 2013).</w:t>
      </w:r>
    </w:p>
    <w:p w14:paraId="188B9904" w14:textId="77777777" w:rsidR="00E90848" w:rsidRPr="0001663B" w:rsidRDefault="00E90848" w:rsidP="00E90848">
      <w:pPr>
        <w:spacing w:line="480" w:lineRule="auto"/>
        <w:ind w:firstLine="720"/>
        <w:rPr>
          <w:rFonts w:ascii="Times New Roman" w:eastAsiaTheme="minorHAnsi" w:hAnsi="Times New Roman" w:cs="Times New Roman"/>
          <w:sz w:val="24"/>
        </w:rPr>
      </w:pPr>
      <w:r w:rsidRPr="0001663B">
        <w:rPr>
          <w:rFonts w:ascii="Times New Roman" w:hAnsi="Times New Roman" w:cs="Times New Roman"/>
          <w:sz w:val="24"/>
          <w:szCs w:val="24"/>
        </w:rPr>
        <w:t xml:space="preserve">Species that are native to a region are generally considered to be adapted to the regional climate. Turfgrasses, however, not only have to be adapted to the climate, but must also possess those characteristics that define a turfgrass. They must withstand continual defoliation from </w:t>
      </w:r>
      <w:r w:rsidRPr="0001663B">
        <w:rPr>
          <w:rFonts w:ascii="Times New Roman" w:hAnsi="Times New Roman" w:cs="Times New Roman"/>
          <w:sz w:val="24"/>
          <w:szCs w:val="24"/>
        </w:rPr>
        <w:lastRenderedPageBreak/>
        <w:t>mowing, form a contiguous community, and withstand at least some traffic (Turgeon, 2002). Beard (1998) pointed out that the cool-season turfgrass species evolved under grazing pressure where close-grazing animals such as sheep (</w:t>
      </w:r>
      <w:r w:rsidRPr="0001663B">
        <w:rPr>
          <w:rFonts w:ascii="Times New Roman" w:hAnsi="Times New Roman" w:cs="Times New Roman"/>
          <w:bCs/>
          <w:i/>
          <w:iCs/>
          <w:sz w:val="24"/>
          <w:szCs w:val="24"/>
          <w:lang w:val="en"/>
        </w:rPr>
        <w:t xml:space="preserve">Ovis aries </w:t>
      </w:r>
      <w:r w:rsidRPr="0001663B">
        <w:rPr>
          <w:rFonts w:ascii="Times New Roman" w:hAnsi="Times New Roman" w:cs="Times New Roman"/>
          <w:bCs/>
          <w:iCs/>
          <w:sz w:val="24"/>
          <w:szCs w:val="24"/>
          <w:lang w:val="en"/>
        </w:rPr>
        <w:t>L.)</w:t>
      </w:r>
      <w:r w:rsidRPr="0001663B">
        <w:rPr>
          <w:rFonts w:ascii="Times New Roman" w:hAnsi="Times New Roman" w:cs="Times New Roman"/>
          <w:bCs/>
          <w:i/>
          <w:iCs/>
          <w:sz w:val="24"/>
          <w:szCs w:val="24"/>
          <w:lang w:val="en"/>
        </w:rPr>
        <w:t xml:space="preserve"> </w:t>
      </w:r>
      <w:r w:rsidRPr="0001663B">
        <w:rPr>
          <w:rFonts w:ascii="Times New Roman" w:hAnsi="Times New Roman" w:cs="Times New Roman"/>
          <w:sz w:val="24"/>
          <w:szCs w:val="24"/>
        </w:rPr>
        <w:t xml:space="preserve"> </w:t>
      </w:r>
      <w:proofErr w:type="gramStart"/>
      <w:r w:rsidRPr="0001663B">
        <w:rPr>
          <w:rFonts w:ascii="Times New Roman" w:hAnsi="Times New Roman" w:cs="Times New Roman"/>
          <w:sz w:val="24"/>
          <w:szCs w:val="24"/>
        </w:rPr>
        <w:t>and</w:t>
      </w:r>
      <w:proofErr w:type="gramEnd"/>
      <w:r w:rsidRPr="0001663B">
        <w:rPr>
          <w:rFonts w:ascii="Times New Roman" w:hAnsi="Times New Roman" w:cs="Times New Roman"/>
          <w:sz w:val="24"/>
          <w:szCs w:val="24"/>
        </w:rPr>
        <w:t xml:space="preserve"> cattle (</w:t>
      </w:r>
      <w:r w:rsidRPr="0001663B">
        <w:rPr>
          <w:rFonts w:ascii="Times New Roman" w:hAnsi="Times New Roman" w:cs="Times New Roman"/>
          <w:i/>
          <w:sz w:val="24"/>
          <w:szCs w:val="24"/>
        </w:rPr>
        <w:t>Bos</w:t>
      </w:r>
      <w:r w:rsidRPr="0001663B">
        <w:rPr>
          <w:rFonts w:ascii="Times New Roman" w:hAnsi="Times New Roman" w:cs="Times New Roman"/>
          <w:sz w:val="24"/>
          <w:szCs w:val="24"/>
        </w:rPr>
        <w:t xml:space="preserve"> spp.) also originated. In the USA, the American bison (</w:t>
      </w:r>
      <w:r w:rsidRPr="0001663B">
        <w:rPr>
          <w:rFonts w:ascii="Times New Roman" w:hAnsi="Times New Roman" w:cs="Times New Roman"/>
          <w:i/>
          <w:sz w:val="24"/>
          <w:szCs w:val="24"/>
        </w:rPr>
        <w:t>Bison bison</w:t>
      </w:r>
      <w:r w:rsidRPr="0001663B">
        <w:rPr>
          <w:rFonts w:ascii="Times New Roman" w:hAnsi="Times New Roman" w:cs="Times New Roman"/>
          <w:sz w:val="24"/>
          <w:szCs w:val="24"/>
        </w:rPr>
        <w:t xml:space="preserve"> L.), antelope (</w:t>
      </w:r>
      <w:r w:rsidRPr="0001663B">
        <w:rPr>
          <w:rFonts w:ascii="Times New Roman" w:hAnsi="Times New Roman" w:cs="Times New Roman"/>
          <w:bCs/>
          <w:i/>
          <w:color w:val="000000"/>
          <w:sz w:val="24"/>
          <w:szCs w:val="20"/>
        </w:rPr>
        <w:t xml:space="preserve">Antilocapra </w:t>
      </w:r>
      <w:proofErr w:type="gramStart"/>
      <w:r w:rsidRPr="0001663B">
        <w:rPr>
          <w:rFonts w:ascii="Times New Roman" w:hAnsi="Times New Roman" w:cs="Times New Roman"/>
          <w:bCs/>
          <w:i/>
          <w:color w:val="000000"/>
          <w:sz w:val="24"/>
          <w:szCs w:val="20"/>
        </w:rPr>
        <w:t>americana</w:t>
      </w:r>
      <w:proofErr w:type="gramEnd"/>
      <w:r w:rsidRPr="0001663B">
        <w:rPr>
          <w:rFonts w:ascii="Arial" w:hAnsi="Arial" w:cs="Arial"/>
          <w:b/>
          <w:bCs/>
          <w:color w:val="000000"/>
          <w:sz w:val="24"/>
          <w:szCs w:val="20"/>
        </w:rPr>
        <w:t xml:space="preserve"> </w:t>
      </w:r>
      <w:r w:rsidRPr="0001663B">
        <w:rPr>
          <w:rFonts w:ascii="Times New Roman" w:hAnsi="Times New Roman" w:cs="Times New Roman"/>
          <w:color w:val="222222"/>
          <w:sz w:val="24"/>
          <w:szCs w:val="24"/>
        </w:rPr>
        <w:t>Ord</w:t>
      </w:r>
      <w:r w:rsidRPr="0001663B">
        <w:rPr>
          <w:rFonts w:ascii="Arial" w:hAnsi="Arial" w:cs="Arial"/>
          <w:color w:val="222222"/>
          <w:sz w:val="20"/>
          <w:szCs w:val="20"/>
        </w:rPr>
        <w:t>),</w:t>
      </w:r>
      <w:r w:rsidRPr="0001663B">
        <w:rPr>
          <w:rFonts w:ascii="Times New Roman" w:hAnsi="Times New Roman" w:cs="Times New Roman"/>
          <w:sz w:val="24"/>
          <w:szCs w:val="24"/>
        </w:rPr>
        <w:t xml:space="preserve"> and deer (</w:t>
      </w:r>
      <w:r w:rsidRPr="0001663B">
        <w:rPr>
          <w:rFonts w:ascii="Times New Roman" w:hAnsi="Times New Roman" w:cs="Times New Roman"/>
          <w:bCs/>
          <w:i/>
          <w:color w:val="000000"/>
          <w:sz w:val="24"/>
          <w:szCs w:val="20"/>
        </w:rPr>
        <w:t>Odocoileus</w:t>
      </w:r>
      <w:r w:rsidRPr="0001663B">
        <w:rPr>
          <w:rFonts w:ascii="Times New Roman" w:hAnsi="Times New Roman" w:cs="Times New Roman"/>
          <w:sz w:val="24"/>
          <w:szCs w:val="24"/>
        </w:rPr>
        <w:t xml:space="preserve"> spp.) would pose similar grazing pressure, however, these animals did not develop the mouth parts capable of close grazing (Beard, 1998). Buffalograss is the most successful of native grasses used as turfgrasses. The stoloniferous, warm-season species is native to the North American Great Plains (Wenger, 1943).  Buffalograss is well known for its drought tolerance and low fertility and mowing requirements, however its use in higher rainfall climates may be limited by high weed pressure and disease (Riordan and Browning, 2003).</w:t>
      </w:r>
    </w:p>
    <w:p w14:paraId="3E79E2D4" w14:textId="77777777" w:rsidR="00E90848" w:rsidRPr="0001663B" w:rsidRDefault="00E90848" w:rsidP="00E90848">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Of all native turfgrass species, the one that may be the most attractive for the eastern transition zone states is Texas bluegrass. Texas bluegrass is a rhizomatous, dioecious species originating in Texas and Oklahoma (Read and Anderson, 2003), where high temperatures and drought conditions are common, indicating that heat and drought tolerance exist in not only this species, but also the genus as well. An undesirable trait of this species is the formation of pubescence at the base of the lemma, which makes seed harvesting and processing difficult (Read, 2001). Texas bluegrass was introduced to the southeastern USA as a forage grass, however little can be found in literature regarding its performance or use (Pittman and Read, 1998).</w:t>
      </w:r>
    </w:p>
    <w:p w14:paraId="64FFB794" w14:textId="77777777" w:rsidR="00E90848" w:rsidRDefault="00E90848" w:rsidP="00E90848">
      <w:pPr>
        <w:spacing w:line="480" w:lineRule="auto"/>
        <w:rPr>
          <w:rFonts w:ascii="Times New Roman" w:eastAsiaTheme="minorHAnsi" w:hAnsi="Times New Roman" w:cs="Times New Roman"/>
          <w:i/>
          <w:sz w:val="24"/>
        </w:rPr>
      </w:pPr>
      <w:r w:rsidRPr="0001663B">
        <w:rPr>
          <w:rFonts w:ascii="Times New Roman" w:eastAsiaTheme="minorHAnsi" w:hAnsi="Times New Roman" w:cs="Times New Roman"/>
          <w:i/>
          <w:sz w:val="24"/>
        </w:rPr>
        <w:t>Poa hybrids</w:t>
      </w:r>
    </w:p>
    <w:p w14:paraId="41329D6E" w14:textId="77777777" w:rsidR="00E90848" w:rsidRDefault="00E90848" w:rsidP="00E90848">
      <w:pPr>
        <w:spacing w:line="480" w:lineRule="auto"/>
        <w:rPr>
          <w:rFonts w:ascii="Times New Roman" w:hAnsi="Times New Roman" w:cs="Times New Roman"/>
          <w:sz w:val="24"/>
          <w:szCs w:val="24"/>
        </w:rPr>
      </w:pPr>
      <w:r>
        <w:rPr>
          <w:rFonts w:ascii="Times New Roman" w:hAnsi="Times New Roman" w:cs="Times New Roman"/>
          <w:sz w:val="24"/>
          <w:szCs w:val="24"/>
        </w:rPr>
        <w:tab/>
      </w:r>
      <w:r w:rsidRPr="0017116F">
        <w:rPr>
          <w:rFonts w:ascii="Times New Roman" w:hAnsi="Times New Roman" w:cs="Times New Roman"/>
          <w:sz w:val="24"/>
          <w:szCs w:val="24"/>
        </w:rPr>
        <w:t xml:space="preserve">Interspecific hybridization as a tool for turfgrass breeding has resulted in very successful cultivars. The introduction of </w:t>
      </w:r>
      <w:r>
        <w:rPr>
          <w:rFonts w:ascii="Times New Roman" w:hAnsi="Times New Roman" w:cs="Times New Roman"/>
          <w:sz w:val="24"/>
          <w:szCs w:val="24"/>
        </w:rPr>
        <w:t xml:space="preserve">‘Tifgreen’ (Hein, 1961) </w:t>
      </w:r>
      <w:r w:rsidRPr="0017116F">
        <w:rPr>
          <w:rFonts w:ascii="Times New Roman" w:hAnsi="Times New Roman" w:cs="Times New Roman"/>
          <w:sz w:val="24"/>
          <w:szCs w:val="24"/>
        </w:rPr>
        <w:t>hybrid bermudagrass  [</w:t>
      </w:r>
      <w:r w:rsidRPr="0017116F">
        <w:rPr>
          <w:rFonts w:ascii="Times New Roman" w:hAnsi="Times New Roman" w:cs="Times New Roman"/>
          <w:i/>
          <w:sz w:val="24"/>
          <w:szCs w:val="24"/>
        </w:rPr>
        <w:t>C. transvaalensis</w:t>
      </w:r>
      <w:r w:rsidRPr="0017116F">
        <w:rPr>
          <w:rFonts w:ascii="Times New Roman" w:hAnsi="Times New Roman" w:cs="Times New Roman"/>
          <w:sz w:val="24"/>
          <w:szCs w:val="24"/>
        </w:rPr>
        <w:t xml:space="preserve"> </w:t>
      </w:r>
      <w:r w:rsidRPr="0017116F">
        <w:rPr>
          <w:rFonts w:ascii="Times New Roman" w:hAnsi="Times New Roman" w:cs="Times New Roman"/>
          <w:sz w:val="24"/>
          <w:szCs w:val="24"/>
        </w:rPr>
        <w:lastRenderedPageBreak/>
        <w:t xml:space="preserve">(Burtt-Davey) × </w:t>
      </w:r>
      <w:r w:rsidRPr="0017116F">
        <w:rPr>
          <w:rFonts w:ascii="Times New Roman" w:hAnsi="Times New Roman" w:cs="Times New Roman"/>
          <w:i/>
          <w:sz w:val="24"/>
          <w:szCs w:val="24"/>
        </w:rPr>
        <w:t>C. dactylon</w:t>
      </w:r>
      <w:r w:rsidRPr="0017116F">
        <w:rPr>
          <w:rFonts w:ascii="Times New Roman" w:hAnsi="Times New Roman" w:cs="Times New Roman"/>
          <w:sz w:val="24"/>
          <w:szCs w:val="24"/>
        </w:rPr>
        <w:t xml:space="preserve"> (L.) Pers.] </w:t>
      </w:r>
      <w:r>
        <w:rPr>
          <w:rFonts w:ascii="Times New Roman" w:hAnsi="Times New Roman" w:cs="Times New Roman"/>
          <w:sz w:val="24"/>
          <w:szCs w:val="24"/>
        </w:rPr>
        <w:t>in 1956 r</w:t>
      </w:r>
      <w:r w:rsidRPr="0017116F">
        <w:rPr>
          <w:rFonts w:ascii="Times New Roman" w:hAnsi="Times New Roman" w:cs="Times New Roman"/>
          <w:sz w:val="24"/>
          <w:szCs w:val="24"/>
        </w:rPr>
        <w:t xml:space="preserve">evolutionized the turfgrass industry in the </w:t>
      </w:r>
      <w:r>
        <w:rPr>
          <w:rFonts w:ascii="Times New Roman" w:hAnsi="Times New Roman" w:cs="Times New Roman"/>
          <w:sz w:val="24"/>
          <w:szCs w:val="24"/>
        </w:rPr>
        <w:t>s</w:t>
      </w:r>
      <w:r w:rsidRPr="0017116F">
        <w:rPr>
          <w:rFonts w:ascii="Times New Roman" w:hAnsi="Times New Roman" w:cs="Times New Roman"/>
          <w:sz w:val="24"/>
          <w:szCs w:val="24"/>
        </w:rPr>
        <w:t>outhern USA</w:t>
      </w:r>
      <w:r>
        <w:rPr>
          <w:rFonts w:ascii="Times New Roman" w:hAnsi="Times New Roman" w:cs="Times New Roman"/>
          <w:sz w:val="24"/>
          <w:szCs w:val="24"/>
        </w:rPr>
        <w:t xml:space="preserve"> by replacing common bermudagrass (</w:t>
      </w:r>
      <w:r w:rsidRPr="0017116F">
        <w:rPr>
          <w:rFonts w:ascii="Times New Roman" w:hAnsi="Times New Roman" w:cs="Times New Roman"/>
          <w:i/>
          <w:sz w:val="24"/>
          <w:szCs w:val="24"/>
        </w:rPr>
        <w:t>C. dactylon</w:t>
      </w:r>
      <w:r>
        <w:rPr>
          <w:rFonts w:ascii="Times New Roman" w:hAnsi="Times New Roman" w:cs="Times New Roman"/>
          <w:sz w:val="24"/>
          <w:szCs w:val="24"/>
        </w:rPr>
        <w:t>) on putting greens with</w:t>
      </w:r>
      <w:r w:rsidRPr="0017116F">
        <w:rPr>
          <w:rFonts w:ascii="Times New Roman" w:hAnsi="Times New Roman" w:cs="Times New Roman"/>
          <w:sz w:val="24"/>
          <w:szCs w:val="24"/>
        </w:rPr>
        <w:t xml:space="preserve"> </w:t>
      </w:r>
      <w:r>
        <w:rPr>
          <w:rFonts w:ascii="Times New Roman" w:hAnsi="Times New Roman" w:cs="Times New Roman"/>
          <w:sz w:val="24"/>
          <w:szCs w:val="24"/>
        </w:rPr>
        <w:t>the new hybrid that had a texture and density more comparable to creeping bentgrass (</w:t>
      </w:r>
      <w:r w:rsidRPr="0017116F">
        <w:rPr>
          <w:rFonts w:ascii="Times New Roman" w:hAnsi="Times New Roman" w:cs="Times New Roman"/>
          <w:i/>
          <w:sz w:val="24"/>
          <w:szCs w:val="24"/>
        </w:rPr>
        <w:t>Agrostis stolonifera</w:t>
      </w:r>
      <w:r>
        <w:rPr>
          <w:rFonts w:ascii="Times New Roman" w:hAnsi="Times New Roman" w:cs="Times New Roman"/>
          <w:i/>
          <w:sz w:val="24"/>
          <w:szCs w:val="24"/>
        </w:rPr>
        <w:t xml:space="preserve"> </w:t>
      </w:r>
      <w:r w:rsidRPr="008B426F">
        <w:rPr>
          <w:rFonts w:ascii="Times New Roman" w:hAnsi="Times New Roman" w:cs="Times New Roman"/>
          <w:sz w:val="24"/>
          <w:szCs w:val="24"/>
        </w:rPr>
        <w:t>L</w:t>
      </w:r>
      <w:r>
        <w:rPr>
          <w:rFonts w:ascii="Times New Roman" w:hAnsi="Times New Roman" w:cs="Times New Roman"/>
          <w:i/>
          <w:sz w:val="24"/>
          <w:szCs w:val="24"/>
        </w:rPr>
        <w:t>.</w:t>
      </w:r>
      <w:r>
        <w:rPr>
          <w:rFonts w:ascii="Times New Roman" w:hAnsi="Times New Roman" w:cs="Times New Roman"/>
          <w:sz w:val="24"/>
          <w:szCs w:val="24"/>
        </w:rPr>
        <w:t>) which was enjoyed by golfers in northern states (Robinson and Latham, 1956). Although other bermudagrass hybrids were released from this program around the same time, the most notable was ‘Tifway.’ (Burton, 1966) Tifway, released in 1960, was a chance hybrid that was very well suited to golf course fairways and tees (Burton, 1960). Fifty years after its release, Tifway still rates high among modern cultivars in the National Turfgrass Evaluation Program trials (Morris, 2002).</w:t>
      </w:r>
    </w:p>
    <w:p w14:paraId="4DCE57AE" w14:textId="77777777" w:rsidR="00E90848" w:rsidRDefault="00E90848" w:rsidP="00E90848">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i/>
          <w:sz w:val="24"/>
        </w:rPr>
        <w:tab/>
      </w:r>
      <w:r>
        <w:rPr>
          <w:rFonts w:ascii="Times New Roman" w:hAnsi="Times New Roman" w:cs="Times New Roman"/>
          <w:sz w:val="24"/>
          <w:szCs w:val="24"/>
        </w:rPr>
        <w:t xml:space="preserve">The number of man-made interspecific hybrids is numerous with </w:t>
      </w:r>
      <w:r w:rsidRPr="009C60DE">
        <w:rPr>
          <w:rFonts w:ascii="Times New Roman" w:hAnsi="Times New Roman" w:cs="Times New Roman"/>
          <w:i/>
          <w:sz w:val="24"/>
          <w:szCs w:val="24"/>
        </w:rPr>
        <w:t>Poa</w:t>
      </w:r>
      <w:r>
        <w:rPr>
          <w:rFonts w:ascii="Times New Roman" w:hAnsi="Times New Roman" w:cs="Times New Roman"/>
          <w:sz w:val="24"/>
          <w:szCs w:val="24"/>
        </w:rPr>
        <w:t xml:space="preserve">, and a large portion of these hybrids involved the use of </w:t>
      </w:r>
      <w:r w:rsidRPr="009C60DE">
        <w:rPr>
          <w:rFonts w:ascii="Times New Roman" w:hAnsi="Times New Roman" w:cs="Times New Roman"/>
          <w:i/>
          <w:sz w:val="24"/>
          <w:szCs w:val="24"/>
        </w:rPr>
        <w:t>P. pratensis</w:t>
      </w:r>
      <w:r>
        <w:rPr>
          <w:rFonts w:ascii="Times New Roman" w:hAnsi="Times New Roman" w:cs="Times New Roman"/>
          <w:sz w:val="24"/>
          <w:szCs w:val="24"/>
        </w:rPr>
        <w:t xml:space="preserve"> as one the parents.</w:t>
      </w:r>
      <w:r w:rsidRPr="0001663B">
        <w:rPr>
          <w:rFonts w:ascii="Times New Roman" w:eastAsiaTheme="minorHAnsi" w:hAnsi="Times New Roman" w:cs="Times New Roman"/>
          <w:sz w:val="24"/>
        </w:rPr>
        <w:t xml:space="preserve"> One of the earliest controlled hybrids of a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species was that of Texas bluegrass</w:t>
      </w:r>
      <w:r>
        <w:rPr>
          <w:rFonts w:ascii="Times New Roman" w:eastAsiaTheme="minorHAnsi" w:hAnsi="Times New Roman" w:cs="Times New Roman"/>
          <w:sz w:val="24"/>
        </w:rPr>
        <w:t xml:space="preserve"> </w:t>
      </w:r>
      <w:r>
        <w:rPr>
          <w:rFonts w:ascii="Times New Roman" w:hAnsi="Times New Roman" w:cs="Times New Roman"/>
          <w:sz w:val="24"/>
          <w:szCs w:val="24"/>
        </w:rPr>
        <w:t>(</w:t>
      </w:r>
      <w:r w:rsidRPr="007A2A78">
        <w:rPr>
          <w:rFonts w:ascii="Times New Roman" w:hAnsi="Times New Roman" w:cs="Times New Roman"/>
          <w:i/>
          <w:sz w:val="24"/>
          <w:szCs w:val="24"/>
        </w:rPr>
        <w:t>P. arachnifera</w:t>
      </w:r>
      <w:r>
        <w:rPr>
          <w:rFonts w:ascii="Times New Roman" w:hAnsi="Times New Roman" w:cs="Times New Roman"/>
          <w:i/>
          <w:sz w:val="24"/>
          <w:szCs w:val="24"/>
        </w:rPr>
        <w:t xml:space="preserve"> </w:t>
      </w:r>
      <w:r>
        <w:rPr>
          <w:rFonts w:ascii="Times New Roman" w:hAnsi="Times New Roman" w:cs="Times New Roman"/>
          <w:sz w:val="24"/>
          <w:szCs w:val="24"/>
        </w:rPr>
        <w:t xml:space="preserve">Torr) </w:t>
      </w:r>
      <w:r w:rsidRPr="0001663B">
        <w:rPr>
          <w:rFonts w:ascii="Times New Roman" w:eastAsiaTheme="minorHAnsi" w:hAnsi="Times New Roman" w:cs="Times New Roman"/>
          <w:sz w:val="24"/>
        </w:rPr>
        <w:t xml:space="preserve">and Kentucky bluegrass (Vinall and Hein, 1937). </w:t>
      </w:r>
      <w:r>
        <w:rPr>
          <w:rFonts w:ascii="Times New Roman" w:hAnsi="Times New Roman" w:cs="Times New Roman"/>
          <w:sz w:val="24"/>
          <w:szCs w:val="24"/>
        </w:rPr>
        <w:t xml:space="preserve">Interspecific hybridizations of </w:t>
      </w:r>
      <w:r w:rsidRPr="007A2A78">
        <w:rPr>
          <w:rFonts w:ascii="Times New Roman" w:hAnsi="Times New Roman" w:cs="Times New Roman"/>
          <w:i/>
          <w:sz w:val="24"/>
          <w:szCs w:val="24"/>
        </w:rPr>
        <w:t>Poa</w:t>
      </w:r>
      <w:r>
        <w:rPr>
          <w:rFonts w:ascii="Times New Roman" w:hAnsi="Times New Roman" w:cs="Times New Roman"/>
          <w:sz w:val="24"/>
          <w:szCs w:val="24"/>
        </w:rPr>
        <w:t xml:space="preserve"> species for turf, which resulted in a released cultivar, started with ‘Reveille’ hybrid bluegrass (Read et al., 1999). Reveille is a hybrid between Texas bluegrass and Kentucky bluegrass. The goal with this hybrid was to incorporate the heat and drought tolerance characteristics of Texas bluegrass into the higher turf quality Kentucky bluegrass. </w:t>
      </w:r>
      <w:r w:rsidRPr="0001663B">
        <w:rPr>
          <w:rFonts w:ascii="Times New Roman" w:eastAsiaTheme="minorHAnsi" w:hAnsi="Times New Roman" w:cs="Times New Roman"/>
          <w:sz w:val="24"/>
        </w:rPr>
        <w:t>Mo</w:t>
      </w:r>
      <w:r>
        <w:rPr>
          <w:rFonts w:ascii="Times New Roman" w:eastAsiaTheme="minorHAnsi" w:hAnsi="Times New Roman" w:cs="Times New Roman"/>
          <w:sz w:val="24"/>
        </w:rPr>
        <w:t>re recently, these hybrids have resulted</w:t>
      </w:r>
      <w:r w:rsidRPr="0001663B">
        <w:rPr>
          <w:rFonts w:ascii="Times New Roman" w:eastAsiaTheme="minorHAnsi" w:hAnsi="Times New Roman" w:cs="Times New Roman"/>
          <w:sz w:val="24"/>
        </w:rPr>
        <w:t xml:space="preserve"> in the release of several cultivars such as ‘Thermal Blue, ‘Dura Blue’ and ‘Longhorn’ (Teuton et al., 2009; Richardson and Karcher, 2009). These hybrids were shown to be equally as suited to use as turfgrasses in comparison to tall fescue and Kentucky bluegrass (Teuton et al., 2007) and have demonstrated improved tolerance to high temperatures (Su et al., 2007). Although these hybrids have displayed enhanced heat tolerance, getting this characteristic along with drought tolerance, the desired turf quality, and economical seed production has proven difficult (Read, 2001; </w:t>
      </w:r>
      <w:r w:rsidRPr="0001663B">
        <w:rPr>
          <w:rFonts w:ascii="Times New Roman" w:eastAsiaTheme="minorHAnsi" w:hAnsi="Times New Roman" w:cs="Times New Roman"/>
          <w:sz w:val="24"/>
        </w:rPr>
        <w:lastRenderedPageBreak/>
        <w:t xml:space="preserve">Merewitz et al., 2010; Abraham et al., 2004). Research specific to the transition zone has been performed. A study focusing on drought tolerance found high diversity between cultivars of hybrid bluegrasses when compared to Kentucky bluegrass and other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hybrids. At least one of the Texas hybrids ranked near top in drought tolerance, while several other Texas hybrids ranked near the bottom, indicating that hybrid status of these cultivars does not automatically confer drought tolerance (Richardson and Karcher, 2009).   </w:t>
      </w:r>
    </w:p>
    <w:p w14:paraId="00069C6F" w14:textId="77777777" w:rsidR="00E90848" w:rsidRPr="0001663B" w:rsidRDefault="00E90848" w:rsidP="00E90848">
      <w:pPr>
        <w:spacing w:line="480" w:lineRule="auto"/>
        <w:ind w:firstLine="720"/>
        <w:rPr>
          <w:rFonts w:ascii="Times New Roman" w:eastAsiaTheme="minorHAnsi" w:hAnsi="Times New Roman" w:cs="Times New Roman"/>
          <w:sz w:val="24"/>
        </w:rPr>
      </w:pPr>
      <w:r>
        <w:rPr>
          <w:rFonts w:ascii="Times New Roman" w:hAnsi="Times New Roman" w:cs="Times New Roman"/>
          <w:sz w:val="24"/>
          <w:szCs w:val="24"/>
        </w:rPr>
        <w:t>Naturally-occurring hybrids have also made big impacts on the turfgrass industry.</w:t>
      </w:r>
      <w:r w:rsidRPr="00CD6671">
        <w:rPr>
          <w:rFonts w:ascii="Times New Roman" w:eastAsiaTheme="minorHAnsi" w:hAnsi="Times New Roman" w:cs="Times New Roman"/>
          <w:sz w:val="24"/>
        </w:rPr>
        <w:t xml:space="preserve"> </w:t>
      </w:r>
      <w:r w:rsidRPr="0001663B">
        <w:rPr>
          <w:rFonts w:ascii="Times New Roman" w:eastAsiaTheme="minorHAnsi" w:hAnsi="Times New Roman" w:cs="Times New Roman"/>
          <w:sz w:val="24"/>
        </w:rPr>
        <w:t xml:space="preserve">It was suggested early on that the parents </w:t>
      </w:r>
      <w:proofErr w:type="gramStart"/>
      <w:r>
        <w:rPr>
          <w:rFonts w:ascii="Times New Roman" w:eastAsiaTheme="minorHAnsi" w:hAnsi="Times New Roman" w:cs="Times New Roman"/>
          <w:sz w:val="24"/>
        </w:rPr>
        <w:t xml:space="preserve">of  </w:t>
      </w:r>
      <w:r w:rsidRPr="00CD6671">
        <w:rPr>
          <w:rFonts w:ascii="Times New Roman" w:eastAsiaTheme="minorHAnsi" w:hAnsi="Times New Roman" w:cs="Times New Roman"/>
          <w:i/>
          <w:sz w:val="24"/>
        </w:rPr>
        <w:t>P</w:t>
      </w:r>
      <w:proofErr w:type="gramEnd"/>
      <w:r w:rsidRPr="00CD6671">
        <w:rPr>
          <w:rFonts w:ascii="Times New Roman" w:eastAsiaTheme="minorHAnsi" w:hAnsi="Times New Roman" w:cs="Times New Roman"/>
          <w:i/>
          <w:sz w:val="24"/>
        </w:rPr>
        <w:t>. annua</w:t>
      </w:r>
      <w:r>
        <w:rPr>
          <w:rFonts w:ascii="Times New Roman" w:eastAsiaTheme="minorHAnsi" w:hAnsi="Times New Roman" w:cs="Times New Roman"/>
          <w:sz w:val="24"/>
        </w:rPr>
        <w:t xml:space="preserve"> </w:t>
      </w:r>
      <w:r w:rsidRPr="0001663B">
        <w:rPr>
          <w:rFonts w:ascii="Times New Roman" w:eastAsiaTheme="minorHAnsi" w:hAnsi="Times New Roman" w:cs="Times New Roman"/>
          <w:sz w:val="24"/>
        </w:rPr>
        <w:t xml:space="preserve">were </w:t>
      </w:r>
      <w:r w:rsidRPr="0001663B">
        <w:rPr>
          <w:rFonts w:ascii="Times New Roman" w:eastAsiaTheme="minorHAnsi" w:hAnsi="Times New Roman" w:cs="Times New Roman"/>
          <w:i/>
          <w:sz w:val="24"/>
        </w:rPr>
        <w:t>P. supina</w:t>
      </w:r>
      <w:r w:rsidRPr="0001663B">
        <w:rPr>
          <w:rFonts w:ascii="Times New Roman" w:eastAsiaTheme="minorHAnsi" w:hAnsi="Times New Roman" w:cs="Times New Roman"/>
          <w:sz w:val="24"/>
        </w:rPr>
        <w:t xml:space="preserve"> Schrad. </w:t>
      </w:r>
      <w:proofErr w:type="gramStart"/>
      <w:r w:rsidRPr="0001663B">
        <w:rPr>
          <w:rFonts w:ascii="Times New Roman" w:eastAsiaTheme="minorHAnsi" w:hAnsi="Times New Roman" w:cs="Times New Roman"/>
          <w:sz w:val="24"/>
        </w:rPr>
        <w:t>and</w:t>
      </w:r>
      <w:proofErr w:type="gramEnd"/>
      <w:r w:rsidRPr="0001663B">
        <w:rPr>
          <w:rFonts w:ascii="Times New Roman" w:eastAsiaTheme="minorHAnsi" w:hAnsi="Times New Roman" w:cs="Times New Roman"/>
          <w:sz w:val="24"/>
        </w:rPr>
        <w:t xml:space="preserve"> </w:t>
      </w:r>
      <w:r w:rsidRPr="0001663B">
        <w:rPr>
          <w:rFonts w:ascii="Times New Roman" w:eastAsiaTheme="minorHAnsi" w:hAnsi="Times New Roman" w:cs="Times New Roman"/>
          <w:i/>
          <w:sz w:val="24"/>
        </w:rPr>
        <w:t>P. infirma</w:t>
      </w:r>
      <w:r w:rsidRPr="0001663B">
        <w:rPr>
          <w:rFonts w:ascii="Times New Roman" w:eastAsiaTheme="minorHAnsi" w:hAnsi="Times New Roman" w:cs="Times New Roman"/>
          <w:sz w:val="24"/>
        </w:rPr>
        <w:t xml:space="preserve"> Kunth (Nanfeldt, 1937). Recently, DNA and chl</w:t>
      </w:r>
      <w:r w:rsidR="006B0A9E">
        <w:rPr>
          <w:rFonts w:ascii="Times New Roman" w:eastAsiaTheme="minorHAnsi" w:hAnsi="Times New Roman" w:cs="Times New Roman"/>
          <w:sz w:val="24"/>
        </w:rPr>
        <w:t>oroplast sequence studies confirmed</w:t>
      </w:r>
      <w:r w:rsidRPr="0001663B">
        <w:rPr>
          <w:rFonts w:ascii="Times New Roman" w:eastAsiaTheme="minorHAnsi" w:hAnsi="Times New Roman" w:cs="Times New Roman"/>
          <w:sz w:val="24"/>
        </w:rPr>
        <w:t xml:space="preserve"> that </w:t>
      </w:r>
      <w:r w:rsidRPr="0001663B">
        <w:rPr>
          <w:rFonts w:ascii="Times New Roman" w:eastAsiaTheme="minorHAnsi" w:hAnsi="Times New Roman" w:cs="Times New Roman"/>
          <w:i/>
          <w:sz w:val="24"/>
        </w:rPr>
        <w:t>P. supina</w:t>
      </w:r>
      <w:r w:rsidRPr="0001663B">
        <w:rPr>
          <w:rFonts w:ascii="Times New Roman" w:eastAsiaTheme="minorHAnsi" w:hAnsi="Times New Roman" w:cs="Times New Roman"/>
          <w:sz w:val="24"/>
        </w:rPr>
        <w:t xml:space="preserve"> and </w:t>
      </w:r>
      <w:r w:rsidRPr="0001663B">
        <w:rPr>
          <w:rFonts w:ascii="Times New Roman" w:eastAsiaTheme="minorHAnsi" w:hAnsi="Times New Roman" w:cs="Times New Roman"/>
          <w:i/>
          <w:sz w:val="24"/>
        </w:rPr>
        <w:t>P. infirma</w:t>
      </w:r>
      <w:r w:rsidRPr="0001663B">
        <w:rPr>
          <w:rFonts w:ascii="Times New Roman" w:eastAsiaTheme="minorHAnsi" w:hAnsi="Times New Roman" w:cs="Times New Roman"/>
          <w:sz w:val="24"/>
        </w:rPr>
        <w:t xml:space="preserve"> are the</w:t>
      </w:r>
      <w:r>
        <w:rPr>
          <w:rFonts w:ascii="Times New Roman" w:eastAsiaTheme="minorHAnsi" w:hAnsi="Times New Roman" w:cs="Times New Roman"/>
          <w:sz w:val="24"/>
        </w:rPr>
        <w:t xml:space="preserve"> parents (Mao and Huff, 2012). </w:t>
      </w:r>
      <w:r>
        <w:rPr>
          <w:rFonts w:ascii="Times New Roman" w:hAnsi="Times New Roman" w:cs="Times New Roman"/>
          <w:sz w:val="24"/>
          <w:szCs w:val="24"/>
        </w:rPr>
        <w:t xml:space="preserve"> </w:t>
      </w:r>
    </w:p>
    <w:p w14:paraId="18AC0938" w14:textId="77777777" w:rsidR="00E90848" w:rsidRPr="0001663B" w:rsidRDefault="00E90848" w:rsidP="00E90848">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 xml:space="preserve">Interspecific hybridization with other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species has been successful, with a large portion of the crosses using Kentucky bluegrass as one of the parents (Goldman and Sims, 2005; Read, 2001; </w:t>
      </w:r>
      <w:r w:rsidR="006B0A9E">
        <w:rPr>
          <w:rFonts w:ascii="Times New Roman" w:eastAsiaTheme="minorHAnsi" w:hAnsi="Times New Roman" w:cs="Times New Roman"/>
          <w:sz w:val="24"/>
        </w:rPr>
        <w:t>Dale et al., 1975)</w:t>
      </w:r>
      <w:r w:rsidRPr="0001663B">
        <w:rPr>
          <w:rFonts w:ascii="Times New Roman" w:eastAsiaTheme="minorHAnsi" w:hAnsi="Times New Roman" w:cs="Times New Roman"/>
          <w:sz w:val="24"/>
        </w:rPr>
        <w:t xml:space="preserve"> and hybrids have been known to occur in the wild (Clausen, 1961). </w:t>
      </w:r>
    </w:p>
    <w:p w14:paraId="1AEA7A58" w14:textId="77777777" w:rsidR="00E90848" w:rsidRPr="0001663B" w:rsidRDefault="00E90848" w:rsidP="00E90848">
      <w:pPr>
        <w:spacing w:line="480" w:lineRule="auto"/>
        <w:rPr>
          <w:rFonts w:ascii="Times New Roman" w:eastAsiaTheme="minorHAnsi" w:hAnsi="Times New Roman" w:cs="Times New Roman"/>
          <w:i/>
          <w:sz w:val="24"/>
        </w:rPr>
      </w:pPr>
      <w:r w:rsidRPr="0001663B">
        <w:rPr>
          <w:rFonts w:ascii="Times New Roman" w:eastAsiaTheme="minorHAnsi" w:hAnsi="Times New Roman" w:cs="Times New Roman"/>
          <w:i/>
          <w:sz w:val="24"/>
        </w:rPr>
        <w:t>Poa breeding</w:t>
      </w:r>
    </w:p>
    <w:p w14:paraId="306450AA" w14:textId="77777777" w:rsidR="00E90848" w:rsidRPr="0001663B" w:rsidRDefault="00E90848" w:rsidP="00E90848">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i/>
          <w:sz w:val="24"/>
        </w:rPr>
        <w:tab/>
      </w:r>
      <w:r w:rsidRPr="0001663B">
        <w:rPr>
          <w:rFonts w:ascii="Times New Roman" w:eastAsiaTheme="minorHAnsi" w:hAnsi="Times New Roman" w:cs="Times New Roman"/>
          <w:sz w:val="24"/>
        </w:rPr>
        <w:t xml:space="preserve">As mentioned previously, the diversity of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is present in many forms. This includes sex forms, modes of reproduction, and ploidy levels. All of these characteristics must be understood before implementing breeding programs, regardless of whether the objective is inter- or intraspecific hybridizations. Sex forms in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are extremely diverse, with not only the typical monoecious and dioecious forms occurring, but also variations in between, such as gynodioeceous and gynomonoecious (Anton and Connor, 1995). In breeding, monoecious plants can be used for reciprocal crosses, where the plant can be both a maternal and paternal parent, </w:t>
      </w:r>
      <w:r w:rsidRPr="0001663B">
        <w:rPr>
          <w:rFonts w:ascii="Times New Roman" w:eastAsiaTheme="minorHAnsi" w:hAnsi="Times New Roman" w:cs="Times New Roman"/>
          <w:sz w:val="24"/>
        </w:rPr>
        <w:lastRenderedPageBreak/>
        <w:t xml:space="preserve">whereas a dioecious plant can only be one or the other. In addition to sex form, the modes of reproduction are also diverse in this genus. Apomixis is common in </w:t>
      </w:r>
      <w:r w:rsidRPr="0001663B">
        <w:rPr>
          <w:rFonts w:ascii="Times New Roman" w:eastAsiaTheme="minorHAnsi" w:hAnsi="Times New Roman" w:cs="Times New Roman"/>
          <w:i/>
          <w:sz w:val="24"/>
        </w:rPr>
        <w:t xml:space="preserve">Poa </w:t>
      </w:r>
      <w:r w:rsidRPr="0001663B">
        <w:rPr>
          <w:rFonts w:ascii="Times New Roman" w:eastAsiaTheme="minorHAnsi" w:hAnsi="Times New Roman" w:cs="Times New Roman"/>
          <w:sz w:val="24"/>
        </w:rPr>
        <w:t>and has been extensively studied in Kentucky bluegrass (Kelley et al., 2009; Clausen, 1961) This mode of reproduction results in highly stable and uniform progeny, which is beneficial to breeders when a superior plant is developed, however it makes inter- and intraspecific hybridization difficult (Huff, 2003</w:t>
      </w:r>
      <w:r w:rsidR="001D6C42">
        <w:rPr>
          <w:rFonts w:ascii="Times New Roman" w:eastAsiaTheme="minorHAnsi" w:hAnsi="Times New Roman" w:cs="Times New Roman"/>
          <w:sz w:val="24"/>
        </w:rPr>
        <w:t>a</w:t>
      </w:r>
      <w:r w:rsidRPr="0001663B">
        <w:rPr>
          <w:rFonts w:ascii="Times New Roman" w:eastAsiaTheme="minorHAnsi" w:hAnsi="Times New Roman" w:cs="Times New Roman"/>
          <w:sz w:val="24"/>
        </w:rPr>
        <w:t>). Fortunately, in Kentucky bluegrass, apomixis is not typically exclusive and some out-crossing can occur, with the level of apomixis or out-crossing being highly variable (Huff, 2003</w:t>
      </w:r>
      <w:r w:rsidR="001D6C42">
        <w:rPr>
          <w:rFonts w:ascii="Times New Roman" w:eastAsiaTheme="minorHAnsi" w:hAnsi="Times New Roman" w:cs="Times New Roman"/>
          <w:sz w:val="24"/>
        </w:rPr>
        <w:t>a</w:t>
      </w:r>
      <w:r w:rsidRPr="0001663B">
        <w:rPr>
          <w:rFonts w:ascii="Times New Roman" w:eastAsiaTheme="minorHAnsi" w:hAnsi="Times New Roman" w:cs="Times New Roman"/>
          <w:sz w:val="24"/>
        </w:rPr>
        <w:t xml:space="preserve">). Initially cultivars of Kentucky bluegrass originated as selections from old turf areas or seed fields (Pepin and Funk, 1971). Cultivar development of Kentucky bluegrass using intraspecific hybridization as a method was slow to be accepted because of many reasons relating to apomixis, however it was shown that intraspecific hybridization is a useful tool in improving Kentucky bluegrass (Pepin and Funk, 1971). </w:t>
      </w:r>
    </w:p>
    <w:p w14:paraId="13775118" w14:textId="77777777" w:rsidR="00E90848" w:rsidRPr="0001663B" w:rsidRDefault="00E90848" w:rsidP="00E90848">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 xml:space="preserve">Some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species, such as </w:t>
      </w:r>
      <w:r w:rsidRPr="0001663B">
        <w:rPr>
          <w:rFonts w:ascii="Times New Roman" w:eastAsiaTheme="minorHAnsi" w:hAnsi="Times New Roman" w:cs="Times New Roman"/>
          <w:i/>
          <w:sz w:val="24"/>
        </w:rPr>
        <w:t>P. annua</w:t>
      </w:r>
      <w:r w:rsidRPr="0001663B">
        <w:rPr>
          <w:rFonts w:ascii="Times New Roman" w:eastAsiaTheme="minorHAnsi" w:hAnsi="Times New Roman" w:cs="Times New Roman"/>
          <w:sz w:val="24"/>
        </w:rPr>
        <w:t xml:space="preserve"> and </w:t>
      </w:r>
      <w:r w:rsidRPr="0001663B">
        <w:rPr>
          <w:rFonts w:ascii="Times New Roman" w:eastAsiaTheme="minorHAnsi" w:hAnsi="Times New Roman" w:cs="Times New Roman"/>
          <w:i/>
          <w:sz w:val="24"/>
        </w:rPr>
        <w:t>P. supina,</w:t>
      </w:r>
      <w:r w:rsidRPr="0001663B">
        <w:rPr>
          <w:rFonts w:ascii="Times New Roman" w:eastAsiaTheme="minorHAnsi" w:hAnsi="Times New Roman" w:cs="Times New Roman"/>
          <w:sz w:val="24"/>
        </w:rPr>
        <w:t xml:space="preserve"> utilize self-pollination, which results in true-breeding strains through inbreeding (Huff, 2003</w:t>
      </w:r>
      <w:r w:rsidR="001D6C42">
        <w:rPr>
          <w:rFonts w:ascii="Times New Roman" w:eastAsiaTheme="minorHAnsi" w:hAnsi="Times New Roman" w:cs="Times New Roman"/>
          <w:sz w:val="24"/>
        </w:rPr>
        <w:t>b</w:t>
      </w:r>
      <w:r w:rsidRPr="0001663B">
        <w:rPr>
          <w:rFonts w:ascii="Times New Roman" w:eastAsiaTheme="minorHAnsi" w:hAnsi="Times New Roman" w:cs="Times New Roman"/>
          <w:sz w:val="24"/>
        </w:rPr>
        <w:t>). Although common in agricultural crops, this mode of reproduction is not typical among turfgrasses. Like apomixis, self-fertilization is not always exclusive and out-crossing does occur. Some plants of</w:t>
      </w:r>
      <w:r w:rsidRPr="0001663B">
        <w:rPr>
          <w:rFonts w:ascii="Times New Roman" w:eastAsiaTheme="minorHAnsi" w:hAnsi="Times New Roman" w:cs="Times New Roman"/>
          <w:i/>
          <w:sz w:val="24"/>
        </w:rPr>
        <w:t xml:space="preserve"> P.annua</w:t>
      </w:r>
      <w:r w:rsidRPr="0001663B">
        <w:rPr>
          <w:rFonts w:ascii="Times New Roman" w:eastAsiaTheme="minorHAnsi" w:hAnsi="Times New Roman" w:cs="Times New Roman"/>
          <w:sz w:val="24"/>
        </w:rPr>
        <w:t xml:space="preserve"> have been found to outcross as much as 15%, (Ellis, 1973).</w:t>
      </w:r>
    </w:p>
    <w:p w14:paraId="636EB632" w14:textId="77777777" w:rsidR="00E90848" w:rsidRPr="0001663B" w:rsidRDefault="00E90848" w:rsidP="00E90848">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tab/>
        <w:t xml:space="preserve">Out-crossing species are the norm for most of the other traditional turfgrasses, whether warm- or cool-season. However, there can be variations in self-incompatibility. Grasses utilizing this mode of reproduction typically rely on a foreign pollen source for fertilization. This can result in populations that contain desirable and diverse genetic combinations, however maintaining the desired combinations can be difficult because of the ease of which pollen from other sources can contaminate the material (Meyer and Watkins, 2003).         </w:t>
      </w:r>
    </w:p>
    <w:p w14:paraId="29508A03" w14:textId="77777777" w:rsidR="00E90848" w:rsidRDefault="00E90848" w:rsidP="00E90848">
      <w:pPr>
        <w:spacing w:line="480" w:lineRule="auto"/>
        <w:rPr>
          <w:rFonts w:ascii="Times New Roman" w:eastAsiaTheme="minorHAnsi" w:hAnsi="Times New Roman" w:cs="Times New Roman"/>
          <w:sz w:val="24"/>
        </w:rPr>
      </w:pPr>
      <w:r w:rsidRPr="0001663B">
        <w:rPr>
          <w:rFonts w:ascii="Times New Roman" w:eastAsiaTheme="minorHAnsi" w:hAnsi="Times New Roman" w:cs="Times New Roman"/>
          <w:sz w:val="24"/>
        </w:rPr>
        <w:lastRenderedPageBreak/>
        <w:tab/>
        <w:t xml:space="preserve">Considering that many of the species from the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genus have not been studied in depth, and knowing that many desired characteristics are present in a combination of these species, the potential exists for development of a </w:t>
      </w:r>
      <w:r w:rsidRPr="0001663B">
        <w:rPr>
          <w:rFonts w:ascii="Times New Roman" w:eastAsiaTheme="minorHAnsi" w:hAnsi="Times New Roman" w:cs="Times New Roman"/>
          <w:i/>
          <w:sz w:val="24"/>
        </w:rPr>
        <w:t xml:space="preserve">Poa </w:t>
      </w:r>
      <w:r w:rsidRPr="0001663B">
        <w:rPr>
          <w:rFonts w:ascii="Times New Roman" w:eastAsiaTheme="minorHAnsi" w:hAnsi="Times New Roman" w:cs="Times New Roman"/>
          <w:sz w:val="24"/>
        </w:rPr>
        <w:t xml:space="preserve">cultivar that meets the needs of turfgrass managers in the transition zone. This development could come in many forms; the development of a previously unknown species, development of hybrids with traditional or other species, or through the use of biotechnology. The first step is to identify desirable characteristics in the available </w:t>
      </w:r>
      <w:r w:rsidRPr="0001663B">
        <w:rPr>
          <w:rFonts w:ascii="Times New Roman" w:eastAsiaTheme="minorHAnsi" w:hAnsi="Times New Roman" w:cs="Times New Roman"/>
          <w:i/>
          <w:sz w:val="24"/>
        </w:rPr>
        <w:t>Poa</w:t>
      </w:r>
      <w:r w:rsidRPr="0001663B">
        <w:rPr>
          <w:rFonts w:ascii="Times New Roman" w:eastAsiaTheme="minorHAnsi" w:hAnsi="Times New Roman" w:cs="Times New Roman"/>
          <w:sz w:val="24"/>
        </w:rPr>
        <w:t xml:space="preserve"> germplasm.</w:t>
      </w:r>
    </w:p>
    <w:p w14:paraId="11CB5382" w14:textId="77777777" w:rsidR="00423C0B" w:rsidRDefault="00423C0B" w:rsidP="00E90848">
      <w:pPr>
        <w:spacing w:line="480" w:lineRule="auto"/>
        <w:rPr>
          <w:rFonts w:ascii="Times New Roman" w:eastAsiaTheme="minorHAnsi" w:hAnsi="Times New Roman" w:cs="Times New Roman"/>
          <w:sz w:val="24"/>
        </w:rPr>
      </w:pPr>
      <w:r>
        <w:rPr>
          <w:rFonts w:ascii="Times New Roman" w:eastAsiaTheme="minorHAnsi" w:hAnsi="Times New Roman" w:cs="Times New Roman"/>
          <w:sz w:val="24"/>
        </w:rPr>
        <w:tab/>
        <w:t xml:space="preserve">Selecting species from habitats that have a climate similar to the eastern U.S. transition zone may result in species that perform better than species from dissimilar climates. </w:t>
      </w:r>
      <w:r w:rsidR="004128EC">
        <w:rPr>
          <w:rFonts w:ascii="Times New Roman" w:eastAsiaTheme="minorHAnsi" w:hAnsi="Times New Roman" w:cs="Times New Roman"/>
          <w:sz w:val="24"/>
        </w:rPr>
        <w:t>Climate classificat</w:t>
      </w:r>
      <w:r w:rsidR="009B5EBA">
        <w:rPr>
          <w:rFonts w:ascii="Times New Roman" w:eastAsiaTheme="minorHAnsi" w:hAnsi="Times New Roman" w:cs="Times New Roman"/>
          <w:sz w:val="24"/>
        </w:rPr>
        <w:t>ions show</w:t>
      </w:r>
      <w:r w:rsidR="004128EC">
        <w:rPr>
          <w:rFonts w:ascii="Times New Roman" w:eastAsiaTheme="minorHAnsi" w:hAnsi="Times New Roman" w:cs="Times New Roman"/>
          <w:sz w:val="24"/>
        </w:rPr>
        <w:t xml:space="preserve"> that there are other regions in the world that share the</w:t>
      </w:r>
      <w:r w:rsidR="009B5EBA">
        <w:rPr>
          <w:rFonts w:ascii="Times New Roman" w:eastAsiaTheme="minorHAnsi" w:hAnsi="Times New Roman" w:cs="Times New Roman"/>
          <w:sz w:val="24"/>
        </w:rPr>
        <w:t xml:space="preserve"> same Cfa climate designation</w:t>
      </w:r>
      <w:r w:rsidR="004128EC">
        <w:rPr>
          <w:rFonts w:ascii="Times New Roman" w:eastAsiaTheme="minorHAnsi" w:hAnsi="Times New Roman" w:cs="Times New Roman"/>
          <w:sz w:val="24"/>
        </w:rPr>
        <w:t xml:space="preserve"> as the eastern U.S. transition zone (</w:t>
      </w:r>
      <w:r w:rsidR="00931168">
        <w:rPr>
          <w:rFonts w:ascii="Times New Roman" w:eastAsiaTheme="minorHAnsi" w:hAnsi="Times New Roman" w:cs="Times New Roman"/>
          <w:sz w:val="24"/>
          <w:szCs w:val="24"/>
        </w:rPr>
        <w:t>Köppen, 1900</w:t>
      </w:r>
      <w:r w:rsidR="004128EC">
        <w:rPr>
          <w:rFonts w:ascii="Times New Roman" w:eastAsiaTheme="minorHAnsi" w:hAnsi="Times New Roman" w:cs="Times New Roman"/>
          <w:sz w:val="24"/>
        </w:rPr>
        <w:t>). The Cfa climate occurs in the mid-latitude regions of the eastern side of my most continents. Included is the south eastern U.S.</w:t>
      </w:r>
      <w:proofErr w:type="gramStart"/>
      <w:r w:rsidR="004128EC">
        <w:rPr>
          <w:rFonts w:ascii="Times New Roman" w:eastAsiaTheme="minorHAnsi" w:hAnsi="Times New Roman" w:cs="Times New Roman"/>
          <w:sz w:val="24"/>
        </w:rPr>
        <w:t>,south</w:t>
      </w:r>
      <w:proofErr w:type="gramEnd"/>
      <w:r w:rsidR="004128EC">
        <w:rPr>
          <w:rFonts w:ascii="Times New Roman" w:eastAsiaTheme="minorHAnsi" w:hAnsi="Times New Roman" w:cs="Times New Roman"/>
          <w:sz w:val="24"/>
        </w:rPr>
        <w:t xml:space="preserve"> eastern South America, south eastern Australia, New Zealand, and south east china.</w:t>
      </w:r>
      <w:r w:rsidR="009B5EBA">
        <w:rPr>
          <w:rFonts w:ascii="Times New Roman" w:eastAsiaTheme="minorHAnsi" w:hAnsi="Times New Roman" w:cs="Times New Roman"/>
          <w:sz w:val="24"/>
        </w:rPr>
        <w:t xml:space="preserve"> The Cfa climate designation is described as warm temperate, fully humid, with hot summers.</w:t>
      </w:r>
    </w:p>
    <w:p w14:paraId="404F6177" w14:textId="77777777" w:rsidR="00E90848" w:rsidRDefault="00E90848" w:rsidP="00E90848">
      <w:pPr>
        <w:spacing w:line="480" w:lineRule="auto"/>
        <w:rPr>
          <w:rFonts w:ascii="Times New Roman" w:eastAsiaTheme="minorHAnsi" w:hAnsi="Times New Roman" w:cs="Times New Roman"/>
          <w:sz w:val="24"/>
        </w:rPr>
      </w:pPr>
    </w:p>
    <w:p w14:paraId="405AF7C2" w14:textId="77777777" w:rsidR="00E90848" w:rsidRDefault="00E90848" w:rsidP="00E90848">
      <w:pPr>
        <w:pStyle w:val="Heading3"/>
        <w:rPr>
          <w:rFonts w:eastAsiaTheme="minorHAnsi"/>
        </w:rPr>
      </w:pPr>
      <w:bookmarkStart w:id="10" w:name="_Toc354003317"/>
      <w:r>
        <w:rPr>
          <w:rFonts w:eastAsiaTheme="minorHAnsi"/>
        </w:rPr>
        <w:t>Materials and Methods</w:t>
      </w:r>
      <w:bookmarkEnd w:id="10"/>
    </w:p>
    <w:p w14:paraId="7CDFAC08" w14:textId="77777777" w:rsidR="00E90848" w:rsidRPr="00E90848" w:rsidRDefault="00E90848" w:rsidP="00E90848"/>
    <w:p w14:paraId="2BD7B7F4" w14:textId="77777777" w:rsidR="00E90848" w:rsidRPr="00E90848" w:rsidRDefault="00E90848" w:rsidP="00E90848">
      <w:pPr>
        <w:spacing w:after="0" w:line="480" w:lineRule="auto"/>
        <w:ind w:firstLine="720"/>
        <w:rPr>
          <w:rFonts w:ascii="Times New Roman" w:eastAsiaTheme="minorHAnsi" w:hAnsi="Times New Roman" w:cs="Times New Roman"/>
          <w:sz w:val="24"/>
        </w:rPr>
      </w:pPr>
      <w:r w:rsidRPr="00E90848">
        <w:rPr>
          <w:rFonts w:eastAsiaTheme="minorHAnsi"/>
        </w:rPr>
        <w:t xml:space="preserve"> </w:t>
      </w:r>
      <w:r w:rsidRPr="00E90848">
        <w:rPr>
          <w:rFonts w:ascii="Times New Roman" w:eastAsia="SimSun" w:hAnsi="Times New Roman" w:cs="Times New Roman"/>
          <w:sz w:val="24"/>
          <w:szCs w:val="24"/>
          <w:lang w:eastAsia="zh-CN"/>
        </w:rPr>
        <w:t xml:space="preserve">A two-year study was initiated on 16 August 2010 and repeated on 15 August 2011. It began with the selection and acquirement of various </w:t>
      </w:r>
      <w:r w:rsidRPr="00E90848">
        <w:rPr>
          <w:rFonts w:ascii="Times New Roman" w:eastAsia="SimSun" w:hAnsi="Times New Roman" w:cs="Times New Roman"/>
          <w:i/>
          <w:sz w:val="24"/>
          <w:szCs w:val="24"/>
          <w:lang w:eastAsia="zh-CN"/>
        </w:rPr>
        <w:t>Poa</w:t>
      </w:r>
      <w:r w:rsidRPr="00E90848">
        <w:rPr>
          <w:rFonts w:ascii="Times New Roman" w:eastAsia="SimSun" w:hAnsi="Times New Roman" w:cs="Times New Roman"/>
          <w:sz w:val="24"/>
          <w:szCs w:val="24"/>
          <w:lang w:eastAsia="zh-CN"/>
        </w:rPr>
        <w:t xml:space="preserve"> species (Table 2.1).  </w:t>
      </w:r>
      <w:r w:rsidRPr="00E90848">
        <w:rPr>
          <w:rFonts w:ascii="Times New Roman" w:eastAsiaTheme="minorHAnsi" w:hAnsi="Times New Roman" w:cs="Times New Roman"/>
          <w:sz w:val="24"/>
        </w:rPr>
        <w:t xml:space="preserve">The USDA National Plant Germplasm System has nearly 100 different species of </w:t>
      </w:r>
      <w:r w:rsidRPr="00E90848">
        <w:rPr>
          <w:rFonts w:ascii="Times New Roman" w:eastAsiaTheme="minorHAnsi" w:hAnsi="Times New Roman" w:cs="Times New Roman"/>
          <w:i/>
          <w:sz w:val="24"/>
        </w:rPr>
        <w:t>Poa</w:t>
      </w:r>
      <w:r w:rsidRPr="00E90848">
        <w:rPr>
          <w:rFonts w:ascii="Times New Roman" w:eastAsiaTheme="minorHAnsi" w:hAnsi="Times New Roman" w:cs="Times New Roman"/>
          <w:sz w:val="24"/>
        </w:rPr>
        <w:t xml:space="preserve"> available, with nearly 300 species listed in their system (USDA, 2013).  Resources available for this study restricted the number of species that could be evaluated. Species were chosen based on their original collection location, with the preferred location being those with</w:t>
      </w:r>
      <w:r w:rsidR="009B5EBA">
        <w:rPr>
          <w:rFonts w:ascii="Times New Roman" w:eastAsiaTheme="minorHAnsi" w:hAnsi="Times New Roman" w:cs="Times New Roman"/>
          <w:sz w:val="24"/>
        </w:rPr>
        <w:t xml:space="preserve"> a Köppen climate designation</w:t>
      </w:r>
      <w:r w:rsidRPr="00E90848">
        <w:rPr>
          <w:rFonts w:ascii="Times New Roman" w:eastAsiaTheme="minorHAnsi" w:hAnsi="Times New Roman" w:cs="Times New Roman"/>
          <w:sz w:val="24"/>
        </w:rPr>
        <w:t xml:space="preserve"> </w:t>
      </w:r>
      <w:r w:rsidR="009B5EBA">
        <w:rPr>
          <w:rFonts w:ascii="Times New Roman" w:eastAsiaTheme="minorHAnsi" w:hAnsi="Times New Roman" w:cs="Times New Roman"/>
          <w:sz w:val="24"/>
        </w:rPr>
        <w:t xml:space="preserve">of </w:t>
      </w:r>
      <w:r w:rsidR="009B5EBA">
        <w:rPr>
          <w:rFonts w:ascii="Times New Roman" w:eastAsiaTheme="minorHAnsi" w:hAnsi="Times New Roman" w:cs="Times New Roman"/>
          <w:sz w:val="24"/>
        </w:rPr>
        <w:lastRenderedPageBreak/>
        <w:t>Cfa. Additional species were chosen from climates from other designations for comparison. L</w:t>
      </w:r>
      <w:r w:rsidRPr="00E90848">
        <w:rPr>
          <w:rFonts w:ascii="Times New Roman" w:eastAsiaTheme="minorHAnsi" w:hAnsi="Times New Roman" w:cs="Times New Roman"/>
          <w:sz w:val="24"/>
        </w:rPr>
        <w:t xml:space="preserve">ocally adapted bio-types of </w:t>
      </w:r>
      <w:r w:rsidRPr="00E90848">
        <w:rPr>
          <w:rFonts w:ascii="Times New Roman" w:eastAsiaTheme="minorHAnsi" w:hAnsi="Times New Roman" w:cs="Times New Roman"/>
          <w:i/>
          <w:sz w:val="24"/>
        </w:rPr>
        <w:t>Poa</w:t>
      </w:r>
      <w:r w:rsidRPr="00E90848">
        <w:rPr>
          <w:rFonts w:ascii="Times New Roman" w:eastAsiaTheme="minorHAnsi" w:hAnsi="Times New Roman" w:cs="Times New Roman"/>
          <w:sz w:val="24"/>
        </w:rPr>
        <w:t xml:space="preserve"> species were collected and utilized, as well as commercially available cultivars of </w:t>
      </w:r>
      <w:r w:rsidRPr="00E90848">
        <w:rPr>
          <w:rFonts w:ascii="Times New Roman" w:eastAsiaTheme="minorHAnsi" w:hAnsi="Times New Roman" w:cs="Times New Roman"/>
          <w:i/>
          <w:sz w:val="24"/>
        </w:rPr>
        <w:t>Poa</w:t>
      </w:r>
      <w:r w:rsidRPr="00E90848">
        <w:rPr>
          <w:rFonts w:ascii="Times New Roman" w:eastAsiaTheme="minorHAnsi" w:hAnsi="Times New Roman" w:cs="Times New Roman"/>
          <w:sz w:val="24"/>
        </w:rPr>
        <w:t xml:space="preserve"> species. Two cultivars of </w:t>
      </w:r>
      <w:r w:rsidRPr="00E90848">
        <w:rPr>
          <w:rFonts w:ascii="Times New Roman" w:eastAsiaTheme="minorHAnsi" w:hAnsi="Times New Roman" w:cs="Times New Roman"/>
          <w:i/>
          <w:sz w:val="24"/>
        </w:rPr>
        <w:t xml:space="preserve">P. pratensis </w:t>
      </w:r>
      <w:r w:rsidRPr="00E90848">
        <w:rPr>
          <w:rFonts w:ascii="Times New Roman" w:eastAsiaTheme="minorHAnsi" w:hAnsi="Times New Roman" w:cs="Times New Roman"/>
          <w:sz w:val="24"/>
        </w:rPr>
        <w:t xml:space="preserve">were chosen. ‘Kenblue’ was chosen because it is commonly included in variety trials and is considered a standard common type Kentucky bluegrass </w:t>
      </w:r>
      <w:r w:rsidRPr="00812798">
        <w:rPr>
          <w:rFonts w:ascii="Times New Roman" w:eastAsiaTheme="minorHAnsi" w:hAnsi="Times New Roman" w:cs="Times New Roman"/>
          <w:sz w:val="24"/>
        </w:rPr>
        <w:t>(Bonos et al., 2000</w:t>
      </w:r>
      <w:r w:rsidR="009B5EBA" w:rsidRPr="00812798">
        <w:rPr>
          <w:rFonts w:ascii="Times New Roman" w:eastAsiaTheme="minorHAnsi" w:hAnsi="Times New Roman" w:cs="Times New Roman"/>
          <w:sz w:val="24"/>
        </w:rPr>
        <w:t>)</w:t>
      </w:r>
      <w:r w:rsidRPr="00812798">
        <w:rPr>
          <w:rFonts w:ascii="Times New Roman" w:eastAsiaTheme="minorHAnsi" w:hAnsi="Times New Roman" w:cs="Times New Roman"/>
          <w:sz w:val="24"/>
        </w:rPr>
        <w:t xml:space="preserve">. </w:t>
      </w:r>
      <w:r w:rsidRPr="00E90848">
        <w:rPr>
          <w:rFonts w:ascii="Times New Roman" w:eastAsiaTheme="minorHAnsi" w:hAnsi="Times New Roman" w:cs="Times New Roman"/>
          <w:sz w:val="24"/>
        </w:rPr>
        <w:t>A second variety, ‘Midnight Star’ is a high-performing variety for the transition zone (C. Rose-Fricker, personal communication, 2009).  A commercially available hybrid of Texas x Kentucky bluegrass, ‘Armadillo’, was included.</w:t>
      </w:r>
    </w:p>
    <w:p w14:paraId="0DB8C7A9" w14:textId="77777777" w:rsidR="00E90848" w:rsidRPr="00E90848" w:rsidRDefault="00E90848" w:rsidP="00E90848">
      <w:pPr>
        <w:spacing w:after="0" w:line="480" w:lineRule="auto"/>
        <w:rPr>
          <w:rFonts w:ascii="Times New Roman" w:eastAsia="SimSun" w:hAnsi="Times New Roman" w:cs="Times New Roman"/>
          <w:sz w:val="24"/>
          <w:szCs w:val="24"/>
          <w:lang w:eastAsia="zh-CN"/>
        </w:rPr>
      </w:pPr>
      <w:r w:rsidRPr="00E90848">
        <w:rPr>
          <w:rFonts w:ascii="Times New Roman" w:eastAsiaTheme="minorHAnsi" w:hAnsi="Times New Roman" w:cs="Times New Roman"/>
          <w:sz w:val="24"/>
        </w:rPr>
        <w:tab/>
      </w:r>
      <w:r w:rsidRPr="00E90848">
        <w:rPr>
          <w:rFonts w:ascii="Times New Roman" w:eastAsia="SimSun" w:hAnsi="Times New Roman" w:cs="Times New Roman"/>
          <w:sz w:val="24"/>
          <w:szCs w:val="24"/>
          <w:lang w:eastAsia="zh-CN"/>
        </w:rPr>
        <w:t>Seeds (Table 2.1) were sown in plug flats, with each plug measuring 4.4 cm x 4.4 cm, and filled with Fafard no. 2 growing medium (Sun Gro Horticulture Canada Ltd., Agawam, MA) on 16 August 2010 and 15 August 2011.  A total of 24 plugs were seeded for each of the 45 treatments. Greenhouse conditions were maintained throughout the six week growing period with daily temperatures averaging 24º C. The number of seeds sown in each plug varied and was dependent upon the germination rate of each treatment, with the target of achieving 10 plants per plug. Plugs with more than 10 seedlings were thinned. Irrigation was applied as needed to maintain conditions favorable for germination. A 12-55-6 fertilizer was applied at 2.5 g N m</w:t>
      </w:r>
      <w:r w:rsidRPr="00E90848">
        <w:rPr>
          <w:rFonts w:ascii="Times New Roman" w:eastAsia="SimSun" w:hAnsi="Times New Roman" w:cs="Times New Roman"/>
          <w:sz w:val="24"/>
          <w:szCs w:val="24"/>
          <w:vertAlign w:val="superscript"/>
          <w:lang w:eastAsia="zh-CN"/>
        </w:rPr>
        <w:t>-2</w:t>
      </w:r>
      <w:r w:rsidRPr="00E90848">
        <w:rPr>
          <w:rFonts w:ascii="Times New Roman" w:eastAsia="SimSun" w:hAnsi="Times New Roman" w:cs="Times New Roman"/>
          <w:sz w:val="24"/>
          <w:szCs w:val="24"/>
          <w:lang w:eastAsia="zh-CN"/>
        </w:rPr>
        <w:t xml:space="preserve"> at seeding. Three weeks after seeding, a 20-20-20 fertilizer was applied at 5 g N m</w:t>
      </w:r>
      <w:r w:rsidRPr="00E90848">
        <w:rPr>
          <w:rFonts w:ascii="Times New Roman" w:eastAsia="SimSun" w:hAnsi="Times New Roman" w:cs="Times New Roman"/>
          <w:sz w:val="24"/>
          <w:szCs w:val="24"/>
          <w:vertAlign w:val="superscript"/>
          <w:lang w:eastAsia="zh-CN"/>
        </w:rPr>
        <w:t>-2</w:t>
      </w:r>
      <w:r w:rsidRPr="00E90848">
        <w:rPr>
          <w:rFonts w:ascii="Times New Roman" w:eastAsia="SimSun" w:hAnsi="Times New Roman" w:cs="Times New Roman"/>
          <w:sz w:val="24"/>
          <w:szCs w:val="24"/>
          <w:lang w:eastAsia="zh-CN"/>
        </w:rPr>
        <w:t xml:space="preserve">. Plants were trimmed to 7.6 cm height as needed. </w:t>
      </w:r>
    </w:p>
    <w:p w14:paraId="04D064D5" w14:textId="77777777" w:rsidR="00E90848" w:rsidRPr="00E90848" w:rsidRDefault="00E90848" w:rsidP="00E90848">
      <w:pPr>
        <w:spacing w:after="0" w:line="480" w:lineRule="auto"/>
        <w:rPr>
          <w:rFonts w:ascii="Times New Roman" w:eastAsia="SimSun" w:hAnsi="Times New Roman" w:cs="Times New Roman"/>
          <w:sz w:val="24"/>
          <w:szCs w:val="24"/>
          <w:lang w:eastAsia="zh-CN"/>
        </w:rPr>
      </w:pPr>
      <w:r w:rsidRPr="00E90848">
        <w:rPr>
          <w:rFonts w:ascii="Times New Roman" w:eastAsia="SimSun" w:hAnsi="Times New Roman" w:cs="Times New Roman"/>
          <w:sz w:val="24"/>
          <w:szCs w:val="24"/>
          <w:lang w:eastAsia="zh-CN"/>
        </w:rPr>
        <w:tab/>
        <w:t>Prior to field planting, the soil was tilled to a 15 cm depth and then leveled. A soil fumigant, dazomet (Basamid</w:t>
      </w:r>
      <w:r w:rsidRPr="00E90848">
        <w:rPr>
          <w:rFonts w:ascii="Times New Roman" w:eastAsia="SimSun" w:hAnsi="Times New Roman" w:cs="Times New Roman"/>
          <w:sz w:val="24"/>
          <w:szCs w:val="24"/>
          <w:vertAlign w:val="superscript"/>
          <w:lang w:eastAsia="zh-CN"/>
        </w:rPr>
        <w:t>®</w:t>
      </w:r>
      <w:r w:rsidRPr="00E90848">
        <w:rPr>
          <w:rFonts w:ascii="Times New Roman" w:eastAsia="SimSun" w:hAnsi="Times New Roman" w:cs="Times New Roman"/>
          <w:sz w:val="24"/>
          <w:szCs w:val="24"/>
          <w:lang w:eastAsia="zh-CN"/>
        </w:rPr>
        <w:t xml:space="preserve"> G) (Certis USA L.L.C. Columbia, MD), was applied at 53.7 g m</w:t>
      </w:r>
      <w:r w:rsidRPr="00E90848">
        <w:rPr>
          <w:rFonts w:ascii="Times New Roman" w:eastAsia="SimSun" w:hAnsi="Times New Roman" w:cs="Times New Roman"/>
          <w:sz w:val="24"/>
          <w:szCs w:val="24"/>
          <w:vertAlign w:val="superscript"/>
          <w:lang w:eastAsia="zh-CN"/>
        </w:rPr>
        <w:t>-2</w:t>
      </w:r>
      <w:r w:rsidRPr="00E90848">
        <w:rPr>
          <w:rFonts w:ascii="Times New Roman" w:eastAsia="SimSun" w:hAnsi="Times New Roman" w:cs="Times New Roman"/>
          <w:sz w:val="24"/>
          <w:szCs w:val="24"/>
          <w:lang w:eastAsia="zh-CN"/>
        </w:rPr>
        <w:t xml:space="preserve"> and watered in. Polyethylene sheeting was used to cover the site for three days, after which the covers were removed and an additional week was allowed to let the Basamid dissipate from the soil before planting. </w:t>
      </w:r>
    </w:p>
    <w:p w14:paraId="49B8E8F7" w14:textId="77777777" w:rsidR="00E90848" w:rsidRPr="00E90848" w:rsidRDefault="00E90848" w:rsidP="00E90848">
      <w:pPr>
        <w:spacing w:after="0" w:line="480" w:lineRule="auto"/>
        <w:rPr>
          <w:rFonts w:ascii="Times New Roman" w:eastAsia="SimSun" w:hAnsi="Times New Roman" w:cs="Times New Roman"/>
          <w:sz w:val="24"/>
          <w:szCs w:val="24"/>
          <w:lang w:eastAsia="zh-CN"/>
        </w:rPr>
      </w:pPr>
      <w:r w:rsidRPr="00E90848">
        <w:rPr>
          <w:rFonts w:ascii="Times New Roman" w:eastAsia="SimSun" w:hAnsi="Times New Roman" w:cs="Times New Roman"/>
          <w:sz w:val="24"/>
          <w:szCs w:val="24"/>
          <w:lang w:eastAsia="zh-CN"/>
        </w:rPr>
        <w:lastRenderedPageBreak/>
        <w:tab/>
        <w:t>At six weeks after seeding (1 October 2010 and 3 October 2011), plants were transplanted to the field at the East Tennessee Research and Education Center, Knoxville,  on a Sequatchie silt loam soil (fine-loamy, siliceous, semi active, thermic Humic Hapludult). Plot size was 66 cm x 81 cm, arranged in a randomized complete block design with four replications. Six plugs were planted on 15 cm centers, arranged in a two × three pattern within the center of the plot.  A 5 cm diameter plugging tool was used to cut holes in the soil for the plugs. After placing the plug in the soil, the remaining space around the plug was backfilled with native soil from the plugging operation.</w:t>
      </w:r>
      <w:r w:rsidRPr="00E90848">
        <w:rPr>
          <w:rFonts w:ascii="Times New Roman" w:eastAsia="SimSun" w:hAnsi="Times New Roman" w:cs="Times New Roman"/>
          <w:sz w:val="24"/>
          <w:szCs w:val="24"/>
          <w:lang w:eastAsia="zh-CN"/>
        </w:rPr>
        <w:tab/>
      </w:r>
    </w:p>
    <w:p w14:paraId="55CE1E4D" w14:textId="77777777" w:rsidR="00E90848" w:rsidRPr="00E90848" w:rsidRDefault="00E90848" w:rsidP="00E90848">
      <w:pPr>
        <w:spacing w:after="0" w:line="480" w:lineRule="auto"/>
        <w:rPr>
          <w:rFonts w:ascii="Times New Roman" w:eastAsia="SimSun" w:hAnsi="Times New Roman" w:cs="Times New Roman"/>
          <w:sz w:val="24"/>
          <w:szCs w:val="24"/>
          <w:lang w:eastAsia="zh-CN"/>
        </w:rPr>
      </w:pPr>
      <w:r w:rsidRPr="00E90848">
        <w:rPr>
          <w:rFonts w:ascii="Times New Roman" w:eastAsia="SimSun" w:hAnsi="Times New Roman" w:cs="Times New Roman"/>
          <w:sz w:val="24"/>
          <w:szCs w:val="24"/>
          <w:lang w:eastAsia="zh-CN"/>
        </w:rPr>
        <w:tab/>
        <w:t>A 10-10-10 fertilizer was applied at 5 g N m</w:t>
      </w:r>
      <w:r w:rsidRPr="00E90848">
        <w:rPr>
          <w:rFonts w:ascii="Times New Roman" w:eastAsia="SimSun" w:hAnsi="Times New Roman" w:cs="Times New Roman"/>
          <w:sz w:val="24"/>
          <w:szCs w:val="24"/>
          <w:vertAlign w:val="superscript"/>
          <w:lang w:eastAsia="zh-CN"/>
        </w:rPr>
        <w:t>-2</w:t>
      </w:r>
      <w:r w:rsidRPr="00E90848">
        <w:rPr>
          <w:rFonts w:ascii="Times New Roman" w:eastAsia="SimSun" w:hAnsi="Times New Roman" w:cs="Times New Roman"/>
          <w:sz w:val="24"/>
          <w:szCs w:val="24"/>
          <w:lang w:eastAsia="zh-CN"/>
        </w:rPr>
        <w:t xml:space="preserve"> at planting, followed by a 5 g N m</w:t>
      </w:r>
      <w:r w:rsidRPr="00E90848">
        <w:rPr>
          <w:rFonts w:ascii="Times New Roman" w:eastAsia="SimSun" w:hAnsi="Times New Roman" w:cs="Times New Roman"/>
          <w:sz w:val="24"/>
          <w:szCs w:val="24"/>
          <w:vertAlign w:val="superscript"/>
          <w:lang w:eastAsia="zh-CN"/>
        </w:rPr>
        <w:t xml:space="preserve">-2 </w:t>
      </w:r>
      <w:r w:rsidRPr="00E90848">
        <w:rPr>
          <w:rFonts w:ascii="Times New Roman" w:eastAsia="SimSun" w:hAnsi="Times New Roman" w:cs="Times New Roman"/>
          <w:sz w:val="24"/>
          <w:szCs w:val="24"/>
          <w:lang w:eastAsia="zh-CN"/>
        </w:rPr>
        <w:t xml:space="preserve">of the same analysis applied on 1 November 2010 and 30 October 2011.  The following spring a 24-6-12 fertilizer, with 50% of the nitrogen in a slow release form, was applied on 15 March and 2 May 2011 and 15 March and 1 May 2012. Mowing was initiated one week after planting at a cutting height of 7.6 cm weekly during active growth. Irrigation was applied as needed to prevent moisture stress. Fungal pathogens and insects were controlled preventatively using rotations of broad spectrum, long residual products with rates based on label recommendations. </w:t>
      </w:r>
    </w:p>
    <w:p w14:paraId="5F6D5041" w14:textId="77777777" w:rsidR="00E90848" w:rsidRDefault="00E90848" w:rsidP="00E90848">
      <w:pPr>
        <w:spacing w:after="0" w:line="480" w:lineRule="auto"/>
        <w:rPr>
          <w:rFonts w:ascii="Times New Roman" w:eastAsia="Calibri" w:hAnsi="Times New Roman" w:cs="Times New Roman"/>
          <w:sz w:val="24"/>
          <w:szCs w:val="24"/>
        </w:rPr>
      </w:pPr>
      <w:r w:rsidRPr="00E90848">
        <w:rPr>
          <w:rFonts w:ascii="Times New Roman" w:eastAsia="Calibri" w:hAnsi="Times New Roman" w:cs="Times New Roman"/>
          <w:sz w:val="24"/>
          <w:szCs w:val="24"/>
        </w:rPr>
        <w:t xml:space="preserve">Percent green turf cover was evaluated using digital image analysis (DIA), using previously described methods (Richardson et al., 2001). DIA was initiated each year at one month after field planting and continued on monthly intervals for a one year period resulting in 12 rating dates beginning in November and ending in October of each year. </w:t>
      </w:r>
    </w:p>
    <w:p w14:paraId="7FACB71C" w14:textId="77777777" w:rsidR="00812798" w:rsidRDefault="00A53E89" w:rsidP="00E90848">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Both years and months differed and were therefore analyzed and reported separately. Species were grouped by their observed growth habit in the field as bunch type, rhizomatous, or stoloniferous. </w:t>
      </w:r>
      <w:r w:rsidR="00812798">
        <w:rPr>
          <w:rFonts w:ascii="Times New Roman" w:eastAsia="Calibri" w:hAnsi="Times New Roman" w:cs="Times New Roman"/>
          <w:sz w:val="24"/>
          <w:szCs w:val="24"/>
        </w:rPr>
        <w:t>These</w:t>
      </w:r>
      <w:r>
        <w:rPr>
          <w:rFonts w:ascii="Times New Roman" w:eastAsia="Calibri" w:hAnsi="Times New Roman" w:cs="Times New Roman"/>
          <w:sz w:val="24"/>
          <w:szCs w:val="24"/>
        </w:rPr>
        <w:t xml:space="preserve"> groups were analyzed as a fixed effect along with each individual species.</w:t>
      </w:r>
    </w:p>
    <w:p w14:paraId="1FF9A3C9" w14:textId="77777777" w:rsidR="00A53E89" w:rsidRPr="00E90848" w:rsidRDefault="00A53E89" w:rsidP="00E90848">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470D1E2D" w14:textId="77777777" w:rsidR="003151DE" w:rsidRDefault="00843870" w:rsidP="00843870">
      <w:pPr>
        <w:pStyle w:val="Heading3"/>
      </w:pPr>
      <w:bookmarkStart w:id="11" w:name="_Toc354003318"/>
      <w:r>
        <w:lastRenderedPageBreak/>
        <w:t>Results</w:t>
      </w:r>
      <w:bookmarkEnd w:id="11"/>
    </w:p>
    <w:p w14:paraId="5D4B7B1D" w14:textId="77777777" w:rsidR="00843870" w:rsidRDefault="00843870" w:rsidP="00843870"/>
    <w:p w14:paraId="33BEEE6A" w14:textId="77777777" w:rsidR="00843870" w:rsidRPr="00843870" w:rsidRDefault="00843870" w:rsidP="00843870">
      <w:pPr>
        <w:spacing w:after="0" w:line="480" w:lineRule="auto"/>
        <w:ind w:firstLine="720"/>
        <w:rPr>
          <w:rFonts w:ascii="Times New Roman" w:eastAsia="Calibri" w:hAnsi="Times New Roman" w:cs="Times New Roman"/>
          <w:sz w:val="24"/>
          <w:szCs w:val="24"/>
        </w:rPr>
      </w:pPr>
      <w:r w:rsidRPr="00843870">
        <w:rPr>
          <w:rFonts w:ascii="Times New Roman" w:eastAsia="Calibri" w:hAnsi="Times New Roman" w:cs="Times New Roman"/>
          <w:sz w:val="24"/>
          <w:szCs w:val="24"/>
        </w:rPr>
        <w:t xml:space="preserve">When grouped by growth habit, differences were observed between groups, between years, and between dates within years (Table 2.2). The two seasons were comparable at the November and December rating dates, with all groups increasing in cover (Figure 2.1 A-B). Notable differences were observed between December and January of the two seasons. In 2010-2011, the rate of increase slowed and little cover was gained (Figure 2.1 A). The 2011-2012 season was different, with a considerable increase in cover for all growth habit groups in January (Figure 2.1 B). Between January and February in 2010-2011, a slight increase was observed with the stoloniferous group. Whereas, the rhizomatous and bunch type groups showed a slight decrease in cover (Figure 2.1 A). During the 2011-2012 season the bunch type group remained the same. Whereas the stoloniferous and rhizomatous group had gains in cover, with the stoloniferous group showing the highest gain (Figure 2.1 B). </w:t>
      </w:r>
    </w:p>
    <w:p w14:paraId="3ECD1B0B" w14:textId="77777777" w:rsidR="00843870" w:rsidRPr="00843870" w:rsidRDefault="00843870" w:rsidP="00843870">
      <w:pPr>
        <w:spacing w:after="0" w:line="480" w:lineRule="auto"/>
        <w:rPr>
          <w:rFonts w:ascii="Times New Roman" w:eastAsia="Calibri" w:hAnsi="Times New Roman" w:cs="Times New Roman"/>
          <w:b/>
          <w:sz w:val="24"/>
          <w:szCs w:val="24"/>
        </w:rPr>
      </w:pPr>
      <w:r w:rsidRPr="00843870">
        <w:rPr>
          <w:rFonts w:ascii="Times New Roman" w:eastAsia="Calibri" w:hAnsi="Times New Roman" w:cs="Times New Roman"/>
          <w:sz w:val="24"/>
          <w:szCs w:val="24"/>
        </w:rPr>
        <w:t xml:space="preserve"> </w:t>
      </w:r>
      <w:r w:rsidRPr="00843870">
        <w:rPr>
          <w:rFonts w:ascii="Times New Roman" w:eastAsia="Calibri" w:hAnsi="Times New Roman" w:cs="Times New Roman"/>
          <w:sz w:val="24"/>
          <w:szCs w:val="24"/>
        </w:rPr>
        <w:tab/>
        <w:t xml:space="preserve">Stoloniferous species were consistently advantageous by the first rating date, occurring in November, having 3-4% more green cover than the bunch type and rhizomatous species (Figure 2.1 A-B). This trend continued through March of both years, with increasing separation between the stoloniferous species in comparison to the rhizomatous species and bunch types (Figure 2.1 A-B). In April through July of the 2010-2011 season, the stoloniferous species did not differ from the rhizomatous species (Figure 2.1 A). From August through final rating date of the 2010-2011 season, the rhizomatous group had significantly more cover than the bunch type and stoloniferous </w:t>
      </w:r>
      <w:proofErr w:type="gramStart"/>
      <w:r w:rsidRPr="00843870">
        <w:rPr>
          <w:rFonts w:ascii="Times New Roman" w:eastAsia="Calibri" w:hAnsi="Times New Roman" w:cs="Times New Roman"/>
          <w:sz w:val="24"/>
          <w:szCs w:val="24"/>
        </w:rPr>
        <w:t>groups ,</w:t>
      </w:r>
      <w:proofErr w:type="gramEnd"/>
      <w:r w:rsidRPr="00843870">
        <w:rPr>
          <w:rFonts w:ascii="Times New Roman" w:eastAsia="Calibri" w:hAnsi="Times New Roman" w:cs="Times New Roman"/>
          <w:sz w:val="24"/>
          <w:szCs w:val="24"/>
        </w:rPr>
        <w:t xml:space="preserve"> which did not differ from each other (Figure 2.1 A). During the 2011-2012 season, the stoloniferous species maintained significantly higher cover than the bunch and rhizomatous types from the first rating date in November through the final rating date in October (Figure 2.1 B). During the period from January until October, the rhizomatous group was </w:t>
      </w:r>
      <w:r w:rsidRPr="00843870">
        <w:rPr>
          <w:rFonts w:ascii="Times New Roman" w:eastAsia="Calibri" w:hAnsi="Times New Roman" w:cs="Times New Roman"/>
          <w:sz w:val="24"/>
          <w:szCs w:val="24"/>
        </w:rPr>
        <w:lastRenderedPageBreak/>
        <w:t>intermediate, having higher cover than the bunch types but lower cover than the stoloniferous types (Figure 2.1 B)</w:t>
      </w:r>
      <w:r w:rsidRPr="00843870">
        <w:rPr>
          <w:rFonts w:ascii="Times New Roman" w:eastAsia="Calibri" w:hAnsi="Times New Roman" w:cs="Times New Roman"/>
          <w:b/>
          <w:sz w:val="24"/>
          <w:szCs w:val="24"/>
        </w:rPr>
        <w:t>.</w:t>
      </w:r>
    </w:p>
    <w:p w14:paraId="5D935A39" w14:textId="008AD90E" w:rsidR="007E5FDD" w:rsidRPr="00843870" w:rsidRDefault="007E5FDD" w:rsidP="007E5FDD">
      <w:pPr>
        <w:spacing w:after="0" w:line="480" w:lineRule="auto"/>
        <w:ind w:firstLine="720"/>
        <w:rPr>
          <w:rFonts w:ascii="Times New Roman" w:eastAsia="Calibri" w:hAnsi="Times New Roman" w:cs="Times New Roman"/>
          <w:sz w:val="24"/>
          <w:szCs w:val="24"/>
        </w:rPr>
      </w:pPr>
      <w:r w:rsidRPr="00843870">
        <w:rPr>
          <w:rFonts w:ascii="Times New Roman" w:eastAsia="Calibri" w:hAnsi="Times New Roman" w:cs="Times New Roman"/>
          <w:sz w:val="24"/>
          <w:szCs w:val="24"/>
        </w:rPr>
        <w:t>The rhizomatous group contained Kentucky bluegrass, which is known to have the ability to maintain cover in the transition zone when properly managed. Within the three treatments of this species, Midnight Star and a local naturalized species designated “GC” both had 16 occurrences in the top category (Tables 2.3-2.4). However, GC was the most consistent having an eight months in the top category, in comparison to Midnight Star which had eleven in the first season and only five the next (Table 2.3-2.4). Kenblue only occurred in the top statistical category a total of nine times for both seasons (Table 2.3-2.4). Armadillo, a hybrid between Texas b</w:t>
      </w:r>
      <w:r w:rsidR="00E11D61">
        <w:rPr>
          <w:rFonts w:ascii="Times New Roman" w:eastAsia="Calibri" w:hAnsi="Times New Roman" w:cs="Times New Roman"/>
          <w:sz w:val="24"/>
          <w:szCs w:val="24"/>
        </w:rPr>
        <w:t>luegrass and Kentucky bluegrass</w:t>
      </w:r>
      <w:r w:rsidRPr="00843870">
        <w:rPr>
          <w:rFonts w:ascii="Times New Roman" w:eastAsia="Calibri" w:hAnsi="Times New Roman" w:cs="Times New Roman"/>
          <w:sz w:val="24"/>
          <w:szCs w:val="24"/>
        </w:rPr>
        <w:t>, performed similar to the Kentucky bluegrass cultivars, having seven and eight months in the top category in the 2010-2011 and 2011-2012 seasons respectively (Tables 2.3-2.4). Canada bluegrass (</w:t>
      </w:r>
      <w:r w:rsidRPr="00843870">
        <w:rPr>
          <w:rFonts w:ascii="Times New Roman" w:eastAsia="Calibri" w:hAnsi="Times New Roman" w:cs="Times New Roman"/>
          <w:i/>
          <w:sz w:val="24"/>
          <w:szCs w:val="24"/>
        </w:rPr>
        <w:t>P. compressa</w:t>
      </w:r>
      <w:r w:rsidRPr="00843870">
        <w:rPr>
          <w:rFonts w:ascii="Times New Roman" w:eastAsia="Calibri" w:hAnsi="Times New Roman" w:cs="Times New Roman"/>
          <w:sz w:val="24"/>
          <w:szCs w:val="24"/>
        </w:rPr>
        <w:t xml:space="preserve"> L.) also performed well, occurring in the top group nine times in the first season and 6 times in the second season (Tables 2.3-2.4). </w:t>
      </w:r>
      <w:r w:rsidRPr="00843870">
        <w:rPr>
          <w:rFonts w:ascii="Times New Roman" w:eastAsia="Calibri" w:hAnsi="Times New Roman" w:cs="Times New Roman"/>
          <w:i/>
          <w:sz w:val="24"/>
          <w:szCs w:val="24"/>
        </w:rPr>
        <w:t>P. maniototo</w:t>
      </w:r>
      <w:r w:rsidRPr="00843870">
        <w:rPr>
          <w:rFonts w:ascii="Times New Roman" w:eastAsia="Calibri" w:hAnsi="Times New Roman" w:cs="Times New Roman"/>
          <w:sz w:val="24"/>
          <w:szCs w:val="24"/>
        </w:rPr>
        <w:t xml:space="preserve"> had a higher number of occurrences in the top statistical category than any of the Kentucky bluegrass cultivars with a total of 17 (Table 2.3-2.4). </w:t>
      </w:r>
      <w:r w:rsidRPr="00843870">
        <w:rPr>
          <w:rFonts w:ascii="Times New Roman" w:eastAsia="Calibri" w:hAnsi="Times New Roman" w:cs="Times New Roman"/>
          <w:i/>
          <w:sz w:val="24"/>
          <w:szCs w:val="24"/>
        </w:rPr>
        <w:t>P. stiriaca</w:t>
      </w:r>
      <w:r w:rsidRPr="00843870">
        <w:rPr>
          <w:rFonts w:ascii="Times New Roman" w:eastAsia="Calibri" w:hAnsi="Times New Roman" w:cs="Times New Roman"/>
          <w:sz w:val="24"/>
          <w:szCs w:val="24"/>
        </w:rPr>
        <w:t xml:space="preserve"> had the highest number of occurrences in the top statistical category with 12 in the first season and 10 in the second. All other rhizomatous species tested never made the top category for any month of either year (Tables 2.3-2.4).</w:t>
      </w:r>
    </w:p>
    <w:p w14:paraId="78F925C1" w14:textId="77777777" w:rsidR="007E5FDD" w:rsidRDefault="00843870" w:rsidP="007E5FDD">
      <w:pPr>
        <w:spacing w:after="0" w:line="480" w:lineRule="auto"/>
        <w:ind w:firstLine="720"/>
        <w:rPr>
          <w:rFonts w:ascii="Times New Roman" w:eastAsia="Calibri" w:hAnsi="Times New Roman" w:cs="Times New Roman"/>
          <w:sz w:val="24"/>
          <w:szCs w:val="24"/>
        </w:rPr>
      </w:pPr>
      <w:r w:rsidRPr="00843870">
        <w:rPr>
          <w:rFonts w:ascii="Times New Roman" w:eastAsia="Calibri" w:hAnsi="Times New Roman" w:cs="Times New Roman"/>
          <w:sz w:val="24"/>
          <w:szCs w:val="24"/>
        </w:rPr>
        <w:t xml:space="preserve">In the stoloniferous group, an experimental </w:t>
      </w:r>
      <w:r w:rsidRPr="00843870">
        <w:rPr>
          <w:rFonts w:ascii="Times New Roman" w:eastAsia="Calibri" w:hAnsi="Times New Roman" w:cs="Times New Roman"/>
          <w:i/>
          <w:sz w:val="24"/>
          <w:szCs w:val="24"/>
        </w:rPr>
        <w:t xml:space="preserve">P. trivialis </w:t>
      </w:r>
      <w:r w:rsidRPr="00843870">
        <w:rPr>
          <w:rFonts w:ascii="Times New Roman" w:eastAsia="Calibri" w:hAnsi="Times New Roman" w:cs="Times New Roman"/>
          <w:sz w:val="24"/>
          <w:szCs w:val="24"/>
        </w:rPr>
        <w:t xml:space="preserve">cultivar CR-91 had the highest number of occurrences with nine in the first season and seven in the second (Tables 2.3-2.4). </w:t>
      </w:r>
      <w:r w:rsidRPr="00843870">
        <w:rPr>
          <w:rFonts w:ascii="Times New Roman" w:eastAsia="Calibri" w:hAnsi="Times New Roman" w:cs="Times New Roman"/>
          <w:i/>
          <w:sz w:val="24"/>
          <w:szCs w:val="24"/>
        </w:rPr>
        <w:t>P. supina</w:t>
      </w:r>
      <w:r w:rsidRPr="00843870">
        <w:rPr>
          <w:rFonts w:ascii="Times New Roman" w:eastAsia="Calibri" w:hAnsi="Times New Roman" w:cs="Times New Roman"/>
          <w:sz w:val="24"/>
          <w:szCs w:val="24"/>
        </w:rPr>
        <w:t xml:space="preserve"> had fewer occurrences, with six and eight months in the top categories, respectively. All other stoloniferous cultivars and species did occur in the top category at some point, however the </w:t>
      </w:r>
      <w:r w:rsidRPr="00843870">
        <w:rPr>
          <w:rFonts w:ascii="Times New Roman" w:eastAsia="Calibri" w:hAnsi="Times New Roman" w:cs="Times New Roman"/>
          <w:sz w:val="24"/>
          <w:szCs w:val="24"/>
        </w:rPr>
        <w:lastRenderedPageBreak/>
        <w:t xml:space="preserve">number of occurrences were inconsistent between years. Included in these species was one of the unknown </w:t>
      </w:r>
      <w:r w:rsidRPr="00843870">
        <w:rPr>
          <w:rFonts w:ascii="Times New Roman" w:eastAsia="Calibri" w:hAnsi="Times New Roman" w:cs="Times New Roman"/>
          <w:i/>
          <w:sz w:val="24"/>
          <w:szCs w:val="24"/>
        </w:rPr>
        <w:t xml:space="preserve">Poa </w:t>
      </w:r>
      <w:r w:rsidRPr="00843870">
        <w:rPr>
          <w:rFonts w:ascii="Times New Roman" w:eastAsia="Calibri" w:hAnsi="Times New Roman" w:cs="Times New Roman"/>
          <w:sz w:val="24"/>
          <w:szCs w:val="24"/>
        </w:rPr>
        <w:t>species with USDA accession number PI 16171 (Tables 2.3-2.4).</w:t>
      </w:r>
      <w:r w:rsidR="007E5FDD" w:rsidRPr="007E5FDD">
        <w:rPr>
          <w:rFonts w:ascii="Times New Roman" w:eastAsia="Calibri" w:hAnsi="Times New Roman" w:cs="Times New Roman"/>
          <w:sz w:val="24"/>
          <w:szCs w:val="24"/>
        </w:rPr>
        <w:t xml:space="preserve"> </w:t>
      </w:r>
    </w:p>
    <w:p w14:paraId="092A5048" w14:textId="6EA9E9AA" w:rsidR="007E5FDD" w:rsidRPr="00843870" w:rsidRDefault="007E5FDD" w:rsidP="007E5FDD">
      <w:pPr>
        <w:spacing w:after="0" w:line="480" w:lineRule="auto"/>
        <w:ind w:firstLine="720"/>
        <w:rPr>
          <w:rFonts w:ascii="Times New Roman" w:eastAsia="Calibri" w:hAnsi="Times New Roman" w:cs="Times New Roman"/>
          <w:sz w:val="24"/>
          <w:szCs w:val="24"/>
        </w:rPr>
      </w:pPr>
      <w:r w:rsidRPr="00843870">
        <w:rPr>
          <w:rFonts w:ascii="Times New Roman" w:eastAsia="Calibri" w:hAnsi="Times New Roman" w:cs="Times New Roman"/>
          <w:sz w:val="24"/>
          <w:szCs w:val="24"/>
        </w:rPr>
        <w:t xml:space="preserve">In the bunch type group, </w:t>
      </w:r>
      <w:r w:rsidRPr="00843870">
        <w:rPr>
          <w:rFonts w:ascii="Times New Roman" w:eastAsia="Calibri" w:hAnsi="Times New Roman" w:cs="Times New Roman"/>
          <w:i/>
          <w:sz w:val="24"/>
          <w:szCs w:val="24"/>
        </w:rPr>
        <w:t>P. annua</w:t>
      </w:r>
      <w:r w:rsidRPr="00843870">
        <w:rPr>
          <w:rFonts w:ascii="Times New Roman" w:eastAsia="Calibri" w:hAnsi="Times New Roman" w:cs="Times New Roman"/>
          <w:sz w:val="24"/>
          <w:szCs w:val="24"/>
        </w:rPr>
        <w:t xml:space="preserve"> and </w:t>
      </w:r>
      <w:r w:rsidRPr="00843870">
        <w:rPr>
          <w:rFonts w:ascii="Times New Roman" w:eastAsia="Calibri" w:hAnsi="Times New Roman" w:cs="Times New Roman"/>
          <w:i/>
          <w:sz w:val="24"/>
          <w:szCs w:val="24"/>
        </w:rPr>
        <w:t>P. longifolia</w:t>
      </w:r>
      <w:r w:rsidRPr="00843870">
        <w:rPr>
          <w:rFonts w:ascii="Times New Roman" w:eastAsia="Calibri" w:hAnsi="Times New Roman" w:cs="Times New Roman"/>
          <w:sz w:val="24"/>
          <w:szCs w:val="24"/>
        </w:rPr>
        <w:t xml:space="preserve"> consistently performed well. </w:t>
      </w:r>
      <w:r w:rsidRPr="00843870">
        <w:rPr>
          <w:rFonts w:ascii="Times New Roman" w:eastAsia="Calibri" w:hAnsi="Times New Roman" w:cs="Times New Roman"/>
          <w:i/>
          <w:sz w:val="24"/>
          <w:szCs w:val="24"/>
        </w:rPr>
        <w:t>P. annua</w:t>
      </w:r>
      <w:r w:rsidRPr="00843870">
        <w:rPr>
          <w:rFonts w:ascii="Times New Roman" w:eastAsia="Calibri" w:hAnsi="Times New Roman" w:cs="Times New Roman"/>
          <w:sz w:val="24"/>
          <w:szCs w:val="24"/>
        </w:rPr>
        <w:t xml:space="preserve"> was in the top statistical category for five and six months out of 12 during the 2010-2011 and 2011-2012 seasons respectively (Tables 2.3-2.4). This species was consistent between seasons, always occurring in the top statistical category in November, but not in January and February, and returned to top statistical category in March through June. In the first season, </w:t>
      </w:r>
      <w:r w:rsidRPr="00843870">
        <w:rPr>
          <w:rFonts w:ascii="Times New Roman" w:eastAsia="Calibri" w:hAnsi="Times New Roman" w:cs="Times New Roman"/>
          <w:i/>
          <w:sz w:val="24"/>
          <w:szCs w:val="24"/>
        </w:rPr>
        <w:t>P. annua</w:t>
      </w:r>
      <w:r w:rsidRPr="00843870">
        <w:rPr>
          <w:rFonts w:ascii="Times New Roman" w:eastAsia="Calibri" w:hAnsi="Times New Roman" w:cs="Times New Roman"/>
          <w:sz w:val="24"/>
          <w:szCs w:val="24"/>
        </w:rPr>
        <w:t xml:space="preserve"> again returned to the top statistical category on the final rating date in October 2011.  Similarly, </w:t>
      </w:r>
      <w:r w:rsidRPr="00843870">
        <w:rPr>
          <w:rFonts w:ascii="Times New Roman" w:eastAsia="Calibri" w:hAnsi="Times New Roman" w:cs="Times New Roman"/>
          <w:i/>
          <w:sz w:val="24"/>
          <w:szCs w:val="24"/>
        </w:rPr>
        <w:t>P. longifolia</w:t>
      </w:r>
      <w:r w:rsidRPr="00843870">
        <w:rPr>
          <w:rFonts w:ascii="Times New Roman" w:eastAsia="Calibri" w:hAnsi="Times New Roman" w:cs="Times New Roman"/>
          <w:sz w:val="24"/>
          <w:szCs w:val="24"/>
        </w:rPr>
        <w:t xml:space="preserve"> was in the top statistical group for five months in both seasons. In the first season, this species was best in December through March and again in August (Table 2.3). In the second season it was best in November through March. In both seasons, </w:t>
      </w:r>
      <w:r w:rsidRPr="00843870">
        <w:rPr>
          <w:rFonts w:ascii="Times New Roman" w:eastAsia="Calibri" w:hAnsi="Times New Roman" w:cs="Times New Roman"/>
          <w:i/>
          <w:sz w:val="24"/>
          <w:szCs w:val="24"/>
        </w:rPr>
        <w:t>P. longifolia</w:t>
      </w:r>
      <w:r w:rsidR="00E67C9F">
        <w:rPr>
          <w:rFonts w:ascii="Times New Roman" w:eastAsia="Calibri" w:hAnsi="Times New Roman" w:cs="Times New Roman"/>
          <w:sz w:val="24"/>
          <w:szCs w:val="24"/>
        </w:rPr>
        <w:t xml:space="preserve"> </w:t>
      </w:r>
      <w:r w:rsidRPr="00843870">
        <w:rPr>
          <w:rFonts w:ascii="Times New Roman" w:eastAsia="Calibri" w:hAnsi="Times New Roman" w:cs="Times New Roman"/>
          <w:sz w:val="24"/>
          <w:szCs w:val="24"/>
        </w:rPr>
        <w:t xml:space="preserve">had significantly higher cover than all other bunch type species (Tables 2.3-2.4). </w:t>
      </w:r>
      <w:r w:rsidRPr="00843870">
        <w:rPr>
          <w:rFonts w:ascii="Times New Roman" w:eastAsia="Calibri" w:hAnsi="Times New Roman" w:cs="Times New Roman"/>
          <w:i/>
          <w:sz w:val="24"/>
          <w:szCs w:val="24"/>
        </w:rPr>
        <w:t>P. flexuosa</w:t>
      </w:r>
      <w:r w:rsidRPr="00843870">
        <w:rPr>
          <w:rFonts w:ascii="Times New Roman" w:eastAsia="Calibri" w:hAnsi="Times New Roman" w:cs="Times New Roman"/>
          <w:sz w:val="24"/>
          <w:szCs w:val="24"/>
        </w:rPr>
        <w:t xml:space="preserve"> had fewer instances in the top category, but was consistent between years, having four months in the top category (Tables 2.3-2.4). However, in the first season this occurred in April through July, and in July through October in the second season. </w:t>
      </w:r>
      <w:r w:rsidRPr="00843870">
        <w:rPr>
          <w:rFonts w:ascii="Times New Roman" w:eastAsia="Calibri" w:hAnsi="Times New Roman" w:cs="Times New Roman"/>
          <w:i/>
          <w:sz w:val="24"/>
          <w:szCs w:val="24"/>
        </w:rPr>
        <w:t>P. alpina</w:t>
      </w:r>
      <w:r w:rsidRPr="00843870">
        <w:rPr>
          <w:rFonts w:ascii="Times New Roman" w:eastAsia="Calibri" w:hAnsi="Times New Roman" w:cs="Times New Roman"/>
          <w:sz w:val="24"/>
          <w:szCs w:val="24"/>
        </w:rPr>
        <w:t xml:space="preserve"> had the same total number of occurrences in the top category, but was inconsistent between years, having two months in the top category in the first season and six months in the second season. Other species had fewer instances in the top category, and were inconsistent between seasons (Table 2.3-2.4).</w:t>
      </w:r>
    </w:p>
    <w:p w14:paraId="375694AD" w14:textId="77777777" w:rsidR="007E5FDD" w:rsidRPr="00843870" w:rsidRDefault="007E5FDD" w:rsidP="00812798">
      <w:pPr>
        <w:spacing w:after="0" w:line="480" w:lineRule="auto"/>
        <w:rPr>
          <w:rFonts w:ascii="Times New Roman" w:eastAsia="Calibri" w:hAnsi="Times New Roman" w:cs="Times New Roman"/>
          <w:sz w:val="24"/>
          <w:szCs w:val="24"/>
        </w:rPr>
      </w:pPr>
    </w:p>
    <w:p w14:paraId="0F92855F" w14:textId="77777777" w:rsidR="00843870" w:rsidRPr="00812798" w:rsidRDefault="00843870" w:rsidP="00843870">
      <w:pPr>
        <w:spacing w:after="0" w:line="480" w:lineRule="auto"/>
        <w:ind w:firstLine="720"/>
        <w:rPr>
          <w:rFonts w:ascii="Times New Roman" w:eastAsia="Calibri" w:hAnsi="Times New Roman" w:cs="Times New Roman"/>
          <w:sz w:val="24"/>
          <w:szCs w:val="24"/>
        </w:rPr>
      </w:pPr>
      <w:r w:rsidRPr="00812798">
        <w:rPr>
          <w:rFonts w:ascii="Times New Roman" w:eastAsia="Calibri" w:hAnsi="Times New Roman" w:cs="Times New Roman"/>
          <w:sz w:val="24"/>
          <w:szCs w:val="24"/>
        </w:rPr>
        <w:t>When means across all treatments for each month and year were examined the highest cover was found in April of the 2010-2011 season, and March of 2011-2012 (Tables 2.3-2.4). The lowest cover was found in September in 2010-2011 and August in 2011-2012 (Tables 2.3-2.4). In September of the 2010-2011</w:t>
      </w:r>
      <w:r w:rsidR="00812798" w:rsidRPr="00812798">
        <w:rPr>
          <w:rFonts w:ascii="Times New Roman" w:eastAsia="Calibri" w:hAnsi="Times New Roman" w:cs="Times New Roman"/>
          <w:sz w:val="24"/>
          <w:szCs w:val="24"/>
        </w:rPr>
        <w:t xml:space="preserve"> in the rhizomatous group, the Kentucky bluegrass</w:t>
      </w:r>
      <w:r w:rsidR="00812798" w:rsidRPr="00812798">
        <w:rPr>
          <w:rFonts w:ascii="Times New Roman" w:eastAsia="Calibri" w:hAnsi="Times New Roman" w:cs="Times New Roman"/>
          <w:i/>
          <w:sz w:val="24"/>
          <w:szCs w:val="24"/>
        </w:rPr>
        <w:t xml:space="preserve"> </w:t>
      </w:r>
      <w:r w:rsidR="00812798" w:rsidRPr="00812798">
        <w:rPr>
          <w:rFonts w:ascii="Times New Roman" w:eastAsia="Calibri" w:hAnsi="Times New Roman" w:cs="Times New Roman"/>
          <w:sz w:val="24"/>
          <w:szCs w:val="24"/>
        </w:rPr>
        <w:lastRenderedPageBreak/>
        <w:t xml:space="preserve">treatments GC and Midnight Star, the Texas x Kentucky--hybrid Armadillo, and </w:t>
      </w:r>
      <w:r w:rsidR="00812798" w:rsidRPr="00812798">
        <w:rPr>
          <w:rFonts w:ascii="Times New Roman" w:eastAsia="Calibri" w:hAnsi="Times New Roman" w:cs="Times New Roman"/>
          <w:i/>
          <w:sz w:val="24"/>
          <w:szCs w:val="24"/>
        </w:rPr>
        <w:t>P. stiriaca</w:t>
      </w:r>
      <w:r w:rsidR="00812798" w:rsidRPr="00812798">
        <w:rPr>
          <w:rFonts w:ascii="Times New Roman" w:eastAsia="Calibri" w:hAnsi="Times New Roman" w:cs="Times New Roman"/>
          <w:sz w:val="24"/>
          <w:szCs w:val="24"/>
        </w:rPr>
        <w:t xml:space="preserve"> were in the top statistical group and significantly higher than any treatments in the bunch type and stoloniferous groups, maintaining greater than 74% green cover (Table 2.3).</w:t>
      </w:r>
      <w:r w:rsidRPr="00812798">
        <w:rPr>
          <w:rFonts w:ascii="Times New Roman" w:eastAsia="Calibri" w:hAnsi="Times New Roman" w:cs="Times New Roman"/>
          <w:sz w:val="24"/>
          <w:szCs w:val="24"/>
        </w:rPr>
        <w:t xml:space="preserve"> </w:t>
      </w:r>
      <w:r w:rsidR="00812798" w:rsidRPr="00812798">
        <w:rPr>
          <w:rFonts w:ascii="Times New Roman" w:eastAsia="Calibri" w:hAnsi="Times New Roman" w:cs="Times New Roman"/>
          <w:sz w:val="24"/>
          <w:szCs w:val="24"/>
        </w:rPr>
        <w:t xml:space="preserve">). In the stoloniferous category the highest cover achieved was 15.9% and 15.6% for </w:t>
      </w:r>
      <w:r w:rsidR="00812798" w:rsidRPr="00812798">
        <w:rPr>
          <w:rFonts w:ascii="Times New Roman" w:eastAsia="Calibri" w:hAnsi="Times New Roman" w:cs="Times New Roman"/>
          <w:i/>
          <w:sz w:val="24"/>
          <w:szCs w:val="24"/>
        </w:rPr>
        <w:t>P. trivialis</w:t>
      </w:r>
      <w:r w:rsidR="00812798" w:rsidRPr="00812798">
        <w:rPr>
          <w:rFonts w:ascii="Times New Roman" w:eastAsia="Calibri" w:hAnsi="Times New Roman" w:cs="Times New Roman"/>
          <w:sz w:val="24"/>
          <w:szCs w:val="24"/>
        </w:rPr>
        <w:t xml:space="preserve"> CR-91 and Supranova </w:t>
      </w:r>
      <w:r w:rsidR="00812798" w:rsidRPr="00812798">
        <w:rPr>
          <w:rFonts w:ascii="Times New Roman" w:eastAsia="Calibri" w:hAnsi="Times New Roman" w:cs="Times New Roman"/>
          <w:i/>
          <w:sz w:val="24"/>
          <w:szCs w:val="24"/>
        </w:rPr>
        <w:t>P. supina</w:t>
      </w:r>
      <w:r w:rsidR="00812798" w:rsidRPr="00812798">
        <w:rPr>
          <w:rFonts w:ascii="Times New Roman" w:eastAsia="Calibri" w:hAnsi="Times New Roman" w:cs="Times New Roman"/>
          <w:sz w:val="24"/>
          <w:szCs w:val="24"/>
        </w:rPr>
        <w:t>, respectively (Table 2.3). T</w:t>
      </w:r>
      <w:r w:rsidRPr="00812798">
        <w:rPr>
          <w:rFonts w:ascii="Times New Roman" w:eastAsia="Calibri" w:hAnsi="Times New Roman" w:cs="Times New Roman"/>
          <w:sz w:val="24"/>
          <w:szCs w:val="24"/>
        </w:rPr>
        <w:t xml:space="preserve">he only two bunch types in the top statistical category were </w:t>
      </w:r>
      <w:r w:rsidRPr="00812798">
        <w:rPr>
          <w:rFonts w:ascii="Times New Roman" w:eastAsia="Calibri" w:hAnsi="Times New Roman" w:cs="Times New Roman"/>
          <w:i/>
          <w:sz w:val="24"/>
          <w:szCs w:val="24"/>
        </w:rPr>
        <w:t>P. gilgiana</w:t>
      </w:r>
      <w:r w:rsidRPr="00812798">
        <w:rPr>
          <w:rFonts w:ascii="Times New Roman" w:eastAsia="Calibri" w:hAnsi="Times New Roman" w:cs="Times New Roman"/>
          <w:sz w:val="24"/>
          <w:szCs w:val="24"/>
        </w:rPr>
        <w:t xml:space="preserve"> and </w:t>
      </w:r>
      <w:r w:rsidRPr="00812798">
        <w:rPr>
          <w:rFonts w:ascii="Times New Roman" w:eastAsia="Calibri" w:hAnsi="Times New Roman" w:cs="Times New Roman"/>
          <w:i/>
          <w:sz w:val="24"/>
          <w:szCs w:val="24"/>
        </w:rPr>
        <w:t>P. lanigera</w:t>
      </w:r>
      <w:r w:rsidRPr="00812798">
        <w:rPr>
          <w:rFonts w:ascii="Times New Roman" w:eastAsia="Calibri" w:hAnsi="Times New Roman" w:cs="Times New Roman"/>
          <w:sz w:val="24"/>
          <w:szCs w:val="24"/>
        </w:rPr>
        <w:t xml:space="preserve"> with 39 and 32% green cover, respectively (Table 2.3</w:t>
      </w:r>
      <w:r w:rsidR="00812798" w:rsidRPr="00812798">
        <w:rPr>
          <w:rFonts w:ascii="Times New Roman" w:eastAsia="Calibri" w:hAnsi="Times New Roman" w:cs="Times New Roman"/>
          <w:sz w:val="24"/>
          <w:szCs w:val="24"/>
        </w:rPr>
        <w:t xml:space="preserve">) </w:t>
      </w:r>
      <w:r w:rsidRPr="00812798">
        <w:rPr>
          <w:rFonts w:ascii="Times New Roman" w:eastAsia="Calibri" w:hAnsi="Times New Roman" w:cs="Times New Roman"/>
          <w:sz w:val="24"/>
          <w:szCs w:val="24"/>
        </w:rPr>
        <w:t xml:space="preserve">In August of 2011-2012, </w:t>
      </w:r>
      <w:r w:rsidRPr="00812798">
        <w:rPr>
          <w:rFonts w:ascii="Times New Roman" w:eastAsia="Calibri" w:hAnsi="Times New Roman" w:cs="Times New Roman"/>
          <w:i/>
          <w:sz w:val="24"/>
          <w:szCs w:val="24"/>
        </w:rPr>
        <w:t>P. flexuosa</w:t>
      </w:r>
      <w:r w:rsidRPr="00812798">
        <w:rPr>
          <w:rFonts w:ascii="Times New Roman" w:eastAsia="Calibri" w:hAnsi="Times New Roman" w:cs="Times New Roman"/>
          <w:sz w:val="24"/>
          <w:szCs w:val="24"/>
        </w:rPr>
        <w:t xml:space="preserve"> stood alone in the top statistical category among the bunch types at 74% green cover (Table 2.4). </w:t>
      </w:r>
    </w:p>
    <w:p w14:paraId="03133CCC" w14:textId="6FBCA5E0" w:rsidR="00843870" w:rsidRPr="00812798" w:rsidRDefault="00843870" w:rsidP="00843870">
      <w:pPr>
        <w:spacing w:after="0" w:line="480" w:lineRule="auto"/>
        <w:ind w:firstLine="720"/>
        <w:rPr>
          <w:rFonts w:ascii="Times New Roman" w:eastAsia="Calibri" w:hAnsi="Times New Roman" w:cs="Times New Roman"/>
          <w:sz w:val="24"/>
          <w:szCs w:val="24"/>
        </w:rPr>
      </w:pPr>
      <w:r w:rsidRPr="00812798">
        <w:rPr>
          <w:rFonts w:ascii="Times New Roman" w:eastAsia="Calibri" w:hAnsi="Times New Roman" w:cs="Times New Roman"/>
          <w:sz w:val="24"/>
          <w:szCs w:val="24"/>
        </w:rPr>
        <w:t>In the rhizomato</w:t>
      </w:r>
      <w:r w:rsidR="00D9571C" w:rsidRPr="00812798">
        <w:rPr>
          <w:rFonts w:ascii="Times New Roman" w:eastAsia="Calibri" w:hAnsi="Times New Roman" w:cs="Times New Roman"/>
          <w:sz w:val="24"/>
          <w:szCs w:val="24"/>
        </w:rPr>
        <w:t xml:space="preserve">us group, all </w:t>
      </w:r>
      <w:r w:rsidR="00D9571C" w:rsidRPr="00812798">
        <w:rPr>
          <w:rFonts w:ascii="Times New Roman" w:eastAsia="Calibri" w:hAnsi="Times New Roman" w:cs="Times New Roman"/>
          <w:i/>
          <w:sz w:val="24"/>
          <w:szCs w:val="24"/>
        </w:rPr>
        <w:t>P. pratensis</w:t>
      </w:r>
      <w:r w:rsidRPr="00812798">
        <w:rPr>
          <w:rFonts w:ascii="Times New Roman" w:eastAsia="Calibri" w:hAnsi="Times New Roman" w:cs="Times New Roman"/>
          <w:sz w:val="24"/>
          <w:szCs w:val="24"/>
        </w:rPr>
        <w:t xml:space="preserve"> cultivars, the -Texas x Kentucky hybrid, </w:t>
      </w:r>
      <w:r w:rsidRPr="00812798">
        <w:rPr>
          <w:rFonts w:ascii="Times New Roman" w:eastAsia="Calibri" w:hAnsi="Times New Roman" w:cs="Times New Roman"/>
          <w:i/>
          <w:sz w:val="24"/>
          <w:szCs w:val="24"/>
        </w:rPr>
        <w:t>P. stiriaca</w:t>
      </w:r>
      <w:r w:rsidRPr="00812798">
        <w:rPr>
          <w:rFonts w:ascii="Times New Roman" w:eastAsia="Calibri" w:hAnsi="Times New Roman" w:cs="Times New Roman"/>
          <w:sz w:val="24"/>
          <w:szCs w:val="24"/>
        </w:rPr>
        <w:t xml:space="preserve">, and </w:t>
      </w:r>
      <w:r w:rsidRPr="00812798">
        <w:rPr>
          <w:rFonts w:ascii="Times New Roman" w:eastAsia="Calibri" w:hAnsi="Times New Roman" w:cs="Times New Roman"/>
          <w:i/>
          <w:sz w:val="24"/>
          <w:szCs w:val="24"/>
        </w:rPr>
        <w:t>P. maniototo</w:t>
      </w:r>
      <w:r w:rsidRPr="00812798">
        <w:rPr>
          <w:rFonts w:ascii="Times New Roman" w:eastAsia="Calibri" w:hAnsi="Times New Roman" w:cs="Times New Roman"/>
          <w:sz w:val="24"/>
          <w:szCs w:val="24"/>
        </w:rPr>
        <w:t xml:space="preserve"> were all in the top category with a minimum of 88% green cover, which</w:t>
      </w:r>
      <w:r w:rsidR="00812798" w:rsidRPr="00812798">
        <w:rPr>
          <w:rFonts w:ascii="Times New Roman" w:eastAsia="Calibri" w:hAnsi="Times New Roman" w:cs="Times New Roman"/>
          <w:sz w:val="24"/>
          <w:szCs w:val="24"/>
        </w:rPr>
        <w:t xml:space="preserve"> </w:t>
      </w:r>
      <w:r w:rsidRPr="00812798">
        <w:rPr>
          <w:rFonts w:ascii="Times New Roman" w:eastAsia="Calibri" w:hAnsi="Times New Roman" w:cs="Times New Roman"/>
          <w:sz w:val="24"/>
          <w:szCs w:val="24"/>
        </w:rPr>
        <w:t>was statistically higher than</w:t>
      </w:r>
      <w:r w:rsidRPr="00812798">
        <w:rPr>
          <w:rFonts w:ascii="Times New Roman" w:eastAsia="Calibri" w:hAnsi="Times New Roman" w:cs="Times New Roman"/>
          <w:i/>
          <w:sz w:val="24"/>
          <w:szCs w:val="24"/>
        </w:rPr>
        <w:t xml:space="preserve"> P. flexuosa</w:t>
      </w:r>
      <w:r w:rsidRPr="00812798">
        <w:rPr>
          <w:rFonts w:ascii="Times New Roman" w:eastAsia="Calibri" w:hAnsi="Times New Roman" w:cs="Times New Roman"/>
          <w:sz w:val="24"/>
          <w:szCs w:val="24"/>
        </w:rPr>
        <w:t xml:space="preserve"> in the bunch type group (Table 2.4). In the stoloniferous group </w:t>
      </w:r>
      <w:r w:rsidRPr="00812798">
        <w:rPr>
          <w:rFonts w:ascii="Times New Roman" w:eastAsia="Calibri" w:hAnsi="Times New Roman" w:cs="Times New Roman"/>
          <w:i/>
          <w:sz w:val="24"/>
          <w:szCs w:val="24"/>
        </w:rPr>
        <w:t xml:space="preserve">P. </w:t>
      </w:r>
      <w:r w:rsidR="00E11D61" w:rsidRPr="00812798">
        <w:rPr>
          <w:rFonts w:ascii="Times New Roman" w:eastAsia="Calibri" w:hAnsi="Times New Roman" w:cs="Times New Roman"/>
          <w:i/>
          <w:sz w:val="24"/>
          <w:szCs w:val="24"/>
        </w:rPr>
        <w:t>supina</w:t>
      </w:r>
      <w:r w:rsidR="00E11D61" w:rsidRPr="00812798">
        <w:rPr>
          <w:rFonts w:ascii="Times New Roman" w:eastAsia="Calibri" w:hAnsi="Times New Roman" w:cs="Times New Roman"/>
          <w:sz w:val="24"/>
          <w:szCs w:val="24"/>
        </w:rPr>
        <w:t>,</w:t>
      </w:r>
      <w:r w:rsidRPr="00812798">
        <w:rPr>
          <w:rFonts w:ascii="Times New Roman" w:eastAsia="Calibri" w:hAnsi="Times New Roman" w:cs="Times New Roman"/>
          <w:sz w:val="24"/>
          <w:szCs w:val="24"/>
        </w:rPr>
        <w:t xml:space="preserve"> CCC and CR-91 </w:t>
      </w:r>
      <w:r w:rsidRPr="00812798">
        <w:rPr>
          <w:rFonts w:ascii="Times New Roman" w:eastAsia="Calibri" w:hAnsi="Times New Roman" w:cs="Times New Roman"/>
          <w:i/>
          <w:sz w:val="24"/>
          <w:szCs w:val="24"/>
        </w:rPr>
        <w:t>P. trivialis</w:t>
      </w:r>
      <w:r w:rsidRPr="00812798">
        <w:rPr>
          <w:rFonts w:ascii="Times New Roman" w:eastAsia="Calibri" w:hAnsi="Times New Roman" w:cs="Times New Roman"/>
          <w:sz w:val="24"/>
          <w:szCs w:val="24"/>
        </w:rPr>
        <w:t xml:space="preserve"> were in the top category and not different from the rhizomatous group, with a minimum of 86% green cover for </w:t>
      </w:r>
      <w:r w:rsidRPr="00812798">
        <w:rPr>
          <w:rFonts w:ascii="Times New Roman" w:eastAsia="Calibri" w:hAnsi="Times New Roman" w:cs="Times New Roman"/>
          <w:i/>
          <w:sz w:val="24"/>
          <w:szCs w:val="24"/>
        </w:rPr>
        <w:t>P. trivialis</w:t>
      </w:r>
      <w:r w:rsidRPr="00812798">
        <w:rPr>
          <w:rFonts w:ascii="Times New Roman" w:eastAsia="Calibri" w:hAnsi="Times New Roman" w:cs="Times New Roman"/>
          <w:sz w:val="24"/>
          <w:szCs w:val="24"/>
        </w:rPr>
        <w:t xml:space="preserve"> CR-91. That was not different from the bunch type </w:t>
      </w:r>
      <w:r w:rsidRPr="00812798">
        <w:rPr>
          <w:rFonts w:ascii="Times New Roman" w:eastAsia="Calibri" w:hAnsi="Times New Roman" w:cs="Times New Roman"/>
          <w:i/>
          <w:sz w:val="24"/>
          <w:szCs w:val="24"/>
        </w:rPr>
        <w:t>P. flexuosa</w:t>
      </w:r>
      <w:r w:rsidRPr="00812798">
        <w:rPr>
          <w:rFonts w:ascii="Times New Roman" w:eastAsia="Calibri" w:hAnsi="Times New Roman" w:cs="Times New Roman"/>
          <w:sz w:val="24"/>
          <w:szCs w:val="24"/>
        </w:rPr>
        <w:t>, while the other stoloniferous treatments were significantly different (Table 2.4).</w:t>
      </w:r>
    </w:p>
    <w:p w14:paraId="141002D4" w14:textId="77777777" w:rsidR="00843870" w:rsidRPr="00843870" w:rsidRDefault="00843870" w:rsidP="00843870">
      <w:pPr>
        <w:spacing w:after="0" w:line="480" w:lineRule="auto"/>
        <w:rPr>
          <w:rFonts w:ascii="Times New Roman" w:eastAsia="Calibri" w:hAnsi="Times New Roman" w:cs="Times New Roman"/>
          <w:sz w:val="24"/>
          <w:szCs w:val="24"/>
        </w:rPr>
      </w:pPr>
      <w:r w:rsidRPr="00843870">
        <w:rPr>
          <w:rFonts w:ascii="Times New Roman" w:eastAsia="Calibri" w:hAnsi="Times New Roman" w:cs="Times New Roman"/>
          <w:sz w:val="24"/>
          <w:szCs w:val="24"/>
        </w:rPr>
        <w:t xml:space="preserve">. </w:t>
      </w:r>
    </w:p>
    <w:p w14:paraId="454932A5" w14:textId="77777777" w:rsidR="00843870" w:rsidRDefault="004C4F4B" w:rsidP="004C4F4B">
      <w:pPr>
        <w:pStyle w:val="Heading3"/>
      </w:pPr>
      <w:bookmarkStart w:id="12" w:name="_Toc354003319"/>
      <w:r>
        <w:t>Discussion</w:t>
      </w:r>
      <w:bookmarkEnd w:id="12"/>
    </w:p>
    <w:p w14:paraId="2428B431" w14:textId="77777777" w:rsidR="004C4F4B" w:rsidRDefault="004C4F4B" w:rsidP="004C4F4B"/>
    <w:p w14:paraId="489583E2" w14:textId="76965875" w:rsidR="004C4F4B" w:rsidRPr="004C4F4B" w:rsidRDefault="004C4F4B" w:rsidP="004C4F4B">
      <w:pPr>
        <w:spacing w:after="0" w:line="480" w:lineRule="auto"/>
        <w:ind w:firstLine="720"/>
        <w:rPr>
          <w:rFonts w:ascii="Times New Roman" w:eastAsia="Calibri" w:hAnsi="Times New Roman" w:cs="Times New Roman"/>
          <w:sz w:val="24"/>
          <w:szCs w:val="24"/>
        </w:rPr>
      </w:pPr>
      <w:r w:rsidRPr="004C4F4B">
        <w:rPr>
          <w:rFonts w:ascii="Times New Roman" w:eastAsia="Calibri" w:hAnsi="Times New Roman" w:cs="Times New Roman"/>
          <w:sz w:val="24"/>
          <w:szCs w:val="24"/>
        </w:rPr>
        <w:t>The differing gains of cover for the period between December and January are best explained by temperatures during these times (Figure 2.2). December 2010 and January 2011 both had below normal monthly average temperatures in comparison to December 2011 and January 2012, which had above aver</w:t>
      </w:r>
      <w:r w:rsidR="00E11D61">
        <w:rPr>
          <w:rFonts w:ascii="Times New Roman" w:eastAsia="Calibri" w:hAnsi="Times New Roman" w:cs="Times New Roman"/>
          <w:sz w:val="24"/>
          <w:szCs w:val="24"/>
        </w:rPr>
        <w:t xml:space="preserve">age temperatures (Figure 2.2). </w:t>
      </w:r>
      <w:r w:rsidRPr="004C4F4B">
        <w:rPr>
          <w:rFonts w:ascii="Times New Roman" w:eastAsia="Calibri" w:hAnsi="Times New Roman" w:cs="Times New Roman"/>
          <w:sz w:val="24"/>
          <w:szCs w:val="24"/>
        </w:rPr>
        <w:t xml:space="preserve">Both years were consistent, in that the stoloniferous group showed significantly higher cover during the first few months following establishment, indicating that the species as a group established quickly and were able </w:t>
      </w:r>
      <w:r w:rsidRPr="004C4F4B">
        <w:rPr>
          <w:rFonts w:ascii="Times New Roman" w:eastAsia="Calibri" w:hAnsi="Times New Roman" w:cs="Times New Roman"/>
          <w:sz w:val="24"/>
          <w:szCs w:val="24"/>
        </w:rPr>
        <w:lastRenderedPageBreak/>
        <w:t xml:space="preserve">to provide more cover going into winter (Table 2.2). It is important to realize that this group was only represented by two species, one </w:t>
      </w:r>
      <w:r w:rsidRPr="004C4F4B">
        <w:rPr>
          <w:rFonts w:ascii="Times New Roman" w:eastAsia="Calibri" w:hAnsi="Times New Roman" w:cs="Times New Roman"/>
          <w:i/>
          <w:sz w:val="24"/>
          <w:szCs w:val="24"/>
        </w:rPr>
        <w:t>P. supina</w:t>
      </w:r>
      <w:r w:rsidRPr="004C4F4B">
        <w:rPr>
          <w:rFonts w:ascii="Times New Roman" w:eastAsia="Calibri" w:hAnsi="Times New Roman" w:cs="Times New Roman"/>
          <w:sz w:val="24"/>
          <w:szCs w:val="24"/>
        </w:rPr>
        <w:t xml:space="preserve"> cultivar and three </w:t>
      </w:r>
      <w:r w:rsidRPr="004C4F4B">
        <w:rPr>
          <w:rFonts w:ascii="Times New Roman" w:eastAsia="Calibri" w:hAnsi="Times New Roman" w:cs="Times New Roman"/>
          <w:i/>
          <w:sz w:val="24"/>
          <w:szCs w:val="24"/>
        </w:rPr>
        <w:t xml:space="preserve">P. trivialis </w:t>
      </w:r>
      <w:r w:rsidRPr="004C4F4B">
        <w:rPr>
          <w:rFonts w:ascii="Times New Roman" w:eastAsia="Calibri" w:hAnsi="Times New Roman" w:cs="Times New Roman"/>
          <w:sz w:val="24"/>
          <w:szCs w:val="24"/>
        </w:rPr>
        <w:t xml:space="preserve">entries representing locally naturalized and experimental types (Table 2.1). </w:t>
      </w:r>
      <w:r w:rsidRPr="004C4F4B">
        <w:rPr>
          <w:rFonts w:ascii="Times New Roman" w:eastAsia="Calibri" w:hAnsi="Times New Roman" w:cs="Times New Roman"/>
          <w:i/>
          <w:sz w:val="24"/>
          <w:szCs w:val="24"/>
        </w:rPr>
        <w:t>P. supina</w:t>
      </w:r>
      <w:r w:rsidRPr="004C4F4B">
        <w:rPr>
          <w:rFonts w:ascii="Times New Roman" w:eastAsia="Calibri" w:hAnsi="Times New Roman" w:cs="Times New Roman"/>
          <w:sz w:val="24"/>
          <w:szCs w:val="24"/>
        </w:rPr>
        <w:t xml:space="preserve"> is described as having a good establishment rate (Beard and Beard, 2005), however it not as fast as perennial ryegrass (</w:t>
      </w:r>
      <w:r w:rsidRPr="004C4F4B">
        <w:rPr>
          <w:rFonts w:ascii="Times New Roman" w:eastAsia="Calibri" w:hAnsi="Times New Roman" w:cs="Times New Roman"/>
          <w:i/>
          <w:sz w:val="24"/>
          <w:szCs w:val="24"/>
        </w:rPr>
        <w:t>Lolium perenne</w:t>
      </w:r>
      <w:r w:rsidRPr="004C4F4B">
        <w:rPr>
          <w:rFonts w:ascii="Times New Roman" w:eastAsia="Calibri" w:hAnsi="Times New Roman" w:cs="Times New Roman"/>
          <w:sz w:val="24"/>
          <w:szCs w:val="24"/>
        </w:rPr>
        <w:t xml:space="preserve"> L.) (Sorochan and Rogers, 2001). </w:t>
      </w:r>
      <w:r w:rsidRPr="004C4F4B">
        <w:rPr>
          <w:rFonts w:ascii="Times New Roman" w:eastAsia="Calibri" w:hAnsi="Times New Roman" w:cs="Times New Roman"/>
          <w:i/>
          <w:sz w:val="24"/>
          <w:szCs w:val="24"/>
        </w:rPr>
        <w:t>P. trivialis</w:t>
      </w:r>
      <w:r w:rsidRPr="004C4F4B">
        <w:rPr>
          <w:rFonts w:ascii="Times New Roman" w:eastAsia="Calibri" w:hAnsi="Times New Roman" w:cs="Times New Roman"/>
          <w:sz w:val="24"/>
          <w:szCs w:val="24"/>
        </w:rPr>
        <w:t xml:space="preserve"> is described as having a rapid establishment rate (Beard and Beard, 2005), but i</w:t>
      </w:r>
      <w:r w:rsidR="001C6B45">
        <w:rPr>
          <w:rFonts w:ascii="Times New Roman" w:eastAsia="Calibri" w:hAnsi="Times New Roman" w:cs="Times New Roman"/>
          <w:sz w:val="24"/>
          <w:szCs w:val="24"/>
        </w:rPr>
        <w:t>t does not establish as rapidly</w:t>
      </w:r>
      <w:r w:rsidRPr="004C4F4B">
        <w:rPr>
          <w:rFonts w:ascii="Times New Roman" w:eastAsia="Calibri" w:hAnsi="Times New Roman" w:cs="Times New Roman"/>
          <w:sz w:val="24"/>
          <w:szCs w:val="24"/>
        </w:rPr>
        <w:t xml:space="preserve"> as perennial ryegrass (Goatley and Philley, 1998)</w:t>
      </w:r>
      <w:r w:rsidRPr="004C4F4B">
        <w:rPr>
          <w:rFonts w:ascii="Times New Roman" w:eastAsia="Calibri" w:hAnsi="Times New Roman" w:cs="Times New Roman"/>
          <w:color w:val="FF0000"/>
          <w:sz w:val="24"/>
          <w:szCs w:val="24"/>
        </w:rPr>
        <w:t xml:space="preserve">. </w:t>
      </w:r>
      <w:r w:rsidRPr="004C4F4B">
        <w:rPr>
          <w:rFonts w:ascii="Times New Roman" w:eastAsia="Calibri" w:hAnsi="Times New Roman" w:cs="Times New Roman"/>
          <w:sz w:val="24"/>
          <w:szCs w:val="24"/>
        </w:rPr>
        <w:t xml:space="preserve">No literature could be found comparing the establishment rates of </w:t>
      </w:r>
      <w:r w:rsidRPr="004C4F4B">
        <w:rPr>
          <w:rFonts w:ascii="Times New Roman" w:eastAsia="Calibri" w:hAnsi="Times New Roman" w:cs="Times New Roman"/>
          <w:i/>
          <w:sz w:val="24"/>
          <w:szCs w:val="24"/>
        </w:rPr>
        <w:t>P. supina</w:t>
      </w:r>
      <w:r w:rsidRPr="004C4F4B">
        <w:rPr>
          <w:rFonts w:ascii="Times New Roman" w:eastAsia="Calibri" w:hAnsi="Times New Roman" w:cs="Times New Roman"/>
          <w:sz w:val="24"/>
          <w:szCs w:val="24"/>
        </w:rPr>
        <w:t xml:space="preserve"> and </w:t>
      </w:r>
      <w:r w:rsidRPr="004C4F4B">
        <w:rPr>
          <w:rFonts w:ascii="Times New Roman" w:eastAsia="Calibri" w:hAnsi="Times New Roman" w:cs="Times New Roman"/>
          <w:i/>
          <w:sz w:val="24"/>
          <w:szCs w:val="24"/>
        </w:rPr>
        <w:t>P. trivialis</w:t>
      </w:r>
      <w:r w:rsidRPr="004C4F4B">
        <w:rPr>
          <w:rFonts w:ascii="Times New Roman" w:eastAsia="Calibri" w:hAnsi="Times New Roman" w:cs="Times New Roman"/>
          <w:sz w:val="24"/>
          <w:szCs w:val="24"/>
        </w:rPr>
        <w:t xml:space="preserve">. At the first rating date of November in both seasons there was no significant difference between </w:t>
      </w:r>
      <w:r w:rsidRPr="004C4F4B">
        <w:rPr>
          <w:rFonts w:ascii="Times New Roman" w:eastAsia="Calibri" w:hAnsi="Times New Roman" w:cs="Times New Roman"/>
          <w:i/>
          <w:sz w:val="24"/>
          <w:szCs w:val="24"/>
        </w:rPr>
        <w:t>P. supina</w:t>
      </w:r>
      <w:r w:rsidRPr="004C4F4B">
        <w:rPr>
          <w:rFonts w:ascii="Times New Roman" w:eastAsia="Calibri" w:hAnsi="Times New Roman" w:cs="Times New Roman"/>
          <w:sz w:val="24"/>
          <w:szCs w:val="24"/>
        </w:rPr>
        <w:t xml:space="preserve"> and CR-91 </w:t>
      </w:r>
      <w:r w:rsidRPr="004C4F4B">
        <w:rPr>
          <w:rFonts w:ascii="Times New Roman" w:eastAsia="Calibri" w:hAnsi="Times New Roman" w:cs="Times New Roman"/>
          <w:i/>
          <w:sz w:val="24"/>
          <w:szCs w:val="24"/>
        </w:rPr>
        <w:t>P. trivialis</w:t>
      </w:r>
      <w:r w:rsidRPr="004C4F4B">
        <w:rPr>
          <w:rFonts w:ascii="Times New Roman" w:eastAsia="Calibri" w:hAnsi="Times New Roman" w:cs="Times New Roman"/>
          <w:sz w:val="24"/>
          <w:szCs w:val="24"/>
        </w:rPr>
        <w:t xml:space="preserve">, suggesting that these two species are comparable in establishment rate.  </w:t>
      </w:r>
    </w:p>
    <w:p w14:paraId="2AF144E7" w14:textId="77777777" w:rsidR="004C4F4B" w:rsidRPr="00D96E8F" w:rsidRDefault="004C4F4B" w:rsidP="004C4F4B">
      <w:pPr>
        <w:spacing w:after="0" w:line="480" w:lineRule="auto"/>
        <w:ind w:firstLine="720"/>
        <w:rPr>
          <w:rFonts w:ascii="Times New Roman" w:eastAsia="Calibri" w:hAnsi="Times New Roman" w:cs="Times New Roman"/>
          <w:sz w:val="24"/>
          <w:szCs w:val="24"/>
        </w:rPr>
      </w:pPr>
      <w:r w:rsidRPr="004C4F4B">
        <w:rPr>
          <w:rFonts w:ascii="Times New Roman" w:eastAsia="Calibri" w:hAnsi="Times New Roman" w:cs="Times New Roman"/>
          <w:sz w:val="24"/>
          <w:szCs w:val="24"/>
        </w:rPr>
        <w:t xml:space="preserve">The use of </w:t>
      </w:r>
      <w:r w:rsidRPr="004C4F4B">
        <w:rPr>
          <w:rFonts w:ascii="Times New Roman" w:eastAsia="Calibri" w:hAnsi="Times New Roman" w:cs="Times New Roman"/>
          <w:i/>
          <w:sz w:val="24"/>
          <w:szCs w:val="24"/>
        </w:rPr>
        <w:t>P. supina</w:t>
      </w:r>
      <w:r w:rsidRPr="004C4F4B">
        <w:rPr>
          <w:rFonts w:ascii="Times New Roman" w:eastAsia="Calibri" w:hAnsi="Times New Roman" w:cs="Times New Roman"/>
          <w:sz w:val="24"/>
          <w:szCs w:val="24"/>
        </w:rPr>
        <w:t xml:space="preserve"> in the transition zone has not been tested to the author’s knowledge. It has been suggested that it should be used only in areas north of the transitions zone (Stier, 1998). The results of this study show that it was only able to maintain an acceptable level of cover in one out of the two summers tested. </w:t>
      </w:r>
      <w:r w:rsidRPr="004C4F4B">
        <w:rPr>
          <w:rFonts w:ascii="Times New Roman" w:eastAsia="Calibri" w:hAnsi="Times New Roman" w:cs="Times New Roman"/>
          <w:i/>
          <w:sz w:val="24"/>
          <w:szCs w:val="24"/>
        </w:rPr>
        <w:t>P. trivialis</w:t>
      </w:r>
      <w:r w:rsidRPr="004C4F4B">
        <w:rPr>
          <w:rFonts w:ascii="Times New Roman" w:eastAsia="Calibri" w:hAnsi="Times New Roman" w:cs="Times New Roman"/>
          <w:sz w:val="24"/>
          <w:szCs w:val="24"/>
        </w:rPr>
        <w:t xml:space="preserve"> also only maintained cover in the same summer as </w:t>
      </w:r>
      <w:r w:rsidRPr="004C4F4B">
        <w:rPr>
          <w:rFonts w:ascii="Times New Roman" w:eastAsia="Calibri" w:hAnsi="Times New Roman" w:cs="Times New Roman"/>
          <w:i/>
          <w:sz w:val="24"/>
          <w:szCs w:val="24"/>
        </w:rPr>
        <w:t>P. supina</w:t>
      </w:r>
      <w:r w:rsidRPr="004C4F4B">
        <w:rPr>
          <w:rFonts w:ascii="Times New Roman" w:eastAsia="Calibri" w:hAnsi="Times New Roman" w:cs="Times New Roman"/>
          <w:sz w:val="24"/>
          <w:szCs w:val="24"/>
        </w:rPr>
        <w:t>, suggesting the heat tolerance is similar and is a limitation to the use of these species in the transition zone. The reason both these species were able to maintain cover in one year and not the other is best explained by summer temperatures and the subsequent growing degree day accumulations (Figure 2.3-2.4). The average monthly temperatures were higher in the summer of 2011 during July through the final rating date in October, in comparison to normal and the summer of 2012. Summer temperatures in2012 were above normal in June and July, but below normal for the remaining rating dates (Figure 2.2). Additionally, growing degree accumulations at a base temperature of 18.3 C</w:t>
      </w:r>
      <w:r w:rsidRPr="004C4F4B">
        <w:rPr>
          <w:rFonts w:ascii="Calibri" w:eastAsia="Calibri" w:hAnsi="Calibri" w:cs="Times New Roman"/>
          <w:sz w:val="24"/>
          <w:szCs w:val="24"/>
        </w:rPr>
        <w:t>°</w:t>
      </w:r>
      <w:r w:rsidRPr="004C4F4B">
        <w:rPr>
          <w:rFonts w:ascii="Times New Roman" w:eastAsia="Calibri" w:hAnsi="Times New Roman" w:cs="Times New Roman"/>
          <w:sz w:val="24"/>
          <w:szCs w:val="24"/>
        </w:rPr>
        <w:t xml:space="preserve"> indicated that the summer of 2011 accumulated 149 more growing degrees than the summer of 2012 (Figure 2.3).  Preliminary data from 2009-</w:t>
      </w:r>
      <w:r w:rsidRPr="004C4F4B">
        <w:rPr>
          <w:rFonts w:ascii="Times New Roman" w:eastAsia="Calibri" w:hAnsi="Times New Roman" w:cs="Times New Roman"/>
          <w:sz w:val="24"/>
          <w:szCs w:val="24"/>
        </w:rPr>
        <w:lastRenderedPageBreak/>
        <w:t>2010 (Appendix A) support this because many species were reduced to 0%, including all of the stoloniferous species. However, preventative fungicide and insecticide applications were not made to the preliminary trial, therefore it is possible that biotic stresses were a factor.</w:t>
      </w:r>
      <w:r w:rsidRPr="004C4F4B">
        <w:rPr>
          <w:rFonts w:ascii="Times New Roman" w:eastAsia="Calibri" w:hAnsi="Times New Roman" w:cs="Times New Roman"/>
          <w:i/>
          <w:sz w:val="24"/>
          <w:szCs w:val="24"/>
        </w:rPr>
        <w:t xml:space="preserve"> </w:t>
      </w:r>
      <w:r w:rsidRPr="004C4F4B">
        <w:rPr>
          <w:rFonts w:ascii="Times New Roman" w:eastAsia="Calibri" w:hAnsi="Times New Roman" w:cs="Times New Roman"/>
          <w:sz w:val="24"/>
          <w:szCs w:val="24"/>
        </w:rPr>
        <w:t xml:space="preserve">During the summer of 2010, 151 more growing degree days were accumulated than the summer of 2011(data not shown). Based on this, only one of three summers were cool enough for </w:t>
      </w:r>
      <w:r w:rsidRPr="004C4F4B">
        <w:rPr>
          <w:rFonts w:ascii="Times New Roman" w:eastAsia="Calibri" w:hAnsi="Times New Roman" w:cs="Times New Roman"/>
          <w:i/>
          <w:sz w:val="24"/>
          <w:szCs w:val="24"/>
        </w:rPr>
        <w:t>P. trivialis</w:t>
      </w:r>
      <w:r w:rsidRPr="004C4F4B">
        <w:rPr>
          <w:rFonts w:ascii="Times New Roman" w:eastAsia="Calibri" w:hAnsi="Times New Roman" w:cs="Times New Roman"/>
          <w:sz w:val="24"/>
          <w:szCs w:val="24"/>
        </w:rPr>
        <w:t xml:space="preserve"> and </w:t>
      </w:r>
      <w:r w:rsidRPr="004C4F4B">
        <w:rPr>
          <w:rFonts w:ascii="Times New Roman" w:eastAsia="Calibri" w:hAnsi="Times New Roman" w:cs="Times New Roman"/>
          <w:i/>
          <w:sz w:val="24"/>
          <w:szCs w:val="24"/>
        </w:rPr>
        <w:t>P. supina</w:t>
      </w:r>
      <w:r w:rsidRPr="004C4F4B">
        <w:rPr>
          <w:rFonts w:ascii="Times New Roman" w:eastAsia="Calibri" w:hAnsi="Times New Roman" w:cs="Times New Roman"/>
          <w:sz w:val="24"/>
          <w:szCs w:val="24"/>
        </w:rPr>
        <w:t xml:space="preserve"> to maintain an acceptable level of cover. In theory this data could be used to establish a southern boundary for these species by finding locations that have lower temperatures in summer than the summer of the 2012 in Knoxville, TN</w:t>
      </w:r>
      <w:r w:rsidRPr="00D96E8F">
        <w:rPr>
          <w:rFonts w:ascii="Times New Roman" w:eastAsia="Calibri" w:hAnsi="Times New Roman" w:cs="Times New Roman"/>
          <w:sz w:val="24"/>
          <w:szCs w:val="24"/>
        </w:rPr>
        <w:t>.</w:t>
      </w:r>
    </w:p>
    <w:p w14:paraId="04ED168E" w14:textId="2CE41451" w:rsidR="004C4F4B" w:rsidRPr="004C4F4B" w:rsidRDefault="004C4F4B" w:rsidP="004C4F4B">
      <w:pPr>
        <w:spacing w:after="0" w:line="480" w:lineRule="auto"/>
        <w:ind w:firstLine="720"/>
        <w:rPr>
          <w:rFonts w:ascii="Times New Roman" w:eastAsia="Calibri" w:hAnsi="Times New Roman" w:cs="Times New Roman"/>
          <w:sz w:val="24"/>
          <w:szCs w:val="24"/>
        </w:rPr>
      </w:pPr>
      <w:r w:rsidRPr="004C4F4B" w:rsidDel="000F1747">
        <w:rPr>
          <w:rFonts w:ascii="Times New Roman" w:eastAsia="Calibri" w:hAnsi="Times New Roman" w:cs="Times New Roman"/>
          <w:sz w:val="24"/>
          <w:szCs w:val="24"/>
        </w:rPr>
        <w:t>When hybrids are</w:t>
      </w:r>
      <w:r w:rsidR="00D96E8F">
        <w:rPr>
          <w:rFonts w:ascii="Times New Roman" w:eastAsia="Calibri" w:hAnsi="Times New Roman" w:cs="Times New Roman"/>
          <w:sz w:val="24"/>
          <w:szCs w:val="24"/>
        </w:rPr>
        <w:t xml:space="preserve"> counted as different species, t</w:t>
      </w:r>
      <w:r w:rsidRPr="004C4F4B">
        <w:rPr>
          <w:rFonts w:ascii="Times New Roman" w:eastAsia="Calibri" w:hAnsi="Times New Roman" w:cs="Times New Roman"/>
          <w:sz w:val="24"/>
          <w:szCs w:val="24"/>
        </w:rPr>
        <w:t>he rhizomatous group was represented by 10 entries (Table 2.1).</w:t>
      </w:r>
      <w:r w:rsidRPr="004C4F4B">
        <w:rPr>
          <w:rFonts w:ascii="Times New Roman" w:eastAsia="Calibri" w:hAnsi="Times New Roman" w:cs="Times New Roman"/>
          <w:i/>
          <w:sz w:val="24"/>
          <w:szCs w:val="24"/>
        </w:rPr>
        <w:t xml:space="preserve"> </w:t>
      </w:r>
      <w:r w:rsidRPr="004C4F4B">
        <w:rPr>
          <w:rFonts w:ascii="Times New Roman" w:eastAsia="Calibri" w:hAnsi="Times New Roman" w:cs="Times New Roman"/>
          <w:sz w:val="24"/>
          <w:szCs w:val="24"/>
        </w:rPr>
        <w:t xml:space="preserve">This group, as a whole, was intermediate between the stoloniferous and bunch type groups (Figure 2.1 A-B), with the exception of the late summer and early fall of the first season, when the rhizomatous group was superior to the other groups (Figure 2.1 A). The increased performance of the rhizomatous species as a whole in the summer of 2011 suggests that these species are better adapted to the high temperature stress that occurs in summer. However, this was not observed in the summer of 2012 when the stoloniferous group maintained higher cover than both the rhizomatous and bunch type groups. This is explained by temperatures and subsequent growing degree accumulations that were observed over the two summers (Figures 2.2-2.3). This difference in temperature indicated that the cooler temperatures during the summer of 2012 were less stressful and all groups maintained higher levels of cover in comparison to the previous year. </w:t>
      </w:r>
    </w:p>
    <w:p w14:paraId="168707C0" w14:textId="6195B3A4" w:rsidR="004C4F4B" w:rsidRPr="004C4F4B" w:rsidRDefault="004C4F4B" w:rsidP="004C4F4B">
      <w:pPr>
        <w:spacing w:after="0" w:line="480" w:lineRule="auto"/>
        <w:ind w:firstLine="720"/>
        <w:rPr>
          <w:rFonts w:ascii="Times New Roman" w:eastAsia="Calibri" w:hAnsi="Times New Roman" w:cs="Times New Roman"/>
          <w:sz w:val="24"/>
          <w:szCs w:val="24"/>
        </w:rPr>
      </w:pPr>
      <w:r w:rsidRPr="004C4F4B">
        <w:rPr>
          <w:rFonts w:ascii="Times New Roman" w:eastAsia="Calibri" w:hAnsi="Times New Roman" w:cs="Times New Roman"/>
          <w:sz w:val="24"/>
          <w:szCs w:val="24"/>
        </w:rPr>
        <w:t>In the aforementioned preliminary trial (Appendix A) during an even hotter summer, the majority of the species that maintained cover were rhizomatous, including species that were not Kentucky or Texas x Kentucky bluegrass hybrids. This further s</w:t>
      </w:r>
      <w:r w:rsidR="00F25B7A">
        <w:rPr>
          <w:rFonts w:ascii="Times New Roman" w:eastAsia="Calibri" w:hAnsi="Times New Roman" w:cs="Times New Roman"/>
          <w:sz w:val="24"/>
          <w:szCs w:val="24"/>
        </w:rPr>
        <w:t>upported results that showed that</w:t>
      </w:r>
      <w:r w:rsidRPr="004C4F4B">
        <w:rPr>
          <w:rFonts w:ascii="Times New Roman" w:eastAsia="Calibri" w:hAnsi="Times New Roman" w:cs="Times New Roman"/>
          <w:sz w:val="24"/>
          <w:szCs w:val="24"/>
        </w:rPr>
        <w:t xml:space="preserve"> </w:t>
      </w:r>
      <w:r w:rsidRPr="004C4F4B">
        <w:rPr>
          <w:rFonts w:ascii="Times New Roman" w:eastAsia="Calibri" w:hAnsi="Times New Roman" w:cs="Times New Roman"/>
          <w:sz w:val="24"/>
          <w:szCs w:val="24"/>
        </w:rPr>
        <w:lastRenderedPageBreak/>
        <w:t xml:space="preserve">the rhizomatous group had higher heat tolerance, based on its ability to maintain cover during high temperature stress. The rhizomatous group also contained the highest number of commercially available cultivars that included two cultivars of Kentucky bluegrass and one cultivar of a Kentucky-Texas hybrid. This may have been advantageous to these groups because two of the cultivars, Midnight Star Kentucky bluegrass and Armadillo Texas x Kentucky hybrid, were either bred for tolerance to heat or previously performed well in trials in the transition zone. However, there were several rhizomatous species that performed poorly, such as </w:t>
      </w:r>
      <w:r w:rsidRPr="004C4F4B">
        <w:rPr>
          <w:rFonts w:ascii="Times New Roman" w:eastAsia="Calibri" w:hAnsi="Times New Roman" w:cs="Times New Roman"/>
          <w:i/>
          <w:sz w:val="24"/>
          <w:szCs w:val="24"/>
        </w:rPr>
        <w:t xml:space="preserve">P. nervosa </w:t>
      </w:r>
      <w:r w:rsidRPr="004C4F4B">
        <w:rPr>
          <w:rFonts w:ascii="Times New Roman" w:eastAsia="Calibri" w:hAnsi="Times New Roman" w:cs="Times New Roman"/>
          <w:sz w:val="24"/>
          <w:szCs w:val="24"/>
        </w:rPr>
        <w:t xml:space="preserve">and </w:t>
      </w:r>
      <w:r w:rsidRPr="004C4F4B">
        <w:rPr>
          <w:rFonts w:ascii="Times New Roman" w:eastAsia="Calibri" w:hAnsi="Times New Roman" w:cs="Times New Roman"/>
          <w:i/>
          <w:sz w:val="24"/>
          <w:szCs w:val="24"/>
        </w:rPr>
        <w:t>P. spp</w:t>
      </w:r>
      <w:r w:rsidRPr="004C4F4B">
        <w:rPr>
          <w:rFonts w:ascii="Times New Roman" w:eastAsia="Calibri" w:hAnsi="Times New Roman" w:cs="Times New Roman"/>
          <w:sz w:val="24"/>
          <w:szCs w:val="24"/>
        </w:rPr>
        <w:t xml:space="preserve">. PI 368993. </w:t>
      </w:r>
    </w:p>
    <w:p w14:paraId="55411323" w14:textId="7F6E10CB" w:rsidR="004C4F4B" w:rsidRPr="001F68A7" w:rsidRDefault="004C4F4B" w:rsidP="004C4F4B">
      <w:pPr>
        <w:spacing w:after="0" w:line="480" w:lineRule="auto"/>
        <w:rPr>
          <w:rFonts w:ascii="Times New Roman" w:eastAsia="Calibri" w:hAnsi="Times New Roman" w:cs="Times New Roman"/>
          <w:sz w:val="24"/>
          <w:szCs w:val="24"/>
        </w:rPr>
      </w:pPr>
      <w:r w:rsidRPr="004C4F4B">
        <w:rPr>
          <w:rFonts w:ascii="Times New Roman" w:eastAsia="Calibri" w:hAnsi="Times New Roman" w:cs="Times New Roman"/>
          <w:sz w:val="24"/>
          <w:szCs w:val="24"/>
        </w:rPr>
        <w:tab/>
      </w:r>
      <w:r w:rsidR="001F68A7">
        <w:rPr>
          <w:rFonts w:ascii="Times New Roman" w:eastAsia="Calibri" w:hAnsi="Times New Roman" w:cs="Times New Roman"/>
          <w:sz w:val="24"/>
          <w:szCs w:val="24"/>
        </w:rPr>
        <w:t>There were t</w:t>
      </w:r>
      <w:r w:rsidRPr="004C4F4B">
        <w:rPr>
          <w:rFonts w:ascii="Times New Roman" w:eastAsia="Calibri" w:hAnsi="Times New Roman" w:cs="Times New Roman"/>
          <w:sz w:val="24"/>
          <w:szCs w:val="24"/>
        </w:rPr>
        <w:t>wo unique species in</w:t>
      </w:r>
      <w:r w:rsidR="00302414">
        <w:rPr>
          <w:rFonts w:ascii="Times New Roman" w:eastAsia="Calibri" w:hAnsi="Times New Roman" w:cs="Times New Roman"/>
          <w:sz w:val="24"/>
          <w:szCs w:val="24"/>
        </w:rPr>
        <w:t xml:space="preserve"> the</w:t>
      </w:r>
      <w:r w:rsidRPr="004C4F4B">
        <w:rPr>
          <w:rFonts w:ascii="Times New Roman" w:eastAsia="Calibri" w:hAnsi="Times New Roman" w:cs="Times New Roman"/>
          <w:sz w:val="24"/>
          <w:szCs w:val="24"/>
        </w:rPr>
        <w:t xml:space="preserve"> rhizomatous group that perf</w:t>
      </w:r>
      <w:r w:rsidR="00D96E8F">
        <w:rPr>
          <w:rFonts w:ascii="Times New Roman" w:eastAsia="Calibri" w:hAnsi="Times New Roman" w:cs="Times New Roman"/>
          <w:sz w:val="24"/>
          <w:szCs w:val="24"/>
        </w:rPr>
        <w:t>ormed as well or better than</w:t>
      </w:r>
      <w:r w:rsidRPr="004C4F4B">
        <w:rPr>
          <w:rFonts w:ascii="Times New Roman" w:eastAsia="Calibri" w:hAnsi="Times New Roman" w:cs="Times New Roman"/>
          <w:sz w:val="24"/>
          <w:szCs w:val="24"/>
        </w:rPr>
        <w:t xml:space="preserve"> Kentucky </w:t>
      </w:r>
      <w:r w:rsidR="001F68A7">
        <w:rPr>
          <w:rFonts w:ascii="Times New Roman" w:eastAsia="Calibri" w:hAnsi="Times New Roman" w:cs="Times New Roman"/>
          <w:sz w:val="24"/>
          <w:szCs w:val="24"/>
        </w:rPr>
        <w:t>bluegrasses and their hybrids.</w:t>
      </w:r>
      <w:r w:rsidR="00D96E8F">
        <w:rPr>
          <w:rFonts w:ascii="Times New Roman" w:eastAsia="Calibri" w:hAnsi="Times New Roman" w:cs="Times New Roman"/>
          <w:sz w:val="24"/>
          <w:szCs w:val="24"/>
        </w:rPr>
        <w:t xml:space="preserve"> </w:t>
      </w:r>
      <w:r w:rsidRPr="004C4F4B">
        <w:rPr>
          <w:rFonts w:ascii="Times New Roman" w:eastAsia="Calibri" w:hAnsi="Times New Roman" w:cs="Times New Roman"/>
          <w:i/>
          <w:sz w:val="24"/>
          <w:szCs w:val="24"/>
        </w:rPr>
        <w:t>P. maniototo,</w:t>
      </w:r>
      <w:r w:rsidRPr="004C4F4B">
        <w:rPr>
          <w:rFonts w:ascii="Times New Roman" w:eastAsia="Calibri" w:hAnsi="Times New Roman" w:cs="Times New Roman"/>
          <w:sz w:val="24"/>
          <w:szCs w:val="24"/>
        </w:rPr>
        <w:t xml:space="preserve"> a species collected in New Zealand in 1957, had more total occurrences (17) in the top statistical category than Midnight Star Kentucky</w:t>
      </w:r>
      <w:r w:rsidR="00D96E8F">
        <w:rPr>
          <w:rFonts w:ascii="Times New Roman" w:eastAsia="Calibri" w:hAnsi="Times New Roman" w:cs="Times New Roman"/>
          <w:sz w:val="24"/>
          <w:szCs w:val="24"/>
        </w:rPr>
        <w:t xml:space="preserve"> bluegrass (16). </w:t>
      </w:r>
      <w:r w:rsidR="00D96E8F" w:rsidRPr="001F68A7">
        <w:rPr>
          <w:rFonts w:ascii="Times New Roman" w:eastAsia="Calibri" w:hAnsi="Times New Roman" w:cs="Times New Roman"/>
          <w:i/>
          <w:sz w:val="24"/>
          <w:szCs w:val="24"/>
        </w:rPr>
        <w:t>P. stiriaca</w:t>
      </w:r>
      <w:r w:rsidR="00D96E8F">
        <w:rPr>
          <w:rFonts w:ascii="Times New Roman" w:eastAsia="Calibri" w:hAnsi="Times New Roman" w:cs="Times New Roman"/>
          <w:sz w:val="24"/>
          <w:szCs w:val="24"/>
        </w:rPr>
        <w:t xml:space="preserve"> had a total of 23 total occurrences in the two trial years.</w:t>
      </w:r>
      <w:r w:rsidR="001F68A7">
        <w:rPr>
          <w:rFonts w:ascii="Times New Roman" w:eastAsia="Calibri" w:hAnsi="Times New Roman" w:cs="Times New Roman"/>
          <w:sz w:val="24"/>
          <w:szCs w:val="24"/>
        </w:rPr>
        <w:t xml:space="preserve"> Further testing of these species will need to be conducted to further verify their usefulness as turfgrasses.</w:t>
      </w:r>
      <w:bookmarkStart w:id="13" w:name="_GoBack"/>
      <w:bookmarkEnd w:id="13"/>
    </w:p>
    <w:p w14:paraId="3C87FD02" w14:textId="77777777" w:rsidR="004C4F4B" w:rsidRPr="004C4F4B" w:rsidRDefault="004C4F4B" w:rsidP="004C4F4B">
      <w:pPr>
        <w:spacing w:after="0" w:line="480" w:lineRule="auto"/>
        <w:ind w:firstLine="720"/>
        <w:rPr>
          <w:rFonts w:ascii="Times New Roman" w:eastAsia="Calibri" w:hAnsi="Times New Roman" w:cs="Times New Roman"/>
          <w:sz w:val="24"/>
          <w:szCs w:val="24"/>
        </w:rPr>
      </w:pPr>
      <w:r w:rsidRPr="004C4F4B">
        <w:rPr>
          <w:rFonts w:ascii="Times New Roman" w:eastAsia="Calibri" w:hAnsi="Times New Roman" w:cs="Times New Roman"/>
          <w:sz w:val="24"/>
          <w:szCs w:val="24"/>
        </w:rPr>
        <w:t xml:space="preserve">The bunch type group, as a whole, performed poorly in comparison to the other growth habits. This was explained by their inability to fill in the large gaps that resulted from the spaced planting method. This group contained the largest number of entries with 28 different species representing the group. In this group, </w:t>
      </w:r>
      <w:r w:rsidRPr="004C4F4B">
        <w:rPr>
          <w:rFonts w:ascii="Times New Roman" w:eastAsia="Calibri" w:hAnsi="Times New Roman" w:cs="Times New Roman"/>
          <w:i/>
          <w:sz w:val="24"/>
          <w:szCs w:val="24"/>
        </w:rPr>
        <w:t>P. longifolia</w:t>
      </w:r>
      <w:r w:rsidRPr="004C4F4B">
        <w:rPr>
          <w:rFonts w:ascii="Times New Roman" w:eastAsia="Calibri" w:hAnsi="Times New Roman" w:cs="Times New Roman"/>
          <w:sz w:val="24"/>
          <w:szCs w:val="24"/>
        </w:rPr>
        <w:t xml:space="preserve"> stood out with its rapid establishment and high cover through winter, suggesting it may be useful as a temporary winter turf. </w:t>
      </w:r>
      <w:r w:rsidRPr="004C4F4B">
        <w:rPr>
          <w:rFonts w:ascii="Times New Roman" w:eastAsia="Calibri" w:hAnsi="Times New Roman" w:cs="Times New Roman"/>
          <w:i/>
          <w:sz w:val="24"/>
          <w:szCs w:val="24"/>
        </w:rPr>
        <w:t xml:space="preserve">P. annua </w:t>
      </w:r>
      <w:r w:rsidRPr="004C4F4B">
        <w:rPr>
          <w:rFonts w:ascii="Times New Roman" w:eastAsia="Calibri" w:hAnsi="Times New Roman" w:cs="Times New Roman"/>
          <w:sz w:val="24"/>
          <w:szCs w:val="24"/>
        </w:rPr>
        <w:t xml:space="preserve">was a second species with this potential, however its potential use would not be recommended for winter overseeding because of its prolific seed production and weed status that could cause un-wanted infestations. </w:t>
      </w:r>
      <w:r w:rsidRPr="004C4F4B">
        <w:rPr>
          <w:rFonts w:ascii="Times New Roman" w:eastAsia="Calibri" w:hAnsi="Times New Roman" w:cs="Times New Roman"/>
          <w:i/>
          <w:sz w:val="24"/>
          <w:szCs w:val="24"/>
        </w:rPr>
        <w:t xml:space="preserve">P. flexuosa </w:t>
      </w:r>
      <w:r w:rsidRPr="004C4F4B">
        <w:rPr>
          <w:rFonts w:ascii="Times New Roman" w:eastAsia="Calibri" w:hAnsi="Times New Roman" w:cs="Times New Roman"/>
          <w:sz w:val="24"/>
          <w:szCs w:val="24"/>
        </w:rPr>
        <w:t>deserved merit because of its performance in 2010-2012 and 2011-2012, having four occurrences in the top statistical category in both years during mid-</w:t>
      </w:r>
      <w:r w:rsidRPr="004C4F4B">
        <w:rPr>
          <w:rFonts w:ascii="Times New Roman" w:eastAsia="Calibri" w:hAnsi="Times New Roman" w:cs="Times New Roman"/>
          <w:sz w:val="24"/>
          <w:szCs w:val="24"/>
        </w:rPr>
        <w:lastRenderedPageBreak/>
        <w:t>summer through early fall. In the preliminary trial, however, this species appeared dead by June and there was no evidence of regrowth in the fall.</w:t>
      </w:r>
    </w:p>
    <w:p w14:paraId="480200A8" w14:textId="77777777" w:rsidR="00B0077C" w:rsidRDefault="004C4F4B" w:rsidP="00302414">
      <w:pPr>
        <w:spacing w:line="480" w:lineRule="auto"/>
        <w:ind w:firstLine="720"/>
        <w:rPr>
          <w:rFonts w:ascii="Times New Roman" w:eastAsia="Calibri" w:hAnsi="Times New Roman" w:cs="Times New Roman"/>
          <w:sz w:val="24"/>
          <w:szCs w:val="24"/>
        </w:rPr>
      </w:pPr>
      <w:r w:rsidRPr="004C4F4B">
        <w:rPr>
          <w:rFonts w:ascii="Times New Roman" w:eastAsia="Calibri" w:hAnsi="Times New Roman" w:cs="Times New Roman"/>
          <w:sz w:val="24"/>
          <w:szCs w:val="24"/>
        </w:rPr>
        <w:t xml:space="preserve">Although all stoloniferous species and most of the bunch types died, there were two bunch type species that survived the summer of 2010 in the aforementioned preliminary trial (Appendix A). </w:t>
      </w:r>
      <w:r w:rsidRPr="004C4F4B">
        <w:rPr>
          <w:rFonts w:ascii="Times New Roman" w:eastAsia="Calibri" w:hAnsi="Times New Roman" w:cs="Times New Roman"/>
          <w:i/>
          <w:sz w:val="24"/>
          <w:szCs w:val="24"/>
        </w:rPr>
        <w:t>P. sierbiana</w:t>
      </w:r>
      <w:r w:rsidRPr="004C4F4B">
        <w:rPr>
          <w:rFonts w:ascii="Times New Roman" w:eastAsia="Calibri" w:hAnsi="Times New Roman" w:cs="Times New Roman"/>
          <w:sz w:val="24"/>
          <w:szCs w:val="24"/>
        </w:rPr>
        <w:t xml:space="preserve"> and </w:t>
      </w:r>
      <w:r w:rsidRPr="004C4F4B">
        <w:rPr>
          <w:rFonts w:ascii="Times New Roman" w:eastAsia="Calibri" w:hAnsi="Times New Roman" w:cs="Times New Roman"/>
          <w:i/>
          <w:sz w:val="24"/>
          <w:szCs w:val="24"/>
        </w:rPr>
        <w:t>P. lanigera</w:t>
      </w:r>
      <w:r w:rsidRPr="004C4F4B">
        <w:rPr>
          <w:rFonts w:ascii="Times New Roman" w:eastAsia="Calibri" w:hAnsi="Times New Roman" w:cs="Times New Roman"/>
          <w:sz w:val="24"/>
          <w:szCs w:val="24"/>
        </w:rPr>
        <w:t xml:space="preserve"> were two bunch types that survived, but their cover was very low in comparison to the rhizomatous group, suggesting that these bunch types also had heat tolerance (Appendix A). These species also survived through 2010-2011 and 2011-2012 trials. </w:t>
      </w:r>
      <w:r w:rsidRPr="004C4F4B">
        <w:rPr>
          <w:rFonts w:ascii="Times New Roman" w:eastAsia="Calibri" w:hAnsi="Times New Roman" w:cs="Times New Roman"/>
          <w:i/>
          <w:sz w:val="24"/>
          <w:szCs w:val="24"/>
        </w:rPr>
        <w:t>P. lanigera</w:t>
      </w:r>
      <w:r w:rsidRPr="004C4F4B">
        <w:rPr>
          <w:rFonts w:ascii="Times New Roman" w:eastAsia="Calibri" w:hAnsi="Times New Roman" w:cs="Times New Roman"/>
          <w:sz w:val="24"/>
          <w:szCs w:val="24"/>
        </w:rPr>
        <w:t xml:space="preserve"> occurred in the top statistical group four times in 2010-2011 and once in 2011-2012, occurring in mid- or late-summer. </w:t>
      </w:r>
      <w:r w:rsidRPr="004C4F4B">
        <w:rPr>
          <w:rFonts w:ascii="Times New Roman" w:eastAsia="Calibri" w:hAnsi="Times New Roman" w:cs="Times New Roman"/>
          <w:i/>
          <w:sz w:val="24"/>
          <w:szCs w:val="24"/>
        </w:rPr>
        <w:t xml:space="preserve">P. sierbiana </w:t>
      </w:r>
      <w:r w:rsidRPr="004C4F4B">
        <w:rPr>
          <w:rFonts w:ascii="Times New Roman" w:eastAsia="Calibri" w:hAnsi="Times New Roman" w:cs="Times New Roman"/>
          <w:sz w:val="24"/>
          <w:szCs w:val="24"/>
        </w:rPr>
        <w:t>was in the top statistical category three times in 2010-2012 and none in 2011-2012, again the occurrences typically occurred in the summer. This further suggested heat tolerance was present in these species; however this was ma</w:t>
      </w:r>
      <w:r w:rsidR="00784586">
        <w:rPr>
          <w:rFonts w:ascii="Times New Roman" w:eastAsia="Calibri" w:hAnsi="Times New Roman" w:cs="Times New Roman"/>
          <w:sz w:val="24"/>
          <w:szCs w:val="24"/>
        </w:rPr>
        <w:t>sked when a cooler summer allowed</w:t>
      </w:r>
      <w:r w:rsidRPr="004C4F4B">
        <w:rPr>
          <w:rFonts w:ascii="Times New Roman" w:eastAsia="Calibri" w:hAnsi="Times New Roman" w:cs="Times New Roman"/>
          <w:sz w:val="24"/>
          <w:szCs w:val="24"/>
        </w:rPr>
        <w:t xml:space="preserve"> other species to maintain cover that would normally be lost in summer.</w:t>
      </w:r>
    </w:p>
    <w:p w14:paraId="0FDFF916" w14:textId="77777777" w:rsidR="00B0077C" w:rsidRDefault="00B0077C">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E63827B" w14:textId="77777777" w:rsidR="004C4F4B" w:rsidRPr="004C4F4B" w:rsidRDefault="004C4F4B" w:rsidP="004C4F4B">
      <w:pPr>
        <w:spacing w:line="480" w:lineRule="auto"/>
      </w:pPr>
    </w:p>
    <w:p w14:paraId="6A917914" w14:textId="77777777" w:rsidR="00CF3747" w:rsidRPr="00CF3747" w:rsidRDefault="00CF3747" w:rsidP="00CF3747"/>
    <w:p w14:paraId="69DEF0A5" w14:textId="77777777" w:rsidR="008072D0" w:rsidRPr="008072D0" w:rsidRDefault="008072D0" w:rsidP="008072D0"/>
    <w:p w14:paraId="28C2D7DD"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55DFFEAB"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0D39C79B"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7CAB44D8" w14:textId="77777777" w:rsidR="0048750E" w:rsidRDefault="0048750E" w:rsidP="00ED7955">
      <w:pPr>
        <w:spacing w:line="240" w:lineRule="auto"/>
        <w:ind w:left="720" w:hanging="720"/>
        <w:rPr>
          <w:rFonts w:ascii="Times New Roman" w:eastAsiaTheme="minorHAnsi" w:hAnsi="Times New Roman" w:cs="Times New Roman"/>
          <w:sz w:val="24"/>
          <w:szCs w:val="24"/>
        </w:rPr>
      </w:pPr>
    </w:p>
    <w:p w14:paraId="517D13DF" w14:textId="77777777" w:rsidR="0048750E" w:rsidRDefault="0048750E" w:rsidP="00ED7955">
      <w:pPr>
        <w:spacing w:line="240" w:lineRule="auto"/>
        <w:ind w:left="720" w:hanging="720"/>
        <w:rPr>
          <w:rFonts w:ascii="Times New Roman" w:eastAsiaTheme="minorHAnsi" w:hAnsi="Times New Roman" w:cs="Times New Roman"/>
          <w:sz w:val="24"/>
          <w:szCs w:val="24"/>
        </w:rPr>
      </w:pPr>
    </w:p>
    <w:p w14:paraId="46702029"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568EB00A"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3B046618" w14:textId="77777777" w:rsidR="008072D0" w:rsidRPr="0048750E" w:rsidRDefault="0048750E" w:rsidP="0048750E">
      <w:pPr>
        <w:pStyle w:val="Heading2"/>
      </w:pPr>
      <w:bookmarkStart w:id="14" w:name="_Toc354003320"/>
      <w:r w:rsidRPr="0048750E">
        <w:t>Literature Cited</w:t>
      </w:r>
      <w:bookmarkEnd w:id="14"/>
    </w:p>
    <w:p w14:paraId="32CD873A" w14:textId="77777777" w:rsidR="0048750E" w:rsidRDefault="0048750E"/>
    <w:p w14:paraId="11C9941D" w14:textId="77777777" w:rsidR="007903A0" w:rsidRDefault="007903A0"/>
    <w:p w14:paraId="7D43E06B" w14:textId="77777777" w:rsidR="0048750E" w:rsidRDefault="0048750E">
      <w:r>
        <w:br w:type="page"/>
      </w:r>
    </w:p>
    <w:p w14:paraId="30055871" w14:textId="77777777" w:rsidR="001D6C42" w:rsidRDefault="001D6C42" w:rsidP="001D6C42">
      <w:pPr>
        <w:spacing w:line="240" w:lineRule="auto"/>
        <w:ind w:left="720" w:hanging="720"/>
        <w:rPr>
          <w:rFonts w:ascii="Times New Roman" w:eastAsia="Times New Roman" w:hAnsi="Times New Roman" w:cs="Times New Roman"/>
          <w:sz w:val="24"/>
          <w:szCs w:val="24"/>
        </w:rPr>
      </w:pPr>
      <w:proofErr w:type="gramStart"/>
      <w:r w:rsidRPr="006B0A9E">
        <w:rPr>
          <w:rFonts w:ascii="Times New Roman" w:eastAsia="Times New Roman" w:hAnsi="Times New Roman" w:cs="Times New Roman"/>
          <w:sz w:val="24"/>
          <w:szCs w:val="24"/>
        </w:rPr>
        <w:lastRenderedPageBreak/>
        <w:t>Abraham, E. M., Huang, B., Bonos, S. A., &amp; Meyer, W. A. 2004.</w:t>
      </w:r>
      <w:proofErr w:type="gramEnd"/>
      <w:r w:rsidRPr="006B0A9E">
        <w:rPr>
          <w:rFonts w:ascii="Times New Roman" w:eastAsia="Times New Roman" w:hAnsi="Times New Roman" w:cs="Times New Roman"/>
          <w:sz w:val="24"/>
          <w:szCs w:val="24"/>
        </w:rPr>
        <w:t xml:space="preserve"> </w:t>
      </w:r>
      <w:proofErr w:type="gramStart"/>
      <w:r w:rsidRPr="006B0A9E">
        <w:rPr>
          <w:rFonts w:ascii="Times New Roman" w:eastAsia="Times New Roman" w:hAnsi="Times New Roman" w:cs="Times New Roman"/>
          <w:sz w:val="24"/>
          <w:szCs w:val="24"/>
        </w:rPr>
        <w:t>Evaluation of drought resistance for Texas bluegrass, Kentucky bluegrass, and their hybrids.</w:t>
      </w:r>
      <w:proofErr w:type="gramEnd"/>
      <w:r w:rsidRPr="006B0A9E">
        <w:rPr>
          <w:rFonts w:ascii="Times New Roman" w:eastAsia="Times New Roman" w:hAnsi="Times New Roman" w:cs="Times New Roman"/>
          <w:sz w:val="24"/>
          <w:szCs w:val="24"/>
        </w:rPr>
        <w:t xml:space="preserve"> </w:t>
      </w:r>
      <w:r w:rsidRPr="006B0A9E">
        <w:rPr>
          <w:rFonts w:ascii="Times New Roman" w:eastAsia="Times New Roman" w:hAnsi="Times New Roman" w:cs="Times New Roman"/>
          <w:iCs/>
          <w:sz w:val="24"/>
          <w:szCs w:val="24"/>
        </w:rPr>
        <w:t>Crop Sci</w:t>
      </w:r>
      <w:r w:rsidRPr="006B0A9E">
        <w:rPr>
          <w:rFonts w:ascii="Times New Roman" w:eastAsia="Times New Roman" w:hAnsi="Times New Roman" w:cs="Times New Roman"/>
          <w:sz w:val="24"/>
          <w:szCs w:val="24"/>
        </w:rPr>
        <w:t xml:space="preserve">, </w:t>
      </w:r>
      <w:r w:rsidRPr="006B0A9E">
        <w:rPr>
          <w:rFonts w:ascii="Times New Roman" w:eastAsia="Times New Roman" w:hAnsi="Times New Roman" w:cs="Times New Roman"/>
          <w:iCs/>
          <w:sz w:val="24"/>
          <w:szCs w:val="24"/>
        </w:rPr>
        <w:t>44</w:t>
      </w:r>
      <w:r w:rsidRPr="006B0A9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1746-1753.</w:t>
      </w:r>
    </w:p>
    <w:p w14:paraId="581EAC5C" w14:textId="77777777" w:rsidR="001D6C42" w:rsidRDefault="001D6C42" w:rsidP="001D6C42">
      <w:pPr>
        <w:spacing w:line="240" w:lineRule="auto"/>
        <w:ind w:left="720" w:hanging="720"/>
        <w:rPr>
          <w:rFonts w:ascii="Times New Roman" w:hAnsi="Times New Roman" w:cs="Times New Roman"/>
          <w:sz w:val="24"/>
          <w:szCs w:val="24"/>
        </w:rPr>
      </w:pPr>
      <w:r w:rsidRPr="00C87E31">
        <w:rPr>
          <w:rFonts w:ascii="Times New Roman" w:hAnsi="Times New Roman" w:cs="Times New Roman"/>
          <w:sz w:val="24"/>
          <w:szCs w:val="24"/>
        </w:rPr>
        <w:t xml:space="preserve">Anonymous. 1937. History of Arlington Turf </w:t>
      </w:r>
      <w:proofErr w:type="gramStart"/>
      <w:r w:rsidRPr="00C87E31">
        <w:rPr>
          <w:rFonts w:ascii="Times New Roman" w:hAnsi="Times New Roman" w:cs="Times New Roman"/>
          <w:sz w:val="24"/>
          <w:szCs w:val="24"/>
        </w:rPr>
        <w:t xml:space="preserve">Gardens  </w:t>
      </w:r>
      <w:r w:rsidRPr="00C87E31">
        <w:rPr>
          <w:rFonts w:ascii="Times New Roman" w:hAnsi="Times New Roman" w:cs="Times New Roman"/>
          <w:iCs/>
          <w:sz w:val="24"/>
          <w:szCs w:val="24"/>
        </w:rPr>
        <w:t>The</w:t>
      </w:r>
      <w:proofErr w:type="gramEnd"/>
      <w:r w:rsidRPr="00C87E31">
        <w:rPr>
          <w:rFonts w:ascii="Times New Roman" w:hAnsi="Times New Roman" w:cs="Times New Roman"/>
          <w:iCs/>
          <w:sz w:val="24"/>
          <w:szCs w:val="24"/>
        </w:rPr>
        <w:t xml:space="preserve"> Greenkeepers' Reporter</w:t>
      </w:r>
      <w:r w:rsidRPr="00C87E31">
        <w:rPr>
          <w:rFonts w:ascii="Times New Roman" w:hAnsi="Times New Roman" w:cs="Times New Roman"/>
          <w:sz w:val="24"/>
          <w:szCs w:val="24"/>
        </w:rPr>
        <w:t>. March. 5(2): p. 46-47</w:t>
      </w:r>
    </w:p>
    <w:p w14:paraId="2BC71FF0" w14:textId="77777777" w:rsidR="001D6C42" w:rsidRDefault="001D6C42" w:rsidP="001D6C42">
      <w:pPr>
        <w:spacing w:line="240" w:lineRule="auto"/>
        <w:ind w:left="720" w:hanging="720"/>
        <w:rPr>
          <w:rFonts w:ascii="Times New Roman" w:eastAsiaTheme="minorHAnsi" w:hAnsi="Times New Roman" w:cs="Times New Roman"/>
          <w:sz w:val="24"/>
          <w:szCs w:val="24"/>
        </w:rPr>
      </w:pPr>
      <w:proofErr w:type="gramStart"/>
      <w:r w:rsidRPr="0073154C">
        <w:rPr>
          <w:rFonts w:ascii="Times New Roman" w:eastAsiaTheme="minorHAnsi" w:hAnsi="Times New Roman" w:cs="Times New Roman"/>
          <w:sz w:val="24"/>
          <w:szCs w:val="24"/>
        </w:rPr>
        <w:t>Amundsen, Keenan L.; Shearman, Robert "Bob".</w:t>
      </w:r>
      <w:proofErr w:type="gramEnd"/>
      <w:r w:rsidRPr="0073154C">
        <w:rPr>
          <w:rFonts w:ascii="Times New Roman" w:eastAsiaTheme="minorHAnsi" w:hAnsi="Times New Roman" w:cs="Times New Roman"/>
          <w:sz w:val="24"/>
          <w:szCs w:val="24"/>
        </w:rPr>
        <w:t xml:space="preserve"> 2011. Buffalograss germplasm improvement and management. </w:t>
      </w:r>
      <w:r w:rsidRPr="006C761E">
        <w:rPr>
          <w:rFonts w:ascii="Times New Roman" w:eastAsiaTheme="minorHAnsi" w:hAnsi="Times New Roman" w:cs="Times New Roman"/>
          <w:iCs/>
          <w:sz w:val="24"/>
          <w:szCs w:val="24"/>
        </w:rPr>
        <w:t>2011 USGA Turfgrass and Environmental Research Summary</w:t>
      </w:r>
      <w:r w:rsidRPr="0073154C">
        <w:rPr>
          <w:rFonts w:ascii="Times New Roman" w:eastAsiaTheme="minorHAnsi" w:hAnsi="Times New Roman" w:cs="Times New Roman"/>
          <w:sz w:val="24"/>
          <w:szCs w:val="24"/>
        </w:rPr>
        <w:t>. p. 18</w:t>
      </w:r>
    </w:p>
    <w:p w14:paraId="1120FDDA" w14:textId="77777777" w:rsidR="001D6C42" w:rsidRDefault="001D6C42" w:rsidP="001D6C42">
      <w:pPr>
        <w:spacing w:line="24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Anton, A. M., &amp; Connor, H. E. 1995</w:t>
      </w:r>
      <w:r w:rsidRPr="0073154C">
        <w:rPr>
          <w:rFonts w:ascii="Times New Roman" w:eastAsia="Times New Roman" w:hAnsi="Times New Roman" w:cs="Times New Roman"/>
          <w:color w:val="222222"/>
          <w:sz w:val="24"/>
          <w:szCs w:val="24"/>
        </w:rPr>
        <w:t xml:space="preserve">. Floral biology and reproduction in Poa (Poeae: Gramineae). </w:t>
      </w:r>
      <w:proofErr w:type="gramStart"/>
      <w:r w:rsidRPr="006C761E">
        <w:rPr>
          <w:rFonts w:ascii="Times New Roman" w:eastAsia="Times New Roman" w:hAnsi="Times New Roman" w:cs="Times New Roman"/>
          <w:iCs/>
          <w:color w:val="222222"/>
          <w:sz w:val="24"/>
          <w:szCs w:val="24"/>
        </w:rPr>
        <w:t>Australian journal of botany</w:t>
      </w:r>
      <w:r w:rsidRPr="006C761E">
        <w:rPr>
          <w:rFonts w:ascii="Times New Roman" w:eastAsia="Times New Roman" w:hAnsi="Times New Roman" w:cs="Times New Roman"/>
          <w:color w:val="222222"/>
          <w:sz w:val="24"/>
          <w:szCs w:val="24"/>
        </w:rPr>
        <w:t xml:space="preserve">, </w:t>
      </w:r>
      <w:r w:rsidRPr="006C761E">
        <w:rPr>
          <w:rFonts w:ascii="Times New Roman" w:eastAsia="Times New Roman" w:hAnsi="Times New Roman" w:cs="Times New Roman"/>
          <w:iCs/>
          <w:color w:val="222222"/>
          <w:sz w:val="24"/>
          <w:szCs w:val="24"/>
        </w:rPr>
        <w:t>43</w:t>
      </w:r>
      <w:r w:rsidRPr="0073154C">
        <w:rPr>
          <w:rFonts w:ascii="Times New Roman" w:eastAsia="Times New Roman" w:hAnsi="Times New Roman" w:cs="Times New Roman"/>
          <w:color w:val="222222"/>
          <w:sz w:val="24"/>
          <w:szCs w:val="24"/>
        </w:rPr>
        <w:t>(6), 577-599.</w:t>
      </w:r>
      <w:proofErr w:type="gramEnd"/>
    </w:p>
    <w:p w14:paraId="39B7487F" w14:textId="77777777" w:rsidR="00A706AD" w:rsidRDefault="00A706AD" w:rsidP="001D6C42">
      <w:pPr>
        <w:spacing w:line="240" w:lineRule="auto"/>
        <w:ind w:left="720" w:hanging="720"/>
        <w:rPr>
          <w:rFonts w:ascii="Times New Roman" w:eastAsiaTheme="minorHAnsi" w:hAnsi="Times New Roman" w:cs="Times New Roman"/>
          <w:sz w:val="24"/>
          <w:szCs w:val="24"/>
        </w:rPr>
      </w:pPr>
      <w:proofErr w:type="gramStart"/>
      <w:r w:rsidRPr="0073154C">
        <w:rPr>
          <w:rFonts w:ascii="Times New Roman" w:eastAsiaTheme="minorHAnsi" w:hAnsi="Times New Roman" w:cs="Times New Roman"/>
          <w:sz w:val="24"/>
          <w:szCs w:val="24"/>
        </w:rPr>
        <w:t>Bashaw, E. C.; Funk, C. Reed.</w:t>
      </w:r>
      <w:proofErr w:type="gramEnd"/>
      <w:r w:rsidRPr="0073154C">
        <w:rPr>
          <w:rFonts w:ascii="Times New Roman" w:eastAsiaTheme="minorHAnsi" w:hAnsi="Times New Roman" w:cs="Times New Roman"/>
          <w:sz w:val="24"/>
          <w:szCs w:val="24"/>
        </w:rPr>
        <w:t xml:space="preserve"> 1987. p. 40-82. In: Fehr, Walter R., ed. </w:t>
      </w:r>
      <w:r w:rsidRPr="00FB70A1">
        <w:rPr>
          <w:rFonts w:ascii="Times New Roman" w:eastAsiaTheme="minorHAnsi" w:hAnsi="Times New Roman" w:cs="Times New Roman"/>
          <w:iCs/>
          <w:sz w:val="24"/>
          <w:szCs w:val="24"/>
        </w:rPr>
        <w:t>Principles of Cultivar Development: Volume 2 Crop Species</w:t>
      </w:r>
      <w:r w:rsidRPr="0073154C">
        <w:rPr>
          <w:rFonts w:ascii="Times New Roman" w:eastAsiaTheme="minorHAnsi" w:hAnsi="Times New Roman" w:cs="Times New Roman"/>
          <w:sz w:val="24"/>
          <w:szCs w:val="24"/>
        </w:rPr>
        <w:t>. New York, NY: Macmillan Publishing Company</w:t>
      </w:r>
    </w:p>
    <w:p w14:paraId="476501BC" w14:textId="77777777" w:rsidR="003B6311" w:rsidRPr="003B6311" w:rsidRDefault="003B6311" w:rsidP="003B6311">
      <w:pPr>
        <w:spacing w:line="240" w:lineRule="auto"/>
        <w:ind w:left="720" w:hanging="720"/>
        <w:rPr>
          <w:rFonts w:ascii="Times New Roman" w:hAnsi="Times New Roman" w:cs="Times New Roman"/>
          <w:sz w:val="24"/>
          <w:szCs w:val="24"/>
        </w:rPr>
      </w:pPr>
      <w:r w:rsidRPr="0073154C">
        <w:rPr>
          <w:rFonts w:ascii="Times New Roman" w:hAnsi="Times New Roman" w:cs="Times New Roman"/>
          <w:sz w:val="24"/>
          <w:szCs w:val="24"/>
        </w:rPr>
        <w:t xml:space="preserve">Batten, S.M., J.B. Beard, D. Johns, A. Almodares, and J. Eckhardt. 1981.Characterization of cool season turfgrasses for winter overseeding of dormant bermudagrass. </w:t>
      </w:r>
      <w:proofErr w:type="gramStart"/>
      <w:r w:rsidRPr="0073154C">
        <w:rPr>
          <w:rFonts w:ascii="Times New Roman" w:hAnsi="Times New Roman" w:cs="Times New Roman"/>
          <w:sz w:val="24"/>
          <w:szCs w:val="24"/>
        </w:rPr>
        <w:t>Proceedings of the International Turfgras</w:t>
      </w:r>
      <w:r>
        <w:rPr>
          <w:rFonts w:ascii="Times New Roman" w:hAnsi="Times New Roman" w:cs="Times New Roman"/>
          <w:sz w:val="24"/>
          <w:szCs w:val="24"/>
        </w:rPr>
        <w:t>s Research Conference.</w:t>
      </w:r>
      <w:proofErr w:type="gramEnd"/>
      <w:r>
        <w:rPr>
          <w:rFonts w:ascii="Times New Roman" w:hAnsi="Times New Roman" w:cs="Times New Roman"/>
          <w:sz w:val="24"/>
          <w:szCs w:val="24"/>
        </w:rPr>
        <w:t xml:space="preserve"> 4:83-89.</w:t>
      </w:r>
    </w:p>
    <w:p w14:paraId="09005BB9" w14:textId="77777777" w:rsidR="00A706AD" w:rsidRDefault="00A706AD" w:rsidP="00A706AD">
      <w:pPr>
        <w:spacing w:line="240" w:lineRule="auto"/>
        <w:ind w:left="720" w:hanging="720"/>
        <w:rPr>
          <w:rFonts w:ascii="Times New Roman" w:hAnsi="Times New Roman" w:cs="Times New Roman"/>
          <w:sz w:val="24"/>
          <w:szCs w:val="24"/>
        </w:rPr>
      </w:pPr>
      <w:r w:rsidRPr="0073154C">
        <w:rPr>
          <w:rFonts w:ascii="Times New Roman" w:hAnsi="Times New Roman" w:cs="Times New Roman"/>
          <w:sz w:val="24"/>
          <w:szCs w:val="24"/>
        </w:rPr>
        <w:t xml:space="preserve">Beard, J.B. 1973. Turfgrass: Science and culture. </w:t>
      </w:r>
      <w:proofErr w:type="gramStart"/>
      <w:r w:rsidRPr="0073154C">
        <w:rPr>
          <w:rFonts w:ascii="Times New Roman" w:hAnsi="Times New Roman" w:cs="Times New Roman"/>
          <w:sz w:val="24"/>
          <w:szCs w:val="24"/>
        </w:rPr>
        <w:t>Prentice-Hall, Inc. E</w:t>
      </w:r>
      <w:r>
        <w:rPr>
          <w:rFonts w:ascii="Times New Roman" w:hAnsi="Times New Roman" w:cs="Times New Roman"/>
          <w:sz w:val="24"/>
          <w:szCs w:val="24"/>
        </w:rPr>
        <w:t>nglewood Cliffs, N.J.</w:t>
      </w:r>
      <w:proofErr w:type="gramEnd"/>
    </w:p>
    <w:p w14:paraId="6DCB7430" w14:textId="77777777" w:rsidR="00A706AD" w:rsidRDefault="00A706AD" w:rsidP="00A706AD">
      <w:pPr>
        <w:spacing w:line="240" w:lineRule="auto"/>
        <w:ind w:left="720" w:hanging="720"/>
        <w:rPr>
          <w:rFonts w:ascii="Times New Roman" w:eastAsiaTheme="minorHAnsi" w:hAnsi="Times New Roman" w:cs="Times New Roman"/>
          <w:sz w:val="24"/>
          <w:szCs w:val="24"/>
        </w:rPr>
      </w:pPr>
      <w:r w:rsidRPr="0073154C">
        <w:rPr>
          <w:rFonts w:ascii="Times New Roman" w:eastAsiaTheme="minorHAnsi" w:hAnsi="Times New Roman" w:cs="Times New Roman"/>
          <w:sz w:val="24"/>
          <w:szCs w:val="24"/>
        </w:rPr>
        <w:t xml:space="preserve">Beard, James B. 1998. The origins of turfgrass species: Before spiked shoes and triplex mowers, hooves and teeth shaped the grasses we play on. </w:t>
      </w:r>
      <w:proofErr w:type="gramStart"/>
      <w:r w:rsidRPr="00FB70A1">
        <w:rPr>
          <w:rFonts w:ascii="Times New Roman" w:eastAsiaTheme="minorHAnsi" w:hAnsi="Times New Roman" w:cs="Times New Roman"/>
          <w:iCs/>
          <w:sz w:val="24"/>
          <w:szCs w:val="24"/>
        </w:rPr>
        <w:t>Golf Course Management</w:t>
      </w:r>
      <w:r w:rsidRPr="0073154C">
        <w:rPr>
          <w:rFonts w:ascii="Times New Roman" w:eastAsiaTheme="minorHAnsi" w:hAnsi="Times New Roman" w:cs="Times New Roman"/>
          <w:sz w:val="24"/>
          <w:szCs w:val="24"/>
        </w:rPr>
        <w:t>.</w:t>
      </w:r>
      <w:proofErr w:type="gramEnd"/>
      <w:r w:rsidRPr="0073154C">
        <w:rPr>
          <w:rFonts w:ascii="Times New Roman" w:eastAsiaTheme="minorHAnsi" w:hAnsi="Times New Roman" w:cs="Times New Roman"/>
          <w:sz w:val="24"/>
          <w:szCs w:val="24"/>
        </w:rPr>
        <w:t xml:space="preserve"> March. 66(3): p. 49-55</w:t>
      </w:r>
    </w:p>
    <w:p w14:paraId="3135472E" w14:textId="77777777" w:rsidR="00D34BB9" w:rsidRDefault="00D34BB9" w:rsidP="00A706AD">
      <w:pPr>
        <w:spacing w:line="240" w:lineRule="auto"/>
        <w:ind w:left="720" w:hanging="720"/>
        <w:rPr>
          <w:rFonts w:ascii="Times New Roman" w:eastAsia="Times New Roman" w:hAnsi="Times New Roman" w:cs="Times New Roman"/>
          <w:sz w:val="24"/>
          <w:szCs w:val="24"/>
        </w:rPr>
      </w:pPr>
      <w:r w:rsidRPr="00FB70A1">
        <w:rPr>
          <w:rFonts w:ascii="Times New Roman" w:eastAsia="Times New Roman" w:hAnsi="Times New Roman" w:cs="Times New Roman"/>
          <w:sz w:val="24"/>
          <w:szCs w:val="24"/>
        </w:rPr>
        <w:t xml:space="preserve">Bushman, B. S., Waldron, B. L., Robins, J. G., Bhattarai, K., &amp; Johnson, P. G. (2012). Summer Percent Green Cover among Kentucky </w:t>
      </w:r>
      <w:proofErr w:type="gramStart"/>
      <w:r w:rsidRPr="00FB70A1">
        <w:rPr>
          <w:rFonts w:ascii="Times New Roman" w:eastAsia="Times New Roman" w:hAnsi="Times New Roman" w:cs="Times New Roman"/>
          <w:sz w:val="24"/>
          <w:szCs w:val="24"/>
        </w:rPr>
        <w:t>Bluegrass</w:t>
      </w:r>
      <w:proofErr w:type="gramEnd"/>
      <w:r w:rsidRPr="00FB70A1">
        <w:rPr>
          <w:rFonts w:ascii="Times New Roman" w:eastAsia="Times New Roman" w:hAnsi="Times New Roman" w:cs="Times New Roman"/>
          <w:sz w:val="24"/>
          <w:szCs w:val="24"/>
        </w:rPr>
        <w:t xml:space="preserve"> Cultivars, Accessions, and Other Species Managed under Deficit Irrigation. </w:t>
      </w:r>
      <w:r w:rsidRPr="00FB70A1">
        <w:rPr>
          <w:rFonts w:ascii="Times New Roman" w:eastAsia="Times New Roman" w:hAnsi="Times New Roman" w:cs="Times New Roman"/>
          <w:iCs/>
          <w:sz w:val="24"/>
          <w:szCs w:val="24"/>
        </w:rPr>
        <w:t>Crop Science</w:t>
      </w:r>
      <w:r w:rsidRPr="00FB70A1">
        <w:rPr>
          <w:rFonts w:ascii="Times New Roman" w:eastAsia="Times New Roman" w:hAnsi="Times New Roman" w:cs="Times New Roman"/>
          <w:sz w:val="24"/>
          <w:szCs w:val="24"/>
        </w:rPr>
        <w:t xml:space="preserve">, </w:t>
      </w:r>
      <w:r w:rsidRPr="00FB70A1">
        <w:rPr>
          <w:rFonts w:ascii="Times New Roman" w:eastAsia="Times New Roman" w:hAnsi="Times New Roman" w:cs="Times New Roman"/>
          <w:i/>
          <w:iCs/>
          <w:sz w:val="24"/>
          <w:szCs w:val="24"/>
        </w:rPr>
        <w:t>52</w:t>
      </w:r>
      <w:r w:rsidRPr="00FB70A1">
        <w:rPr>
          <w:rFonts w:ascii="Times New Roman" w:eastAsia="Times New Roman" w:hAnsi="Times New Roman" w:cs="Times New Roman"/>
          <w:sz w:val="24"/>
          <w:szCs w:val="24"/>
        </w:rPr>
        <w:t>(1), 400-407</w:t>
      </w:r>
    </w:p>
    <w:p w14:paraId="63F87F5C" w14:textId="77777777" w:rsidR="003B6311" w:rsidRPr="00AE6F3C" w:rsidRDefault="003B6311" w:rsidP="003B6311">
      <w:pPr>
        <w:ind w:left="720" w:hanging="720"/>
        <w:rPr>
          <w:rFonts w:ascii="Times New Roman" w:hAnsi="Times New Roman" w:cs="Times New Roman"/>
          <w:sz w:val="24"/>
          <w:szCs w:val="24"/>
        </w:rPr>
      </w:pPr>
      <w:r w:rsidRPr="00AE6F3C">
        <w:rPr>
          <w:rFonts w:ascii="Times New Roman" w:hAnsi="Times New Roman" w:cs="Times New Roman"/>
          <w:sz w:val="24"/>
          <w:szCs w:val="24"/>
        </w:rPr>
        <w:t xml:space="preserve">Burton, Glenn W. 1960. Tifway bermudagrass. </w:t>
      </w:r>
      <w:r w:rsidRPr="00AE6F3C">
        <w:rPr>
          <w:rFonts w:ascii="Times New Roman" w:hAnsi="Times New Roman" w:cs="Times New Roman"/>
          <w:i/>
          <w:iCs/>
          <w:sz w:val="24"/>
          <w:szCs w:val="24"/>
        </w:rPr>
        <w:t>USGA Journal and Turf Management</w:t>
      </w:r>
      <w:r w:rsidRPr="00AE6F3C">
        <w:rPr>
          <w:rFonts w:ascii="Times New Roman" w:hAnsi="Times New Roman" w:cs="Times New Roman"/>
          <w:sz w:val="24"/>
          <w:szCs w:val="24"/>
        </w:rPr>
        <w:t>. July. 13(3): p. 28-30.</w:t>
      </w:r>
    </w:p>
    <w:p w14:paraId="4F3AC97B" w14:textId="77777777" w:rsidR="003B6311" w:rsidRPr="003B6311" w:rsidRDefault="003B6311" w:rsidP="003B6311">
      <w:pPr>
        <w:spacing w:line="240" w:lineRule="auto"/>
        <w:ind w:left="720" w:hanging="720"/>
        <w:rPr>
          <w:rFonts w:ascii="Times New Roman" w:eastAsia="Times New Roman" w:hAnsi="Times New Roman" w:cs="Times New Roman"/>
          <w:color w:val="222222"/>
          <w:sz w:val="24"/>
          <w:szCs w:val="24"/>
        </w:rPr>
      </w:pPr>
      <w:r w:rsidRPr="00AE6F3C">
        <w:rPr>
          <w:rFonts w:ascii="Times New Roman" w:eastAsia="Times New Roman" w:hAnsi="Times New Roman" w:cs="Times New Roman"/>
          <w:color w:val="222222"/>
          <w:sz w:val="24"/>
          <w:szCs w:val="24"/>
        </w:rPr>
        <w:t>Burton, Glenn W. 1966</w:t>
      </w:r>
      <w:r w:rsidRPr="00CB35AD">
        <w:rPr>
          <w:rFonts w:ascii="Times New Roman" w:eastAsia="Times New Roman" w:hAnsi="Times New Roman" w:cs="Times New Roman"/>
          <w:color w:val="222222"/>
          <w:sz w:val="24"/>
          <w:szCs w:val="24"/>
        </w:rPr>
        <w:t xml:space="preserve">. </w:t>
      </w:r>
      <w:proofErr w:type="gramStart"/>
      <w:r w:rsidRPr="00CB35AD">
        <w:rPr>
          <w:rFonts w:ascii="Times New Roman" w:eastAsia="Times New Roman" w:hAnsi="Times New Roman" w:cs="Times New Roman"/>
          <w:color w:val="222222"/>
          <w:sz w:val="24"/>
          <w:szCs w:val="24"/>
        </w:rPr>
        <w:t>Tifway (Tifton 419) Bermudagrass1 (Reg. No. 7).</w:t>
      </w:r>
      <w:proofErr w:type="gramEnd"/>
      <w:r w:rsidRPr="00CB35AD">
        <w:rPr>
          <w:rFonts w:ascii="Times New Roman" w:eastAsia="Times New Roman" w:hAnsi="Times New Roman" w:cs="Times New Roman"/>
          <w:color w:val="222222"/>
          <w:sz w:val="24"/>
          <w:szCs w:val="24"/>
        </w:rPr>
        <w:t xml:space="preserve"> </w:t>
      </w:r>
      <w:r w:rsidRPr="00CB35AD">
        <w:rPr>
          <w:rFonts w:ascii="Times New Roman" w:eastAsia="Times New Roman" w:hAnsi="Times New Roman" w:cs="Times New Roman"/>
          <w:i/>
          <w:iCs/>
          <w:color w:val="222222"/>
          <w:sz w:val="24"/>
          <w:szCs w:val="24"/>
        </w:rPr>
        <w:t>Crop Science</w:t>
      </w:r>
      <w:r w:rsidRPr="00CB35AD">
        <w:rPr>
          <w:rFonts w:ascii="Times New Roman" w:eastAsia="Times New Roman" w:hAnsi="Times New Roman" w:cs="Times New Roman"/>
          <w:color w:val="222222"/>
          <w:sz w:val="24"/>
          <w:szCs w:val="24"/>
        </w:rPr>
        <w:t xml:space="preserve">, </w:t>
      </w:r>
      <w:r w:rsidRPr="00CB35AD">
        <w:rPr>
          <w:rFonts w:ascii="Times New Roman" w:eastAsia="Times New Roman" w:hAnsi="Times New Roman" w:cs="Times New Roman"/>
          <w:i/>
          <w:iCs/>
          <w:color w:val="222222"/>
          <w:sz w:val="24"/>
          <w:szCs w:val="24"/>
        </w:rPr>
        <w:t>6</w:t>
      </w:r>
      <w:r w:rsidRPr="00CB35AD">
        <w:rPr>
          <w:rFonts w:ascii="Times New Roman" w:eastAsia="Times New Roman" w:hAnsi="Times New Roman" w:cs="Times New Roman"/>
          <w:color w:val="222222"/>
          <w:sz w:val="24"/>
          <w:szCs w:val="24"/>
        </w:rPr>
        <w:t>(1), 93-94.</w:t>
      </w:r>
    </w:p>
    <w:p w14:paraId="1D506474" w14:textId="77777777" w:rsidR="00CB51DA" w:rsidRDefault="007903A0" w:rsidP="007903A0">
      <w:pPr>
        <w:ind w:left="720" w:hanging="720"/>
        <w:rPr>
          <w:rFonts w:ascii="Times New Roman" w:hAnsi="Times New Roman" w:cs="Times New Roman"/>
          <w:sz w:val="24"/>
          <w:szCs w:val="24"/>
        </w:rPr>
      </w:pPr>
      <w:r w:rsidRPr="007903A0">
        <w:rPr>
          <w:rFonts w:ascii="Times New Roman" w:hAnsi="Times New Roman" w:cs="Times New Roman"/>
          <w:sz w:val="24"/>
          <w:szCs w:val="24"/>
        </w:rPr>
        <w:t>Bonos, S. A.,</w:t>
      </w:r>
      <w:r>
        <w:rPr>
          <w:rFonts w:ascii="Times New Roman" w:hAnsi="Times New Roman" w:cs="Times New Roman"/>
          <w:sz w:val="24"/>
          <w:szCs w:val="24"/>
        </w:rPr>
        <w:t xml:space="preserve"> Meyer, W. A., &amp; Murphy, J. A. 2000</w:t>
      </w:r>
      <w:r w:rsidRPr="007903A0">
        <w:rPr>
          <w:rFonts w:ascii="Times New Roman" w:hAnsi="Times New Roman" w:cs="Times New Roman"/>
          <w:sz w:val="24"/>
          <w:szCs w:val="24"/>
        </w:rPr>
        <w:t xml:space="preserve">. </w:t>
      </w:r>
      <w:proofErr w:type="gramStart"/>
      <w:r w:rsidRPr="007903A0">
        <w:rPr>
          <w:rFonts w:ascii="Times New Roman" w:hAnsi="Times New Roman" w:cs="Times New Roman"/>
          <w:sz w:val="24"/>
          <w:szCs w:val="24"/>
        </w:rPr>
        <w:t>Classification of Kentucky bluegrass genotypes grown as spaced-plants.</w:t>
      </w:r>
      <w:proofErr w:type="gramEnd"/>
      <w:r w:rsidRPr="007903A0">
        <w:rPr>
          <w:rFonts w:ascii="Times New Roman" w:hAnsi="Times New Roman" w:cs="Times New Roman"/>
          <w:sz w:val="24"/>
          <w:szCs w:val="24"/>
        </w:rPr>
        <w:t xml:space="preserve"> HortScience, 35(5), 910-913.</w:t>
      </w:r>
    </w:p>
    <w:p w14:paraId="302A77C7" w14:textId="77777777" w:rsidR="00D34BB9" w:rsidRDefault="00D34BB9" w:rsidP="00D34BB9">
      <w:pPr>
        <w:spacing w:line="240" w:lineRule="auto"/>
        <w:ind w:left="720" w:hanging="720"/>
        <w:rPr>
          <w:rFonts w:ascii="Times New Roman" w:eastAsia="Times New Roman" w:hAnsi="Times New Roman" w:cs="Times New Roman"/>
          <w:color w:val="222222"/>
          <w:sz w:val="24"/>
          <w:szCs w:val="24"/>
        </w:rPr>
      </w:pPr>
      <w:r w:rsidRPr="0073154C">
        <w:rPr>
          <w:rFonts w:ascii="Times New Roman" w:eastAsia="Times New Roman" w:hAnsi="Times New Roman" w:cs="Times New Roman"/>
          <w:color w:val="222222"/>
          <w:sz w:val="24"/>
          <w:szCs w:val="24"/>
        </w:rPr>
        <w:t xml:space="preserve">Clausen, J.1961. Introgression facilitated by apomixis in polyploid Poas. </w:t>
      </w:r>
      <w:r w:rsidRPr="00FB70A1">
        <w:rPr>
          <w:rFonts w:ascii="Times New Roman" w:eastAsia="Times New Roman" w:hAnsi="Times New Roman" w:cs="Times New Roman"/>
          <w:iCs/>
          <w:color w:val="222222"/>
          <w:sz w:val="24"/>
          <w:szCs w:val="24"/>
        </w:rPr>
        <w:t>Euphytica</w:t>
      </w:r>
      <w:r w:rsidRPr="0073154C">
        <w:rPr>
          <w:rFonts w:ascii="Times New Roman" w:eastAsia="Times New Roman" w:hAnsi="Times New Roman" w:cs="Times New Roman"/>
          <w:color w:val="222222"/>
          <w:sz w:val="24"/>
          <w:szCs w:val="24"/>
        </w:rPr>
        <w:t xml:space="preserve">, </w:t>
      </w:r>
      <w:r w:rsidRPr="0073154C">
        <w:rPr>
          <w:rFonts w:ascii="Times New Roman" w:eastAsia="Times New Roman" w:hAnsi="Times New Roman" w:cs="Times New Roman"/>
          <w:i/>
          <w:iCs/>
          <w:color w:val="222222"/>
          <w:sz w:val="24"/>
          <w:szCs w:val="24"/>
        </w:rPr>
        <w:t>10</w:t>
      </w:r>
      <w:r w:rsidRPr="0073154C">
        <w:rPr>
          <w:rFonts w:ascii="Times New Roman" w:eastAsia="Times New Roman" w:hAnsi="Times New Roman" w:cs="Times New Roman"/>
          <w:color w:val="222222"/>
          <w:sz w:val="24"/>
          <w:szCs w:val="24"/>
        </w:rPr>
        <w:t>(1), 87-94.</w:t>
      </w:r>
    </w:p>
    <w:p w14:paraId="6841EBA0" w14:textId="77777777" w:rsidR="00D34BB9" w:rsidRDefault="00D34BB9" w:rsidP="00D34BB9">
      <w:pPr>
        <w:spacing w:line="240" w:lineRule="auto"/>
        <w:ind w:left="720" w:hanging="720"/>
        <w:rPr>
          <w:rFonts w:ascii="Times New Roman" w:eastAsia="Times New Roman" w:hAnsi="Times New Roman" w:cs="Times New Roman"/>
          <w:color w:val="222222"/>
          <w:sz w:val="24"/>
          <w:szCs w:val="24"/>
        </w:rPr>
      </w:pPr>
      <w:r w:rsidRPr="0073154C">
        <w:rPr>
          <w:rFonts w:ascii="Times New Roman" w:eastAsia="Times New Roman" w:hAnsi="Times New Roman" w:cs="Times New Roman"/>
          <w:color w:val="222222"/>
          <w:sz w:val="24"/>
          <w:szCs w:val="24"/>
        </w:rPr>
        <w:t xml:space="preserve">Dale, M. R., Ahmed, M. K., Jelenkovic, G., &amp; Funk, C. R. 1975. Characteristics and Performance of Interspecific Hybrids </w:t>
      </w:r>
      <w:proofErr w:type="gramStart"/>
      <w:r w:rsidRPr="0073154C">
        <w:rPr>
          <w:rFonts w:ascii="Times New Roman" w:eastAsia="Times New Roman" w:hAnsi="Times New Roman" w:cs="Times New Roman"/>
          <w:color w:val="222222"/>
          <w:sz w:val="24"/>
          <w:szCs w:val="24"/>
        </w:rPr>
        <w:t>Between</w:t>
      </w:r>
      <w:proofErr w:type="gramEnd"/>
      <w:r w:rsidRPr="0073154C">
        <w:rPr>
          <w:rFonts w:ascii="Times New Roman" w:eastAsia="Times New Roman" w:hAnsi="Times New Roman" w:cs="Times New Roman"/>
          <w:color w:val="222222"/>
          <w:sz w:val="24"/>
          <w:szCs w:val="24"/>
        </w:rPr>
        <w:t xml:space="preserve"> Kentucky Bluegrass and Canada Bluegrass. </w:t>
      </w:r>
      <w:r w:rsidRPr="00FB70A1">
        <w:rPr>
          <w:rFonts w:ascii="Times New Roman" w:eastAsia="Times New Roman" w:hAnsi="Times New Roman" w:cs="Times New Roman"/>
          <w:iCs/>
          <w:color w:val="222222"/>
          <w:sz w:val="24"/>
          <w:szCs w:val="24"/>
        </w:rPr>
        <w:t>Crop Science</w:t>
      </w:r>
      <w:r w:rsidRPr="0073154C">
        <w:rPr>
          <w:rFonts w:ascii="Times New Roman" w:eastAsia="Times New Roman" w:hAnsi="Times New Roman" w:cs="Times New Roman"/>
          <w:color w:val="222222"/>
          <w:sz w:val="24"/>
          <w:szCs w:val="24"/>
        </w:rPr>
        <w:t xml:space="preserve">, </w:t>
      </w:r>
      <w:r w:rsidRPr="0073154C">
        <w:rPr>
          <w:rFonts w:ascii="Times New Roman" w:eastAsia="Times New Roman" w:hAnsi="Times New Roman" w:cs="Times New Roman"/>
          <w:i/>
          <w:iCs/>
          <w:color w:val="222222"/>
          <w:sz w:val="24"/>
          <w:szCs w:val="24"/>
        </w:rPr>
        <w:t>15</w:t>
      </w:r>
      <w:r w:rsidRPr="0073154C">
        <w:rPr>
          <w:rFonts w:ascii="Times New Roman" w:eastAsia="Times New Roman" w:hAnsi="Times New Roman" w:cs="Times New Roman"/>
          <w:color w:val="222222"/>
          <w:sz w:val="24"/>
          <w:szCs w:val="24"/>
        </w:rPr>
        <w:t>(6), 797-799.</w:t>
      </w:r>
    </w:p>
    <w:p w14:paraId="43F94D44" w14:textId="77777777" w:rsidR="00D34BB9" w:rsidRPr="000E14E4" w:rsidRDefault="00D34BB9" w:rsidP="00D34BB9">
      <w:pPr>
        <w:spacing w:line="240" w:lineRule="auto"/>
        <w:ind w:left="720" w:hanging="720"/>
        <w:rPr>
          <w:rFonts w:ascii="Times New Roman" w:eastAsiaTheme="minorHAnsi" w:hAnsi="Times New Roman" w:cs="Times New Roman"/>
          <w:sz w:val="24"/>
          <w:szCs w:val="24"/>
        </w:rPr>
      </w:pPr>
      <w:r w:rsidRPr="0073154C">
        <w:rPr>
          <w:rFonts w:ascii="Times New Roman" w:eastAsiaTheme="minorHAnsi" w:hAnsi="Times New Roman" w:cs="Times New Roman"/>
          <w:sz w:val="24"/>
          <w:szCs w:val="24"/>
        </w:rPr>
        <w:t xml:space="preserve">Ellis, W. M. 1973. </w:t>
      </w:r>
      <w:proofErr w:type="gramStart"/>
      <w:r w:rsidRPr="0073154C">
        <w:rPr>
          <w:rFonts w:ascii="Times New Roman" w:eastAsiaTheme="minorHAnsi" w:hAnsi="Times New Roman" w:cs="Times New Roman"/>
          <w:sz w:val="24"/>
          <w:szCs w:val="24"/>
        </w:rPr>
        <w:t xml:space="preserve">The breeding system and variation in populations of Poa annua L. </w:t>
      </w:r>
      <w:r w:rsidRPr="00FB70A1">
        <w:rPr>
          <w:rFonts w:ascii="Times New Roman" w:eastAsiaTheme="minorHAnsi" w:hAnsi="Times New Roman" w:cs="Times New Roman"/>
          <w:iCs/>
          <w:sz w:val="24"/>
          <w:szCs w:val="24"/>
        </w:rPr>
        <w:t>Evolution</w:t>
      </w:r>
      <w:r w:rsidRPr="00FB70A1">
        <w:rPr>
          <w:rFonts w:ascii="Times New Roman" w:eastAsiaTheme="minorHAnsi" w:hAnsi="Times New Roman" w:cs="Times New Roman"/>
          <w:sz w:val="24"/>
          <w:szCs w:val="24"/>
        </w:rPr>
        <w:t>.</w:t>
      </w:r>
      <w:proofErr w:type="gramEnd"/>
      <w:r w:rsidRPr="0073154C">
        <w:rPr>
          <w:rFonts w:ascii="Times New Roman" w:eastAsiaTheme="minorHAnsi" w:hAnsi="Times New Roman" w:cs="Times New Roman"/>
          <w:sz w:val="24"/>
          <w:szCs w:val="24"/>
        </w:rPr>
        <w:t xml:space="preserve"> 27(4): p. 656-662.</w:t>
      </w:r>
    </w:p>
    <w:p w14:paraId="4E15F202" w14:textId="77777777" w:rsidR="00D34BB9" w:rsidRPr="000E14E4" w:rsidRDefault="00D34BB9" w:rsidP="00D34BB9">
      <w:pPr>
        <w:spacing w:line="240" w:lineRule="auto"/>
        <w:ind w:left="720" w:hanging="720"/>
        <w:rPr>
          <w:rFonts w:ascii="Times New Roman" w:eastAsia="Times New Roman" w:hAnsi="Times New Roman" w:cs="Times New Roman"/>
          <w:color w:val="222222"/>
          <w:sz w:val="24"/>
          <w:szCs w:val="24"/>
        </w:rPr>
      </w:pPr>
      <w:r w:rsidRPr="0073154C">
        <w:rPr>
          <w:rFonts w:ascii="Times New Roman" w:eastAsia="Times New Roman" w:hAnsi="Times New Roman" w:cs="Times New Roman"/>
          <w:color w:val="222222"/>
          <w:sz w:val="24"/>
          <w:szCs w:val="24"/>
        </w:rPr>
        <w:lastRenderedPageBreak/>
        <w:t xml:space="preserve">Ellis, W. M., </w:t>
      </w:r>
      <w:r>
        <w:rPr>
          <w:rFonts w:ascii="Times New Roman" w:eastAsia="Times New Roman" w:hAnsi="Times New Roman" w:cs="Times New Roman"/>
          <w:color w:val="222222"/>
          <w:sz w:val="24"/>
          <w:szCs w:val="24"/>
        </w:rPr>
        <w:t>Lee, B. T. O., &amp; Calder, D. M. 1973</w:t>
      </w:r>
      <w:r w:rsidRPr="0073154C">
        <w:rPr>
          <w:rFonts w:ascii="Times New Roman" w:eastAsia="Times New Roman" w:hAnsi="Times New Roman" w:cs="Times New Roman"/>
          <w:color w:val="222222"/>
          <w:sz w:val="24"/>
          <w:szCs w:val="24"/>
        </w:rPr>
        <w:t xml:space="preserve">. Chromosome Pairing In </w:t>
      </w:r>
      <w:r w:rsidRPr="00FB70A1">
        <w:rPr>
          <w:rFonts w:ascii="Times New Roman" w:eastAsia="Times New Roman" w:hAnsi="Times New Roman" w:cs="Times New Roman"/>
          <w:i/>
          <w:color w:val="222222"/>
          <w:sz w:val="24"/>
          <w:szCs w:val="24"/>
        </w:rPr>
        <w:t>P</w:t>
      </w:r>
      <w:r w:rsidRPr="00F32673">
        <w:rPr>
          <w:rFonts w:ascii="Times New Roman" w:eastAsia="Times New Roman" w:hAnsi="Times New Roman" w:cs="Times New Roman"/>
          <w:i/>
          <w:color w:val="222222"/>
          <w:sz w:val="24"/>
          <w:szCs w:val="24"/>
        </w:rPr>
        <w:t>oa annua</w:t>
      </w:r>
      <w:r w:rsidRPr="0073154C">
        <w:rPr>
          <w:rFonts w:ascii="Times New Roman" w:eastAsia="Times New Roman" w:hAnsi="Times New Roman" w:cs="Times New Roman"/>
          <w:color w:val="222222"/>
          <w:sz w:val="24"/>
          <w:szCs w:val="24"/>
        </w:rPr>
        <w:t xml:space="preserve"> L. </w:t>
      </w:r>
      <w:r w:rsidRPr="00FB70A1">
        <w:rPr>
          <w:rFonts w:ascii="Times New Roman" w:eastAsia="Times New Roman" w:hAnsi="Times New Roman" w:cs="Times New Roman"/>
          <w:iCs/>
          <w:color w:val="222222"/>
          <w:sz w:val="24"/>
          <w:szCs w:val="24"/>
        </w:rPr>
        <w:t>Canadian Journal of Genetics and Cytology</w:t>
      </w:r>
      <w:r w:rsidRPr="00FB70A1">
        <w:rPr>
          <w:rFonts w:ascii="Times New Roman" w:eastAsia="Times New Roman" w:hAnsi="Times New Roman" w:cs="Times New Roman"/>
          <w:color w:val="222222"/>
          <w:sz w:val="24"/>
          <w:szCs w:val="24"/>
        </w:rPr>
        <w:t>,</w:t>
      </w:r>
      <w:r w:rsidRPr="0073154C">
        <w:rPr>
          <w:rFonts w:ascii="Times New Roman" w:eastAsia="Times New Roman" w:hAnsi="Times New Roman" w:cs="Times New Roman"/>
          <w:color w:val="222222"/>
          <w:sz w:val="24"/>
          <w:szCs w:val="24"/>
        </w:rPr>
        <w:t xml:space="preserve"> </w:t>
      </w:r>
      <w:r w:rsidRPr="0073154C">
        <w:rPr>
          <w:rFonts w:ascii="Times New Roman" w:eastAsia="Times New Roman" w:hAnsi="Times New Roman" w:cs="Times New Roman"/>
          <w:i/>
          <w:iCs/>
          <w:color w:val="222222"/>
          <w:sz w:val="24"/>
          <w:szCs w:val="24"/>
        </w:rPr>
        <w:t>15</w:t>
      </w:r>
      <w:r w:rsidRPr="0073154C">
        <w:rPr>
          <w:rFonts w:ascii="Times New Roman" w:eastAsia="Times New Roman" w:hAnsi="Times New Roman" w:cs="Times New Roman"/>
          <w:color w:val="222222"/>
          <w:sz w:val="24"/>
          <w:szCs w:val="24"/>
        </w:rPr>
        <w:t>(3), 549-551</w:t>
      </w:r>
    </w:p>
    <w:p w14:paraId="3AF21B6E" w14:textId="77777777" w:rsidR="00D34BB9" w:rsidRPr="000E14E4" w:rsidRDefault="00D34BB9" w:rsidP="00D34BB9">
      <w:pPr>
        <w:spacing w:line="24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Fenner, M. 1985</w:t>
      </w:r>
      <w:r w:rsidRPr="0073154C">
        <w:rPr>
          <w:rFonts w:ascii="Times New Roman" w:eastAsia="Times New Roman" w:hAnsi="Times New Roman" w:cs="Times New Roman"/>
          <w:color w:val="222222"/>
          <w:sz w:val="24"/>
          <w:szCs w:val="24"/>
        </w:rPr>
        <w:t xml:space="preserve">. </w:t>
      </w:r>
      <w:r w:rsidRPr="00FB70A1">
        <w:rPr>
          <w:rFonts w:ascii="Times New Roman" w:eastAsia="Times New Roman" w:hAnsi="Times New Roman" w:cs="Times New Roman"/>
          <w:iCs/>
          <w:color w:val="222222"/>
          <w:sz w:val="24"/>
          <w:szCs w:val="24"/>
        </w:rPr>
        <w:t>Seed ecology</w:t>
      </w:r>
      <w:r w:rsidRPr="0073154C">
        <w:rPr>
          <w:rFonts w:ascii="Times New Roman" w:eastAsia="Times New Roman" w:hAnsi="Times New Roman" w:cs="Times New Roman"/>
          <w:color w:val="222222"/>
          <w:sz w:val="24"/>
          <w:szCs w:val="24"/>
        </w:rPr>
        <w:t>. Chapman and Hall.</w:t>
      </w:r>
    </w:p>
    <w:p w14:paraId="75132998" w14:textId="77777777" w:rsidR="00D34BB9" w:rsidRDefault="00D34BB9" w:rsidP="00D34BB9">
      <w:pPr>
        <w:spacing w:line="240" w:lineRule="auto"/>
        <w:ind w:left="720" w:hanging="720"/>
        <w:rPr>
          <w:rFonts w:ascii="Times New Roman" w:eastAsia="Times New Roman" w:hAnsi="Times New Roman" w:cs="Times New Roman"/>
          <w:color w:val="222222"/>
          <w:sz w:val="24"/>
          <w:szCs w:val="24"/>
        </w:rPr>
      </w:pPr>
      <w:r w:rsidRPr="0073154C">
        <w:rPr>
          <w:rFonts w:ascii="Times New Roman" w:eastAsia="Times New Roman" w:hAnsi="Times New Roman" w:cs="Times New Roman"/>
          <w:color w:val="222222"/>
          <w:sz w:val="24"/>
          <w:szCs w:val="24"/>
        </w:rPr>
        <w:t xml:space="preserve">Gardarin, A., Dürr, C., &amp; Colbach, N. (2009). Which model species for weed seedbank and emergence studies? A review. </w:t>
      </w:r>
      <w:r w:rsidRPr="00FB70A1">
        <w:rPr>
          <w:rFonts w:ascii="Times New Roman" w:eastAsia="Times New Roman" w:hAnsi="Times New Roman" w:cs="Times New Roman"/>
          <w:iCs/>
          <w:color w:val="222222"/>
          <w:sz w:val="24"/>
          <w:szCs w:val="24"/>
        </w:rPr>
        <w:t>Weed Research</w:t>
      </w:r>
      <w:r w:rsidRPr="00FB70A1">
        <w:rPr>
          <w:rFonts w:ascii="Times New Roman" w:eastAsia="Times New Roman" w:hAnsi="Times New Roman" w:cs="Times New Roman"/>
          <w:color w:val="222222"/>
          <w:sz w:val="24"/>
          <w:szCs w:val="24"/>
        </w:rPr>
        <w:t xml:space="preserve">, </w:t>
      </w:r>
      <w:r w:rsidRPr="00FB70A1">
        <w:rPr>
          <w:rFonts w:ascii="Times New Roman" w:eastAsia="Times New Roman" w:hAnsi="Times New Roman" w:cs="Times New Roman"/>
          <w:iCs/>
          <w:color w:val="222222"/>
          <w:sz w:val="24"/>
          <w:szCs w:val="24"/>
        </w:rPr>
        <w:t>49</w:t>
      </w:r>
      <w:r w:rsidRPr="0073154C">
        <w:rPr>
          <w:rFonts w:ascii="Times New Roman" w:eastAsia="Times New Roman" w:hAnsi="Times New Roman" w:cs="Times New Roman"/>
          <w:color w:val="222222"/>
          <w:sz w:val="24"/>
          <w:szCs w:val="24"/>
        </w:rPr>
        <w:t>(2), 117-130.</w:t>
      </w:r>
    </w:p>
    <w:p w14:paraId="7B2F95DD" w14:textId="77777777" w:rsidR="003B6311" w:rsidRDefault="003B6311" w:rsidP="00D34BB9">
      <w:pPr>
        <w:spacing w:line="240" w:lineRule="auto"/>
        <w:ind w:left="720" w:hanging="720"/>
        <w:rPr>
          <w:rFonts w:ascii="Times New Roman" w:eastAsia="Times New Roman" w:hAnsi="Times New Roman" w:cs="Times New Roman"/>
          <w:color w:val="222222"/>
          <w:sz w:val="24"/>
          <w:szCs w:val="24"/>
        </w:rPr>
      </w:pPr>
      <w:r w:rsidRPr="0073154C">
        <w:rPr>
          <w:rFonts w:ascii="Times New Roman" w:eastAsia="Times New Roman" w:hAnsi="Times New Roman" w:cs="Times New Roman"/>
          <w:color w:val="222222"/>
          <w:sz w:val="24"/>
          <w:szCs w:val="24"/>
        </w:rPr>
        <w:t>Gillespie, L. J.</w:t>
      </w:r>
      <w:proofErr w:type="gramStart"/>
      <w:r w:rsidRPr="0073154C">
        <w:rPr>
          <w:rFonts w:ascii="Times New Roman" w:eastAsia="Times New Roman" w:hAnsi="Times New Roman" w:cs="Times New Roman"/>
          <w:color w:val="222222"/>
          <w:sz w:val="24"/>
          <w:szCs w:val="24"/>
        </w:rPr>
        <w:t>,&amp;</w:t>
      </w:r>
      <w:proofErr w:type="gramEnd"/>
      <w:r w:rsidRPr="0073154C">
        <w:rPr>
          <w:rFonts w:ascii="Times New Roman" w:eastAsia="Times New Roman" w:hAnsi="Times New Roman" w:cs="Times New Roman"/>
          <w:color w:val="222222"/>
          <w:sz w:val="24"/>
          <w:szCs w:val="24"/>
        </w:rPr>
        <w:t xml:space="preserve"> Soreng, R. J. 2005. A phylogenetic analysis of the bluegrass genus Poa based on cpDNA restriction site data. </w:t>
      </w:r>
      <w:r w:rsidRPr="00FB70A1">
        <w:rPr>
          <w:rFonts w:ascii="Times New Roman" w:eastAsia="Times New Roman" w:hAnsi="Times New Roman" w:cs="Times New Roman"/>
          <w:iCs/>
          <w:color w:val="222222"/>
          <w:sz w:val="24"/>
          <w:szCs w:val="24"/>
        </w:rPr>
        <w:t>Systematic Botany</w:t>
      </w:r>
      <w:r w:rsidRPr="0073154C">
        <w:rPr>
          <w:rFonts w:ascii="Times New Roman" w:eastAsia="Times New Roman" w:hAnsi="Times New Roman" w:cs="Times New Roman"/>
          <w:color w:val="222222"/>
          <w:sz w:val="24"/>
          <w:szCs w:val="24"/>
        </w:rPr>
        <w:t xml:space="preserve">, </w:t>
      </w:r>
      <w:r w:rsidRPr="0073154C">
        <w:rPr>
          <w:rFonts w:ascii="Times New Roman" w:eastAsia="Times New Roman" w:hAnsi="Times New Roman" w:cs="Times New Roman"/>
          <w:i/>
          <w:iCs/>
          <w:color w:val="222222"/>
          <w:sz w:val="24"/>
          <w:szCs w:val="24"/>
        </w:rPr>
        <w:t>30</w:t>
      </w:r>
      <w:r w:rsidRPr="0073154C">
        <w:rPr>
          <w:rFonts w:ascii="Times New Roman" w:eastAsia="Times New Roman" w:hAnsi="Times New Roman" w:cs="Times New Roman"/>
          <w:color w:val="222222"/>
          <w:sz w:val="24"/>
          <w:szCs w:val="24"/>
        </w:rPr>
        <w:t>(1), 84-105</w:t>
      </w:r>
    </w:p>
    <w:p w14:paraId="6B9543FB" w14:textId="77777777" w:rsidR="00F13BF9" w:rsidRPr="000E14E4" w:rsidRDefault="00F13BF9" w:rsidP="00F13BF9">
      <w:pPr>
        <w:spacing w:line="240" w:lineRule="auto"/>
        <w:ind w:left="720" w:hanging="720"/>
        <w:rPr>
          <w:rFonts w:ascii="Times New Roman" w:eastAsiaTheme="minorHAnsi" w:hAnsi="Times New Roman" w:cs="Times New Roman"/>
          <w:sz w:val="24"/>
          <w:szCs w:val="24"/>
        </w:rPr>
      </w:pPr>
      <w:proofErr w:type="gramStart"/>
      <w:r w:rsidRPr="0073154C">
        <w:rPr>
          <w:rFonts w:ascii="Times New Roman" w:eastAsiaTheme="minorHAnsi" w:hAnsi="Times New Roman" w:cs="Times New Roman"/>
          <w:sz w:val="24"/>
          <w:szCs w:val="24"/>
        </w:rPr>
        <w:t>Goldman, J. J.; Sims, P. L. 2005.</w:t>
      </w:r>
      <w:proofErr w:type="gramEnd"/>
      <w:r w:rsidRPr="0073154C">
        <w:rPr>
          <w:rFonts w:ascii="Times New Roman" w:eastAsiaTheme="minorHAnsi" w:hAnsi="Times New Roman" w:cs="Times New Roman"/>
          <w:sz w:val="24"/>
          <w:szCs w:val="24"/>
        </w:rPr>
        <w:t xml:space="preserve"> Production of an interspecific hybrid between Texas and Argentine </w:t>
      </w:r>
      <w:proofErr w:type="gramStart"/>
      <w:r w:rsidRPr="0073154C">
        <w:rPr>
          <w:rFonts w:ascii="Times New Roman" w:eastAsiaTheme="minorHAnsi" w:hAnsi="Times New Roman" w:cs="Times New Roman"/>
          <w:sz w:val="24"/>
          <w:szCs w:val="24"/>
        </w:rPr>
        <w:t>bluegrass .</w:t>
      </w:r>
      <w:proofErr w:type="gramEnd"/>
      <w:r w:rsidRPr="0073154C">
        <w:rPr>
          <w:rFonts w:ascii="Times New Roman" w:eastAsiaTheme="minorHAnsi" w:hAnsi="Times New Roman" w:cs="Times New Roman"/>
          <w:sz w:val="24"/>
          <w:szCs w:val="24"/>
        </w:rPr>
        <w:t xml:space="preserve"> Plant Breeding. August. 124(4): p. 419-420.</w:t>
      </w:r>
    </w:p>
    <w:p w14:paraId="585DE865" w14:textId="77777777" w:rsidR="00F13BF9" w:rsidRDefault="00F13BF9" w:rsidP="00F13BF9">
      <w:pPr>
        <w:spacing w:line="240" w:lineRule="auto"/>
        <w:ind w:left="720" w:hanging="720"/>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Hartley, W. 1961</w:t>
      </w:r>
      <w:r w:rsidRPr="0073154C">
        <w:rPr>
          <w:rFonts w:ascii="Times New Roman" w:eastAsia="Times New Roman" w:hAnsi="Times New Roman" w:cs="Times New Roman"/>
          <w:color w:val="222222"/>
          <w:sz w:val="24"/>
          <w:szCs w:val="24"/>
        </w:rPr>
        <w:t>.</w:t>
      </w:r>
      <w:proofErr w:type="gramEnd"/>
      <w:r w:rsidRPr="0073154C">
        <w:rPr>
          <w:rFonts w:ascii="Times New Roman" w:eastAsia="Times New Roman" w:hAnsi="Times New Roman" w:cs="Times New Roman"/>
          <w:color w:val="222222"/>
          <w:sz w:val="24"/>
          <w:szCs w:val="24"/>
        </w:rPr>
        <w:t xml:space="preserve"> </w:t>
      </w:r>
      <w:proofErr w:type="gramStart"/>
      <w:r w:rsidRPr="0073154C">
        <w:rPr>
          <w:rFonts w:ascii="Times New Roman" w:eastAsia="Times New Roman" w:hAnsi="Times New Roman" w:cs="Times New Roman"/>
          <w:color w:val="222222"/>
          <w:sz w:val="24"/>
          <w:szCs w:val="24"/>
        </w:rPr>
        <w:t>Studies on the origin, evolution and distribution of the Gramineae.</w:t>
      </w:r>
      <w:proofErr w:type="gramEnd"/>
      <w:r w:rsidRPr="0073154C">
        <w:rPr>
          <w:rFonts w:ascii="Times New Roman" w:eastAsia="Times New Roman" w:hAnsi="Times New Roman" w:cs="Times New Roman"/>
          <w:color w:val="222222"/>
          <w:sz w:val="24"/>
          <w:szCs w:val="24"/>
        </w:rPr>
        <w:t xml:space="preserve"> IV. The genus Poa L. </w:t>
      </w:r>
      <w:r w:rsidRPr="00FB70A1">
        <w:rPr>
          <w:rFonts w:ascii="Times New Roman" w:eastAsia="Times New Roman" w:hAnsi="Times New Roman" w:cs="Times New Roman"/>
          <w:iCs/>
          <w:color w:val="222222"/>
          <w:sz w:val="24"/>
          <w:szCs w:val="24"/>
        </w:rPr>
        <w:t>Australian Journal of Botany</w:t>
      </w:r>
      <w:r w:rsidRPr="00FB70A1">
        <w:rPr>
          <w:rFonts w:ascii="Times New Roman" w:eastAsia="Times New Roman" w:hAnsi="Times New Roman" w:cs="Times New Roman"/>
          <w:color w:val="222222"/>
          <w:sz w:val="24"/>
          <w:szCs w:val="24"/>
        </w:rPr>
        <w:t xml:space="preserve">, </w:t>
      </w:r>
      <w:r w:rsidRPr="00FB70A1">
        <w:rPr>
          <w:rFonts w:ascii="Times New Roman" w:eastAsia="Times New Roman" w:hAnsi="Times New Roman" w:cs="Times New Roman"/>
          <w:iCs/>
          <w:color w:val="222222"/>
          <w:sz w:val="24"/>
          <w:szCs w:val="24"/>
        </w:rPr>
        <w:t>9</w:t>
      </w:r>
      <w:r w:rsidRPr="0073154C">
        <w:rPr>
          <w:rFonts w:ascii="Times New Roman" w:eastAsia="Times New Roman" w:hAnsi="Times New Roman" w:cs="Times New Roman"/>
          <w:color w:val="222222"/>
          <w:sz w:val="24"/>
          <w:szCs w:val="24"/>
        </w:rPr>
        <w:t>(2), 152-161.</w:t>
      </w:r>
    </w:p>
    <w:p w14:paraId="25A96068" w14:textId="77777777" w:rsidR="00FF1615" w:rsidRDefault="00FF1615" w:rsidP="00D34BB9">
      <w:pPr>
        <w:spacing w:line="240" w:lineRule="auto"/>
        <w:ind w:left="720" w:hanging="720"/>
        <w:rPr>
          <w:rFonts w:ascii="Times New Roman" w:eastAsiaTheme="minorHAnsi" w:hAnsi="Times New Roman" w:cs="Times New Roman"/>
          <w:sz w:val="24"/>
          <w:szCs w:val="24"/>
        </w:rPr>
      </w:pPr>
      <w:r w:rsidRPr="0073154C">
        <w:rPr>
          <w:rFonts w:ascii="Times New Roman" w:eastAsiaTheme="minorHAnsi" w:hAnsi="Times New Roman" w:cs="Times New Roman"/>
          <w:sz w:val="24"/>
          <w:szCs w:val="24"/>
        </w:rPr>
        <w:t xml:space="preserve">Hitchcock, A. S. 1950. Manual of the grasses of the </w:t>
      </w:r>
      <w:proofErr w:type="gramStart"/>
      <w:r w:rsidRPr="0073154C">
        <w:rPr>
          <w:rFonts w:ascii="Times New Roman" w:eastAsiaTheme="minorHAnsi" w:hAnsi="Times New Roman" w:cs="Times New Roman"/>
          <w:sz w:val="24"/>
          <w:szCs w:val="24"/>
        </w:rPr>
        <w:t>united states</w:t>
      </w:r>
      <w:proofErr w:type="gramEnd"/>
      <w:r w:rsidRPr="0073154C">
        <w:rPr>
          <w:rFonts w:ascii="Times New Roman" w:eastAsiaTheme="minorHAnsi" w:hAnsi="Times New Roman" w:cs="Times New Roman"/>
          <w:sz w:val="24"/>
          <w:szCs w:val="24"/>
        </w:rPr>
        <w:t>. End. Ed. [Revised by Agnes Chase.] U. S. Misc. Publ. 200</w:t>
      </w:r>
      <w:r w:rsidR="00D50271">
        <w:rPr>
          <w:rFonts w:ascii="Times New Roman" w:eastAsiaTheme="minorHAnsi" w:hAnsi="Times New Roman" w:cs="Times New Roman"/>
          <w:sz w:val="24"/>
          <w:szCs w:val="24"/>
        </w:rPr>
        <w:t>0</w:t>
      </w:r>
    </w:p>
    <w:p w14:paraId="6DE436F7" w14:textId="77777777" w:rsidR="00D50271" w:rsidRPr="000E14E4" w:rsidRDefault="00D50271" w:rsidP="00D50271">
      <w:pPr>
        <w:spacing w:line="240" w:lineRule="auto"/>
        <w:ind w:left="720" w:hanging="720"/>
        <w:rPr>
          <w:rFonts w:ascii="Times New Roman" w:eastAsia="Times New Roman" w:hAnsi="Times New Roman" w:cs="Times New Roman"/>
          <w:color w:val="222222"/>
          <w:sz w:val="24"/>
          <w:szCs w:val="24"/>
        </w:rPr>
      </w:pPr>
      <w:r w:rsidRPr="00CB35AD">
        <w:rPr>
          <w:rFonts w:ascii="Times New Roman" w:eastAsia="Times New Roman" w:hAnsi="Times New Roman" w:cs="Times New Roman"/>
          <w:color w:val="222222"/>
          <w:sz w:val="24"/>
          <w:szCs w:val="24"/>
        </w:rPr>
        <w:t>Hein, M. A. (1961). Registration of Varieties and Strains of Bermudagrass, III</w:t>
      </w:r>
      <w:proofErr w:type="gramStart"/>
      <w:r w:rsidRPr="00CB35AD">
        <w:rPr>
          <w:rFonts w:ascii="Times New Roman" w:eastAsia="Times New Roman" w:hAnsi="Times New Roman" w:cs="Times New Roman"/>
          <w:color w:val="222222"/>
          <w:sz w:val="24"/>
          <w:szCs w:val="24"/>
        </w:rPr>
        <w:t>.(</w:t>
      </w:r>
      <w:proofErr w:type="gramEnd"/>
      <w:r w:rsidRPr="00CB35AD">
        <w:rPr>
          <w:rFonts w:ascii="Times New Roman" w:eastAsia="Times New Roman" w:hAnsi="Times New Roman" w:cs="Times New Roman"/>
          <w:color w:val="222222"/>
          <w:sz w:val="24"/>
          <w:szCs w:val="24"/>
        </w:rPr>
        <w:t xml:space="preserve">Cynodon Dactylon (L.) Pers.). </w:t>
      </w:r>
      <w:proofErr w:type="gramStart"/>
      <w:r w:rsidRPr="00CB35AD">
        <w:rPr>
          <w:rFonts w:ascii="Times New Roman" w:eastAsia="Times New Roman" w:hAnsi="Times New Roman" w:cs="Times New Roman"/>
          <w:i/>
          <w:iCs/>
          <w:color w:val="222222"/>
          <w:sz w:val="24"/>
          <w:szCs w:val="24"/>
        </w:rPr>
        <w:t>Agronomy Journal</w:t>
      </w:r>
      <w:r w:rsidRPr="00CB35AD">
        <w:rPr>
          <w:rFonts w:ascii="Times New Roman" w:eastAsia="Times New Roman" w:hAnsi="Times New Roman" w:cs="Times New Roman"/>
          <w:color w:val="222222"/>
          <w:sz w:val="24"/>
          <w:szCs w:val="24"/>
        </w:rPr>
        <w:t xml:space="preserve">, </w:t>
      </w:r>
      <w:r w:rsidRPr="00CB35AD">
        <w:rPr>
          <w:rFonts w:ascii="Times New Roman" w:eastAsia="Times New Roman" w:hAnsi="Times New Roman" w:cs="Times New Roman"/>
          <w:i/>
          <w:iCs/>
          <w:color w:val="222222"/>
          <w:sz w:val="24"/>
          <w:szCs w:val="24"/>
        </w:rPr>
        <w:t>53</w:t>
      </w:r>
      <w:r w:rsidRPr="00CB35AD">
        <w:rPr>
          <w:rFonts w:ascii="Times New Roman" w:eastAsia="Times New Roman" w:hAnsi="Times New Roman" w:cs="Times New Roman"/>
          <w:color w:val="222222"/>
          <w:sz w:val="24"/>
          <w:szCs w:val="24"/>
        </w:rPr>
        <w:t>(4), 276.</w:t>
      </w:r>
      <w:proofErr w:type="gramEnd"/>
    </w:p>
    <w:p w14:paraId="671DA2FB" w14:textId="77777777" w:rsidR="005A2894" w:rsidRPr="00286B4D" w:rsidRDefault="005A2894" w:rsidP="005A2894">
      <w:pPr>
        <w:spacing w:line="240" w:lineRule="auto"/>
        <w:ind w:left="720" w:hanging="720"/>
        <w:rPr>
          <w:rFonts w:ascii="Times New Roman" w:eastAsia="Times New Roman" w:hAnsi="Times New Roman" w:cs="Times New Roman"/>
          <w:color w:val="222222"/>
          <w:sz w:val="24"/>
          <w:szCs w:val="24"/>
        </w:rPr>
      </w:pPr>
      <w:proofErr w:type="gramStart"/>
      <w:r w:rsidRPr="0073154C">
        <w:rPr>
          <w:rFonts w:ascii="Times New Roman" w:eastAsia="Times New Roman" w:hAnsi="Times New Roman" w:cs="Times New Roman"/>
          <w:color w:val="222222"/>
          <w:sz w:val="24"/>
          <w:szCs w:val="24"/>
        </w:rPr>
        <w:t>Huff, D. 2003</w:t>
      </w:r>
      <w:r>
        <w:rPr>
          <w:rFonts w:ascii="Times New Roman" w:eastAsia="Times New Roman" w:hAnsi="Times New Roman" w:cs="Times New Roman"/>
          <w:color w:val="222222"/>
          <w:sz w:val="24"/>
          <w:szCs w:val="24"/>
        </w:rPr>
        <w:t>a</w:t>
      </w:r>
      <w:r w:rsidRPr="0073154C">
        <w:rPr>
          <w:rFonts w:ascii="Times New Roman" w:eastAsia="Times New Roman" w:hAnsi="Times New Roman" w:cs="Times New Roman"/>
          <w:color w:val="222222"/>
          <w:sz w:val="24"/>
          <w:szCs w:val="24"/>
        </w:rPr>
        <w:t>.</w:t>
      </w:r>
      <w:proofErr w:type="gramEnd"/>
      <w:r w:rsidRPr="0073154C">
        <w:rPr>
          <w:rFonts w:ascii="Times New Roman" w:eastAsia="Times New Roman" w:hAnsi="Times New Roman" w:cs="Times New Roman"/>
          <w:color w:val="222222"/>
          <w:sz w:val="24"/>
          <w:szCs w:val="24"/>
        </w:rPr>
        <w:t xml:space="preserve"> Kentucky </w:t>
      </w:r>
      <w:proofErr w:type="gramStart"/>
      <w:r w:rsidRPr="0073154C">
        <w:rPr>
          <w:rFonts w:ascii="Times New Roman" w:eastAsia="Times New Roman" w:hAnsi="Times New Roman" w:cs="Times New Roman"/>
          <w:color w:val="222222"/>
          <w:sz w:val="24"/>
          <w:szCs w:val="24"/>
        </w:rPr>
        <w:t>Bluegrass</w:t>
      </w:r>
      <w:proofErr w:type="gramEnd"/>
      <w:r>
        <w:rPr>
          <w:rFonts w:ascii="Times New Roman" w:eastAsia="Times New Roman" w:hAnsi="Times New Roman" w:cs="Times New Roman"/>
          <w:color w:val="222222"/>
          <w:sz w:val="24"/>
          <w:szCs w:val="24"/>
        </w:rPr>
        <w:t xml:space="preserve"> (</w:t>
      </w:r>
      <w:r w:rsidRPr="00286B4D">
        <w:rPr>
          <w:rFonts w:ascii="Times New Roman" w:eastAsia="Times New Roman" w:hAnsi="Times New Roman" w:cs="Times New Roman"/>
          <w:i/>
          <w:color w:val="222222"/>
          <w:sz w:val="24"/>
          <w:szCs w:val="24"/>
        </w:rPr>
        <w:t>Poa pratensis</w:t>
      </w:r>
      <w:r>
        <w:rPr>
          <w:rFonts w:ascii="Times New Roman" w:eastAsia="Times New Roman" w:hAnsi="Times New Roman" w:cs="Times New Roman"/>
          <w:color w:val="222222"/>
          <w:sz w:val="24"/>
          <w:szCs w:val="24"/>
        </w:rPr>
        <w:t xml:space="preserve"> L.)</w:t>
      </w:r>
      <w:r w:rsidRPr="0073154C">
        <w:rPr>
          <w:rFonts w:ascii="Times New Roman" w:eastAsia="Times New Roman" w:hAnsi="Times New Roman" w:cs="Times New Roman"/>
          <w:color w:val="222222"/>
          <w:sz w:val="24"/>
          <w:szCs w:val="24"/>
        </w:rPr>
        <w:t>.</w:t>
      </w:r>
      <w:r w:rsidRPr="00286B4D">
        <w:rPr>
          <w:rFonts w:ascii="Times New Roman" w:eastAsiaTheme="minorHAnsi" w:hAnsi="Times New Roman" w:cs="Times New Roman"/>
          <w:sz w:val="24"/>
          <w:szCs w:val="24"/>
        </w:rPr>
        <w:t xml:space="preserve"> </w:t>
      </w:r>
      <w:r w:rsidRPr="0073154C">
        <w:rPr>
          <w:rFonts w:ascii="Times New Roman" w:eastAsiaTheme="minorHAnsi" w:hAnsi="Times New Roman" w:cs="Times New Roman"/>
          <w:sz w:val="24"/>
          <w:szCs w:val="24"/>
        </w:rPr>
        <w:t xml:space="preserve">.). In: Casler, Michael D.; Duncan, Ronny R., eds. </w:t>
      </w:r>
      <w:r w:rsidRPr="00286B4D">
        <w:rPr>
          <w:rFonts w:ascii="Times New Roman" w:eastAsiaTheme="minorHAnsi" w:hAnsi="Times New Roman" w:cs="Times New Roman"/>
          <w:iCs/>
          <w:sz w:val="24"/>
          <w:szCs w:val="24"/>
        </w:rPr>
        <w:t>Turfgrass Biology, Genetics, and Breeding</w:t>
      </w:r>
      <w:r w:rsidRPr="0073154C">
        <w:rPr>
          <w:rFonts w:ascii="Times New Roman" w:eastAsiaTheme="minorHAnsi" w:hAnsi="Times New Roman" w:cs="Times New Roman"/>
          <w:sz w:val="24"/>
          <w:szCs w:val="24"/>
        </w:rPr>
        <w:t>. Hoboken, NJ: John Wiley &amp; Sons.</w:t>
      </w:r>
      <w:r>
        <w:rPr>
          <w:rFonts w:ascii="Times New Roman" w:eastAsia="Times New Roman" w:hAnsi="Times New Roman" w:cs="Times New Roman"/>
          <w:color w:val="222222"/>
          <w:sz w:val="24"/>
          <w:szCs w:val="24"/>
        </w:rPr>
        <w:t xml:space="preserve">p. </w:t>
      </w:r>
      <w:r w:rsidR="00931168" w:rsidRPr="00931168">
        <w:rPr>
          <w:rFonts w:ascii="Times New Roman" w:eastAsia="Times New Roman" w:hAnsi="Times New Roman" w:cs="Times New Roman"/>
          <w:sz w:val="24"/>
          <w:szCs w:val="24"/>
        </w:rPr>
        <w:t>27-38</w:t>
      </w:r>
      <w:r w:rsidRPr="0073154C">
        <w:rPr>
          <w:rFonts w:ascii="Times New Roman" w:eastAsia="Times New Roman" w:hAnsi="Times New Roman" w:cs="Times New Roman"/>
          <w:color w:val="222222"/>
          <w:sz w:val="24"/>
          <w:szCs w:val="24"/>
        </w:rPr>
        <w:t>.</w:t>
      </w:r>
    </w:p>
    <w:p w14:paraId="77025DC2" w14:textId="77777777" w:rsidR="005A2894" w:rsidRPr="00931168" w:rsidRDefault="005A2894" w:rsidP="005A2894">
      <w:pPr>
        <w:spacing w:line="240" w:lineRule="auto"/>
        <w:ind w:left="720" w:hanging="720"/>
        <w:rPr>
          <w:rFonts w:ascii="Times New Roman" w:eastAsia="Times New Roman" w:hAnsi="Times New Roman" w:cs="Times New Roman"/>
          <w:sz w:val="24"/>
          <w:szCs w:val="24"/>
        </w:rPr>
      </w:pPr>
      <w:proofErr w:type="gramStart"/>
      <w:r w:rsidRPr="0073154C">
        <w:rPr>
          <w:rFonts w:ascii="Times New Roman" w:eastAsia="Times New Roman" w:hAnsi="Times New Roman" w:cs="Times New Roman"/>
          <w:color w:val="222222"/>
          <w:sz w:val="24"/>
          <w:szCs w:val="24"/>
        </w:rPr>
        <w:t>Huff, D. 2003</w:t>
      </w:r>
      <w:r>
        <w:rPr>
          <w:rFonts w:ascii="Times New Roman" w:eastAsia="Times New Roman" w:hAnsi="Times New Roman" w:cs="Times New Roman"/>
          <w:color w:val="222222"/>
          <w:sz w:val="24"/>
          <w:szCs w:val="24"/>
        </w:rPr>
        <w:t>b</w:t>
      </w:r>
      <w:r w:rsidRPr="0073154C">
        <w:rPr>
          <w:rFonts w:ascii="Times New Roman" w:eastAsia="Times New Roman" w:hAnsi="Times New Roman" w:cs="Times New Roman"/>
          <w:color w:val="222222"/>
          <w:sz w:val="24"/>
          <w:szCs w:val="24"/>
        </w:rPr>
        <w:t>.</w:t>
      </w:r>
      <w:proofErr w:type="gramEnd"/>
      <w:r w:rsidRPr="0073154C">
        <w:rPr>
          <w:rFonts w:ascii="Times New Roman" w:eastAsia="Times New Roman" w:hAnsi="Times New Roman" w:cs="Times New Roman"/>
          <w:color w:val="222222"/>
          <w:sz w:val="24"/>
          <w:szCs w:val="24"/>
        </w:rPr>
        <w:t xml:space="preserve"> </w:t>
      </w:r>
      <w:proofErr w:type="gramStart"/>
      <w:r w:rsidRPr="0073154C">
        <w:rPr>
          <w:rFonts w:ascii="Times New Roman" w:eastAsia="Times New Roman" w:hAnsi="Times New Roman" w:cs="Times New Roman"/>
          <w:color w:val="222222"/>
          <w:sz w:val="24"/>
          <w:szCs w:val="24"/>
        </w:rPr>
        <w:t>Annual bluegrass (</w:t>
      </w:r>
      <w:r w:rsidRPr="0073154C">
        <w:rPr>
          <w:rFonts w:ascii="Times New Roman" w:eastAsia="Times New Roman" w:hAnsi="Times New Roman" w:cs="Times New Roman"/>
          <w:i/>
          <w:color w:val="222222"/>
          <w:sz w:val="24"/>
          <w:szCs w:val="24"/>
        </w:rPr>
        <w:t>Poa annua</w:t>
      </w:r>
      <w:r w:rsidRPr="0073154C">
        <w:rPr>
          <w:rFonts w:ascii="Times New Roman" w:eastAsia="Times New Roman" w:hAnsi="Times New Roman" w:cs="Times New Roman"/>
          <w:color w:val="222222"/>
          <w:sz w:val="24"/>
          <w:szCs w:val="24"/>
        </w:rPr>
        <w:t xml:space="preserve"> L.)</w:t>
      </w:r>
      <w:r w:rsidRPr="0073154C">
        <w:rPr>
          <w:rFonts w:ascii="Times New Roman" w:eastAsiaTheme="minorHAnsi" w:hAnsi="Times New Roman" w:cs="Times New Roman"/>
          <w:sz w:val="24"/>
          <w:szCs w:val="24"/>
        </w:rPr>
        <w:t>.</w:t>
      </w:r>
      <w:proofErr w:type="gramEnd"/>
      <w:r w:rsidRPr="0073154C">
        <w:rPr>
          <w:rFonts w:ascii="Times New Roman" w:eastAsiaTheme="minorHAnsi" w:hAnsi="Times New Roman" w:cs="Times New Roman"/>
          <w:sz w:val="24"/>
          <w:szCs w:val="24"/>
        </w:rPr>
        <w:t xml:space="preserve"> In: Casler, Michael D.; Duncan, Ronny R., eds. </w:t>
      </w:r>
      <w:r w:rsidRPr="00286B4D">
        <w:rPr>
          <w:rFonts w:ascii="Times New Roman" w:eastAsiaTheme="minorHAnsi" w:hAnsi="Times New Roman" w:cs="Times New Roman"/>
          <w:iCs/>
          <w:sz w:val="24"/>
          <w:szCs w:val="24"/>
        </w:rPr>
        <w:t>Turfgrass Biology, Genetics, and Breeding</w:t>
      </w:r>
      <w:r w:rsidRPr="0073154C">
        <w:rPr>
          <w:rFonts w:ascii="Times New Roman" w:eastAsiaTheme="minorHAnsi" w:hAnsi="Times New Roman" w:cs="Times New Roman"/>
          <w:sz w:val="24"/>
          <w:szCs w:val="24"/>
        </w:rPr>
        <w:t>. Hoboken, NJ: John Wiley &amp; Sons.</w:t>
      </w:r>
      <w:r>
        <w:rPr>
          <w:rFonts w:ascii="Times New Roman" w:eastAsia="Times New Roman" w:hAnsi="Times New Roman" w:cs="Times New Roman"/>
          <w:color w:val="222222"/>
          <w:sz w:val="24"/>
          <w:szCs w:val="24"/>
        </w:rPr>
        <w:t xml:space="preserve">p. </w:t>
      </w:r>
      <w:r w:rsidR="00931168" w:rsidRPr="00931168">
        <w:rPr>
          <w:rFonts w:ascii="Times New Roman" w:eastAsia="Times New Roman" w:hAnsi="Times New Roman" w:cs="Times New Roman"/>
          <w:sz w:val="24"/>
          <w:szCs w:val="24"/>
        </w:rPr>
        <w:t>39-52</w:t>
      </w:r>
      <w:r w:rsidRPr="00931168">
        <w:rPr>
          <w:rFonts w:ascii="Times New Roman" w:eastAsia="Times New Roman" w:hAnsi="Times New Roman" w:cs="Times New Roman"/>
          <w:sz w:val="24"/>
          <w:szCs w:val="24"/>
        </w:rPr>
        <w:t>.</w:t>
      </w:r>
    </w:p>
    <w:p w14:paraId="30D3CEDE" w14:textId="77777777" w:rsidR="005A2894" w:rsidRPr="005A2894" w:rsidRDefault="005A2894" w:rsidP="005A2894">
      <w:pPr>
        <w:spacing w:line="240" w:lineRule="auto"/>
        <w:ind w:left="720" w:hanging="720"/>
        <w:rPr>
          <w:rFonts w:ascii="Times New Roman" w:eastAsiaTheme="minorHAnsi" w:hAnsi="Times New Roman" w:cs="Times New Roman"/>
          <w:sz w:val="24"/>
          <w:szCs w:val="24"/>
        </w:rPr>
      </w:pPr>
      <w:r w:rsidRPr="0073154C">
        <w:rPr>
          <w:rFonts w:ascii="Times New Roman" w:eastAsiaTheme="minorHAnsi" w:hAnsi="Times New Roman" w:cs="Times New Roman"/>
          <w:sz w:val="24"/>
          <w:szCs w:val="24"/>
        </w:rPr>
        <w:t xml:space="preserve">Huff, David. </w:t>
      </w:r>
      <w:proofErr w:type="gramStart"/>
      <w:r w:rsidRPr="0073154C">
        <w:rPr>
          <w:rFonts w:ascii="Times New Roman" w:eastAsiaTheme="minorHAnsi" w:hAnsi="Times New Roman" w:cs="Times New Roman"/>
          <w:sz w:val="24"/>
          <w:szCs w:val="24"/>
        </w:rPr>
        <w:t>2003</w:t>
      </w:r>
      <w:r>
        <w:rPr>
          <w:rFonts w:ascii="Times New Roman" w:eastAsiaTheme="minorHAnsi" w:hAnsi="Times New Roman" w:cs="Times New Roman"/>
          <w:sz w:val="24"/>
          <w:szCs w:val="24"/>
        </w:rPr>
        <w:t>c</w:t>
      </w:r>
      <w:r w:rsidRPr="0073154C">
        <w:rPr>
          <w:rFonts w:ascii="Times New Roman" w:eastAsiaTheme="minorHAnsi" w:hAnsi="Times New Roman" w:cs="Times New Roman"/>
          <w:sz w:val="24"/>
          <w:szCs w:val="24"/>
        </w:rPr>
        <w:t>. Cultivar development and extreme temperature tolerance of greens-type Poa annua.</w:t>
      </w:r>
      <w:proofErr w:type="gramEnd"/>
      <w:r w:rsidRPr="0073154C">
        <w:rPr>
          <w:rFonts w:ascii="Times New Roman" w:eastAsiaTheme="minorHAnsi" w:hAnsi="Times New Roman" w:cs="Times New Roman"/>
          <w:sz w:val="24"/>
          <w:szCs w:val="24"/>
        </w:rPr>
        <w:t xml:space="preserve"> </w:t>
      </w:r>
      <w:r w:rsidRPr="0073154C">
        <w:rPr>
          <w:rFonts w:ascii="Times New Roman" w:eastAsiaTheme="minorHAnsi" w:hAnsi="Times New Roman" w:cs="Times New Roman"/>
          <w:i/>
          <w:iCs/>
          <w:sz w:val="24"/>
          <w:szCs w:val="24"/>
        </w:rPr>
        <w:t>2003 Turfgrass and Environmental Research Summary</w:t>
      </w:r>
      <w:r w:rsidRPr="0073154C">
        <w:rPr>
          <w:rFonts w:ascii="Times New Roman" w:eastAsiaTheme="minorHAnsi" w:hAnsi="Times New Roman" w:cs="Times New Roman"/>
          <w:sz w:val="24"/>
          <w:szCs w:val="24"/>
        </w:rPr>
        <w:t>. p. 35.</w:t>
      </w:r>
    </w:p>
    <w:p w14:paraId="48B3E9FF" w14:textId="77777777" w:rsidR="005A2894" w:rsidRDefault="005A2894" w:rsidP="005A2894">
      <w:pPr>
        <w:spacing w:line="240" w:lineRule="auto"/>
        <w:ind w:left="720" w:hanging="720"/>
        <w:rPr>
          <w:rFonts w:ascii="Times New Roman" w:eastAsiaTheme="minorHAnsi" w:hAnsi="Times New Roman" w:cs="Times New Roman"/>
          <w:sz w:val="24"/>
          <w:szCs w:val="24"/>
        </w:rPr>
      </w:pPr>
      <w:proofErr w:type="gramStart"/>
      <w:r w:rsidRPr="0073154C">
        <w:rPr>
          <w:rFonts w:ascii="Times New Roman" w:eastAsiaTheme="minorHAnsi" w:hAnsi="Times New Roman" w:cs="Times New Roman"/>
          <w:sz w:val="24"/>
          <w:szCs w:val="24"/>
        </w:rPr>
        <w:t>Huff, David R. 1998.</w:t>
      </w:r>
      <w:proofErr w:type="gramEnd"/>
      <w:r w:rsidRPr="0073154C">
        <w:rPr>
          <w:rFonts w:ascii="Times New Roman" w:eastAsiaTheme="minorHAnsi" w:hAnsi="Times New Roman" w:cs="Times New Roman"/>
          <w:sz w:val="24"/>
          <w:szCs w:val="24"/>
        </w:rPr>
        <w:t xml:space="preserve"> </w:t>
      </w:r>
      <w:proofErr w:type="gramStart"/>
      <w:r w:rsidRPr="0073154C">
        <w:rPr>
          <w:rFonts w:ascii="Times New Roman" w:eastAsiaTheme="minorHAnsi" w:hAnsi="Times New Roman" w:cs="Times New Roman"/>
          <w:sz w:val="24"/>
          <w:szCs w:val="24"/>
        </w:rPr>
        <w:t>Cultivar development and extreme temperature tolerance of greens-type Poa annua.</w:t>
      </w:r>
      <w:proofErr w:type="gramEnd"/>
      <w:r w:rsidRPr="0073154C">
        <w:rPr>
          <w:rFonts w:ascii="Times New Roman" w:eastAsiaTheme="minorHAnsi" w:hAnsi="Times New Roman" w:cs="Times New Roman"/>
          <w:sz w:val="24"/>
          <w:szCs w:val="24"/>
        </w:rPr>
        <w:t xml:space="preserve"> 1998 Turfgrass and Environmental Research Summary [USGA]. p. 46.</w:t>
      </w:r>
    </w:p>
    <w:p w14:paraId="3924C330" w14:textId="77777777" w:rsidR="005A2894" w:rsidRPr="0073154C" w:rsidRDefault="005A2894" w:rsidP="005A2894">
      <w:pPr>
        <w:spacing w:line="240" w:lineRule="auto"/>
        <w:ind w:left="720" w:hanging="720"/>
        <w:rPr>
          <w:rFonts w:ascii="Times New Roman" w:hAnsi="Times New Roman" w:cs="Times New Roman"/>
          <w:sz w:val="24"/>
          <w:szCs w:val="24"/>
        </w:rPr>
      </w:pPr>
      <w:proofErr w:type="gramStart"/>
      <w:r w:rsidRPr="0073154C">
        <w:rPr>
          <w:rFonts w:ascii="Times New Roman" w:hAnsi="Times New Roman" w:cs="Times New Roman"/>
          <w:sz w:val="24"/>
          <w:szCs w:val="24"/>
        </w:rPr>
        <w:t>Huff, David R. 2001.</w:t>
      </w:r>
      <w:proofErr w:type="gramEnd"/>
      <w:r w:rsidRPr="0073154C">
        <w:rPr>
          <w:rFonts w:ascii="Times New Roman" w:hAnsi="Times New Roman" w:cs="Times New Roman"/>
          <w:sz w:val="24"/>
          <w:szCs w:val="24"/>
        </w:rPr>
        <w:t xml:space="preserve"> </w:t>
      </w:r>
      <w:proofErr w:type="gramStart"/>
      <w:r w:rsidRPr="0073154C">
        <w:rPr>
          <w:rFonts w:ascii="Times New Roman" w:hAnsi="Times New Roman" w:cs="Times New Roman"/>
          <w:sz w:val="24"/>
          <w:szCs w:val="24"/>
        </w:rPr>
        <w:t>New bluegrass species for turf.</w:t>
      </w:r>
      <w:proofErr w:type="gramEnd"/>
      <w:r w:rsidRPr="0073154C">
        <w:rPr>
          <w:rFonts w:ascii="Times New Roman" w:hAnsi="Times New Roman" w:cs="Times New Roman"/>
          <w:sz w:val="24"/>
          <w:szCs w:val="24"/>
        </w:rPr>
        <w:t xml:space="preserve"> TurfGrass TRENDS. January. 10(1): p. 8-11.</w:t>
      </w:r>
    </w:p>
    <w:p w14:paraId="5260E353" w14:textId="77777777" w:rsidR="005A2894" w:rsidRPr="0073154C" w:rsidRDefault="005A2894" w:rsidP="005A2894">
      <w:pPr>
        <w:spacing w:line="240" w:lineRule="auto"/>
        <w:ind w:left="720" w:hanging="720"/>
        <w:rPr>
          <w:rFonts w:ascii="Times New Roman" w:eastAsiaTheme="minorHAnsi" w:hAnsi="Times New Roman" w:cs="Times New Roman"/>
          <w:sz w:val="24"/>
          <w:szCs w:val="24"/>
        </w:rPr>
      </w:pPr>
      <w:r w:rsidRPr="0073154C">
        <w:rPr>
          <w:rFonts w:ascii="Times New Roman" w:eastAsiaTheme="minorHAnsi" w:hAnsi="Times New Roman" w:cs="Times New Roman"/>
          <w:sz w:val="24"/>
          <w:szCs w:val="24"/>
        </w:rPr>
        <w:t>Huff, David. 1996.</w:t>
      </w:r>
      <w:r w:rsidRPr="0073154C">
        <w:rPr>
          <w:rFonts w:ascii="Times New Roman" w:eastAsiaTheme="minorHAnsi" w:hAnsi="Times New Roman" w:cs="Times New Roman"/>
          <w:i/>
          <w:iCs/>
          <w:sz w:val="24"/>
          <w:szCs w:val="24"/>
        </w:rPr>
        <w:t xml:space="preserve"> Poa annua</w:t>
      </w:r>
      <w:r w:rsidRPr="0073154C">
        <w:rPr>
          <w:rFonts w:ascii="Times New Roman" w:eastAsiaTheme="minorHAnsi" w:hAnsi="Times New Roman" w:cs="Times New Roman"/>
          <w:sz w:val="24"/>
          <w:szCs w:val="24"/>
        </w:rPr>
        <w:t xml:space="preserve"> for golf course greens. </w:t>
      </w:r>
      <w:r w:rsidRPr="00286B4D">
        <w:rPr>
          <w:rFonts w:ascii="Times New Roman" w:eastAsiaTheme="minorHAnsi" w:hAnsi="Times New Roman" w:cs="Times New Roman"/>
          <w:iCs/>
          <w:sz w:val="24"/>
          <w:szCs w:val="24"/>
        </w:rPr>
        <w:t>Grounds Maintenance</w:t>
      </w:r>
      <w:r w:rsidRPr="0073154C">
        <w:rPr>
          <w:rFonts w:ascii="Times New Roman" w:eastAsiaTheme="minorHAnsi" w:hAnsi="Times New Roman" w:cs="Times New Roman"/>
          <w:sz w:val="24"/>
          <w:szCs w:val="24"/>
        </w:rPr>
        <w:t>. January. 31(1): p. G2, G6, G10</w:t>
      </w:r>
    </w:p>
    <w:p w14:paraId="69FDCDA7" w14:textId="77777777" w:rsidR="005A2894" w:rsidRDefault="005A2894" w:rsidP="005A2894">
      <w:pPr>
        <w:spacing w:line="240" w:lineRule="atLeast"/>
        <w:ind w:left="720" w:hanging="720"/>
        <w:rPr>
          <w:rFonts w:ascii="Times New Roman" w:eastAsiaTheme="minorHAnsi" w:hAnsi="Times New Roman" w:cs="Times New Roman"/>
          <w:sz w:val="24"/>
          <w:szCs w:val="24"/>
        </w:rPr>
      </w:pPr>
      <w:proofErr w:type="gramStart"/>
      <w:r w:rsidRPr="0073154C">
        <w:rPr>
          <w:rFonts w:ascii="Times New Roman" w:eastAsiaTheme="minorHAnsi" w:hAnsi="Times New Roman" w:cs="Times New Roman"/>
          <w:sz w:val="24"/>
          <w:szCs w:val="24"/>
        </w:rPr>
        <w:t>Hurley, R. H.; Funk, C. R. 1982.</w:t>
      </w:r>
      <w:proofErr w:type="gramEnd"/>
      <w:r w:rsidRPr="0073154C">
        <w:rPr>
          <w:rFonts w:ascii="Times New Roman" w:eastAsiaTheme="minorHAnsi" w:hAnsi="Times New Roman" w:cs="Times New Roman"/>
          <w:sz w:val="24"/>
          <w:szCs w:val="24"/>
        </w:rPr>
        <w:t xml:space="preserve"> Heritability estimates for rough bluegrass based on variability of replicated clonal material. </w:t>
      </w:r>
      <w:r w:rsidRPr="0073154C">
        <w:rPr>
          <w:rFonts w:ascii="Times New Roman" w:eastAsiaTheme="minorHAnsi" w:hAnsi="Times New Roman" w:cs="Times New Roman"/>
          <w:i/>
          <w:iCs/>
          <w:sz w:val="24"/>
          <w:szCs w:val="24"/>
        </w:rPr>
        <w:t>Agronomy Abstracts</w:t>
      </w:r>
      <w:r w:rsidRPr="0073154C">
        <w:rPr>
          <w:rFonts w:ascii="Times New Roman" w:eastAsiaTheme="minorHAnsi" w:hAnsi="Times New Roman" w:cs="Times New Roman"/>
          <w:sz w:val="24"/>
          <w:szCs w:val="24"/>
        </w:rPr>
        <w:t>. November. p. 143.</w:t>
      </w:r>
    </w:p>
    <w:p w14:paraId="48C76C17" w14:textId="77777777" w:rsidR="005A2894" w:rsidRPr="000E14E4" w:rsidRDefault="005A2894" w:rsidP="005A2894">
      <w:pPr>
        <w:spacing w:line="240" w:lineRule="auto"/>
        <w:ind w:left="720" w:hanging="720"/>
        <w:rPr>
          <w:rFonts w:ascii="Times New Roman" w:eastAsiaTheme="minorHAnsi" w:hAnsi="Times New Roman" w:cs="Times New Roman"/>
          <w:sz w:val="24"/>
          <w:szCs w:val="24"/>
        </w:rPr>
      </w:pPr>
      <w:r w:rsidRPr="0073154C">
        <w:rPr>
          <w:rFonts w:ascii="Times New Roman" w:eastAsiaTheme="minorHAnsi" w:hAnsi="Times New Roman" w:cs="Times New Roman"/>
          <w:sz w:val="24"/>
          <w:szCs w:val="24"/>
        </w:rPr>
        <w:t>Hurley, Richard. 2003</w:t>
      </w:r>
      <w:proofErr w:type="gramStart"/>
      <w:r w:rsidRPr="0073154C">
        <w:rPr>
          <w:rFonts w:ascii="Times New Roman" w:eastAsiaTheme="minorHAnsi" w:hAnsi="Times New Roman" w:cs="Times New Roman"/>
          <w:sz w:val="24"/>
          <w:szCs w:val="24"/>
        </w:rPr>
        <w:t>..</w:t>
      </w:r>
      <w:proofErr w:type="gramEnd"/>
      <w:r w:rsidRPr="0073154C">
        <w:rPr>
          <w:rFonts w:ascii="Times New Roman" w:eastAsiaTheme="minorHAnsi" w:hAnsi="Times New Roman" w:cs="Times New Roman"/>
          <w:sz w:val="24"/>
          <w:szCs w:val="24"/>
        </w:rPr>
        <w:t xml:space="preserve"> Rough bluegrass (</w:t>
      </w:r>
      <w:r w:rsidRPr="0073154C">
        <w:rPr>
          <w:rFonts w:ascii="Times New Roman" w:eastAsiaTheme="minorHAnsi" w:hAnsi="Times New Roman" w:cs="Times New Roman"/>
          <w:i/>
          <w:iCs/>
          <w:sz w:val="24"/>
          <w:szCs w:val="24"/>
        </w:rPr>
        <w:t>Poa trivialis</w:t>
      </w:r>
      <w:r w:rsidRPr="0073154C">
        <w:rPr>
          <w:rFonts w:ascii="Times New Roman" w:eastAsiaTheme="minorHAnsi" w:hAnsi="Times New Roman" w:cs="Times New Roman"/>
          <w:sz w:val="24"/>
          <w:szCs w:val="24"/>
        </w:rPr>
        <w:t xml:space="preserve"> L.). In: Casler, Michael D.; Duncan, Ronny R., eds. </w:t>
      </w:r>
      <w:r w:rsidRPr="00286B4D">
        <w:rPr>
          <w:rFonts w:ascii="Times New Roman" w:eastAsiaTheme="minorHAnsi" w:hAnsi="Times New Roman" w:cs="Times New Roman"/>
          <w:iCs/>
          <w:sz w:val="24"/>
          <w:szCs w:val="24"/>
        </w:rPr>
        <w:t>Turfgrass Biology, Genetics, and Breeding</w:t>
      </w:r>
      <w:r w:rsidRPr="00286B4D">
        <w:rPr>
          <w:rFonts w:ascii="Times New Roman" w:eastAsiaTheme="minorHAnsi" w:hAnsi="Times New Roman" w:cs="Times New Roman"/>
          <w:sz w:val="24"/>
          <w:szCs w:val="24"/>
        </w:rPr>
        <w:t>.</w:t>
      </w:r>
      <w:r w:rsidRPr="0073154C">
        <w:rPr>
          <w:rFonts w:ascii="Times New Roman" w:eastAsiaTheme="minorHAnsi" w:hAnsi="Times New Roman" w:cs="Times New Roman"/>
          <w:sz w:val="24"/>
          <w:szCs w:val="24"/>
        </w:rPr>
        <w:t xml:space="preserve"> Hoboken, NJ: John Wiley &amp; Sons.</w:t>
      </w:r>
      <w:r>
        <w:rPr>
          <w:rFonts w:ascii="Times New Roman" w:eastAsiaTheme="minorHAnsi" w:hAnsi="Times New Roman" w:cs="Times New Roman"/>
          <w:sz w:val="24"/>
          <w:szCs w:val="24"/>
        </w:rPr>
        <w:t xml:space="preserve"> </w:t>
      </w:r>
      <w:r w:rsidRPr="0073154C">
        <w:rPr>
          <w:rFonts w:ascii="Times New Roman" w:eastAsiaTheme="minorHAnsi" w:hAnsi="Times New Roman" w:cs="Times New Roman"/>
          <w:sz w:val="24"/>
          <w:szCs w:val="24"/>
        </w:rPr>
        <w:t>p. 67-73</w:t>
      </w:r>
      <w:r>
        <w:rPr>
          <w:rFonts w:ascii="Times New Roman" w:eastAsiaTheme="minorHAnsi" w:hAnsi="Times New Roman" w:cs="Times New Roman"/>
          <w:sz w:val="24"/>
          <w:szCs w:val="24"/>
        </w:rPr>
        <w:t>.</w:t>
      </w:r>
    </w:p>
    <w:p w14:paraId="258A81D4" w14:textId="77777777" w:rsidR="005A2894" w:rsidRPr="000E14E4" w:rsidRDefault="005A2894" w:rsidP="005A2894">
      <w:pPr>
        <w:spacing w:line="240" w:lineRule="auto"/>
        <w:ind w:left="720" w:hanging="720"/>
        <w:rPr>
          <w:rFonts w:ascii="Times New Roman" w:eastAsia="Times New Roman" w:hAnsi="Times New Roman" w:cs="Times New Roman"/>
          <w:color w:val="222222"/>
          <w:sz w:val="24"/>
          <w:szCs w:val="24"/>
        </w:rPr>
      </w:pPr>
      <w:r w:rsidRPr="0073154C">
        <w:rPr>
          <w:rFonts w:ascii="Times New Roman" w:eastAsia="Times New Roman" w:hAnsi="Times New Roman" w:cs="Times New Roman"/>
          <w:color w:val="222222"/>
          <w:sz w:val="24"/>
          <w:szCs w:val="24"/>
        </w:rPr>
        <w:lastRenderedPageBreak/>
        <w:t>Kelley, A. M., Johnson, P. G., Waldron, B. L., &amp; Peel, M. D. (2009). A Survey of Apomixis and Ploidy Levels among L</w:t>
      </w:r>
      <w:proofErr w:type="gramStart"/>
      <w:r w:rsidRPr="0073154C">
        <w:rPr>
          <w:rFonts w:ascii="Times New Roman" w:eastAsia="Times New Roman" w:hAnsi="Times New Roman" w:cs="Times New Roman"/>
          <w:color w:val="222222"/>
          <w:sz w:val="24"/>
          <w:szCs w:val="24"/>
        </w:rPr>
        <w:t>.(</w:t>
      </w:r>
      <w:proofErr w:type="gramEnd"/>
      <w:r w:rsidRPr="0073154C">
        <w:rPr>
          <w:rFonts w:ascii="Times New Roman" w:eastAsia="Times New Roman" w:hAnsi="Times New Roman" w:cs="Times New Roman"/>
          <w:color w:val="222222"/>
          <w:sz w:val="24"/>
          <w:szCs w:val="24"/>
        </w:rPr>
        <w:t xml:space="preserve">Poaceae) Using Flow Cytometry. </w:t>
      </w:r>
      <w:r w:rsidRPr="0073154C">
        <w:rPr>
          <w:rFonts w:ascii="Times New Roman" w:eastAsia="Times New Roman" w:hAnsi="Times New Roman" w:cs="Times New Roman"/>
          <w:i/>
          <w:iCs/>
          <w:color w:val="222222"/>
          <w:sz w:val="24"/>
          <w:szCs w:val="24"/>
        </w:rPr>
        <w:t>Crop science</w:t>
      </w:r>
      <w:r w:rsidRPr="0073154C">
        <w:rPr>
          <w:rFonts w:ascii="Times New Roman" w:eastAsia="Times New Roman" w:hAnsi="Times New Roman" w:cs="Times New Roman"/>
          <w:color w:val="222222"/>
          <w:sz w:val="24"/>
          <w:szCs w:val="24"/>
        </w:rPr>
        <w:t xml:space="preserve">, </w:t>
      </w:r>
      <w:r w:rsidRPr="0073154C">
        <w:rPr>
          <w:rFonts w:ascii="Times New Roman" w:eastAsia="Times New Roman" w:hAnsi="Times New Roman" w:cs="Times New Roman"/>
          <w:i/>
          <w:iCs/>
          <w:color w:val="222222"/>
          <w:sz w:val="24"/>
          <w:szCs w:val="24"/>
        </w:rPr>
        <w:t>49</w:t>
      </w:r>
      <w:r w:rsidRPr="0073154C">
        <w:rPr>
          <w:rFonts w:ascii="Times New Roman" w:eastAsia="Times New Roman" w:hAnsi="Times New Roman" w:cs="Times New Roman"/>
          <w:color w:val="222222"/>
          <w:sz w:val="24"/>
          <w:szCs w:val="24"/>
        </w:rPr>
        <w:t>(4), 1395-1402.</w:t>
      </w:r>
    </w:p>
    <w:p w14:paraId="4DA362D4" w14:textId="77777777" w:rsidR="005A2894" w:rsidRDefault="005A2894" w:rsidP="005A2894">
      <w:pPr>
        <w:spacing w:line="240" w:lineRule="auto"/>
        <w:ind w:left="720" w:hanging="720"/>
        <w:rPr>
          <w:rFonts w:ascii="Times New Roman" w:eastAsiaTheme="minorHAnsi" w:hAnsi="Times New Roman" w:cs="Times New Roman"/>
          <w:sz w:val="24"/>
          <w:szCs w:val="24"/>
        </w:rPr>
      </w:pPr>
      <w:proofErr w:type="gramStart"/>
      <w:r w:rsidRPr="0073154C">
        <w:rPr>
          <w:rFonts w:ascii="Times New Roman" w:eastAsiaTheme="minorHAnsi" w:hAnsi="Times New Roman" w:cs="Times New Roman"/>
          <w:sz w:val="24"/>
          <w:szCs w:val="24"/>
        </w:rPr>
        <w:t>Kopec, D. M.; Smith, S. E.; Pessarakli, M. 2008.</w:t>
      </w:r>
      <w:proofErr w:type="gramEnd"/>
      <w:r w:rsidRPr="0073154C">
        <w:rPr>
          <w:rFonts w:ascii="Times New Roman" w:eastAsiaTheme="minorHAnsi" w:hAnsi="Times New Roman" w:cs="Times New Roman"/>
          <w:sz w:val="24"/>
          <w:szCs w:val="24"/>
        </w:rPr>
        <w:t xml:space="preserve"> Collection and evaluation of native grasses from grazed arid environments for turfgrass development. </w:t>
      </w:r>
      <w:r w:rsidRPr="0073154C">
        <w:rPr>
          <w:rFonts w:ascii="Times New Roman" w:eastAsiaTheme="minorHAnsi" w:hAnsi="Times New Roman" w:cs="Times New Roman"/>
          <w:i/>
          <w:iCs/>
          <w:sz w:val="24"/>
          <w:szCs w:val="24"/>
        </w:rPr>
        <w:t>2008 Turfgrass and Environmental Research Summary</w:t>
      </w:r>
      <w:r w:rsidRPr="0073154C">
        <w:rPr>
          <w:rFonts w:ascii="Times New Roman" w:eastAsiaTheme="minorHAnsi" w:hAnsi="Times New Roman" w:cs="Times New Roman"/>
          <w:sz w:val="24"/>
          <w:szCs w:val="24"/>
        </w:rPr>
        <w:t>. p. 52.</w:t>
      </w:r>
    </w:p>
    <w:p w14:paraId="10133D6E" w14:textId="77777777" w:rsidR="00931168" w:rsidRDefault="00931168" w:rsidP="00931168">
      <w:pPr>
        <w:spacing w:line="240" w:lineRule="auto"/>
        <w:ind w:left="720" w:hanging="720"/>
        <w:rPr>
          <w:rFonts w:ascii="Times New Roman" w:eastAsiaTheme="minorHAnsi" w:hAnsi="Times New Roman" w:cs="Times New Roman"/>
          <w:sz w:val="24"/>
          <w:szCs w:val="24"/>
        </w:rPr>
      </w:pPr>
      <w:proofErr w:type="gramStart"/>
      <w:r>
        <w:rPr>
          <w:rFonts w:ascii="Times New Roman" w:eastAsiaTheme="minorHAnsi" w:hAnsi="Times New Roman" w:cs="Times New Roman"/>
          <w:sz w:val="24"/>
          <w:szCs w:val="24"/>
        </w:rPr>
        <w:t>Köppen, W., 1900.</w:t>
      </w:r>
      <w:proofErr w:type="gramEnd"/>
      <w:r w:rsidRPr="00931168">
        <w:rPr>
          <w:rFonts w:ascii="Times New Roman" w:eastAsiaTheme="minorHAnsi" w:hAnsi="Times New Roman" w:cs="Times New Roman"/>
          <w:sz w:val="24"/>
          <w:szCs w:val="24"/>
        </w:rPr>
        <w:t xml:space="preserve"> Versuch ei</w:t>
      </w:r>
      <w:r>
        <w:rPr>
          <w:rFonts w:ascii="Times New Roman" w:eastAsiaTheme="minorHAnsi" w:hAnsi="Times New Roman" w:cs="Times New Roman"/>
          <w:sz w:val="24"/>
          <w:szCs w:val="24"/>
        </w:rPr>
        <w:t>ner Klassifikation der Klimate</w:t>
      </w:r>
      <w:proofErr w:type="gramStart"/>
      <w:r>
        <w:rPr>
          <w:rFonts w:ascii="Times New Roman" w:eastAsiaTheme="minorHAnsi" w:hAnsi="Times New Roman" w:cs="Times New Roman"/>
          <w:sz w:val="24"/>
          <w:szCs w:val="24"/>
        </w:rPr>
        <w:t>,</w:t>
      </w:r>
      <w:r w:rsidRPr="00931168">
        <w:rPr>
          <w:rFonts w:ascii="Times New Roman" w:eastAsiaTheme="minorHAnsi" w:hAnsi="Times New Roman" w:cs="Times New Roman"/>
          <w:sz w:val="24"/>
          <w:szCs w:val="24"/>
        </w:rPr>
        <w:t>vorzugsweise</w:t>
      </w:r>
      <w:proofErr w:type="gramEnd"/>
      <w:r w:rsidRPr="00931168">
        <w:rPr>
          <w:rFonts w:ascii="Times New Roman" w:eastAsiaTheme="minorHAnsi" w:hAnsi="Times New Roman" w:cs="Times New Roman"/>
          <w:sz w:val="24"/>
          <w:szCs w:val="24"/>
        </w:rPr>
        <w:t xml:space="preserve"> nach ihre</w:t>
      </w:r>
      <w:r>
        <w:rPr>
          <w:rFonts w:ascii="Times New Roman" w:eastAsiaTheme="minorHAnsi" w:hAnsi="Times New Roman" w:cs="Times New Roman"/>
          <w:sz w:val="24"/>
          <w:szCs w:val="24"/>
        </w:rPr>
        <w:t>n Beziehungen zur Pflanzenwelt.</w:t>
      </w:r>
      <w:r w:rsidRPr="00931168">
        <w:rPr>
          <w:rFonts w:ascii="Times New Roman" w:eastAsiaTheme="minorHAnsi" w:hAnsi="Times New Roman" w:cs="Times New Roman"/>
          <w:sz w:val="24"/>
          <w:szCs w:val="24"/>
        </w:rPr>
        <w:t xml:space="preserve"> Geogr. Zeitschr. 6, 593–611, 657–679.</w:t>
      </w:r>
    </w:p>
    <w:p w14:paraId="4D285357" w14:textId="77777777" w:rsidR="00D34BB9" w:rsidRDefault="005A2894" w:rsidP="007903A0">
      <w:pPr>
        <w:ind w:left="720" w:hanging="720"/>
        <w:rPr>
          <w:rFonts w:ascii="Times New Roman" w:eastAsiaTheme="minorHAnsi" w:hAnsi="Times New Roman" w:cs="Times New Roman"/>
          <w:sz w:val="24"/>
          <w:szCs w:val="24"/>
        </w:rPr>
      </w:pPr>
      <w:proofErr w:type="gramStart"/>
      <w:r w:rsidRPr="0073154C">
        <w:rPr>
          <w:rFonts w:ascii="Times New Roman" w:eastAsiaTheme="minorHAnsi" w:hAnsi="Times New Roman" w:cs="Times New Roman"/>
          <w:sz w:val="24"/>
          <w:szCs w:val="24"/>
        </w:rPr>
        <w:t>Mao, Qing; Huff, David R. 2012.</w:t>
      </w:r>
      <w:proofErr w:type="gramEnd"/>
      <w:r w:rsidRPr="0073154C">
        <w:rPr>
          <w:rFonts w:ascii="Times New Roman" w:eastAsiaTheme="minorHAnsi" w:hAnsi="Times New Roman" w:cs="Times New Roman"/>
          <w:sz w:val="24"/>
          <w:szCs w:val="24"/>
        </w:rPr>
        <w:t xml:space="preserve"> </w:t>
      </w:r>
      <w:proofErr w:type="gramStart"/>
      <w:r w:rsidRPr="0073154C">
        <w:rPr>
          <w:rFonts w:ascii="Times New Roman" w:eastAsiaTheme="minorHAnsi" w:hAnsi="Times New Roman" w:cs="Times New Roman"/>
          <w:sz w:val="24"/>
          <w:szCs w:val="24"/>
        </w:rPr>
        <w:t xml:space="preserve">Evolutionary origin of Poa annua L. </w:t>
      </w:r>
      <w:r w:rsidRPr="0073154C">
        <w:rPr>
          <w:rFonts w:ascii="Times New Roman" w:eastAsiaTheme="minorHAnsi" w:hAnsi="Times New Roman" w:cs="Times New Roman"/>
          <w:i/>
          <w:iCs/>
          <w:sz w:val="24"/>
          <w:szCs w:val="24"/>
        </w:rPr>
        <w:t>Crop Science</w:t>
      </w:r>
      <w:r w:rsidRPr="0073154C">
        <w:rPr>
          <w:rFonts w:ascii="Times New Roman" w:eastAsiaTheme="minorHAnsi" w:hAnsi="Times New Roman" w:cs="Times New Roman"/>
          <w:sz w:val="24"/>
          <w:szCs w:val="24"/>
        </w:rPr>
        <w:t>.</w:t>
      </w:r>
      <w:proofErr w:type="gramEnd"/>
      <w:r w:rsidRPr="0073154C">
        <w:rPr>
          <w:rFonts w:ascii="Times New Roman" w:eastAsiaTheme="minorHAnsi" w:hAnsi="Times New Roman" w:cs="Times New Roman"/>
          <w:sz w:val="24"/>
          <w:szCs w:val="24"/>
        </w:rPr>
        <w:t xml:space="preserve"> July. 52(4): p. 1910-1922</w:t>
      </w:r>
    </w:p>
    <w:p w14:paraId="1F121B28" w14:textId="77777777" w:rsidR="005A2894" w:rsidRDefault="005A2894" w:rsidP="005A2894">
      <w:pPr>
        <w:spacing w:line="240" w:lineRule="auto"/>
        <w:ind w:left="720" w:hanging="720"/>
        <w:rPr>
          <w:rFonts w:ascii="Times New Roman" w:eastAsiaTheme="minorHAnsi" w:hAnsi="Times New Roman" w:cs="Times New Roman"/>
          <w:sz w:val="24"/>
          <w:szCs w:val="24"/>
        </w:rPr>
      </w:pPr>
      <w:proofErr w:type="gramStart"/>
      <w:r w:rsidRPr="0073154C">
        <w:rPr>
          <w:rFonts w:ascii="Times New Roman" w:eastAsiaTheme="minorHAnsi" w:hAnsi="Times New Roman" w:cs="Times New Roman"/>
          <w:sz w:val="24"/>
          <w:szCs w:val="24"/>
        </w:rPr>
        <w:t>Meyer, William A.; Watkins, Eric.</w:t>
      </w:r>
      <w:proofErr w:type="gramEnd"/>
      <w:r w:rsidRPr="0073154C">
        <w:rPr>
          <w:rFonts w:ascii="Times New Roman" w:eastAsiaTheme="minorHAnsi" w:hAnsi="Times New Roman" w:cs="Times New Roman"/>
          <w:sz w:val="24"/>
          <w:szCs w:val="24"/>
        </w:rPr>
        <w:t xml:space="preserve"> 2003. Tall Fescue (Festuca arundinacea). p. 107-127. In: Casler, Michael D.; Duncan, Ronny R., eds. </w:t>
      </w:r>
      <w:r w:rsidRPr="0073154C">
        <w:rPr>
          <w:rFonts w:ascii="Times New Roman" w:eastAsiaTheme="minorHAnsi" w:hAnsi="Times New Roman" w:cs="Times New Roman"/>
          <w:i/>
          <w:iCs/>
          <w:sz w:val="24"/>
          <w:szCs w:val="24"/>
        </w:rPr>
        <w:t>Turfgrass Biology, Genetics, and Breeding</w:t>
      </w:r>
      <w:r w:rsidRPr="0073154C">
        <w:rPr>
          <w:rFonts w:ascii="Times New Roman" w:eastAsiaTheme="minorHAnsi" w:hAnsi="Times New Roman" w:cs="Times New Roman"/>
          <w:sz w:val="24"/>
          <w:szCs w:val="24"/>
        </w:rPr>
        <w:t>. Hoboken, NJ: John Wiley &amp; Sons.</w:t>
      </w:r>
    </w:p>
    <w:p w14:paraId="14A88C40" w14:textId="77777777" w:rsidR="005A2894" w:rsidRPr="000E14E4" w:rsidRDefault="005A2894" w:rsidP="005A2894">
      <w:pPr>
        <w:spacing w:line="240" w:lineRule="auto"/>
        <w:ind w:left="720" w:hanging="720"/>
        <w:rPr>
          <w:rFonts w:ascii="Times New Roman" w:eastAsia="Times New Roman" w:hAnsi="Times New Roman" w:cs="Times New Roman"/>
          <w:color w:val="222222"/>
          <w:sz w:val="24"/>
          <w:szCs w:val="24"/>
        </w:rPr>
      </w:pPr>
      <w:r w:rsidRPr="0073154C">
        <w:rPr>
          <w:rFonts w:ascii="Times New Roman" w:eastAsia="Times New Roman" w:hAnsi="Times New Roman" w:cs="Times New Roman"/>
          <w:color w:val="222222"/>
          <w:sz w:val="24"/>
          <w:szCs w:val="24"/>
        </w:rPr>
        <w:t xml:space="preserve">Mintenko, A. S., Smith, S. R., &amp; Cattani, D. J. (2002). </w:t>
      </w:r>
      <w:proofErr w:type="gramStart"/>
      <w:r w:rsidRPr="0073154C">
        <w:rPr>
          <w:rFonts w:ascii="Times New Roman" w:eastAsia="Times New Roman" w:hAnsi="Times New Roman" w:cs="Times New Roman"/>
          <w:color w:val="222222"/>
          <w:sz w:val="24"/>
          <w:szCs w:val="24"/>
        </w:rPr>
        <w:t>Turfgrass evaluation of native grasses for the northern Great Plains region.</w:t>
      </w:r>
      <w:proofErr w:type="gramEnd"/>
      <w:r w:rsidRPr="0073154C">
        <w:rPr>
          <w:rFonts w:ascii="Times New Roman" w:eastAsia="Times New Roman" w:hAnsi="Times New Roman" w:cs="Times New Roman"/>
          <w:color w:val="222222"/>
          <w:sz w:val="24"/>
          <w:szCs w:val="24"/>
        </w:rPr>
        <w:t xml:space="preserve"> </w:t>
      </w:r>
      <w:r w:rsidRPr="0073154C">
        <w:rPr>
          <w:rFonts w:ascii="Times New Roman" w:eastAsia="Times New Roman" w:hAnsi="Times New Roman" w:cs="Times New Roman"/>
          <w:i/>
          <w:iCs/>
          <w:color w:val="222222"/>
          <w:sz w:val="24"/>
          <w:szCs w:val="24"/>
        </w:rPr>
        <w:t>Crop science</w:t>
      </w:r>
      <w:r w:rsidRPr="0073154C">
        <w:rPr>
          <w:rFonts w:ascii="Times New Roman" w:eastAsia="Times New Roman" w:hAnsi="Times New Roman" w:cs="Times New Roman"/>
          <w:color w:val="222222"/>
          <w:sz w:val="24"/>
          <w:szCs w:val="24"/>
        </w:rPr>
        <w:t xml:space="preserve">, </w:t>
      </w:r>
      <w:r w:rsidRPr="0073154C">
        <w:rPr>
          <w:rFonts w:ascii="Times New Roman" w:eastAsia="Times New Roman" w:hAnsi="Times New Roman" w:cs="Times New Roman"/>
          <w:i/>
          <w:iCs/>
          <w:color w:val="222222"/>
          <w:sz w:val="24"/>
          <w:szCs w:val="24"/>
        </w:rPr>
        <w:t>42</w:t>
      </w:r>
      <w:r w:rsidRPr="0073154C">
        <w:rPr>
          <w:rFonts w:ascii="Times New Roman" w:eastAsia="Times New Roman" w:hAnsi="Times New Roman" w:cs="Times New Roman"/>
          <w:color w:val="222222"/>
          <w:sz w:val="24"/>
          <w:szCs w:val="24"/>
        </w:rPr>
        <w:t>(6), 2018-2024.</w:t>
      </w:r>
    </w:p>
    <w:p w14:paraId="21192800" w14:textId="77777777" w:rsidR="005A2894" w:rsidRDefault="005A2894" w:rsidP="005A2894">
      <w:pPr>
        <w:ind w:left="720" w:hanging="720"/>
        <w:rPr>
          <w:rFonts w:ascii="Times New Roman" w:hAnsi="Times New Roman" w:cs="Times New Roman"/>
          <w:sz w:val="24"/>
          <w:szCs w:val="24"/>
        </w:rPr>
      </w:pPr>
      <w:r w:rsidRPr="001F4A16">
        <w:rPr>
          <w:rFonts w:ascii="Times New Roman" w:hAnsi="Times New Roman" w:cs="Times New Roman"/>
          <w:sz w:val="24"/>
          <w:szCs w:val="24"/>
        </w:rPr>
        <w:t xml:space="preserve">Merewitz, E., Meyer, W., Bonos, S., &amp; Huang, B. (2010). </w:t>
      </w:r>
      <w:proofErr w:type="gramStart"/>
      <w:r w:rsidRPr="001F4A16">
        <w:rPr>
          <w:rFonts w:ascii="Times New Roman" w:hAnsi="Times New Roman" w:cs="Times New Roman"/>
          <w:sz w:val="24"/>
          <w:szCs w:val="24"/>
        </w:rPr>
        <w:t>Drought stress responses and recovery of Texas× Kentucky hybrids and Kentucky bluegrass genotypes in temperate climate conditions.</w:t>
      </w:r>
      <w:proofErr w:type="gramEnd"/>
      <w:r w:rsidRPr="001F4A16">
        <w:rPr>
          <w:rFonts w:ascii="Times New Roman" w:hAnsi="Times New Roman" w:cs="Times New Roman"/>
          <w:sz w:val="24"/>
          <w:szCs w:val="24"/>
        </w:rPr>
        <w:t xml:space="preserve"> Agronomy Journal, 102(1), 258-268</w:t>
      </w:r>
    </w:p>
    <w:p w14:paraId="5D205D0B" w14:textId="77777777" w:rsidR="00FF1615" w:rsidRDefault="00FF1615" w:rsidP="00FF1615">
      <w:pPr>
        <w:spacing w:line="240" w:lineRule="auto"/>
        <w:ind w:left="720" w:hanging="720"/>
        <w:rPr>
          <w:rFonts w:ascii="Times New Roman" w:eastAsiaTheme="minorHAnsi" w:hAnsi="Times New Roman" w:cs="Times New Roman"/>
          <w:sz w:val="24"/>
          <w:szCs w:val="24"/>
        </w:rPr>
      </w:pPr>
      <w:r w:rsidRPr="0073154C">
        <w:rPr>
          <w:rFonts w:ascii="Times New Roman" w:eastAsiaTheme="minorHAnsi" w:hAnsi="Times New Roman" w:cs="Times New Roman"/>
          <w:sz w:val="24"/>
          <w:szCs w:val="24"/>
        </w:rPr>
        <w:t xml:space="preserve">Nanfeldt, J. 1937. </w:t>
      </w:r>
      <w:proofErr w:type="gramStart"/>
      <w:r w:rsidRPr="0073154C">
        <w:rPr>
          <w:rFonts w:ascii="Times New Roman" w:eastAsiaTheme="minorHAnsi" w:hAnsi="Times New Roman" w:cs="Times New Roman"/>
          <w:sz w:val="24"/>
          <w:szCs w:val="24"/>
        </w:rPr>
        <w:t>The chromosome number of Poa Sect.</w:t>
      </w:r>
      <w:proofErr w:type="gramEnd"/>
      <w:r w:rsidRPr="0073154C">
        <w:rPr>
          <w:rFonts w:ascii="Times New Roman" w:eastAsiaTheme="minorHAnsi" w:hAnsi="Times New Roman" w:cs="Times New Roman"/>
          <w:sz w:val="24"/>
          <w:szCs w:val="24"/>
        </w:rPr>
        <w:t xml:space="preserve"> </w:t>
      </w:r>
      <w:proofErr w:type="gramStart"/>
      <w:r w:rsidRPr="0073154C">
        <w:rPr>
          <w:rFonts w:ascii="Times New Roman" w:eastAsiaTheme="minorHAnsi" w:hAnsi="Times New Roman" w:cs="Times New Roman"/>
          <w:sz w:val="24"/>
          <w:szCs w:val="24"/>
        </w:rPr>
        <w:t>Ochlopoa  A</w:t>
      </w:r>
      <w:proofErr w:type="gramEnd"/>
      <w:r w:rsidRPr="0073154C">
        <w:rPr>
          <w:rFonts w:ascii="Times New Roman" w:eastAsiaTheme="minorHAnsi" w:hAnsi="Times New Roman" w:cs="Times New Roman"/>
          <w:sz w:val="24"/>
          <w:szCs w:val="24"/>
        </w:rPr>
        <w:t xml:space="preserve">. &amp; GR. </w:t>
      </w:r>
      <w:proofErr w:type="gramStart"/>
      <w:r w:rsidRPr="0073154C">
        <w:rPr>
          <w:rFonts w:ascii="Times New Roman" w:eastAsiaTheme="minorHAnsi" w:hAnsi="Times New Roman" w:cs="Times New Roman"/>
          <w:sz w:val="24"/>
          <w:szCs w:val="24"/>
        </w:rPr>
        <w:t>And their taxonomic significance.</w:t>
      </w:r>
      <w:proofErr w:type="gramEnd"/>
      <w:r w:rsidRPr="0073154C">
        <w:rPr>
          <w:rFonts w:ascii="Times New Roman" w:eastAsiaTheme="minorHAnsi" w:hAnsi="Times New Roman" w:cs="Times New Roman"/>
          <w:sz w:val="24"/>
          <w:szCs w:val="24"/>
        </w:rPr>
        <w:t xml:space="preserve"> Bot. Not. 1937:238-254</w:t>
      </w:r>
    </w:p>
    <w:p w14:paraId="3D9E4F0E" w14:textId="77777777" w:rsidR="00FF1615" w:rsidRPr="0073154C" w:rsidRDefault="00FF1615" w:rsidP="00FF1615">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Pepin, G. W., &amp; Funk, C. R. 1971</w:t>
      </w:r>
      <w:r w:rsidRPr="000E1B66">
        <w:rPr>
          <w:rFonts w:ascii="Times New Roman" w:hAnsi="Times New Roman" w:cs="Times New Roman"/>
          <w:sz w:val="24"/>
          <w:szCs w:val="24"/>
        </w:rPr>
        <w:t xml:space="preserve">. </w:t>
      </w:r>
      <w:proofErr w:type="gramStart"/>
      <w:r w:rsidRPr="000E1B66">
        <w:rPr>
          <w:rFonts w:ascii="Times New Roman" w:hAnsi="Times New Roman" w:cs="Times New Roman"/>
          <w:sz w:val="24"/>
          <w:szCs w:val="24"/>
        </w:rPr>
        <w:t>Intraspecific hybridization as a method of breeding Kentucky bluegrass (Poa pratemis L.) for turf.</w:t>
      </w:r>
      <w:proofErr w:type="gramEnd"/>
      <w:r w:rsidRPr="000E1B66">
        <w:rPr>
          <w:rFonts w:ascii="Times New Roman" w:hAnsi="Times New Roman" w:cs="Times New Roman"/>
          <w:sz w:val="24"/>
          <w:szCs w:val="24"/>
        </w:rPr>
        <w:t xml:space="preserve"> Crop Science, 11(3), 445-448.</w:t>
      </w:r>
    </w:p>
    <w:p w14:paraId="7D4BA0AD" w14:textId="77777777" w:rsidR="00FF1615" w:rsidRDefault="00FF1615" w:rsidP="00FF1615">
      <w:pPr>
        <w:spacing w:line="240" w:lineRule="auto"/>
        <w:ind w:left="720" w:hanging="720"/>
        <w:rPr>
          <w:rFonts w:ascii="Times New Roman" w:eastAsiaTheme="minorHAnsi" w:hAnsi="Times New Roman" w:cs="Times New Roman"/>
          <w:sz w:val="24"/>
          <w:szCs w:val="24"/>
        </w:rPr>
      </w:pPr>
      <w:proofErr w:type="gramStart"/>
      <w:r w:rsidRPr="0073154C">
        <w:rPr>
          <w:rFonts w:ascii="Times New Roman" w:eastAsiaTheme="minorHAnsi" w:hAnsi="Times New Roman" w:cs="Times New Roman"/>
          <w:sz w:val="24"/>
          <w:szCs w:val="24"/>
        </w:rPr>
        <w:t>Pitman, W. D.; Redfearn, D. D.; Read, J. C. 2000.</w:t>
      </w:r>
      <w:proofErr w:type="gramEnd"/>
      <w:r w:rsidRPr="0073154C">
        <w:rPr>
          <w:rFonts w:ascii="Times New Roman" w:eastAsiaTheme="minorHAnsi" w:hAnsi="Times New Roman" w:cs="Times New Roman"/>
          <w:sz w:val="24"/>
          <w:szCs w:val="24"/>
        </w:rPr>
        <w:t xml:space="preserve"> </w:t>
      </w:r>
      <w:proofErr w:type="gramStart"/>
      <w:r w:rsidRPr="0073154C">
        <w:rPr>
          <w:rFonts w:ascii="Times New Roman" w:eastAsiaTheme="minorHAnsi" w:hAnsi="Times New Roman" w:cs="Times New Roman"/>
          <w:sz w:val="24"/>
          <w:szCs w:val="24"/>
        </w:rPr>
        <w:t>Response of Texas bluegrass to season of nitrogen fertilization on the Louisiana coastal plain.</w:t>
      </w:r>
      <w:proofErr w:type="gramEnd"/>
      <w:r w:rsidRPr="0073154C">
        <w:rPr>
          <w:rFonts w:ascii="Times New Roman" w:eastAsiaTheme="minorHAnsi" w:hAnsi="Times New Roman" w:cs="Times New Roman"/>
          <w:sz w:val="24"/>
          <w:szCs w:val="24"/>
        </w:rPr>
        <w:t xml:space="preserve">  </w:t>
      </w:r>
      <w:proofErr w:type="gramStart"/>
      <w:r w:rsidRPr="0073154C">
        <w:rPr>
          <w:rFonts w:ascii="Times New Roman" w:eastAsiaTheme="minorHAnsi" w:hAnsi="Times New Roman" w:cs="Times New Roman"/>
          <w:i/>
          <w:iCs/>
          <w:sz w:val="24"/>
          <w:szCs w:val="24"/>
        </w:rPr>
        <w:t>Journal of Plant Nutrition</w:t>
      </w:r>
      <w:r w:rsidRPr="0073154C">
        <w:rPr>
          <w:rFonts w:ascii="Times New Roman" w:eastAsiaTheme="minorHAnsi" w:hAnsi="Times New Roman" w:cs="Times New Roman"/>
          <w:sz w:val="24"/>
          <w:szCs w:val="24"/>
        </w:rPr>
        <w:t>.</w:t>
      </w:r>
      <w:proofErr w:type="gramEnd"/>
      <w:r w:rsidRPr="0073154C">
        <w:rPr>
          <w:rFonts w:ascii="Times New Roman" w:eastAsiaTheme="minorHAnsi" w:hAnsi="Times New Roman" w:cs="Times New Roman"/>
          <w:sz w:val="24"/>
          <w:szCs w:val="24"/>
        </w:rPr>
        <w:t xml:space="preserve"> 23(4): p. 423-429</w:t>
      </w:r>
    </w:p>
    <w:p w14:paraId="59600FD2" w14:textId="77777777" w:rsidR="00FF1615" w:rsidRDefault="00FF1615" w:rsidP="00FF1615">
      <w:pPr>
        <w:spacing w:line="240" w:lineRule="auto"/>
        <w:ind w:left="720" w:hanging="720"/>
        <w:rPr>
          <w:rFonts w:ascii="Times New Roman" w:eastAsiaTheme="minorHAnsi" w:hAnsi="Times New Roman" w:cs="Times New Roman"/>
          <w:sz w:val="24"/>
          <w:szCs w:val="24"/>
        </w:rPr>
      </w:pPr>
      <w:r w:rsidRPr="0073154C">
        <w:rPr>
          <w:rFonts w:ascii="Times New Roman" w:eastAsiaTheme="minorHAnsi" w:hAnsi="Times New Roman" w:cs="Times New Roman"/>
          <w:sz w:val="24"/>
          <w:szCs w:val="24"/>
        </w:rPr>
        <w:t xml:space="preserve">Read, J. C. 2001. </w:t>
      </w:r>
      <w:proofErr w:type="gramStart"/>
      <w:r w:rsidRPr="0073154C">
        <w:rPr>
          <w:rFonts w:ascii="Times New Roman" w:eastAsiaTheme="minorHAnsi" w:hAnsi="Times New Roman" w:cs="Times New Roman"/>
          <w:sz w:val="24"/>
          <w:szCs w:val="24"/>
        </w:rPr>
        <w:t>Utilization of apomictic and dioecious method of reproduction in breeding of Poa spp. International Turfgrass Society Research Journal.</w:t>
      </w:r>
      <w:proofErr w:type="gramEnd"/>
      <w:r w:rsidRPr="0073154C">
        <w:rPr>
          <w:rFonts w:ascii="Times New Roman" w:eastAsiaTheme="minorHAnsi" w:hAnsi="Times New Roman" w:cs="Times New Roman"/>
          <w:sz w:val="24"/>
          <w:szCs w:val="24"/>
        </w:rPr>
        <w:t xml:space="preserve"> 9(Part 1): p. 202-205.</w:t>
      </w:r>
    </w:p>
    <w:p w14:paraId="554BD89C" w14:textId="77777777" w:rsidR="00FF1615" w:rsidRDefault="00FF1615" w:rsidP="00FF1615">
      <w:pPr>
        <w:spacing w:line="240" w:lineRule="auto"/>
        <w:ind w:left="720" w:hanging="720"/>
        <w:rPr>
          <w:rFonts w:ascii="Times New Roman" w:eastAsiaTheme="minorHAnsi" w:hAnsi="Times New Roman" w:cs="Times New Roman"/>
          <w:sz w:val="24"/>
          <w:szCs w:val="24"/>
        </w:rPr>
      </w:pPr>
      <w:proofErr w:type="gramStart"/>
      <w:r w:rsidRPr="0073154C">
        <w:rPr>
          <w:rFonts w:ascii="Times New Roman" w:eastAsiaTheme="minorHAnsi" w:hAnsi="Times New Roman" w:cs="Times New Roman"/>
          <w:sz w:val="24"/>
          <w:szCs w:val="24"/>
        </w:rPr>
        <w:t>Read, James C.; Anderson, Sharon J. 2003.</w:t>
      </w:r>
      <w:proofErr w:type="gramEnd"/>
      <w:r w:rsidRPr="0073154C">
        <w:rPr>
          <w:rFonts w:ascii="Times New Roman" w:eastAsiaTheme="minorHAnsi" w:hAnsi="Times New Roman" w:cs="Times New Roman"/>
          <w:sz w:val="24"/>
          <w:szCs w:val="24"/>
        </w:rPr>
        <w:t xml:space="preserve"> </w:t>
      </w:r>
      <w:proofErr w:type="gramStart"/>
      <w:r w:rsidRPr="0073154C">
        <w:rPr>
          <w:rFonts w:ascii="Times New Roman" w:eastAsiaTheme="minorHAnsi" w:hAnsi="Times New Roman" w:cs="Times New Roman"/>
          <w:sz w:val="24"/>
          <w:szCs w:val="24"/>
        </w:rPr>
        <w:t>Texas bluegrass (</w:t>
      </w:r>
      <w:r w:rsidRPr="0073154C">
        <w:rPr>
          <w:rFonts w:ascii="Times New Roman" w:eastAsiaTheme="minorHAnsi" w:hAnsi="Times New Roman" w:cs="Times New Roman"/>
          <w:i/>
          <w:iCs/>
          <w:sz w:val="24"/>
          <w:szCs w:val="24"/>
        </w:rPr>
        <w:t>Poa arachnifera</w:t>
      </w:r>
      <w:r w:rsidRPr="0073154C">
        <w:rPr>
          <w:rFonts w:ascii="Times New Roman" w:eastAsiaTheme="minorHAnsi" w:hAnsi="Times New Roman" w:cs="Times New Roman"/>
          <w:sz w:val="24"/>
          <w:szCs w:val="24"/>
        </w:rPr>
        <w:t xml:space="preserve"> Torr.).</w:t>
      </w:r>
      <w:proofErr w:type="gramEnd"/>
      <w:r w:rsidRPr="0073154C">
        <w:rPr>
          <w:rFonts w:ascii="Times New Roman" w:eastAsiaTheme="minorHAnsi" w:hAnsi="Times New Roman" w:cs="Times New Roman"/>
          <w:sz w:val="24"/>
          <w:szCs w:val="24"/>
        </w:rPr>
        <w:t xml:space="preserve"> p. 61-66. In: Casler, Michael D.; Duncan, Ronny R., eds. Turfgrass Biology, Genetics, and Breeding. Hoboken, NJ: John Wiley &amp; Sons.</w:t>
      </w:r>
    </w:p>
    <w:p w14:paraId="59C1B309" w14:textId="77777777" w:rsidR="008326EE" w:rsidRPr="008326EE" w:rsidRDefault="008326EE" w:rsidP="008326EE">
      <w:pPr>
        <w:spacing w:line="240" w:lineRule="auto"/>
        <w:ind w:left="720" w:hanging="720"/>
        <w:rPr>
          <w:rFonts w:ascii="Times New Roman" w:eastAsia="Times New Roman" w:hAnsi="Times New Roman" w:cs="Times New Roman"/>
          <w:color w:val="222222"/>
          <w:sz w:val="24"/>
          <w:szCs w:val="24"/>
        </w:rPr>
      </w:pPr>
      <w:r w:rsidRPr="00CB35AD">
        <w:rPr>
          <w:rFonts w:ascii="Times New Roman" w:eastAsia="Times New Roman" w:hAnsi="Times New Roman" w:cs="Times New Roman"/>
          <w:color w:val="222222"/>
          <w:sz w:val="24"/>
          <w:szCs w:val="24"/>
        </w:rPr>
        <w:t xml:space="preserve">Read, J. C., Reinert, J. A., Colbaugh, P. F., &amp; Knoop, W. E. (1999). </w:t>
      </w:r>
      <w:proofErr w:type="gramStart"/>
      <w:r w:rsidRPr="00CB35AD">
        <w:rPr>
          <w:rFonts w:ascii="Times New Roman" w:eastAsia="Times New Roman" w:hAnsi="Times New Roman" w:cs="Times New Roman"/>
          <w:color w:val="222222"/>
          <w:sz w:val="24"/>
          <w:szCs w:val="24"/>
        </w:rPr>
        <w:t>Registration of ‘Reveille’hybrid bluegrass.</w:t>
      </w:r>
      <w:proofErr w:type="gramEnd"/>
      <w:r w:rsidRPr="00CB35AD">
        <w:rPr>
          <w:rFonts w:ascii="Times New Roman" w:eastAsia="Times New Roman" w:hAnsi="Times New Roman" w:cs="Times New Roman"/>
          <w:color w:val="222222"/>
          <w:sz w:val="24"/>
          <w:szCs w:val="24"/>
        </w:rPr>
        <w:t xml:space="preserve"> </w:t>
      </w:r>
      <w:r w:rsidRPr="00CB35AD">
        <w:rPr>
          <w:rFonts w:ascii="Times New Roman" w:eastAsia="Times New Roman" w:hAnsi="Times New Roman" w:cs="Times New Roman"/>
          <w:i/>
          <w:iCs/>
          <w:color w:val="222222"/>
          <w:sz w:val="24"/>
          <w:szCs w:val="24"/>
        </w:rPr>
        <w:t>Crop science</w:t>
      </w:r>
      <w:r w:rsidRPr="00CB35AD">
        <w:rPr>
          <w:rFonts w:ascii="Times New Roman" w:eastAsia="Times New Roman" w:hAnsi="Times New Roman" w:cs="Times New Roman"/>
          <w:color w:val="222222"/>
          <w:sz w:val="24"/>
          <w:szCs w:val="24"/>
        </w:rPr>
        <w:t xml:space="preserve">, </w:t>
      </w:r>
      <w:r w:rsidRPr="00CB35AD">
        <w:rPr>
          <w:rFonts w:ascii="Times New Roman" w:eastAsia="Times New Roman" w:hAnsi="Times New Roman" w:cs="Times New Roman"/>
          <w:i/>
          <w:iCs/>
          <w:color w:val="222222"/>
          <w:sz w:val="24"/>
          <w:szCs w:val="24"/>
        </w:rPr>
        <w:t>39</w:t>
      </w:r>
      <w:r w:rsidRPr="00CB35AD">
        <w:rPr>
          <w:rFonts w:ascii="Times New Roman" w:eastAsia="Times New Roman" w:hAnsi="Times New Roman" w:cs="Times New Roman"/>
          <w:color w:val="222222"/>
          <w:sz w:val="24"/>
          <w:szCs w:val="24"/>
        </w:rPr>
        <w:t>(2), 590-590.</w:t>
      </w:r>
    </w:p>
    <w:p w14:paraId="76FE3C5A" w14:textId="77777777" w:rsidR="00FF1615" w:rsidRDefault="00FF1615" w:rsidP="00FF1615">
      <w:pPr>
        <w:ind w:left="720" w:hanging="720"/>
        <w:rPr>
          <w:rFonts w:ascii="Times New Roman" w:hAnsi="Times New Roman" w:cs="Times New Roman"/>
          <w:sz w:val="24"/>
          <w:szCs w:val="24"/>
        </w:rPr>
      </w:pPr>
      <w:r w:rsidRPr="00C87E31">
        <w:rPr>
          <w:rFonts w:ascii="Times New Roman" w:hAnsi="Times New Roman" w:cs="Times New Roman"/>
          <w:sz w:val="24"/>
          <w:szCs w:val="24"/>
        </w:rPr>
        <w:t>Richardson, M. D., Karcher, D</w:t>
      </w:r>
      <w:r>
        <w:rPr>
          <w:rFonts w:ascii="Times New Roman" w:hAnsi="Times New Roman" w:cs="Times New Roman"/>
          <w:sz w:val="24"/>
          <w:szCs w:val="24"/>
        </w:rPr>
        <w:t>. E., Hignight, K., &amp; Rush, D. 2009</w:t>
      </w:r>
      <w:r w:rsidRPr="00C87E31">
        <w:rPr>
          <w:rFonts w:ascii="Times New Roman" w:hAnsi="Times New Roman" w:cs="Times New Roman"/>
          <w:sz w:val="24"/>
          <w:szCs w:val="24"/>
        </w:rPr>
        <w:t xml:space="preserve">. </w:t>
      </w:r>
      <w:proofErr w:type="gramStart"/>
      <w:r w:rsidRPr="00C87E31">
        <w:rPr>
          <w:rFonts w:ascii="Times New Roman" w:hAnsi="Times New Roman" w:cs="Times New Roman"/>
          <w:sz w:val="24"/>
          <w:szCs w:val="24"/>
        </w:rPr>
        <w:t>Drought tolerance of Kentucky bluegrass and hybrid bluegrass cultivars.</w:t>
      </w:r>
      <w:proofErr w:type="gramEnd"/>
      <w:r w:rsidRPr="00C87E31">
        <w:rPr>
          <w:rFonts w:ascii="Times New Roman" w:hAnsi="Times New Roman" w:cs="Times New Roman"/>
          <w:sz w:val="24"/>
          <w:szCs w:val="24"/>
        </w:rPr>
        <w:t xml:space="preserve"> Appl. Turf. Sci, 10, 03042009</w:t>
      </w:r>
    </w:p>
    <w:p w14:paraId="125E51F8" w14:textId="77777777" w:rsidR="00FF1615" w:rsidRDefault="00FF1615" w:rsidP="00D50271">
      <w:pPr>
        <w:spacing w:line="240" w:lineRule="auto"/>
        <w:ind w:left="720" w:hanging="720"/>
        <w:rPr>
          <w:rFonts w:ascii="Times New Roman" w:eastAsia="Times New Roman" w:hAnsi="Times New Roman" w:cs="Times New Roman"/>
          <w:color w:val="222222"/>
          <w:sz w:val="24"/>
          <w:szCs w:val="24"/>
        </w:rPr>
      </w:pPr>
      <w:r w:rsidRPr="0073154C">
        <w:rPr>
          <w:rFonts w:ascii="Times New Roman" w:eastAsia="Times New Roman" w:hAnsi="Times New Roman" w:cs="Times New Roman"/>
          <w:color w:val="222222"/>
          <w:sz w:val="24"/>
          <w:szCs w:val="24"/>
        </w:rPr>
        <w:lastRenderedPageBreak/>
        <w:t>Richardson, M. D., Karcher, D</w:t>
      </w:r>
      <w:r>
        <w:rPr>
          <w:rFonts w:ascii="Times New Roman" w:eastAsia="Times New Roman" w:hAnsi="Times New Roman" w:cs="Times New Roman"/>
          <w:color w:val="222222"/>
          <w:sz w:val="24"/>
          <w:szCs w:val="24"/>
        </w:rPr>
        <w:t>. E., Hignight, K., &amp; Rush, D. 2008</w:t>
      </w:r>
      <w:r w:rsidRPr="0073154C">
        <w:rPr>
          <w:rFonts w:ascii="Times New Roman" w:eastAsia="Times New Roman" w:hAnsi="Times New Roman" w:cs="Times New Roman"/>
          <w:color w:val="222222"/>
          <w:sz w:val="24"/>
          <w:szCs w:val="24"/>
        </w:rPr>
        <w:t xml:space="preserve">. </w:t>
      </w:r>
      <w:proofErr w:type="gramStart"/>
      <w:r w:rsidRPr="0073154C">
        <w:rPr>
          <w:rFonts w:ascii="Times New Roman" w:eastAsia="Times New Roman" w:hAnsi="Times New Roman" w:cs="Times New Roman"/>
          <w:color w:val="222222"/>
          <w:sz w:val="24"/>
          <w:szCs w:val="24"/>
        </w:rPr>
        <w:t>Drought tolerance and rooting capacity of Kentucky bluegrass cultivars.</w:t>
      </w:r>
      <w:proofErr w:type="gramEnd"/>
      <w:r w:rsidRPr="0073154C">
        <w:rPr>
          <w:rFonts w:ascii="Times New Roman" w:eastAsia="Times New Roman" w:hAnsi="Times New Roman" w:cs="Times New Roman"/>
          <w:color w:val="222222"/>
          <w:sz w:val="24"/>
          <w:szCs w:val="24"/>
        </w:rPr>
        <w:t xml:space="preserve"> </w:t>
      </w:r>
      <w:proofErr w:type="gramStart"/>
      <w:r w:rsidRPr="001F4A16">
        <w:rPr>
          <w:rFonts w:ascii="Times New Roman" w:eastAsia="Times New Roman" w:hAnsi="Times New Roman" w:cs="Times New Roman"/>
          <w:iCs/>
          <w:color w:val="222222"/>
          <w:sz w:val="24"/>
          <w:szCs w:val="24"/>
        </w:rPr>
        <w:t>Crop science</w:t>
      </w:r>
      <w:r w:rsidRPr="001F4A16">
        <w:rPr>
          <w:rFonts w:ascii="Times New Roman" w:eastAsia="Times New Roman" w:hAnsi="Times New Roman" w:cs="Times New Roman"/>
          <w:color w:val="222222"/>
          <w:sz w:val="24"/>
          <w:szCs w:val="24"/>
        </w:rPr>
        <w:t>,</w:t>
      </w:r>
      <w:r w:rsidRPr="0073154C">
        <w:rPr>
          <w:rFonts w:ascii="Times New Roman" w:eastAsia="Times New Roman" w:hAnsi="Times New Roman" w:cs="Times New Roman"/>
          <w:color w:val="222222"/>
          <w:sz w:val="24"/>
          <w:szCs w:val="24"/>
        </w:rPr>
        <w:t xml:space="preserve"> </w:t>
      </w:r>
      <w:r w:rsidRPr="0073154C">
        <w:rPr>
          <w:rFonts w:ascii="Times New Roman" w:eastAsia="Times New Roman" w:hAnsi="Times New Roman" w:cs="Times New Roman"/>
          <w:i/>
          <w:iCs/>
          <w:color w:val="222222"/>
          <w:sz w:val="24"/>
          <w:szCs w:val="24"/>
        </w:rPr>
        <w:t>48</w:t>
      </w:r>
      <w:r w:rsidRPr="0073154C">
        <w:rPr>
          <w:rFonts w:ascii="Times New Roman" w:eastAsia="Times New Roman" w:hAnsi="Times New Roman" w:cs="Times New Roman"/>
          <w:color w:val="222222"/>
          <w:sz w:val="24"/>
          <w:szCs w:val="24"/>
        </w:rPr>
        <w:t>(6), 2429-2436.</w:t>
      </w:r>
      <w:proofErr w:type="gramEnd"/>
    </w:p>
    <w:p w14:paraId="477B4194" w14:textId="77777777" w:rsidR="00D50271" w:rsidRPr="00D50271" w:rsidRDefault="00D50271" w:rsidP="00D50271">
      <w:pPr>
        <w:spacing w:line="240" w:lineRule="auto"/>
        <w:ind w:left="720" w:hanging="720"/>
        <w:rPr>
          <w:rFonts w:ascii="Times New Roman" w:hAnsi="Times New Roman" w:cs="Times New Roman"/>
          <w:sz w:val="24"/>
          <w:szCs w:val="24"/>
        </w:rPr>
      </w:pPr>
      <w:r w:rsidRPr="0073154C">
        <w:rPr>
          <w:rFonts w:ascii="Times New Roman" w:hAnsi="Times New Roman" w:cs="Times New Roman"/>
          <w:sz w:val="24"/>
          <w:szCs w:val="24"/>
        </w:rPr>
        <w:t>Richardson, M. D., K. W. Hignight, R. H. Walker, C. A. Rodgers, D. Rush, J. H. McCalla, D. E. Karcher. 2007. Meadow fescue and tetraploid perennial ryegrass-two new species for overseeding dormant bermudagrass turf. Crop Sci. Jan</w:t>
      </w:r>
      <w:r>
        <w:rPr>
          <w:rFonts w:ascii="Times New Roman" w:hAnsi="Times New Roman" w:cs="Times New Roman"/>
          <w:sz w:val="24"/>
          <w:szCs w:val="24"/>
        </w:rPr>
        <w:t>uary/February. 47(1): p. 83-90.</w:t>
      </w:r>
    </w:p>
    <w:p w14:paraId="5E8FA43A" w14:textId="77777777" w:rsidR="00FF1615" w:rsidRDefault="00FF1615" w:rsidP="00FF1615">
      <w:pPr>
        <w:spacing w:line="240" w:lineRule="auto"/>
        <w:ind w:left="720" w:hanging="720"/>
        <w:rPr>
          <w:rFonts w:ascii="Times New Roman" w:eastAsiaTheme="minorHAnsi" w:hAnsi="Times New Roman" w:cs="Times New Roman"/>
          <w:sz w:val="24"/>
          <w:szCs w:val="24"/>
        </w:rPr>
      </w:pPr>
      <w:proofErr w:type="gramStart"/>
      <w:r w:rsidRPr="0073154C">
        <w:rPr>
          <w:rFonts w:ascii="Times New Roman" w:eastAsiaTheme="minorHAnsi" w:hAnsi="Times New Roman" w:cs="Times New Roman"/>
          <w:sz w:val="24"/>
          <w:szCs w:val="24"/>
        </w:rPr>
        <w:t>Riordan, T. P.; Browning, S. J. 2003.</w:t>
      </w:r>
      <w:proofErr w:type="gramEnd"/>
      <w:r w:rsidRPr="0073154C">
        <w:rPr>
          <w:rFonts w:ascii="Times New Roman" w:eastAsiaTheme="minorHAnsi" w:hAnsi="Times New Roman" w:cs="Times New Roman"/>
          <w:sz w:val="24"/>
          <w:szCs w:val="24"/>
        </w:rPr>
        <w:t xml:space="preserve"> Buffalograss, </w:t>
      </w:r>
      <w:r w:rsidRPr="0073154C">
        <w:rPr>
          <w:rFonts w:ascii="Times New Roman" w:eastAsiaTheme="minorHAnsi" w:hAnsi="Times New Roman" w:cs="Times New Roman"/>
          <w:i/>
          <w:iCs/>
          <w:sz w:val="24"/>
          <w:szCs w:val="24"/>
        </w:rPr>
        <w:t>Buchloe dactyloides</w:t>
      </w:r>
      <w:r w:rsidRPr="0073154C">
        <w:rPr>
          <w:rFonts w:ascii="Times New Roman" w:eastAsiaTheme="minorHAnsi" w:hAnsi="Times New Roman" w:cs="Times New Roman"/>
          <w:sz w:val="24"/>
          <w:szCs w:val="24"/>
        </w:rPr>
        <w:t xml:space="preserve"> (Nutt.) Engelm. p. 257-270. In: Casler, Michael D.; Duncan, Ronny R., eds. </w:t>
      </w:r>
      <w:r w:rsidRPr="0073154C">
        <w:rPr>
          <w:rFonts w:ascii="Times New Roman" w:eastAsiaTheme="minorHAnsi" w:hAnsi="Times New Roman" w:cs="Times New Roman"/>
          <w:i/>
          <w:iCs/>
          <w:sz w:val="24"/>
          <w:szCs w:val="24"/>
        </w:rPr>
        <w:t>Turfgrass Biology, Genetics, and Breeding</w:t>
      </w:r>
      <w:r w:rsidRPr="0073154C">
        <w:rPr>
          <w:rFonts w:ascii="Times New Roman" w:eastAsiaTheme="minorHAnsi" w:hAnsi="Times New Roman" w:cs="Times New Roman"/>
          <w:sz w:val="24"/>
          <w:szCs w:val="24"/>
        </w:rPr>
        <w:t>. Hoboken, NJ: John Wiley &amp; Sons.</w:t>
      </w:r>
    </w:p>
    <w:p w14:paraId="479C40A0" w14:textId="77777777" w:rsidR="00D50271" w:rsidRPr="00AE6F3C" w:rsidRDefault="00D50271" w:rsidP="00D50271">
      <w:pPr>
        <w:ind w:left="720" w:hanging="720"/>
        <w:rPr>
          <w:rFonts w:ascii="Times New Roman" w:hAnsi="Times New Roman" w:cs="Times New Roman"/>
          <w:sz w:val="24"/>
          <w:szCs w:val="24"/>
        </w:rPr>
      </w:pPr>
      <w:proofErr w:type="gramStart"/>
      <w:r w:rsidRPr="00AE6F3C">
        <w:rPr>
          <w:rFonts w:ascii="Times New Roman" w:hAnsi="Times New Roman" w:cs="Times New Roman"/>
          <w:sz w:val="24"/>
          <w:szCs w:val="24"/>
        </w:rPr>
        <w:t>Robinson, B. P.; Latham, J. M. 1956.</w:t>
      </w:r>
      <w:proofErr w:type="gramEnd"/>
      <w:r w:rsidRPr="00AE6F3C">
        <w:rPr>
          <w:rFonts w:ascii="Times New Roman" w:hAnsi="Times New Roman" w:cs="Times New Roman"/>
          <w:sz w:val="24"/>
          <w:szCs w:val="24"/>
        </w:rPr>
        <w:t xml:space="preserve"> Tifgreen - An improved turf bermuda grass. </w:t>
      </w:r>
      <w:r w:rsidRPr="00AE6F3C">
        <w:rPr>
          <w:rFonts w:ascii="Times New Roman" w:hAnsi="Times New Roman" w:cs="Times New Roman"/>
          <w:i/>
          <w:iCs/>
          <w:sz w:val="24"/>
          <w:szCs w:val="24"/>
        </w:rPr>
        <w:t>USGA Journal and Turf Management</w:t>
      </w:r>
      <w:r w:rsidRPr="00AE6F3C">
        <w:rPr>
          <w:rFonts w:ascii="Times New Roman" w:hAnsi="Times New Roman" w:cs="Times New Roman"/>
          <w:sz w:val="24"/>
          <w:szCs w:val="24"/>
        </w:rPr>
        <w:t>. April. 9(1): p. 26-28.</w:t>
      </w:r>
    </w:p>
    <w:p w14:paraId="5068281E" w14:textId="77777777" w:rsidR="00FF1615" w:rsidRDefault="00FF1615" w:rsidP="00666C53">
      <w:pPr>
        <w:ind w:left="720" w:hanging="720"/>
        <w:rPr>
          <w:rFonts w:ascii="Times New Roman" w:hAnsi="Times New Roman" w:cs="Times New Roman"/>
          <w:sz w:val="24"/>
          <w:szCs w:val="24"/>
        </w:rPr>
      </w:pPr>
      <w:r w:rsidRPr="0073154C">
        <w:rPr>
          <w:rFonts w:ascii="Times New Roman" w:eastAsiaTheme="minorHAnsi" w:hAnsi="Times New Roman" w:cs="Times New Roman"/>
          <w:sz w:val="24"/>
          <w:szCs w:val="24"/>
        </w:rPr>
        <w:t xml:space="preserve">Salaiz, Thomas A. 2011. Evaluation of native and traditional turfgrass species for low maintenance lawns </w:t>
      </w:r>
      <w:r w:rsidRPr="0073154C">
        <w:rPr>
          <w:rFonts w:ascii="Times New Roman" w:eastAsiaTheme="minorHAnsi" w:hAnsi="Times New Roman" w:cs="Times New Roman"/>
          <w:i/>
          <w:iCs/>
          <w:sz w:val="24"/>
          <w:szCs w:val="24"/>
        </w:rPr>
        <w:t>2011 International Annual Meetings: [Abstracts][ASA-CSSA-SSSA]</w:t>
      </w:r>
      <w:r w:rsidRPr="0073154C">
        <w:rPr>
          <w:rFonts w:ascii="Times New Roman" w:eastAsiaTheme="minorHAnsi" w:hAnsi="Times New Roman" w:cs="Times New Roman"/>
          <w:sz w:val="24"/>
          <w:szCs w:val="24"/>
        </w:rPr>
        <w:t>. p. 66873</w:t>
      </w:r>
    </w:p>
    <w:p w14:paraId="46D7F99D" w14:textId="77777777" w:rsidR="003B6311" w:rsidRPr="0073154C" w:rsidRDefault="003B6311" w:rsidP="003B6311">
      <w:pPr>
        <w:spacing w:line="240" w:lineRule="auto"/>
        <w:ind w:left="720" w:hanging="720"/>
        <w:rPr>
          <w:rFonts w:ascii="Times New Roman" w:hAnsi="Times New Roman" w:cs="Times New Roman"/>
          <w:sz w:val="24"/>
          <w:szCs w:val="24"/>
        </w:rPr>
      </w:pPr>
      <w:r w:rsidRPr="0073154C">
        <w:rPr>
          <w:rFonts w:ascii="Times New Roman" w:hAnsi="Times New Roman" w:cs="Times New Roman"/>
          <w:sz w:val="24"/>
          <w:szCs w:val="24"/>
        </w:rPr>
        <w:t xml:space="preserve">Sifers, S. I., J. B. Beard. 2001. Turf quality and morphological comparisons of winter overseeding methodologies for a high-density dwarf Cynodon turf. </w:t>
      </w:r>
      <w:proofErr w:type="gramStart"/>
      <w:r w:rsidRPr="0073154C">
        <w:rPr>
          <w:rFonts w:ascii="Times New Roman" w:hAnsi="Times New Roman" w:cs="Times New Roman"/>
          <w:sz w:val="24"/>
          <w:szCs w:val="24"/>
        </w:rPr>
        <w:t>International Turfgrass Society Research Journal.</w:t>
      </w:r>
      <w:proofErr w:type="gramEnd"/>
      <w:r w:rsidRPr="0073154C">
        <w:rPr>
          <w:rFonts w:ascii="Times New Roman" w:hAnsi="Times New Roman" w:cs="Times New Roman"/>
          <w:sz w:val="24"/>
          <w:szCs w:val="24"/>
        </w:rPr>
        <w:t xml:space="preserve"> 9(Part 2): p. 934-940.</w:t>
      </w:r>
    </w:p>
    <w:p w14:paraId="668FD965" w14:textId="77777777" w:rsidR="003B6311" w:rsidRDefault="003B6311" w:rsidP="003B6311">
      <w:pPr>
        <w:rPr>
          <w:rFonts w:ascii="Times New Roman" w:eastAsiaTheme="minorHAnsi" w:hAnsi="Times New Roman" w:cs="Times New Roman"/>
          <w:sz w:val="24"/>
          <w:szCs w:val="24"/>
        </w:rPr>
      </w:pPr>
      <w:r w:rsidRPr="0073154C">
        <w:rPr>
          <w:rFonts w:ascii="Times New Roman" w:eastAsiaTheme="minorHAnsi" w:hAnsi="Times New Roman" w:cs="Times New Roman"/>
          <w:sz w:val="24"/>
          <w:szCs w:val="24"/>
        </w:rPr>
        <w:t>Smith, D. 1981. Forage management in the north. 4</w:t>
      </w:r>
      <w:r w:rsidRPr="0073154C">
        <w:rPr>
          <w:rFonts w:ascii="Times New Roman" w:eastAsiaTheme="minorHAnsi" w:hAnsi="Times New Roman" w:cs="Times New Roman"/>
          <w:sz w:val="24"/>
          <w:szCs w:val="24"/>
          <w:vertAlign w:val="superscript"/>
        </w:rPr>
        <w:t>th</w:t>
      </w:r>
      <w:r w:rsidRPr="0073154C">
        <w:rPr>
          <w:rFonts w:ascii="Times New Roman" w:eastAsiaTheme="minorHAnsi" w:hAnsi="Times New Roman" w:cs="Times New Roman"/>
          <w:sz w:val="24"/>
          <w:szCs w:val="24"/>
        </w:rPr>
        <w:t xml:space="preserve"> ed. Kendall/Hunt, Dubuque, IA</w:t>
      </w:r>
    </w:p>
    <w:p w14:paraId="3793DDF8" w14:textId="77777777" w:rsidR="00D50271" w:rsidRPr="000E14E4" w:rsidRDefault="00D50271" w:rsidP="00D50271">
      <w:pPr>
        <w:spacing w:line="240" w:lineRule="auto"/>
        <w:ind w:left="720" w:hanging="720"/>
        <w:rPr>
          <w:rFonts w:ascii="Times New Roman" w:eastAsia="Times New Roman" w:hAnsi="Times New Roman" w:cs="Times New Roman"/>
          <w:color w:val="222222"/>
          <w:sz w:val="24"/>
          <w:szCs w:val="24"/>
        </w:rPr>
      </w:pPr>
      <w:r w:rsidRPr="0073154C">
        <w:rPr>
          <w:rFonts w:ascii="Times New Roman" w:eastAsia="Times New Roman" w:hAnsi="Times New Roman" w:cs="Times New Roman"/>
          <w:color w:val="222222"/>
          <w:sz w:val="24"/>
          <w:szCs w:val="24"/>
        </w:rPr>
        <w:t xml:space="preserve">Soreng, R. J., Davis, J. I., &amp; Doyle, J. J. (1990). </w:t>
      </w:r>
      <w:proofErr w:type="gramStart"/>
      <w:r w:rsidRPr="0073154C">
        <w:rPr>
          <w:rFonts w:ascii="Times New Roman" w:eastAsia="Times New Roman" w:hAnsi="Times New Roman" w:cs="Times New Roman"/>
          <w:color w:val="222222"/>
          <w:sz w:val="24"/>
          <w:szCs w:val="24"/>
        </w:rPr>
        <w:t>A phylogenetic analysis of chloroplast DNA restriction site variation in</w:t>
      </w:r>
      <w:r>
        <w:rPr>
          <w:rFonts w:ascii="Times New Roman" w:eastAsia="Times New Roman" w:hAnsi="Times New Roman" w:cs="Times New Roman"/>
          <w:color w:val="222222"/>
          <w:sz w:val="24"/>
          <w:szCs w:val="24"/>
        </w:rPr>
        <w:t xml:space="preserve"> </w:t>
      </w:r>
      <w:r w:rsidRPr="0073154C">
        <w:rPr>
          <w:rFonts w:ascii="Times New Roman" w:eastAsia="Times New Roman" w:hAnsi="Times New Roman" w:cs="Times New Roman"/>
          <w:color w:val="222222"/>
          <w:sz w:val="24"/>
          <w:szCs w:val="24"/>
        </w:rPr>
        <w:t>Poaceae subfam.</w:t>
      </w:r>
      <w:proofErr w:type="gramEnd"/>
      <w:r w:rsidRPr="0073154C">
        <w:rPr>
          <w:rFonts w:ascii="Times New Roman" w:eastAsia="Times New Roman" w:hAnsi="Times New Roman" w:cs="Times New Roman"/>
          <w:color w:val="222222"/>
          <w:sz w:val="24"/>
          <w:szCs w:val="24"/>
        </w:rPr>
        <w:t xml:space="preserve"> Pooideae. </w:t>
      </w:r>
      <w:r w:rsidRPr="0073154C">
        <w:rPr>
          <w:rFonts w:ascii="Times New Roman" w:eastAsia="Times New Roman" w:hAnsi="Times New Roman" w:cs="Times New Roman"/>
          <w:i/>
          <w:iCs/>
          <w:color w:val="222222"/>
          <w:sz w:val="24"/>
          <w:szCs w:val="24"/>
        </w:rPr>
        <w:t>Plant systematics and evolution</w:t>
      </w:r>
      <w:r w:rsidRPr="0073154C">
        <w:rPr>
          <w:rFonts w:ascii="Times New Roman" w:eastAsia="Times New Roman" w:hAnsi="Times New Roman" w:cs="Times New Roman"/>
          <w:color w:val="222222"/>
          <w:sz w:val="24"/>
          <w:szCs w:val="24"/>
        </w:rPr>
        <w:t xml:space="preserve">, </w:t>
      </w:r>
      <w:r w:rsidRPr="0073154C">
        <w:rPr>
          <w:rFonts w:ascii="Times New Roman" w:eastAsia="Times New Roman" w:hAnsi="Times New Roman" w:cs="Times New Roman"/>
          <w:i/>
          <w:iCs/>
          <w:color w:val="222222"/>
          <w:sz w:val="24"/>
          <w:szCs w:val="24"/>
        </w:rPr>
        <w:t>172</w:t>
      </w:r>
      <w:r w:rsidRPr="0073154C">
        <w:rPr>
          <w:rFonts w:ascii="Times New Roman" w:eastAsia="Times New Roman" w:hAnsi="Times New Roman" w:cs="Times New Roman"/>
          <w:color w:val="222222"/>
          <w:sz w:val="24"/>
          <w:szCs w:val="24"/>
        </w:rPr>
        <w:t>(1), 83-97.</w:t>
      </w:r>
    </w:p>
    <w:p w14:paraId="3EB74A9C" w14:textId="77777777" w:rsidR="003B6311" w:rsidRDefault="00D50271" w:rsidP="00D50271">
      <w:pPr>
        <w:ind w:left="720" w:hanging="720"/>
        <w:rPr>
          <w:rFonts w:ascii="Times New Roman" w:eastAsiaTheme="minorHAnsi" w:hAnsi="Times New Roman" w:cs="Times New Roman"/>
          <w:sz w:val="24"/>
          <w:szCs w:val="24"/>
        </w:rPr>
      </w:pPr>
      <w:proofErr w:type="gramStart"/>
      <w:r w:rsidRPr="0073154C">
        <w:rPr>
          <w:rFonts w:ascii="Times New Roman" w:eastAsiaTheme="minorHAnsi" w:hAnsi="Times New Roman" w:cs="Times New Roman"/>
          <w:sz w:val="24"/>
          <w:szCs w:val="24"/>
        </w:rPr>
        <w:t>Sprague, Howard B.; Evaul, E. E. 1930.</w:t>
      </w:r>
      <w:proofErr w:type="gramEnd"/>
      <w:r w:rsidRPr="0073154C">
        <w:rPr>
          <w:rFonts w:ascii="Times New Roman" w:eastAsiaTheme="minorHAnsi" w:hAnsi="Times New Roman" w:cs="Times New Roman"/>
          <w:sz w:val="24"/>
          <w:szCs w:val="24"/>
        </w:rPr>
        <w:t xml:space="preserve"> </w:t>
      </w:r>
      <w:r w:rsidRPr="0073154C">
        <w:rPr>
          <w:rFonts w:ascii="Times New Roman" w:eastAsiaTheme="minorHAnsi" w:hAnsi="Times New Roman" w:cs="Times New Roman"/>
          <w:iCs/>
          <w:sz w:val="24"/>
          <w:szCs w:val="24"/>
        </w:rPr>
        <w:t xml:space="preserve">Experiments </w:t>
      </w:r>
      <w:proofErr w:type="gramStart"/>
      <w:r w:rsidRPr="0073154C">
        <w:rPr>
          <w:rFonts w:ascii="Times New Roman" w:eastAsiaTheme="minorHAnsi" w:hAnsi="Times New Roman" w:cs="Times New Roman"/>
          <w:iCs/>
          <w:sz w:val="24"/>
          <w:szCs w:val="24"/>
        </w:rPr>
        <w:t>With</w:t>
      </w:r>
      <w:proofErr w:type="gramEnd"/>
      <w:r w:rsidRPr="0073154C">
        <w:rPr>
          <w:rFonts w:ascii="Times New Roman" w:eastAsiaTheme="minorHAnsi" w:hAnsi="Times New Roman" w:cs="Times New Roman"/>
          <w:iCs/>
          <w:sz w:val="24"/>
          <w:szCs w:val="24"/>
        </w:rPr>
        <w:t xml:space="preserve"> Turf Grasses In New Jersey</w:t>
      </w:r>
      <w:r w:rsidRPr="0073154C">
        <w:rPr>
          <w:rFonts w:ascii="Times New Roman" w:eastAsiaTheme="minorHAnsi" w:hAnsi="Times New Roman" w:cs="Times New Roman"/>
          <w:i/>
          <w:iCs/>
          <w:sz w:val="24"/>
          <w:szCs w:val="24"/>
        </w:rPr>
        <w:t xml:space="preserve">. </w:t>
      </w:r>
      <w:r w:rsidRPr="0073154C">
        <w:rPr>
          <w:rFonts w:ascii="Times New Roman" w:eastAsiaTheme="minorHAnsi" w:hAnsi="Times New Roman" w:cs="Times New Roman"/>
          <w:sz w:val="24"/>
          <w:szCs w:val="24"/>
        </w:rPr>
        <w:t>New Brunswick, NJ: New Jersey Agricultural Experiment Station. 55 pp</w:t>
      </w:r>
    </w:p>
    <w:p w14:paraId="18B62282" w14:textId="77777777" w:rsidR="00666C53" w:rsidRPr="00666C53" w:rsidRDefault="00666C53" w:rsidP="00666C53">
      <w:pPr>
        <w:spacing w:line="240" w:lineRule="auto"/>
        <w:ind w:left="720" w:hanging="720"/>
        <w:rPr>
          <w:rFonts w:ascii="Times New Roman" w:hAnsi="Times New Roman" w:cs="Times New Roman"/>
          <w:sz w:val="24"/>
          <w:szCs w:val="24"/>
        </w:rPr>
      </w:pPr>
      <w:r w:rsidRPr="0073154C">
        <w:rPr>
          <w:rFonts w:ascii="Times New Roman" w:hAnsi="Times New Roman" w:cs="Times New Roman"/>
          <w:sz w:val="24"/>
          <w:szCs w:val="24"/>
        </w:rPr>
        <w:t xml:space="preserve">Sorochan, J. C.; Rogers, J. N. III; Stier, J. C.; Karcher, D. E. 2001. Fertility and simulated traffic effects on Kentucky bluegrass / supina bluegrass mixtures. </w:t>
      </w:r>
      <w:proofErr w:type="gramStart"/>
      <w:r w:rsidRPr="0073154C">
        <w:rPr>
          <w:rFonts w:ascii="Times New Roman" w:hAnsi="Times New Roman" w:cs="Times New Roman"/>
          <w:sz w:val="24"/>
          <w:szCs w:val="24"/>
        </w:rPr>
        <w:t xml:space="preserve">International Turfgrass Society Research </w:t>
      </w:r>
      <w:r>
        <w:rPr>
          <w:rFonts w:ascii="Times New Roman" w:hAnsi="Times New Roman" w:cs="Times New Roman"/>
          <w:sz w:val="24"/>
          <w:szCs w:val="24"/>
        </w:rPr>
        <w:t>Journal.</w:t>
      </w:r>
      <w:proofErr w:type="gramEnd"/>
      <w:r>
        <w:rPr>
          <w:rFonts w:ascii="Times New Roman" w:hAnsi="Times New Roman" w:cs="Times New Roman"/>
          <w:sz w:val="24"/>
          <w:szCs w:val="24"/>
        </w:rPr>
        <w:t xml:space="preserve"> 9(Part 2): p. 941-946.</w:t>
      </w:r>
    </w:p>
    <w:p w14:paraId="1E5694EB" w14:textId="77777777" w:rsidR="00D50271" w:rsidRPr="0073154C" w:rsidRDefault="00D50271" w:rsidP="00666C53">
      <w:pPr>
        <w:spacing w:line="240" w:lineRule="atLeast"/>
        <w:ind w:left="720" w:hanging="720"/>
        <w:rPr>
          <w:rFonts w:ascii="Times New Roman" w:eastAsia="Times New Roman" w:hAnsi="Times New Roman" w:cs="Times New Roman"/>
          <w:color w:val="111111"/>
          <w:sz w:val="24"/>
          <w:szCs w:val="24"/>
        </w:rPr>
      </w:pPr>
      <w:proofErr w:type="gramStart"/>
      <w:r w:rsidRPr="0073154C">
        <w:rPr>
          <w:rFonts w:ascii="Times New Roman" w:eastAsiaTheme="minorHAnsi" w:hAnsi="Times New Roman" w:cs="Times New Roman"/>
          <w:sz w:val="24"/>
          <w:szCs w:val="24"/>
        </w:rPr>
        <w:t>Stier, J. C.; Rogers, J. N. III.</w:t>
      </w:r>
      <w:proofErr w:type="gramEnd"/>
      <w:r w:rsidRPr="0073154C">
        <w:rPr>
          <w:rFonts w:ascii="Times New Roman" w:eastAsiaTheme="minorHAnsi" w:hAnsi="Times New Roman" w:cs="Times New Roman"/>
          <w:sz w:val="24"/>
          <w:szCs w:val="24"/>
        </w:rPr>
        <w:t xml:space="preserve"> 2001. Trinexapac-ethyl and iron effects on supina and Kentucky bluegrasses under low irradiance. </w:t>
      </w:r>
      <w:r w:rsidRPr="0073154C">
        <w:rPr>
          <w:rFonts w:ascii="Times New Roman" w:eastAsiaTheme="minorHAnsi" w:hAnsi="Times New Roman" w:cs="Times New Roman"/>
          <w:i/>
          <w:iCs/>
          <w:sz w:val="24"/>
          <w:szCs w:val="24"/>
        </w:rPr>
        <w:t>Crop Science</w:t>
      </w:r>
      <w:r w:rsidRPr="0073154C">
        <w:rPr>
          <w:rFonts w:ascii="Times New Roman" w:eastAsiaTheme="minorHAnsi" w:hAnsi="Times New Roman" w:cs="Times New Roman"/>
          <w:sz w:val="24"/>
          <w:szCs w:val="24"/>
        </w:rPr>
        <w:t>. March/April. 41(2): p. 457-465.</w:t>
      </w:r>
    </w:p>
    <w:p w14:paraId="7A9BBDFB" w14:textId="77777777" w:rsidR="00D50271" w:rsidRDefault="00D50271" w:rsidP="00D50271">
      <w:pPr>
        <w:ind w:left="720" w:hanging="720"/>
        <w:rPr>
          <w:rFonts w:ascii="Times New Roman" w:eastAsia="Times New Roman" w:hAnsi="Times New Roman" w:cs="Times New Roman"/>
          <w:color w:val="222222"/>
          <w:sz w:val="24"/>
          <w:szCs w:val="24"/>
        </w:rPr>
      </w:pPr>
      <w:r w:rsidRPr="00E413B1">
        <w:rPr>
          <w:rFonts w:ascii="Times New Roman" w:eastAsia="Times New Roman" w:hAnsi="Times New Roman" w:cs="Times New Roman"/>
          <w:color w:val="222222"/>
          <w:sz w:val="24"/>
          <w:szCs w:val="24"/>
        </w:rPr>
        <w:t xml:space="preserve">Su, K., Bremer, D. J., Keeley, S. J., &amp; Fry, J. D. (2007). Effects of high temperature and drought on a hybrid bluegrass compared with Kentucky bluegrass and tall fescue. </w:t>
      </w:r>
      <w:r w:rsidRPr="00E413B1">
        <w:rPr>
          <w:rFonts w:ascii="Times New Roman" w:eastAsia="Times New Roman" w:hAnsi="Times New Roman" w:cs="Times New Roman"/>
          <w:i/>
          <w:iCs/>
          <w:color w:val="222222"/>
          <w:sz w:val="24"/>
          <w:szCs w:val="24"/>
        </w:rPr>
        <w:t>Crop Science</w:t>
      </w:r>
      <w:r w:rsidRPr="00E413B1">
        <w:rPr>
          <w:rFonts w:ascii="Times New Roman" w:eastAsia="Times New Roman" w:hAnsi="Times New Roman" w:cs="Times New Roman"/>
          <w:color w:val="222222"/>
          <w:sz w:val="24"/>
          <w:szCs w:val="24"/>
        </w:rPr>
        <w:t xml:space="preserve">, </w:t>
      </w:r>
      <w:r w:rsidRPr="00E413B1">
        <w:rPr>
          <w:rFonts w:ascii="Times New Roman" w:eastAsia="Times New Roman" w:hAnsi="Times New Roman" w:cs="Times New Roman"/>
          <w:i/>
          <w:iCs/>
          <w:color w:val="222222"/>
          <w:sz w:val="24"/>
          <w:szCs w:val="24"/>
        </w:rPr>
        <w:t>47</w:t>
      </w:r>
      <w:r w:rsidRPr="00E413B1">
        <w:rPr>
          <w:rFonts w:ascii="Times New Roman" w:eastAsia="Times New Roman" w:hAnsi="Times New Roman" w:cs="Times New Roman"/>
          <w:color w:val="222222"/>
          <w:sz w:val="24"/>
          <w:szCs w:val="24"/>
        </w:rPr>
        <w:t>(5), 2152-2161</w:t>
      </w:r>
    </w:p>
    <w:p w14:paraId="43D43261" w14:textId="77777777" w:rsidR="00D50271" w:rsidRDefault="00D50271" w:rsidP="00D50271">
      <w:pPr>
        <w:spacing w:line="240" w:lineRule="auto"/>
        <w:ind w:left="720" w:hanging="720"/>
        <w:rPr>
          <w:rFonts w:ascii="Times New Roman" w:hAnsi="Times New Roman" w:cs="Times New Roman"/>
          <w:sz w:val="24"/>
          <w:szCs w:val="24"/>
        </w:rPr>
      </w:pPr>
      <w:r w:rsidRPr="003F2CB6">
        <w:rPr>
          <w:rFonts w:ascii="Times New Roman" w:hAnsi="Times New Roman" w:cs="Times New Roman"/>
          <w:sz w:val="24"/>
          <w:szCs w:val="24"/>
        </w:rPr>
        <w:t xml:space="preserve">Teuton, Travis C.; Sorochan, John C.; Main, Christopher L.; Mueller, Thomas C. 2009. </w:t>
      </w:r>
      <w:proofErr w:type="gramStart"/>
      <w:r w:rsidRPr="003F2CB6">
        <w:rPr>
          <w:rFonts w:ascii="Times New Roman" w:hAnsi="Times New Roman" w:cs="Times New Roman"/>
          <w:sz w:val="24"/>
          <w:szCs w:val="24"/>
        </w:rPr>
        <w:t>Establishment and maintenance during establishment of hybrid bluegrass (P. arachnifera Torr. x P. pratensis L.) in the transition zone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3F2CB6">
        <w:rPr>
          <w:rFonts w:ascii="Times New Roman" w:hAnsi="Times New Roman" w:cs="Times New Roman"/>
          <w:i/>
          <w:iCs/>
          <w:sz w:val="24"/>
          <w:szCs w:val="24"/>
        </w:rPr>
        <w:t>HortScience</w:t>
      </w:r>
      <w:r w:rsidRPr="003F2CB6">
        <w:rPr>
          <w:rFonts w:ascii="Times New Roman" w:hAnsi="Times New Roman" w:cs="Times New Roman"/>
          <w:sz w:val="24"/>
          <w:szCs w:val="24"/>
        </w:rPr>
        <w:t>. June. 44(3): p. 815-819.</w:t>
      </w:r>
    </w:p>
    <w:p w14:paraId="3E9D982B" w14:textId="77777777" w:rsidR="00D50271" w:rsidRDefault="00D50271" w:rsidP="00D50271">
      <w:pPr>
        <w:ind w:left="720" w:hanging="720"/>
        <w:rPr>
          <w:rFonts w:ascii="Times New Roman" w:eastAsiaTheme="minorHAnsi" w:hAnsi="Times New Roman" w:cs="Times New Roman"/>
          <w:sz w:val="24"/>
          <w:szCs w:val="24"/>
        </w:rPr>
      </w:pPr>
      <w:r w:rsidRPr="003F2CB6">
        <w:rPr>
          <w:rFonts w:ascii="Times New Roman" w:hAnsi="Times New Roman" w:cs="Times New Roman"/>
          <w:sz w:val="24"/>
          <w:szCs w:val="24"/>
        </w:rPr>
        <w:t xml:space="preserve">Teuton, Travis C.; Sorochan, John C.; Main, Christopher L.; Samples, Thomas J.; Parham, John M.; Mueller, Thomas C. 2007. Hybrid bluegrass, Kentucky bluegrass, and tall fescue </w:t>
      </w:r>
      <w:r w:rsidRPr="003F2CB6">
        <w:rPr>
          <w:rFonts w:ascii="Times New Roman" w:hAnsi="Times New Roman" w:cs="Times New Roman"/>
          <w:sz w:val="24"/>
          <w:szCs w:val="24"/>
        </w:rPr>
        <w:lastRenderedPageBreak/>
        <w:t xml:space="preserve">response to nitrogen fertilization in the transition </w:t>
      </w:r>
      <w:proofErr w:type="gramStart"/>
      <w:r w:rsidRPr="003F2CB6">
        <w:rPr>
          <w:rFonts w:ascii="Times New Roman" w:hAnsi="Times New Roman" w:cs="Times New Roman"/>
          <w:sz w:val="24"/>
          <w:szCs w:val="24"/>
        </w:rPr>
        <w:t xml:space="preserve">zone  </w:t>
      </w:r>
      <w:r w:rsidRPr="003F2CB6">
        <w:rPr>
          <w:rFonts w:ascii="Times New Roman" w:hAnsi="Times New Roman" w:cs="Times New Roman"/>
          <w:i/>
          <w:iCs/>
          <w:sz w:val="24"/>
          <w:szCs w:val="24"/>
        </w:rPr>
        <w:t>HortScience</w:t>
      </w:r>
      <w:proofErr w:type="gramEnd"/>
      <w:r w:rsidRPr="003F2CB6">
        <w:rPr>
          <w:rFonts w:ascii="Times New Roman" w:hAnsi="Times New Roman" w:cs="Times New Roman"/>
          <w:sz w:val="24"/>
          <w:szCs w:val="24"/>
        </w:rPr>
        <w:t>. April. 42(2): p. 369-372</w:t>
      </w:r>
      <w:r>
        <w:rPr>
          <w:rFonts w:ascii="Times New Roman" w:hAnsi="Times New Roman" w:cs="Times New Roman"/>
          <w:sz w:val="24"/>
          <w:szCs w:val="24"/>
        </w:rPr>
        <w:t>.</w:t>
      </w:r>
    </w:p>
    <w:p w14:paraId="3EE376CC" w14:textId="77777777" w:rsidR="008326EE" w:rsidRPr="0073154C" w:rsidRDefault="008326EE" w:rsidP="008326EE">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Turgeon, A.J. 2002</w:t>
      </w:r>
      <w:r w:rsidRPr="0073154C">
        <w:rPr>
          <w:rFonts w:ascii="Times New Roman" w:hAnsi="Times New Roman" w:cs="Times New Roman"/>
          <w:sz w:val="24"/>
          <w:szCs w:val="24"/>
        </w:rPr>
        <w:t xml:space="preserve">. Turfgrass management. </w:t>
      </w:r>
      <w:proofErr w:type="gramStart"/>
      <w:r w:rsidRPr="0073154C">
        <w:rPr>
          <w:rFonts w:ascii="Times New Roman" w:hAnsi="Times New Roman" w:cs="Times New Roman"/>
          <w:sz w:val="24"/>
          <w:szCs w:val="24"/>
        </w:rPr>
        <w:t>Reston Pub, VA 22090.</w:t>
      </w:r>
      <w:proofErr w:type="gramEnd"/>
      <w:r w:rsidRPr="0073154C">
        <w:rPr>
          <w:rFonts w:ascii="Times New Roman" w:hAnsi="Times New Roman" w:cs="Times New Roman"/>
          <w:sz w:val="24"/>
          <w:szCs w:val="24"/>
        </w:rPr>
        <w:t xml:space="preserve"> p. 45, 79-80</w:t>
      </w:r>
    </w:p>
    <w:p w14:paraId="37514D65" w14:textId="77777777" w:rsidR="008326EE" w:rsidRPr="0073154C" w:rsidRDefault="008326EE" w:rsidP="008326EE">
      <w:pPr>
        <w:spacing w:line="240" w:lineRule="auto"/>
        <w:ind w:left="720" w:hanging="720"/>
        <w:rPr>
          <w:rFonts w:ascii="Times New Roman" w:hAnsi="Times New Roman" w:cs="Times New Roman"/>
          <w:sz w:val="24"/>
          <w:szCs w:val="24"/>
        </w:rPr>
      </w:pPr>
      <w:r w:rsidRPr="0073154C">
        <w:rPr>
          <w:rFonts w:ascii="Times New Roman" w:hAnsi="Times New Roman" w:cs="Times New Roman"/>
          <w:sz w:val="24"/>
          <w:szCs w:val="24"/>
        </w:rPr>
        <w:t xml:space="preserve">USDA, ARS, National Genetic Resources Program. </w:t>
      </w:r>
      <w:proofErr w:type="gramStart"/>
      <w:r w:rsidRPr="0073154C">
        <w:rPr>
          <w:rFonts w:ascii="Times New Roman" w:hAnsi="Times New Roman" w:cs="Times New Roman"/>
          <w:sz w:val="24"/>
          <w:szCs w:val="24"/>
        </w:rPr>
        <w:t>Germplasm Resources Information Network - (GRIN) [Online Database].</w:t>
      </w:r>
      <w:proofErr w:type="gramEnd"/>
      <w:r w:rsidRPr="0073154C">
        <w:rPr>
          <w:rFonts w:ascii="Times New Roman" w:hAnsi="Times New Roman" w:cs="Times New Roman"/>
          <w:sz w:val="24"/>
          <w:szCs w:val="24"/>
        </w:rPr>
        <w:t xml:space="preserve"> National Germplasm Resources Laboratory, Beltsville, Maryland.URL: http://www.ars-grin.gov/cgi-bin/npgs/html/taxon.pl?28982 (30 January 2013) </w:t>
      </w:r>
    </w:p>
    <w:p w14:paraId="4512FB00" w14:textId="77777777" w:rsidR="008326EE" w:rsidRPr="000E14E4" w:rsidRDefault="008326EE" w:rsidP="008326EE">
      <w:pPr>
        <w:spacing w:line="240" w:lineRule="auto"/>
        <w:ind w:left="720" w:hanging="720"/>
        <w:rPr>
          <w:rFonts w:ascii="Times New Roman" w:eastAsiaTheme="minorHAnsi" w:hAnsi="Times New Roman" w:cs="Times New Roman"/>
          <w:sz w:val="24"/>
          <w:szCs w:val="24"/>
        </w:rPr>
      </w:pPr>
      <w:proofErr w:type="gramStart"/>
      <w:r w:rsidRPr="0073154C">
        <w:rPr>
          <w:rFonts w:ascii="Times New Roman" w:eastAsiaTheme="minorHAnsi" w:hAnsi="Times New Roman" w:cs="Times New Roman"/>
          <w:sz w:val="24"/>
          <w:szCs w:val="24"/>
        </w:rPr>
        <w:t>Vinall, H. N.; Hein, M. A. 1937.</w:t>
      </w:r>
      <w:proofErr w:type="gramEnd"/>
      <w:r w:rsidRPr="0073154C">
        <w:rPr>
          <w:rFonts w:ascii="Times New Roman" w:eastAsiaTheme="minorHAnsi" w:hAnsi="Times New Roman" w:cs="Times New Roman"/>
          <w:sz w:val="24"/>
          <w:szCs w:val="24"/>
        </w:rPr>
        <w:t xml:space="preserve"> Breeding miscellaneous grasses. p. 1032-1102. In: Hambidge, Gove; Bressman, E. N., eds. </w:t>
      </w:r>
      <w:r w:rsidRPr="0073154C">
        <w:rPr>
          <w:rFonts w:ascii="Times New Roman" w:eastAsiaTheme="minorHAnsi" w:hAnsi="Times New Roman" w:cs="Times New Roman"/>
          <w:i/>
          <w:iCs/>
          <w:sz w:val="24"/>
          <w:szCs w:val="24"/>
        </w:rPr>
        <w:t>Yearbook of Agriculture, 1937</w:t>
      </w:r>
      <w:r w:rsidRPr="0073154C">
        <w:rPr>
          <w:rFonts w:ascii="Times New Roman" w:eastAsiaTheme="minorHAnsi" w:hAnsi="Times New Roman" w:cs="Times New Roman"/>
          <w:sz w:val="24"/>
          <w:szCs w:val="24"/>
        </w:rPr>
        <w:t>. Washington, D.C.: United States Department of Agriculture.</w:t>
      </w:r>
    </w:p>
    <w:p w14:paraId="04340AA4" w14:textId="77777777" w:rsidR="008326EE" w:rsidRPr="0073154C" w:rsidRDefault="008326EE" w:rsidP="008326EE">
      <w:pPr>
        <w:spacing w:line="240" w:lineRule="auto"/>
        <w:ind w:left="720" w:hanging="720"/>
        <w:rPr>
          <w:rFonts w:ascii="Times New Roman" w:hAnsi="Times New Roman" w:cs="Times New Roman"/>
          <w:sz w:val="24"/>
          <w:szCs w:val="24"/>
        </w:rPr>
      </w:pPr>
      <w:proofErr w:type="gramStart"/>
      <w:r w:rsidRPr="0073154C">
        <w:rPr>
          <w:rFonts w:ascii="Times New Roman" w:hAnsi="Times New Roman" w:cs="Times New Roman"/>
          <w:sz w:val="24"/>
          <w:szCs w:val="24"/>
        </w:rPr>
        <w:t>Ward, C. Y., E.L. McWhirter, and W. R. Thompson Jr. 1974.</w:t>
      </w:r>
      <w:proofErr w:type="gramEnd"/>
      <w:r w:rsidRPr="0073154C">
        <w:rPr>
          <w:rFonts w:ascii="Times New Roman" w:hAnsi="Times New Roman" w:cs="Times New Roman"/>
          <w:sz w:val="24"/>
          <w:szCs w:val="24"/>
        </w:rPr>
        <w:t xml:space="preserve"> </w:t>
      </w:r>
      <w:proofErr w:type="gramStart"/>
      <w:r w:rsidRPr="0073154C">
        <w:rPr>
          <w:rFonts w:ascii="Times New Roman" w:hAnsi="Times New Roman" w:cs="Times New Roman"/>
          <w:sz w:val="24"/>
          <w:szCs w:val="24"/>
        </w:rPr>
        <w:t>Evaluation of cool season turf species and planting techniques for overseeding bermudagrass golf greens.</w:t>
      </w:r>
      <w:proofErr w:type="gramEnd"/>
      <w:r w:rsidRPr="0073154C">
        <w:rPr>
          <w:rFonts w:ascii="Times New Roman" w:hAnsi="Times New Roman" w:cs="Times New Roman"/>
          <w:sz w:val="24"/>
          <w:szCs w:val="24"/>
        </w:rPr>
        <w:t xml:space="preserve"> </w:t>
      </w:r>
      <w:proofErr w:type="gramStart"/>
      <w:r w:rsidRPr="0073154C">
        <w:rPr>
          <w:rFonts w:ascii="Times New Roman" w:hAnsi="Times New Roman" w:cs="Times New Roman"/>
          <w:sz w:val="24"/>
          <w:szCs w:val="24"/>
        </w:rPr>
        <w:t>Proceedings of the 2nd International Turfgrass Research Conference.</w:t>
      </w:r>
      <w:proofErr w:type="gramEnd"/>
      <w:r w:rsidRPr="0073154C">
        <w:rPr>
          <w:rFonts w:ascii="Times New Roman" w:hAnsi="Times New Roman" w:cs="Times New Roman"/>
          <w:sz w:val="24"/>
          <w:szCs w:val="24"/>
        </w:rPr>
        <w:t xml:space="preserve"> p. 480-495.</w:t>
      </w:r>
    </w:p>
    <w:p w14:paraId="5B88EEAC" w14:textId="77777777" w:rsidR="008326EE" w:rsidRDefault="008326EE" w:rsidP="008326EE">
      <w:pPr>
        <w:spacing w:line="240" w:lineRule="auto"/>
        <w:ind w:left="720" w:hanging="720"/>
        <w:rPr>
          <w:rFonts w:ascii="Times New Roman" w:eastAsiaTheme="minorHAnsi" w:hAnsi="Times New Roman" w:cs="Times New Roman"/>
          <w:sz w:val="24"/>
          <w:szCs w:val="24"/>
        </w:rPr>
      </w:pPr>
      <w:proofErr w:type="gramStart"/>
      <w:r w:rsidRPr="0073154C">
        <w:rPr>
          <w:rFonts w:ascii="Times New Roman" w:eastAsiaTheme="minorHAnsi" w:hAnsi="Times New Roman" w:cs="Times New Roman"/>
          <w:sz w:val="24"/>
          <w:szCs w:val="24"/>
        </w:rPr>
        <w:t>Warnke, Scott; Amundsen, Keenan.</w:t>
      </w:r>
      <w:proofErr w:type="gramEnd"/>
      <w:r w:rsidRPr="0073154C">
        <w:rPr>
          <w:rFonts w:ascii="Times New Roman" w:eastAsiaTheme="minorHAnsi" w:hAnsi="Times New Roman" w:cs="Times New Roman"/>
          <w:sz w:val="24"/>
          <w:szCs w:val="24"/>
        </w:rPr>
        <w:t xml:space="preserve"> 2009. Development of new sustainable turfgrass species from the genus Danthonia. </w:t>
      </w:r>
      <w:r w:rsidRPr="0073154C">
        <w:rPr>
          <w:rFonts w:ascii="Times New Roman" w:eastAsiaTheme="minorHAnsi" w:hAnsi="Times New Roman" w:cs="Times New Roman"/>
          <w:i/>
          <w:iCs/>
          <w:sz w:val="24"/>
          <w:szCs w:val="24"/>
        </w:rPr>
        <w:t>2009 International Annual Meetings: [Abstracts][ASA-CSSA-SSSA]</w:t>
      </w:r>
      <w:r w:rsidRPr="0073154C">
        <w:rPr>
          <w:rFonts w:ascii="Times New Roman" w:eastAsiaTheme="minorHAnsi" w:hAnsi="Times New Roman" w:cs="Times New Roman"/>
          <w:sz w:val="24"/>
          <w:szCs w:val="24"/>
        </w:rPr>
        <w:t>. p. 53406.</w:t>
      </w:r>
    </w:p>
    <w:p w14:paraId="2F39260F" w14:textId="77777777" w:rsidR="008326EE" w:rsidRDefault="008326EE" w:rsidP="008326EE">
      <w:pPr>
        <w:spacing w:line="240" w:lineRule="auto"/>
        <w:ind w:left="720" w:hanging="720"/>
        <w:rPr>
          <w:rFonts w:ascii="Times New Roman" w:eastAsiaTheme="minorHAnsi" w:hAnsi="Times New Roman" w:cs="Times New Roman"/>
          <w:sz w:val="24"/>
          <w:szCs w:val="24"/>
        </w:rPr>
      </w:pPr>
      <w:r w:rsidRPr="0073154C">
        <w:rPr>
          <w:rFonts w:ascii="Times New Roman" w:eastAsiaTheme="minorHAnsi" w:hAnsi="Times New Roman" w:cs="Times New Roman"/>
          <w:sz w:val="24"/>
          <w:szCs w:val="24"/>
        </w:rPr>
        <w:t xml:space="preserve">Watkins, Eric. 2011. Genetic improvement of prairie junegrass. </w:t>
      </w:r>
      <w:r w:rsidRPr="0073154C">
        <w:rPr>
          <w:rFonts w:ascii="Times New Roman" w:eastAsiaTheme="minorHAnsi" w:hAnsi="Times New Roman" w:cs="Times New Roman"/>
          <w:i/>
          <w:iCs/>
          <w:sz w:val="24"/>
          <w:szCs w:val="24"/>
        </w:rPr>
        <w:t>2011 USGA Turfgrass and Environmental Research Summary</w:t>
      </w:r>
      <w:r w:rsidRPr="0073154C">
        <w:rPr>
          <w:rFonts w:ascii="Times New Roman" w:eastAsiaTheme="minorHAnsi" w:hAnsi="Times New Roman" w:cs="Times New Roman"/>
          <w:sz w:val="24"/>
          <w:szCs w:val="24"/>
        </w:rPr>
        <w:t>. p. 19.</w:t>
      </w:r>
    </w:p>
    <w:p w14:paraId="3E75E4AB" w14:textId="77777777" w:rsidR="008326EE" w:rsidRPr="000E14E4" w:rsidRDefault="008326EE" w:rsidP="008326EE">
      <w:pPr>
        <w:spacing w:line="240" w:lineRule="auto"/>
        <w:ind w:left="720" w:hanging="720"/>
        <w:rPr>
          <w:rFonts w:ascii="Times New Roman" w:eastAsiaTheme="minorHAnsi" w:hAnsi="Times New Roman" w:cs="Times New Roman"/>
          <w:sz w:val="24"/>
          <w:szCs w:val="24"/>
        </w:rPr>
      </w:pPr>
      <w:r w:rsidRPr="0073154C">
        <w:rPr>
          <w:rFonts w:ascii="Times New Roman" w:eastAsiaTheme="minorHAnsi" w:hAnsi="Times New Roman" w:cs="Times New Roman"/>
          <w:sz w:val="24"/>
          <w:szCs w:val="24"/>
        </w:rPr>
        <w:t xml:space="preserve">Watkins, Eric; Hollman, Andrew B.; Horgan, Brian P. 2010. </w:t>
      </w:r>
      <w:proofErr w:type="gramStart"/>
      <w:r w:rsidRPr="0073154C">
        <w:rPr>
          <w:rFonts w:ascii="Times New Roman" w:eastAsiaTheme="minorHAnsi" w:hAnsi="Times New Roman" w:cs="Times New Roman"/>
          <w:sz w:val="24"/>
          <w:szCs w:val="24"/>
        </w:rPr>
        <w:t>Evaluation of alternative turfgrass species for low-input golf course fairways.</w:t>
      </w:r>
      <w:proofErr w:type="gramEnd"/>
      <w:r w:rsidRPr="0073154C">
        <w:rPr>
          <w:rFonts w:ascii="Times New Roman" w:eastAsiaTheme="minorHAnsi" w:hAnsi="Times New Roman" w:cs="Times New Roman"/>
          <w:sz w:val="24"/>
          <w:szCs w:val="24"/>
        </w:rPr>
        <w:t xml:space="preserve"> </w:t>
      </w:r>
      <w:r w:rsidRPr="0073154C">
        <w:rPr>
          <w:rFonts w:ascii="Times New Roman" w:eastAsiaTheme="minorHAnsi" w:hAnsi="Times New Roman" w:cs="Times New Roman"/>
          <w:i/>
          <w:iCs/>
          <w:sz w:val="24"/>
          <w:szCs w:val="24"/>
        </w:rPr>
        <w:t>HortScience</w:t>
      </w:r>
      <w:r w:rsidRPr="0073154C">
        <w:rPr>
          <w:rFonts w:ascii="Times New Roman" w:eastAsiaTheme="minorHAnsi" w:hAnsi="Times New Roman" w:cs="Times New Roman"/>
          <w:sz w:val="24"/>
          <w:szCs w:val="24"/>
        </w:rPr>
        <w:t>. January. 45(1): p. 113-118.</w:t>
      </w:r>
    </w:p>
    <w:p w14:paraId="4BD23815" w14:textId="77777777" w:rsidR="008326EE" w:rsidRPr="000E14E4" w:rsidRDefault="008326EE" w:rsidP="008326EE">
      <w:pPr>
        <w:spacing w:line="240" w:lineRule="auto"/>
        <w:ind w:left="720" w:hanging="720"/>
        <w:rPr>
          <w:rFonts w:ascii="Times New Roman" w:eastAsia="Times New Roman" w:hAnsi="Times New Roman" w:cs="Times New Roman"/>
          <w:color w:val="222222"/>
          <w:sz w:val="24"/>
          <w:szCs w:val="24"/>
        </w:rPr>
      </w:pPr>
      <w:r w:rsidRPr="0073154C">
        <w:rPr>
          <w:rFonts w:ascii="Times New Roman" w:eastAsia="Times New Roman" w:hAnsi="Times New Roman" w:cs="Times New Roman"/>
          <w:color w:val="222222"/>
          <w:sz w:val="24"/>
          <w:szCs w:val="24"/>
        </w:rPr>
        <w:t xml:space="preserve">Watson, L., &amp; Dallwitz, M. J. (1992). </w:t>
      </w:r>
      <w:proofErr w:type="gramStart"/>
      <w:r w:rsidRPr="0073154C">
        <w:rPr>
          <w:rFonts w:ascii="Times New Roman" w:eastAsia="Times New Roman" w:hAnsi="Times New Roman" w:cs="Times New Roman"/>
          <w:i/>
          <w:iCs/>
          <w:color w:val="222222"/>
          <w:sz w:val="24"/>
          <w:szCs w:val="24"/>
        </w:rPr>
        <w:t>The grass genera of the world</w:t>
      </w:r>
      <w:r w:rsidRPr="0073154C">
        <w:rPr>
          <w:rFonts w:ascii="Times New Roman" w:eastAsia="Times New Roman" w:hAnsi="Times New Roman" w:cs="Times New Roman"/>
          <w:color w:val="222222"/>
          <w:sz w:val="24"/>
          <w:szCs w:val="24"/>
        </w:rPr>
        <w:t>.</w:t>
      </w:r>
      <w:proofErr w:type="gramEnd"/>
      <w:r w:rsidRPr="0073154C">
        <w:rPr>
          <w:rFonts w:ascii="Times New Roman" w:eastAsia="Times New Roman" w:hAnsi="Times New Roman" w:cs="Times New Roman"/>
          <w:color w:val="222222"/>
          <w:sz w:val="24"/>
          <w:szCs w:val="24"/>
        </w:rPr>
        <w:t xml:space="preserve"> Cab International.</w:t>
      </w:r>
    </w:p>
    <w:p w14:paraId="5ABE4DCD" w14:textId="77777777" w:rsidR="008326EE" w:rsidRDefault="008326EE" w:rsidP="008326EE">
      <w:pPr>
        <w:spacing w:line="240" w:lineRule="auto"/>
        <w:ind w:left="720" w:hanging="720"/>
        <w:rPr>
          <w:rFonts w:ascii="Times New Roman" w:eastAsiaTheme="minorHAnsi" w:hAnsi="Times New Roman" w:cs="Times New Roman"/>
          <w:sz w:val="24"/>
          <w:szCs w:val="24"/>
        </w:rPr>
      </w:pPr>
      <w:r w:rsidRPr="0073154C">
        <w:rPr>
          <w:rFonts w:ascii="Times New Roman" w:eastAsiaTheme="minorHAnsi" w:hAnsi="Times New Roman" w:cs="Times New Roman"/>
          <w:sz w:val="24"/>
          <w:szCs w:val="24"/>
        </w:rPr>
        <w:t xml:space="preserve">Wenger, L. E. 1943. </w:t>
      </w:r>
      <w:r w:rsidRPr="0073154C">
        <w:rPr>
          <w:rFonts w:ascii="Times New Roman" w:eastAsiaTheme="minorHAnsi" w:hAnsi="Times New Roman" w:cs="Times New Roman"/>
          <w:iCs/>
          <w:sz w:val="24"/>
          <w:szCs w:val="24"/>
        </w:rPr>
        <w:t>Buffalo Grass</w:t>
      </w:r>
      <w:r w:rsidRPr="0073154C">
        <w:rPr>
          <w:rFonts w:ascii="Times New Roman" w:eastAsiaTheme="minorHAnsi" w:hAnsi="Times New Roman" w:cs="Times New Roman"/>
          <w:i/>
          <w:iCs/>
          <w:sz w:val="24"/>
          <w:szCs w:val="24"/>
        </w:rPr>
        <w:t xml:space="preserve">. </w:t>
      </w:r>
      <w:r w:rsidRPr="0073154C">
        <w:rPr>
          <w:rFonts w:ascii="Times New Roman" w:eastAsiaTheme="minorHAnsi" w:hAnsi="Times New Roman" w:cs="Times New Roman"/>
          <w:sz w:val="24"/>
          <w:szCs w:val="24"/>
        </w:rPr>
        <w:t>Manhattan, KS: Kansas State College of Agriculture and Applied Science Agricultural Experiment Station. 78 pp.</w:t>
      </w:r>
    </w:p>
    <w:p w14:paraId="51BB98F3" w14:textId="77777777" w:rsidR="00666C53" w:rsidRDefault="00666C53" w:rsidP="00666C53">
      <w:pPr>
        <w:spacing w:line="240" w:lineRule="auto"/>
        <w:ind w:left="720" w:hanging="720"/>
        <w:rPr>
          <w:rFonts w:ascii="Times New Roman" w:eastAsiaTheme="minorHAnsi" w:hAnsi="Times New Roman" w:cs="Times New Roman"/>
          <w:sz w:val="24"/>
          <w:szCs w:val="24"/>
        </w:rPr>
      </w:pPr>
      <w:r w:rsidRPr="0073154C">
        <w:rPr>
          <w:rFonts w:ascii="Times New Roman" w:eastAsiaTheme="minorHAnsi" w:hAnsi="Times New Roman" w:cs="Times New Roman"/>
          <w:sz w:val="24"/>
          <w:szCs w:val="24"/>
        </w:rPr>
        <w:t xml:space="preserve">White, Donald. 1994. Improvement of poa annua var reptans for golf turf. </w:t>
      </w:r>
      <w:proofErr w:type="gramStart"/>
      <w:r w:rsidRPr="0073154C">
        <w:rPr>
          <w:rFonts w:ascii="Times New Roman" w:eastAsiaTheme="minorHAnsi" w:hAnsi="Times New Roman" w:cs="Times New Roman"/>
          <w:i/>
          <w:iCs/>
          <w:sz w:val="24"/>
          <w:szCs w:val="24"/>
        </w:rPr>
        <w:t>1994 Turfgrass Research Summary</w:t>
      </w:r>
      <w:r w:rsidRPr="0073154C">
        <w:rPr>
          <w:rFonts w:ascii="Times New Roman" w:eastAsiaTheme="minorHAnsi" w:hAnsi="Times New Roman" w:cs="Times New Roman"/>
          <w:sz w:val="24"/>
          <w:szCs w:val="24"/>
        </w:rPr>
        <w:t xml:space="preserve"> [USGA].</w:t>
      </w:r>
      <w:proofErr w:type="gramEnd"/>
      <w:r w:rsidRPr="0073154C">
        <w:rPr>
          <w:rFonts w:ascii="Times New Roman" w:eastAsiaTheme="minorHAnsi" w:hAnsi="Times New Roman" w:cs="Times New Roman"/>
          <w:sz w:val="24"/>
          <w:szCs w:val="24"/>
        </w:rPr>
        <w:t xml:space="preserve"> p. 18-20.</w:t>
      </w:r>
    </w:p>
    <w:p w14:paraId="24E77633" w14:textId="77777777" w:rsidR="008326EE" w:rsidRPr="0073154C" w:rsidRDefault="008326EE" w:rsidP="008326EE">
      <w:pPr>
        <w:spacing w:line="240" w:lineRule="auto"/>
        <w:ind w:left="720" w:hanging="720"/>
        <w:rPr>
          <w:rFonts w:ascii="Times New Roman" w:eastAsiaTheme="minorHAnsi" w:hAnsi="Times New Roman" w:cs="Times New Roman"/>
          <w:sz w:val="24"/>
          <w:szCs w:val="24"/>
        </w:rPr>
      </w:pPr>
    </w:p>
    <w:p w14:paraId="5EAE46C9" w14:textId="77777777" w:rsidR="00CB51DA" w:rsidRDefault="00CB51DA" w:rsidP="003B6311">
      <w:pPr>
        <w:rPr>
          <w:rFonts w:ascii="Times New Roman" w:hAnsi="Times New Roman" w:cs="Times New Roman"/>
          <w:sz w:val="24"/>
          <w:szCs w:val="24"/>
        </w:rPr>
      </w:pPr>
      <w:r>
        <w:rPr>
          <w:rFonts w:ascii="Times New Roman" w:hAnsi="Times New Roman" w:cs="Times New Roman"/>
          <w:sz w:val="24"/>
          <w:szCs w:val="24"/>
        </w:rPr>
        <w:br w:type="page"/>
      </w:r>
    </w:p>
    <w:p w14:paraId="5EDE7911" w14:textId="77777777" w:rsidR="0048750E" w:rsidRDefault="0048750E" w:rsidP="007903A0">
      <w:pPr>
        <w:ind w:left="720" w:hanging="720"/>
        <w:rPr>
          <w:rFonts w:ascii="Times New Roman" w:hAnsi="Times New Roman" w:cs="Times New Roman"/>
          <w:sz w:val="24"/>
          <w:szCs w:val="24"/>
        </w:rPr>
      </w:pPr>
    </w:p>
    <w:p w14:paraId="17D7582C" w14:textId="77777777" w:rsidR="00CB51DA" w:rsidRDefault="00CB51DA" w:rsidP="007903A0">
      <w:pPr>
        <w:ind w:left="720" w:hanging="720"/>
        <w:rPr>
          <w:rFonts w:ascii="Times New Roman" w:hAnsi="Times New Roman" w:cs="Times New Roman"/>
          <w:sz w:val="24"/>
          <w:szCs w:val="24"/>
        </w:rPr>
      </w:pPr>
    </w:p>
    <w:p w14:paraId="3B5E3F0A" w14:textId="77777777" w:rsidR="00CB51DA" w:rsidRDefault="00CB51DA" w:rsidP="007903A0">
      <w:pPr>
        <w:ind w:left="720" w:hanging="720"/>
        <w:rPr>
          <w:rFonts w:ascii="Times New Roman" w:hAnsi="Times New Roman" w:cs="Times New Roman"/>
          <w:sz w:val="24"/>
          <w:szCs w:val="24"/>
        </w:rPr>
      </w:pPr>
    </w:p>
    <w:p w14:paraId="29A53F2C" w14:textId="77777777" w:rsidR="00CB51DA" w:rsidRDefault="00CB51DA" w:rsidP="007903A0">
      <w:pPr>
        <w:ind w:left="720" w:hanging="720"/>
        <w:rPr>
          <w:rFonts w:ascii="Times New Roman" w:hAnsi="Times New Roman" w:cs="Times New Roman"/>
          <w:sz w:val="24"/>
          <w:szCs w:val="24"/>
        </w:rPr>
      </w:pPr>
    </w:p>
    <w:p w14:paraId="43753AF9" w14:textId="77777777" w:rsidR="00CB51DA" w:rsidRDefault="00CB51DA" w:rsidP="007903A0">
      <w:pPr>
        <w:ind w:left="720" w:hanging="720"/>
        <w:rPr>
          <w:rFonts w:ascii="Times New Roman" w:hAnsi="Times New Roman" w:cs="Times New Roman"/>
          <w:sz w:val="24"/>
          <w:szCs w:val="24"/>
        </w:rPr>
      </w:pPr>
    </w:p>
    <w:p w14:paraId="036440F2" w14:textId="77777777" w:rsidR="00CB51DA" w:rsidRDefault="00CB51DA" w:rsidP="007903A0">
      <w:pPr>
        <w:ind w:left="720" w:hanging="720"/>
        <w:rPr>
          <w:rFonts w:ascii="Times New Roman" w:hAnsi="Times New Roman" w:cs="Times New Roman"/>
          <w:sz w:val="24"/>
          <w:szCs w:val="24"/>
        </w:rPr>
      </w:pPr>
    </w:p>
    <w:p w14:paraId="381C3944" w14:textId="77777777" w:rsidR="00CB51DA" w:rsidRDefault="00CB51DA" w:rsidP="007903A0">
      <w:pPr>
        <w:ind w:left="720" w:hanging="720"/>
        <w:rPr>
          <w:rFonts w:ascii="Times New Roman" w:hAnsi="Times New Roman" w:cs="Times New Roman"/>
          <w:sz w:val="24"/>
          <w:szCs w:val="24"/>
        </w:rPr>
      </w:pPr>
    </w:p>
    <w:p w14:paraId="2DCDA5C5" w14:textId="77777777" w:rsidR="00CB51DA" w:rsidRDefault="00CB51DA" w:rsidP="007903A0">
      <w:pPr>
        <w:ind w:left="720" w:hanging="720"/>
        <w:rPr>
          <w:rFonts w:ascii="Times New Roman" w:hAnsi="Times New Roman" w:cs="Times New Roman"/>
          <w:sz w:val="24"/>
          <w:szCs w:val="24"/>
        </w:rPr>
      </w:pPr>
    </w:p>
    <w:p w14:paraId="455D35A8" w14:textId="77777777" w:rsidR="00CB51DA" w:rsidRDefault="00CB51DA" w:rsidP="007903A0">
      <w:pPr>
        <w:ind w:left="720" w:hanging="720"/>
        <w:rPr>
          <w:rFonts w:ascii="Times New Roman" w:hAnsi="Times New Roman" w:cs="Times New Roman"/>
          <w:sz w:val="24"/>
          <w:szCs w:val="24"/>
        </w:rPr>
      </w:pPr>
    </w:p>
    <w:p w14:paraId="23E045A0" w14:textId="77777777" w:rsidR="00CB51DA" w:rsidRDefault="00CB51DA" w:rsidP="007903A0">
      <w:pPr>
        <w:ind w:left="720" w:hanging="720"/>
        <w:rPr>
          <w:rFonts w:ascii="Times New Roman" w:hAnsi="Times New Roman" w:cs="Times New Roman"/>
          <w:sz w:val="24"/>
          <w:szCs w:val="24"/>
        </w:rPr>
      </w:pPr>
    </w:p>
    <w:p w14:paraId="6DDBCB90" w14:textId="77777777" w:rsidR="00CB51DA" w:rsidRPr="007903A0" w:rsidRDefault="00CB51DA" w:rsidP="007903A0">
      <w:pPr>
        <w:ind w:left="720" w:hanging="720"/>
        <w:rPr>
          <w:rFonts w:ascii="Times New Roman" w:hAnsi="Times New Roman" w:cs="Times New Roman"/>
          <w:sz w:val="24"/>
          <w:szCs w:val="24"/>
        </w:rPr>
      </w:pPr>
    </w:p>
    <w:p w14:paraId="241D353F" w14:textId="77777777" w:rsidR="008072D0" w:rsidRDefault="00F336BF" w:rsidP="00B0077C">
      <w:pPr>
        <w:pStyle w:val="Heading2"/>
        <w:rPr>
          <w:rFonts w:eastAsiaTheme="minorHAnsi"/>
        </w:rPr>
      </w:pPr>
      <w:bookmarkStart w:id="15" w:name="_Toc354003321"/>
      <w:r>
        <w:rPr>
          <w:rFonts w:eastAsiaTheme="minorHAnsi"/>
        </w:rPr>
        <w:t xml:space="preserve">Appendix </w:t>
      </w:r>
      <w:r w:rsidR="00B0077C">
        <w:rPr>
          <w:rFonts w:eastAsiaTheme="minorHAnsi"/>
        </w:rPr>
        <w:t>A</w:t>
      </w:r>
      <w:bookmarkEnd w:id="15"/>
    </w:p>
    <w:p w14:paraId="0F9074F3" w14:textId="77777777" w:rsidR="00B0077C" w:rsidRDefault="00B0077C" w:rsidP="00B0077C">
      <w:pPr>
        <w:pStyle w:val="Heading2"/>
      </w:pPr>
      <w:bookmarkStart w:id="16" w:name="_Toc354003322"/>
      <w:r>
        <w:t>Tables</w:t>
      </w:r>
      <w:bookmarkEnd w:id="16"/>
    </w:p>
    <w:p w14:paraId="33E3578F" w14:textId="77777777" w:rsidR="00B0077C" w:rsidRDefault="00B0077C"/>
    <w:p w14:paraId="33A2D527" w14:textId="77777777" w:rsidR="00B0077C" w:rsidRDefault="00B0077C"/>
    <w:p w14:paraId="08D80898" w14:textId="77777777" w:rsidR="00FE0D9E" w:rsidRDefault="00FE0D9E"/>
    <w:p w14:paraId="62CE775F" w14:textId="77777777" w:rsidR="00FE0D9E" w:rsidRDefault="00FE0D9E"/>
    <w:p w14:paraId="25C674A5" w14:textId="77777777" w:rsidR="00FE0D9E" w:rsidRDefault="00FE0D9E"/>
    <w:p w14:paraId="49759E74" w14:textId="77777777" w:rsidR="00FE0D9E" w:rsidRDefault="00FE0D9E"/>
    <w:p w14:paraId="404CB10A" w14:textId="77777777" w:rsidR="00FE0D9E" w:rsidRDefault="00FE0D9E"/>
    <w:p w14:paraId="5930B1DC" w14:textId="77777777" w:rsidR="00FE0D9E" w:rsidRDefault="00FE0D9E"/>
    <w:p w14:paraId="3C242DF9" w14:textId="77777777" w:rsidR="00FE0D9E" w:rsidRDefault="00FE0D9E"/>
    <w:p w14:paraId="53047642" w14:textId="77777777" w:rsidR="00B0077C" w:rsidRDefault="00B0077C"/>
    <w:p w14:paraId="6D39A2C8" w14:textId="77777777" w:rsidR="0048750E" w:rsidRDefault="0048750E">
      <w:r>
        <w:br w:type="page"/>
      </w:r>
    </w:p>
    <w:tbl>
      <w:tblPr>
        <w:tblW w:w="8981" w:type="dxa"/>
        <w:jc w:val="center"/>
        <w:tblInd w:w="-3" w:type="dxa"/>
        <w:tblLook w:val="04A0" w:firstRow="1" w:lastRow="0" w:firstColumn="1" w:lastColumn="0" w:noHBand="0" w:noVBand="1"/>
      </w:tblPr>
      <w:tblGrid>
        <w:gridCol w:w="2516"/>
        <w:gridCol w:w="1615"/>
        <w:gridCol w:w="1765"/>
        <w:gridCol w:w="1263"/>
        <w:gridCol w:w="1822"/>
      </w:tblGrid>
      <w:tr w:rsidR="00FE0D9E" w:rsidRPr="001C516A" w14:paraId="059CA8E2" w14:textId="77777777" w:rsidTr="00F368ED">
        <w:trPr>
          <w:trHeight w:val="315"/>
          <w:jc w:val="center"/>
        </w:trPr>
        <w:tc>
          <w:tcPr>
            <w:tcW w:w="8981" w:type="dxa"/>
            <w:gridSpan w:val="5"/>
            <w:tcBorders>
              <w:top w:val="nil"/>
              <w:left w:val="nil"/>
              <w:bottom w:val="single" w:sz="4" w:space="0" w:color="auto"/>
              <w:right w:val="nil"/>
            </w:tcBorders>
            <w:shd w:val="clear" w:color="auto" w:fill="auto"/>
            <w:noWrap/>
            <w:vAlign w:val="bottom"/>
            <w:hideMark/>
          </w:tcPr>
          <w:p w14:paraId="5726C692" w14:textId="77777777" w:rsidR="00FE0D9E" w:rsidRPr="001C516A" w:rsidRDefault="00FE0D9E" w:rsidP="00F368ED">
            <w:pPr>
              <w:spacing w:after="0" w:line="240" w:lineRule="auto"/>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lastRenderedPageBreak/>
              <w:t>Table 2.1. Poa species evaluated for turfgrass potential in 2010-2012 in Knoxville, TN</w:t>
            </w:r>
          </w:p>
        </w:tc>
      </w:tr>
      <w:tr w:rsidR="00FE0D9E" w:rsidRPr="001C516A" w14:paraId="0A3B5639" w14:textId="77777777" w:rsidTr="00F368ED">
        <w:trPr>
          <w:trHeight w:val="315"/>
          <w:jc w:val="center"/>
        </w:trPr>
        <w:tc>
          <w:tcPr>
            <w:tcW w:w="2516" w:type="dxa"/>
            <w:tcBorders>
              <w:top w:val="nil"/>
              <w:left w:val="nil"/>
              <w:bottom w:val="single" w:sz="4" w:space="0" w:color="auto"/>
              <w:right w:val="nil"/>
            </w:tcBorders>
            <w:shd w:val="clear" w:color="auto" w:fill="auto"/>
            <w:vAlign w:val="bottom"/>
            <w:hideMark/>
          </w:tcPr>
          <w:p w14:paraId="66079168" w14:textId="77777777" w:rsidR="00FE0D9E" w:rsidRPr="001C516A" w:rsidRDefault="00FE0D9E" w:rsidP="00F368ED">
            <w:pPr>
              <w:spacing w:after="0" w:line="240" w:lineRule="auto"/>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Species</w:t>
            </w:r>
          </w:p>
        </w:tc>
        <w:tc>
          <w:tcPr>
            <w:tcW w:w="1615" w:type="dxa"/>
            <w:tcBorders>
              <w:top w:val="nil"/>
              <w:left w:val="nil"/>
              <w:bottom w:val="single" w:sz="4" w:space="0" w:color="auto"/>
              <w:right w:val="nil"/>
            </w:tcBorders>
            <w:shd w:val="clear" w:color="auto" w:fill="auto"/>
            <w:vAlign w:val="bottom"/>
            <w:hideMark/>
          </w:tcPr>
          <w:p w14:paraId="4B624289"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Identifier</w:t>
            </w:r>
          </w:p>
        </w:tc>
        <w:tc>
          <w:tcPr>
            <w:tcW w:w="1765" w:type="dxa"/>
            <w:tcBorders>
              <w:top w:val="nil"/>
              <w:left w:val="nil"/>
              <w:bottom w:val="single" w:sz="4" w:space="0" w:color="auto"/>
              <w:right w:val="nil"/>
            </w:tcBorders>
            <w:shd w:val="clear" w:color="auto" w:fill="auto"/>
            <w:vAlign w:val="bottom"/>
            <w:hideMark/>
          </w:tcPr>
          <w:p w14:paraId="139F4FFF"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Origin</w:t>
            </w:r>
          </w:p>
        </w:tc>
        <w:tc>
          <w:tcPr>
            <w:tcW w:w="1263" w:type="dxa"/>
            <w:tcBorders>
              <w:top w:val="nil"/>
              <w:left w:val="nil"/>
              <w:bottom w:val="single" w:sz="4" w:space="0" w:color="auto"/>
              <w:right w:val="nil"/>
            </w:tcBorders>
            <w:shd w:val="clear" w:color="auto" w:fill="auto"/>
            <w:vAlign w:val="bottom"/>
            <w:hideMark/>
          </w:tcPr>
          <w:p w14:paraId="61CCB563"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Year</w:t>
            </w:r>
          </w:p>
        </w:tc>
        <w:tc>
          <w:tcPr>
            <w:tcW w:w="1822" w:type="dxa"/>
            <w:tcBorders>
              <w:top w:val="nil"/>
              <w:left w:val="nil"/>
              <w:bottom w:val="single" w:sz="4" w:space="0" w:color="auto"/>
              <w:right w:val="nil"/>
            </w:tcBorders>
            <w:shd w:val="clear" w:color="auto" w:fill="auto"/>
            <w:noWrap/>
            <w:vAlign w:val="bottom"/>
            <w:hideMark/>
          </w:tcPr>
          <w:p w14:paraId="0557894F"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Growth habit</w:t>
            </w:r>
          </w:p>
        </w:tc>
      </w:tr>
      <w:tr w:rsidR="00FE0D9E" w:rsidRPr="001C516A" w14:paraId="0BF4C21C"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216776DD"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Poa alpina</w:t>
            </w:r>
          </w:p>
        </w:tc>
        <w:tc>
          <w:tcPr>
            <w:tcW w:w="1615" w:type="dxa"/>
            <w:tcBorders>
              <w:top w:val="nil"/>
              <w:left w:val="nil"/>
              <w:bottom w:val="nil"/>
              <w:right w:val="nil"/>
            </w:tcBorders>
            <w:shd w:val="clear" w:color="auto" w:fill="auto"/>
            <w:noWrap/>
            <w:vAlign w:val="bottom"/>
            <w:hideMark/>
          </w:tcPr>
          <w:p w14:paraId="1947D1EE"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540425</w:t>
            </w:r>
          </w:p>
        </w:tc>
        <w:tc>
          <w:tcPr>
            <w:tcW w:w="1765" w:type="dxa"/>
            <w:tcBorders>
              <w:top w:val="nil"/>
              <w:left w:val="nil"/>
              <w:bottom w:val="nil"/>
              <w:right w:val="nil"/>
            </w:tcBorders>
            <w:shd w:val="clear" w:color="auto" w:fill="auto"/>
            <w:noWrap/>
            <w:vAlign w:val="bottom"/>
            <w:hideMark/>
          </w:tcPr>
          <w:p w14:paraId="734D6289"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Alaska</w:t>
            </w:r>
          </w:p>
        </w:tc>
        <w:tc>
          <w:tcPr>
            <w:tcW w:w="1263" w:type="dxa"/>
            <w:tcBorders>
              <w:top w:val="nil"/>
              <w:left w:val="nil"/>
              <w:bottom w:val="nil"/>
              <w:right w:val="nil"/>
            </w:tcBorders>
            <w:shd w:val="clear" w:color="auto" w:fill="auto"/>
            <w:noWrap/>
            <w:vAlign w:val="bottom"/>
            <w:hideMark/>
          </w:tcPr>
          <w:p w14:paraId="7ACA221E"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1990</w:t>
            </w:r>
          </w:p>
        </w:tc>
        <w:tc>
          <w:tcPr>
            <w:tcW w:w="1822" w:type="dxa"/>
            <w:tcBorders>
              <w:top w:val="nil"/>
              <w:left w:val="nil"/>
              <w:bottom w:val="nil"/>
              <w:right w:val="nil"/>
            </w:tcBorders>
            <w:shd w:val="clear" w:color="auto" w:fill="auto"/>
            <w:noWrap/>
            <w:vAlign w:val="bottom"/>
            <w:hideMark/>
          </w:tcPr>
          <w:p w14:paraId="378BDEF2"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214372B3"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47C757A1"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alsodes</w:t>
            </w:r>
          </w:p>
        </w:tc>
        <w:tc>
          <w:tcPr>
            <w:tcW w:w="1615" w:type="dxa"/>
            <w:tcBorders>
              <w:top w:val="nil"/>
              <w:left w:val="nil"/>
              <w:bottom w:val="nil"/>
              <w:right w:val="nil"/>
            </w:tcBorders>
            <w:shd w:val="clear" w:color="auto" w:fill="auto"/>
            <w:noWrap/>
            <w:vAlign w:val="bottom"/>
            <w:hideMark/>
          </w:tcPr>
          <w:p w14:paraId="4579A2D0"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FHSP</w:t>
            </w:r>
          </w:p>
        </w:tc>
        <w:tc>
          <w:tcPr>
            <w:tcW w:w="1765" w:type="dxa"/>
            <w:tcBorders>
              <w:top w:val="nil"/>
              <w:left w:val="nil"/>
              <w:bottom w:val="nil"/>
              <w:right w:val="nil"/>
            </w:tcBorders>
            <w:shd w:val="clear" w:color="auto" w:fill="auto"/>
            <w:noWrap/>
            <w:vAlign w:val="bottom"/>
            <w:hideMark/>
          </w:tcPr>
          <w:p w14:paraId="6667F1E8"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Tennessee</w:t>
            </w:r>
          </w:p>
        </w:tc>
        <w:tc>
          <w:tcPr>
            <w:tcW w:w="1263" w:type="dxa"/>
            <w:tcBorders>
              <w:top w:val="nil"/>
              <w:left w:val="nil"/>
              <w:bottom w:val="nil"/>
              <w:right w:val="nil"/>
            </w:tcBorders>
            <w:shd w:val="clear" w:color="auto" w:fill="auto"/>
            <w:noWrap/>
            <w:vAlign w:val="bottom"/>
            <w:hideMark/>
          </w:tcPr>
          <w:p w14:paraId="3CB84426"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2009</w:t>
            </w:r>
          </w:p>
        </w:tc>
        <w:tc>
          <w:tcPr>
            <w:tcW w:w="1822" w:type="dxa"/>
            <w:tcBorders>
              <w:top w:val="nil"/>
              <w:left w:val="nil"/>
              <w:bottom w:val="nil"/>
              <w:right w:val="nil"/>
            </w:tcBorders>
            <w:shd w:val="clear" w:color="auto" w:fill="auto"/>
            <w:noWrap/>
            <w:vAlign w:val="bottom"/>
            <w:hideMark/>
          </w:tcPr>
          <w:p w14:paraId="041B2ABE"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0A3DBB58"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3393EEEE"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annua</w:t>
            </w:r>
          </w:p>
        </w:tc>
        <w:tc>
          <w:tcPr>
            <w:tcW w:w="1615" w:type="dxa"/>
            <w:tcBorders>
              <w:top w:val="nil"/>
              <w:left w:val="nil"/>
              <w:bottom w:val="nil"/>
              <w:right w:val="nil"/>
            </w:tcBorders>
            <w:shd w:val="clear" w:color="auto" w:fill="auto"/>
            <w:noWrap/>
            <w:vAlign w:val="bottom"/>
            <w:hideMark/>
          </w:tcPr>
          <w:p w14:paraId="4D41F940"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CWA</w:t>
            </w:r>
          </w:p>
        </w:tc>
        <w:tc>
          <w:tcPr>
            <w:tcW w:w="1765" w:type="dxa"/>
            <w:tcBorders>
              <w:top w:val="nil"/>
              <w:left w:val="nil"/>
              <w:bottom w:val="nil"/>
              <w:right w:val="nil"/>
            </w:tcBorders>
            <w:shd w:val="clear" w:color="auto" w:fill="auto"/>
            <w:noWrap/>
            <w:vAlign w:val="bottom"/>
            <w:hideMark/>
          </w:tcPr>
          <w:p w14:paraId="7703EF74"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Washington</w:t>
            </w:r>
          </w:p>
        </w:tc>
        <w:tc>
          <w:tcPr>
            <w:tcW w:w="1263" w:type="dxa"/>
            <w:tcBorders>
              <w:top w:val="nil"/>
              <w:left w:val="nil"/>
              <w:bottom w:val="nil"/>
              <w:right w:val="nil"/>
            </w:tcBorders>
            <w:shd w:val="clear" w:color="auto" w:fill="auto"/>
            <w:noWrap/>
            <w:vAlign w:val="bottom"/>
            <w:hideMark/>
          </w:tcPr>
          <w:p w14:paraId="6D0621DC"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2009</w:t>
            </w:r>
          </w:p>
        </w:tc>
        <w:tc>
          <w:tcPr>
            <w:tcW w:w="1822" w:type="dxa"/>
            <w:tcBorders>
              <w:top w:val="nil"/>
              <w:left w:val="nil"/>
              <w:bottom w:val="nil"/>
              <w:right w:val="nil"/>
            </w:tcBorders>
            <w:shd w:val="clear" w:color="auto" w:fill="auto"/>
            <w:noWrap/>
            <w:vAlign w:val="bottom"/>
            <w:hideMark/>
          </w:tcPr>
          <w:p w14:paraId="1F4DE458"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68ED3460"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7D48DB5C"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arachXdusenii</w:t>
            </w:r>
          </w:p>
        </w:tc>
        <w:tc>
          <w:tcPr>
            <w:tcW w:w="1615" w:type="dxa"/>
            <w:tcBorders>
              <w:top w:val="nil"/>
              <w:left w:val="nil"/>
              <w:bottom w:val="nil"/>
              <w:right w:val="nil"/>
            </w:tcBorders>
            <w:shd w:val="clear" w:color="auto" w:fill="auto"/>
            <w:noWrap/>
            <w:vAlign w:val="bottom"/>
            <w:hideMark/>
          </w:tcPr>
          <w:p w14:paraId="6F1441B2"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659610</w:t>
            </w:r>
          </w:p>
        </w:tc>
        <w:tc>
          <w:tcPr>
            <w:tcW w:w="1765" w:type="dxa"/>
            <w:tcBorders>
              <w:top w:val="nil"/>
              <w:left w:val="nil"/>
              <w:bottom w:val="nil"/>
              <w:right w:val="nil"/>
            </w:tcBorders>
            <w:shd w:val="clear" w:color="auto" w:fill="auto"/>
            <w:noWrap/>
            <w:vAlign w:val="bottom"/>
            <w:hideMark/>
          </w:tcPr>
          <w:p w14:paraId="77292B71"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Texas</w:t>
            </w:r>
          </w:p>
        </w:tc>
        <w:tc>
          <w:tcPr>
            <w:tcW w:w="1263" w:type="dxa"/>
            <w:tcBorders>
              <w:top w:val="nil"/>
              <w:left w:val="nil"/>
              <w:bottom w:val="nil"/>
              <w:right w:val="nil"/>
            </w:tcBorders>
            <w:shd w:val="clear" w:color="auto" w:fill="auto"/>
            <w:noWrap/>
            <w:vAlign w:val="bottom"/>
            <w:hideMark/>
          </w:tcPr>
          <w:p w14:paraId="01748FE8"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1997</w:t>
            </w:r>
          </w:p>
        </w:tc>
        <w:tc>
          <w:tcPr>
            <w:tcW w:w="1822" w:type="dxa"/>
            <w:tcBorders>
              <w:top w:val="nil"/>
              <w:left w:val="nil"/>
              <w:bottom w:val="nil"/>
              <w:right w:val="nil"/>
            </w:tcBorders>
            <w:shd w:val="clear" w:color="auto" w:fill="auto"/>
            <w:noWrap/>
            <w:vAlign w:val="bottom"/>
            <w:hideMark/>
          </w:tcPr>
          <w:p w14:paraId="6FC16283"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Rhizomatous</w:t>
            </w:r>
          </w:p>
        </w:tc>
      </w:tr>
      <w:tr w:rsidR="00FE0D9E" w:rsidRPr="001C516A" w14:paraId="7487BF5E"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6EFF24C2"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arachnifera</w:t>
            </w:r>
          </w:p>
        </w:tc>
        <w:tc>
          <w:tcPr>
            <w:tcW w:w="1615" w:type="dxa"/>
            <w:tcBorders>
              <w:top w:val="nil"/>
              <w:left w:val="nil"/>
              <w:bottom w:val="nil"/>
              <w:right w:val="nil"/>
            </w:tcBorders>
            <w:shd w:val="clear" w:color="auto" w:fill="auto"/>
            <w:noWrap/>
            <w:vAlign w:val="bottom"/>
            <w:hideMark/>
          </w:tcPr>
          <w:p w14:paraId="4D32172B"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IHH</w:t>
            </w:r>
          </w:p>
        </w:tc>
        <w:tc>
          <w:tcPr>
            <w:tcW w:w="1765" w:type="dxa"/>
            <w:tcBorders>
              <w:top w:val="nil"/>
              <w:left w:val="nil"/>
              <w:bottom w:val="nil"/>
              <w:right w:val="nil"/>
            </w:tcBorders>
            <w:shd w:val="clear" w:color="auto" w:fill="auto"/>
            <w:noWrap/>
            <w:vAlign w:val="bottom"/>
            <w:hideMark/>
          </w:tcPr>
          <w:p w14:paraId="15AFADA8"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NA</w:t>
            </w:r>
          </w:p>
        </w:tc>
        <w:tc>
          <w:tcPr>
            <w:tcW w:w="1263" w:type="dxa"/>
            <w:tcBorders>
              <w:top w:val="nil"/>
              <w:left w:val="nil"/>
              <w:bottom w:val="nil"/>
              <w:right w:val="nil"/>
            </w:tcBorders>
            <w:shd w:val="clear" w:color="auto" w:fill="auto"/>
            <w:noWrap/>
            <w:vAlign w:val="bottom"/>
            <w:hideMark/>
          </w:tcPr>
          <w:p w14:paraId="0FA5C221"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NA</w:t>
            </w:r>
          </w:p>
        </w:tc>
        <w:tc>
          <w:tcPr>
            <w:tcW w:w="1822" w:type="dxa"/>
            <w:tcBorders>
              <w:top w:val="nil"/>
              <w:left w:val="nil"/>
              <w:bottom w:val="nil"/>
              <w:right w:val="nil"/>
            </w:tcBorders>
            <w:shd w:val="clear" w:color="auto" w:fill="auto"/>
            <w:noWrap/>
            <w:vAlign w:val="bottom"/>
            <w:hideMark/>
          </w:tcPr>
          <w:p w14:paraId="65151306"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Rhizomatous</w:t>
            </w:r>
          </w:p>
        </w:tc>
      </w:tr>
      <w:tr w:rsidR="00FE0D9E" w:rsidRPr="001C516A" w14:paraId="4E58314D"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16C57276"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arida</w:t>
            </w:r>
          </w:p>
        </w:tc>
        <w:tc>
          <w:tcPr>
            <w:tcW w:w="1615" w:type="dxa"/>
            <w:tcBorders>
              <w:top w:val="nil"/>
              <w:left w:val="nil"/>
              <w:bottom w:val="nil"/>
              <w:right w:val="nil"/>
            </w:tcBorders>
            <w:shd w:val="clear" w:color="auto" w:fill="auto"/>
            <w:noWrap/>
            <w:vAlign w:val="bottom"/>
            <w:hideMark/>
          </w:tcPr>
          <w:p w14:paraId="2FC4CF57"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578806</w:t>
            </w:r>
          </w:p>
        </w:tc>
        <w:tc>
          <w:tcPr>
            <w:tcW w:w="1765" w:type="dxa"/>
            <w:tcBorders>
              <w:top w:val="nil"/>
              <w:left w:val="nil"/>
              <w:bottom w:val="nil"/>
              <w:right w:val="nil"/>
            </w:tcBorders>
            <w:shd w:val="clear" w:color="auto" w:fill="auto"/>
            <w:noWrap/>
            <w:vAlign w:val="bottom"/>
            <w:hideMark/>
          </w:tcPr>
          <w:p w14:paraId="2C531878"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Kansas</w:t>
            </w:r>
          </w:p>
        </w:tc>
        <w:tc>
          <w:tcPr>
            <w:tcW w:w="1263" w:type="dxa"/>
            <w:tcBorders>
              <w:top w:val="nil"/>
              <w:left w:val="nil"/>
              <w:bottom w:val="nil"/>
              <w:right w:val="nil"/>
            </w:tcBorders>
            <w:shd w:val="clear" w:color="auto" w:fill="auto"/>
            <w:noWrap/>
            <w:vAlign w:val="bottom"/>
            <w:hideMark/>
          </w:tcPr>
          <w:p w14:paraId="0ADE8199"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1963</w:t>
            </w:r>
          </w:p>
        </w:tc>
        <w:tc>
          <w:tcPr>
            <w:tcW w:w="1822" w:type="dxa"/>
            <w:tcBorders>
              <w:top w:val="nil"/>
              <w:left w:val="nil"/>
              <w:bottom w:val="nil"/>
              <w:right w:val="nil"/>
            </w:tcBorders>
            <w:shd w:val="clear" w:color="auto" w:fill="auto"/>
            <w:noWrap/>
            <w:vAlign w:val="bottom"/>
            <w:hideMark/>
          </w:tcPr>
          <w:p w14:paraId="151E816F"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Rhizomatous</w:t>
            </w:r>
          </w:p>
        </w:tc>
      </w:tr>
      <w:tr w:rsidR="00FE0D9E" w:rsidRPr="001C516A" w14:paraId="1E9B6B0D"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286836BC"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candamoana</w:t>
            </w:r>
          </w:p>
        </w:tc>
        <w:tc>
          <w:tcPr>
            <w:tcW w:w="1615" w:type="dxa"/>
            <w:tcBorders>
              <w:top w:val="nil"/>
              <w:left w:val="nil"/>
              <w:bottom w:val="nil"/>
              <w:right w:val="nil"/>
            </w:tcBorders>
            <w:shd w:val="clear" w:color="auto" w:fill="auto"/>
            <w:noWrap/>
            <w:vAlign w:val="bottom"/>
            <w:hideMark/>
          </w:tcPr>
          <w:p w14:paraId="41088305"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47850</w:t>
            </w:r>
          </w:p>
        </w:tc>
        <w:tc>
          <w:tcPr>
            <w:tcW w:w="1765" w:type="dxa"/>
            <w:tcBorders>
              <w:top w:val="nil"/>
              <w:left w:val="nil"/>
              <w:bottom w:val="nil"/>
              <w:right w:val="nil"/>
            </w:tcBorders>
            <w:shd w:val="clear" w:color="auto" w:fill="auto"/>
            <w:noWrap/>
            <w:vAlign w:val="bottom"/>
            <w:hideMark/>
          </w:tcPr>
          <w:p w14:paraId="7E971D8C"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Peru</w:t>
            </w:r>
          </w:p>
        </w:tc>
        <w:tc>
          <w:tcPr>
            <w:tcW w:w="1263" w:type="dxa"/>
            <w:tcBorders>
              <w:top w:val="nil"/>
              <w:left w:val="nil"/>
              <w:bottom w:val="nil"/>
              <w:right w:val="nil"/>
            </w:tcBorders>
            <w:shd w:val="clear" w:color="auto" w:fill="auto"/>
            <w:noWrap/>
            <w:vAlign w:val="bottom"/>
            <w:hideMark/>
          </w:tcPr>
          <w:p w14:paraId="06556FAF"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1983</w:t>
            </w:r>
          </w:p>
        </w:tc>
        <w:tc>
          <w:tcPr>
            <w:tcW w:w="1822" w:type="dxa"/>
            <w:tcBorders>
              <w:top w:val="nil"/>
              <w:left w:val="nil"/>
              <w:bottom w:val="nil"/>
              <w:right w:val="nil"/>
            </w:tcBorders>
            <w:shd w:val="clear" w:color="auto" w:fill="auto"/>
            <w:noWrap/>
            <w:vAlign w:val="bottom"/>
            <w:hideMark/>
          </w:tcPr>
          <w:p w14:paraId="16AA4EBD"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53319624"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4B6682A7"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chaixi</w:t>
            </w:r>
          </w:p>
        </w:tc>
        <w:tc>
          <w:tcPr>
            <w:tcW w:w="1615" w:type="dxa"/>
            <w:tcBorders>
              <w:top w:val="nil"/>
              <w:left w:val="nil"/>
              <w:bottom w:val="nil"/>
              <w:right w:val="nil"/>
            </w:tcBorders>
            <w:shd w:val="clear" w:color="auto" w:fill="auto"/>
            <w:noWrap/>
            <w:vAlign w:val="bottom"/>
            <w:hideMark/>
          </w:tcPr>
          <w:p w14:paraId="36AF0B99"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659624</w:t>
            </w:r>
          </w:p>
        </w:tc>
        <w:tc>
          <w:tcPr>
            <w:tcW w:w="1765" w:type="dxa"/>
            <w:tcBorders>
              <w:top w:val="nil"/>
              <w:left w:val="nil"/>
              <w:bottom w:val="nil"/>
              <w:right w:val="nil"/>
            </w:tcBorders>
            <w:shd w:val="clear" w:color="auto" w:fill="auto"/>
            <w:noWrap/>
            <w:vAlign w:val="bottom"/>
            <w:hideMark/>
          </w:tcPr>
          <w:p w14:paraId="745CB8A2"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Germany</w:t>
            </w:r>
          </w:p>
        </w:tc>
        <w:tc>
          <w:tcPr>
            <w:tcW w:w="1263" w:type="dxa"/>
            <w:tcBorders>
              <w:top w:val="nil"/>
              <w:left w:val="nil"/>
              <w:bottom w:val="nil"/>
              <w:right w:val="nil"/>
            </w:tcBorders>
            <w:shd w:val="clear" w:color="auto" w:fill="auto"/>
            <w:noWrap/>
            <w:vAlign w:val="bottom"/>
            <w:hideMark/>
          </w:tcPr>
          <w:p w14:paraId="242406B4"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2006</w:t>
            </w:r>
          </w:p>
        </w:tc>
        <w:tc>
          <w:tcPr>
            <w:tcW w:w="1822" w:type="dxa"/>
            <w:tcBorders>
              <w:top w:val="nil"/>
              <w:left w:val="nil"/>
              <w:bottom w:val="nil"/>
              <w:right w:val="nil"/>
            </w:tcBorders>
            <w:shd w:val="clear" w:color="auto" w:fill="auto"/>
            <w:noWrap/>
            <w:vAlign w:val="bottom"/>
            <w:hideMark/>
          </w:tcPr>
          <w:p w14:paraId="1521F7F1"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374A23AC"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3059C8C2"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cita</w:t>
            </w:r>
          </w:p>
        </w:tc>
        <w:tc>
          <w:tcPr>
            <w:tcW w:w="1615" w:type="dxa"/>
            <w:tcBorders>
              <w:top w:val="nil"/>
              <w:left w:val="nil"/>
              <w:bottom w:val="nil"/>
              <w:right w:val="nil"/>
            </w:tcBorders>
            <w:shd w:val="clear" w:color="auto" w:fill="auto"/>
            <w:noWrap/>
            <w:vAlign w:val="bottom"/>
            <w:hideMark/>
          </w:tcPr>
          <w:p w14:paraId="7F77809B"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W6 22519</w:t>
            </w:r>
          </w:p>
        </w:tc>
        <w:tc>
          <w:tcPr>
            <w:tcW w:w="1765" w:type="dxa"/>
            <w:tcBorders>
              <w:top w:val="nil"/>
              <w:left w:val="nil"/>
              <w:bottom w:val="nil"/>
              <w:right w:val="nil"/>
            </w:tcBorders>
            <w:shd w:val="clear" w:color="auto" w:fill="auto"/>
            <w:noWrap/>
            <w:vAlign w:val="bottom"/>
            <w:hideMark/>
          </w:tcPr>
          <w:p w14:paraId="268DBB1D"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New Zealand</w:t>
            </w:r>
          </w:p>
        </w:tc>
        <w:tc>
          <w:tcPr>
            <w:tcW w:w="1263" w:type="dxa"/>
            <w:tcBorders>
              <w:top w:val="nil"/>
              <w:left w:val="nil"/>
              <w:bottom w:val="nil"/>
              <w:right w:val="nil"/>
            </w:tcBorders>
            <w:shd w:val="clear" w:color="auto" w:fill="auto"/>
            <w:noWrap/>
            <w:vAlign w:val="bottom"/>
            <w:hideMark/>
          </w:tcPr>
          <w:p w14:paraId="2650044E"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2000</w:t>
            </w:r>
          </w:p>
        </w:tc>
        <w:tc>
          <w:tcPr>
            <w:tcW w:w="1822" w:type="dxa"/>
            <w:tcBorders>
              <w:top w:val="nil"/>
              <w:left w:val="nil"/>
              <w:bottom w:val="nil"/>
              <w:right w:val="nil"/>
            </w:tcBorders>
            <w:shd w:val="clear" w:color="auto" w:fill="auto"/>
            <w:noWrap/>
            <w:vAlign w:val="bottom"/>
            <w:hideMark/>
          </w:tcPr>
          <w:p w14:paraId="66C1E3B9"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4CB96307"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324753CE"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colensoi</w:t>
            </w:r>
          </w:p>
        </w:tc>
        <w:tc>
          <w:tcPr>
            <w:tcW w:w="1615" w:type="dxa"/>
            <w:tcBorders>
              <w:top w:val="nil"/>
              <w:left w:val="nil"/>
              <w:bottom w:val="nil"/>
              <w:right w:val="nil"/>
            </w:tcBorders>
            <w:shd w:val="clear" w:color="auto" w:fill="auto"/>
            <w:noWrap/>
            <w:vAlign w:val="bottom"/>
            <w:hideMark/>
          </w:tcPr>
          <w:p w14:paraId="7566C2E6"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W6 22527</w:t>
            </w:r>
          </w:p>
        </w:tc>
        <w:tc>
          <w:tcPr>
            <w:tcW w:w="1765" w:type="dxa"/>
            <w:tcBorders>
              <w:top w:val="nil"/>
              <w:left w:val="nil"/>
              <w:bottom w:val="nil"/>
              <w:right w:val="nil"/>
            </w:tcBorders>
            <w:shd w:val="clear" w:color="auto" w:fill="auto"/>
            <w:noWrap/>
            <w:vAlign w:val="bottom"/>
            <w:hideMark/>
          </w:tcPr>
          <w:p w14:paraId="024FF32F"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New Zealand</w:t>
            </w:r>
          </w:p>
        </w:tc>
        <w:tc>
          <w:tcPr>
            <w:tcW w:w="1263" w:type="dxa"/>
            <w:tcBorders>
              <w:top w:val="nil"/>
              <w:left w:val="nil"/>
              <w:bottom w:val="nil"/>
              <w:right w:val="nil"/>
            </w:tcBorders>
            <w:shd w:val="clear" w:color="auto" w:fill="auto"/>
            <w:noWrap/>
            <w:vAlign w:val="bottom"/>
            <w:hideMark/>
          </w:tcPr>
          <w:p w14:paraId="50310ED7"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2000</w:t>
            </w:r>
          </w:p>
        </w:tc>
        <w:tc>
          <w:tcPr>
            <w:tcW w:w="1822" w:type="dxa"/>
            <w:tcBorders>
              <w:top w:val="nil"/>
              <w:left w:val="nil"/>
              <w:bottom w:val="nil"/>
              <w:right w:val="nil"/>
            </w:tcBorders>
            <w:shd w:val="clear" w:color="auto" w:fill="auto"/>
            <w:noWrap/>
            <w:vAlign w:val="bottom"/>
            <w:hideMark/>
          </w:tcPr>
          <w:p w14:paraId="051333DD"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165402C0"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7F18D0CA"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compressa</w:t>
            </w:r>
          </w:p>
        </w:tc>
        <w:tc>
          <w:tcPr>
            <w:tcW w:w="1615" w:type="dxa"/>
            <w:tcBorders>
              <w:top w:val="nil"/>
              <w:left w:val="nil"/>
              <w:bottom w:val="nil"/>
              <w:right w:val="nil"/>
            </w:tcBorders>
            <w:shd w:val="clear" w:color="auto" w:fill="auto"/>
            <w:noWrap/>
            <w:vAlign w:val="bottom"/>
            <w:hideMark/>
          </w:tcPr>
          <w:p w14:paraId="760EDFFF"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CC</w:t>
            </w:r>
          </w:p>
        </w:tc>
        <w:tc>
          <w:tcPr>
            <w:tcW w:w="1765" w:type="dxa"/>
            <w:tcBorders>
              <w:top w:val="nil"/>
              <w:left w:val="nil"/>
              <w:bottom w:val="nil"/>
              <w:right w:val="nil"/>
            </w:tcBorders>
            <w:shd w:val="clear" w:color="auto" w:fill="auto"/>
            <w:noWrap/>
            <w:vAlign w:val="bottom"/>
            <w:hideMark/>
          </w:tcPr>
          <w:p w14:paraId="33B43B57"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Tennessee</w:t>
            </w:r>
          </w:p>
        </w:tc>
        <w:tc>
          <w:tcPr>
            <w:tcW w:w="1263" w:type="dxa"/>
            <w:tcBorders>
              <w:top w:val="nil"/>
              <w:left w:val="nil"/>
              <w:bottom w:val="nil"/>
              <w:right w:val="nil"/>
            </w:tcBorders>
            <w:shd w:val="clear" w:color="auto" w:fill="auto"/>
            <w:noWrap/>
            <w:vAlign w:val="bottom"/>
            <w:hideMark/>
          </w:tcPr>
          <w:p w14:paraId="24553C45"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2007</w:t>
            </w:r>
          </w:p>
        </w:tc>
        <w:tc>
          <w:tcPr>
            <w:tcW w:w="1822" w:type="dxa"/>
            <w:tcBorders>
              <w:top w:val="nil"/>
              <w:left w:val="nil"/>
              <w:bottom w:val="nil"/>
              <w:right w:val="nil"/>
            </w:tcBorders>
            <w:shd w:val="clear" w:color="auto" w:fill="auto"/>
            <w:noWrap/>
            <w:vAlign w:val="bottom"/>
            <w:hideMark/>
          </w:tcPr>
          <w:p w14:paraId="74F5D75D"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Rhizomatous</w:t>
            </w:r>
          </w:p>
        </w:tc>
      </w:tr>
      <w:tr w:rsidR="00FE0D9E" w:rsidRPr="001C516A" w14:paraId="59E25CF1"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2FFA2BE2"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dusenii</w:t>
            </w:r>
          </w:p>
        </w:tc>
        <w:tc>
          <w:tcPr>
            <w:tcW w:w="1615" w:type="dxa"/>
            <w:tcBorders>
              <w:top w:val="nil"/>
              <w:left w:val="nil"/>
              <w:bottom w:val="nil"/>
              <w:right w:val="nil"/>
            </w:tcBorders>
            <w:shd w:val="clear" w:color="auto" w:fill="auto"/>
            <w:noWrap/>
            <w:vAlign w:val="bottom"/>
            <w:hideMark/>
          </w:tcPr>
          <w:p w14:paraId="2B72566B"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598733</w:t>
            </w:r>
          </w:p>
        </w:tc>
        <w:tc>
          <w:tcPr>
            <w:tcW w:w="1765" w:type="dxa"/>
            <w:tcBorders>
              <w:top w:val="nil"/>
              <w:left w:val="nil"/>
              <w:bottom w:val="nil"/>
              <w:right w:val="nil"/>
            </w:tcBorders>
            <w:shd w:val="clear" w:color="auto" w:fill="auto"/>
            <w:noWrap/>
            <w:vAlign w:val="bottom"/>
            <w:hideMark/>
          </w:tcPr>
          <w:p w14:paraId="5C6A0E20"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Argentina</w:t>
            </w:r>
          </w:p>
        </w:tc>
        <w:tc>
          <w:tcPr>
            <w:tcW w:w="1263" w:type="dxa"/>
            <w:tcBorders>
              <w:top w:val="nil"/>
              <w:left w:val="nil"/>
              <w:bottom w:val="nil"/>
              <w:right w:val="nil"/>
            </w:tcBorders>
            <w:shd w:val="clear" w:color="auto" w:fill="auto"/>
            <w:noWrap/>
            <w:vAlign w:val="bottom"/>
            <w:hideMark/>
          </w:tcPr>
          <w:p w14:paraId="6BACD7DC"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1993</w:t>
            </w:r>
          </w:p>
        </w:tc>
        <w:tc>
          <w:tcPr>
            <w:tcW w:w="1822" w:type="dxa"/>
            <w:tcBorders>
              <w:top w:val="nil"/>
              <w:left w:val="nil"/>
              <w:bottom w:val="nil"/>
              <w:right w:val="nil"/>
            </w:tcBorders>
            <w:shd w:val="clear" w:color="auto" w:fill="auto"/>
            <w:noWrap/>
            <w:vAlign w:val="bottom"/>
            <w:hideMark/>
          </w:tcPr>
          <w:p w14:paraId="60E204E3"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05D507CD"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5C1479A4"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flexuosa</w:t>
            </w:r>
          </w:p>
        </w:tc>
        <w:tc>
          <w:tcPr>
            <w:tcW w:w="1615" w:type="dxa"/>
            <w:tcBorders>
              <w:top w:val="nil"/>
              <w:left w:val="nil"/>
              <w:bottom w:val="nil"/>
              <w:right w:val="nil"/>
            </w:tcBorders>
            <w:shd w:val="clear" w:color="auto" w:fill="auto"/>
            <w:noWrap/>
            <w:vAlign w:val="bottom"/>
            <w:hideMark/>
          </w:tcPr>
          <w:p w14:paraId="188B7E98"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W6 25683</w:t>
            </w:r>
          </w:p>
        </w:tc>
        <w:tc>
          <w:tcPr>
            <w:tcW w:w="1765" w:type="dxa"/>
            <w:tcBorders>
              <w:top w:val="nil"/>
              <w:left w:val="nil"/>
              <w:bottom w:val="nil"/>
              <w:right w:val="nil"/>
            </w:tcBorders>
            <w:shd w:val="clear" w:color="auto" w:fill="auto"/>
            <w:noWrap/>
            <w:vAlign w:val="bottom"/>
            <w:hideMark/>
          </w:tcPr>
          <w:p w14:paraId="3A8443EB"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Greenland</w:t>
            </w:r>
          </w:p>
        </w:tc>
        <w:tc>
          <w:tcPr>
            <w:tcW w:w="1263" w:type="dxa"/>
            <w:tcBorders>
              <w:top w:val="nil"/>
              <w:left w:val="nil"/>
              <w:bottom w:val="nil"/>
              <w:right w:val="nil"/>
            </w:tcBorders>
            <w:shd w:val="clear" w:color="auto" w:fill="auto"/>
            <w:noWrap/>
            <w:vAlign w:val="bottom"/>
            <w:hideMark/>
          </w:tcPr>
          <w:p w14:paraId="7F2E58C5"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2003</w:t>
            </w:r>
          </w:p>
        </w:tc>
        <w:tc>
          <w:tcPr>
            <w:tcW w:w="1822" w:type="dxa"/>
            <w:tcBorders>
              <w:top w:val="nil"/>
              <w:left w:val="nil"/>
              <w:bottom w:val="nil"/>
              <w:right w:val="nil"/>
            </w:tcBorders>
            <w:shd w:val="clear" w:color="auto" w:fill="auto"/>
            <w:noWrap/>
            <w:vAlign w:val="bottom"/>
            <w:hideMark/>
          </w:tcPr>
          <w:p w14:paraId="30108BEE"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3C2FD3FB"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5898EAE2"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gilgiana</w:t>
            </w:r>
          </w:p>
        </w:tc>
        <w:tc>
          <w:tcPr>
            <w:tcW w:w="1615" w:type="dxa"/>
            <w:tcBorders>
              <w:top w:val="nil"/>
              <w:left w:val="nil"/>
              <w:bottom w:val="nil"/>
              <w:right w:val="nil"/>
            </w:tcBorders>
            <w:shd w:val="clear" w:color="auto" w:fill="auto"/>
            <w:noWrap/>
            <w:vAlign w:val="bottom"/>
            <w:hideMark/>
          </w:tcPr>
          <w:p w14:paraId="7D77CEC4"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478581</w:t>
            </w:r>
          </w:p>
        </w:tc>
        <w:tc>
          <w:tcPr>
            <w:tcW w:w="1765" w:type="dxa"/>
            <w:tcBorders>
              <w:top w:val="nil"/>
              <w:left w:val="nil"/>
              <w:bottom w:val="nil"/>
              <w:right w:val="nil"/>
            </w:tcBorders>
            <w:shd w:val="clear" w:color="auto" w:fill="auto"/>
            <w:noWrap/>
            <w:vAlign w:val="bottom"/>
            <w:hideMark/>
          </w:tcPr>
          <w:p w14:paraId="78444044"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Peru</w:t>
            </w:r>
          </w:p>
        </w:tc>
        <w:tc>
          <w:tcPr>
            <w:tcW w:w="1263" w:type="dxa"/>
            <w:tcBorders>
              <w:top w:val="nil"/>
              <w:left w:val="nil"/>
              <w:bottom w:val="nil"/>
              <w:right w:val="nil"/>
            </w:tcBorders>
            <w:shd w:val="clear" w:color="auto" w:fill="auto"/>
            <w:noWrap/>
            <w:vAlign w:val="bottom"/>
            <w:hideMark/>
          </w:tcPr>
          <w:p w14:paraId="6D6275B3"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1981</w:t>
            </w:r>
          </w:p>
        </w:tc>
        <w:tc>
          <w:tcPr>
            <w:tcW w:w="1822" w:type="dxa"/>
            <w:tcBorders>
              <w:top w:val="nil"/>
              <w:left w:val="nil"/>
              <w:bottom w:val="nil"/>
              <w:right w:val="nil"/>
            </w:tcBorders>
            <w:shd w:val="clear" w:color="auto" w:fill="auto"/>
            <w:noWrap/>
            <w:vAlign w:val="bottom"/>
            <w:hideMark/>
          </w:tcPr>
          <w:p w14:paraId="754A3DC0"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34EA1344"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11E406F3"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hybrida</w:t>
            </w:r>
          </w:p>
        </w:tc>
        <w:tc>
          <w:tcPr>
            <w:tcW w:w="1615" w:type="dxa"/>
            <w:tcBorders>
              <w:top w:val="nil"/>
              <w:left w:val="nil"/>
              <w:bottom w:val="nil"/>
              <w:right w:val="nil"/>
            </w:tcBorders>
            <w:shd w:val="clear" w:color="auto" w:fill="auto"/>
            <w:noWrap/>
            <w:vAlign w:val="bottom"/>
            <w:hideMark/>
          </w:tcPr>
          <w:p w14:paraId="73EB45AE"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249765</w:t>
            </w:r>
          </w:p>
        </w:tc>
        <w:tc>
          <w:tcPr>
            <w:tcW w:w="1765" w:type="dxa"/>
            <w:tcBorders>
              <w:top w:val="nil"/>
              <w:left w:val="nil"/>
              <w:bottom w:val="nil"/>
              <w:right w:val="nil"/>
            </w:tcBorders>
            <w:shd w:val="clear" w:color="auto" w:fill="auto"/>
            <w:noWrap/>
            <w:vAlign w:val="bottom"/>
            <w:hideMark/>
          </w:tcPr>
          <w:p w14:paraId="23DD2743"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Greece</w:t>
            </w:r>
          </w:p>
        </w:tc>
        <w:tc>
          <w:tcPr>
            <w:tcW w:w="1263" w:type="dxa"/>
            <w:tcBorders>
              <w:top w:val="nil"/>
              <w:left w:val="nil"/>
              <w:bottom w:val="nil"/>
              <w:right w:val="nil"/>
            </w:tcBorders>
            <w:shd w:val="clear" w:color="auto" w:fill="auto"/>
            <w:noWrap/>
            <w:vAlign w:val="bottom"/>
            <w:hideMark/>
          </w:tcPr>
          <w:p w14:paraId="76380356"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1958</w:t>
            </w:r>
          </w:p>
        </w:tc>
        <w:tc>
          <w:tcPr>
            <w:tcW w:w="1822" w:type="dxa"/>
            <w:tcBorders>
              <w:top w:val="nil"/>
              <w:left w:val="nil"/>
              <w:bottom w:val="nil"/>
              <w:right w:val="nil"/>
            </w:tcBorders>
            <w:shd w:val="clear" w:color="auto" w:fill="auto"/>
            <w:noWrap/>
            <w:vAlign w:val="bottom"/>
            <w:hideMark/>
          </w:tcPr>
          <w:p w14:paraId="5DE4FDD1"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63C34C4C"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12F1F777"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iridifolia</w:t>
            </w:r>
          </w:p>
        </w:tc>
        <w:tc>
          <w:tcPr>
            <w:tcW w:w="1615" w:type="dxa"/>
            <w:tcBorders>
              <w:top w:val="nil"/>
              <w:left w:val="nil"/>
              <w:bottom w:val="nil"/>
              <w:right w:val="nil"/>
            </w:tcBorders>
            <w:shd w:val="clear" w:color="auto" w:fill="auto"/>
            <w:noWrap/>
            <w:vAlign w:val="bottom"/>
            <w:hideMark/>
          </w:tcPr>
          <w:p w14:paraId="67AF48F3"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154882</w:t>
            </w:r>
          </w:p>
        </w:tc>
        <w:tc>
          <w:tcPr>
            <w:tcW w:w="1765" w:type="dxa"/>
            <w:tcBorders>
              <w:top w:val="nil"/>
              <w:left w:val="nil"/>
              <w:bottom w:val="nil"/>
              <w:right w:val="nil"/>
            </w:tcBorders>
            <w:shd w:val="clear" w:color="auto" w:fill="auto"/>
            <w:noWrap/>
            <w:vAlign w:val="bottom"/>
            <w:hideMark/>
          </w:tcPr>
          <w:p w14:paraId="4A8E7F5F"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Uruguay</w:t>
            </w:r>
          </w:p>
        </w:tc>
        <w:tc>
          <w:tcPr>
            <w:tcW w:w="1263" w:type="dxa"/>
            <w:tcBorders>
              <w:top w:val="nil"/>
              <w:left w:val="nil"/>
              <w:bottom w:val="nil"/>
              <w:right w:val="nil"/>
            </w:tcBorders>
            <w:shd w:val="clear" w:color="auto" w:fill="auto"/>
            <w:noWrap/>
            <w:vAlign w:val="bottom"/>
            <w:hideMark/>
          </w:tcPr>
          <w:p w14:paraId="57B94B55"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1946</w:t>
            </w:r>
          </w:p>
        </w:tc>
        <w:tc>
          <w:tcPr>
            <w:tcW w:w="1822" w:type="dxa"/>
            <w:tcBorders>
              <w:top w:val="nil"/>
              <w:left w:val="nil"/>
              <w:bottom w:val="nil"/>
              <w:right w:val="nil"/>
            </w:tcBorders>
            <w:shd w:val="clear" w:color="auto" w:fill="auto"/>
            <w:noWrap/>
            <w:vAlign w:val="bottom"/>
            <w:hideMark/>
          </w:tcPr>
          <w:p w14:paraId="7A8BE453"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57B37869"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5652DB19"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lanigera</w:t>
            </w:r>
          </w:p>
        </w:tc>
        <w:tc>
          <w:tcPr>
            <w:tcW w:w="1615" w:type="dxa"/>
            <w:tcBorders>
              <w:top w:val="nil"/>
              <w:left w:val="nil"/>
              <w:bottom w:val="nil"/>
              <w:right w:val="nil"/>
            </w:tcBorders>
            <w:shd w:val="clear" w:color="auto" w:fill="auto"/>
            <w:noWrap/>
            <w:vAlign w:val="bottom"/>
            <w:hideMark/>
          </w:tcPr>
          <w:p w14:paraId="43AC1F9B"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477105</w:t>
            </w:r>
          </w:p>
        </w:tc>
        <w:tc>
          <w:tcPr>
            <w:tcW w:w="1765" w:type="dxa"/>
            <w:tcBorders>
              <w:top w:val="nil"/>
              <w:left w:val="nil"/>
              <w:bottom w:val="nil"/>
              <w:right w:val="nil"/>
            </w:tcBorders>
            <w:shd w:val="clear" w:color="auto" w:fill="auto"/>
            <w:noWrap/>
            <w:vAlign w:val="bottom"/>
            <w:hideMark/>
          </w:tcPr>
          <w:p w14:paraId="3D4548C3"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Uruguay</w:t>
            </w:r>
          </w:p>
        </w:tc>
        <w:tc>
          <w:tcPr>
            <w:tcW w:w="1263" w:type="dxa"/>
            <w:tcBorders>
              <w:top w:val="nil"/>
              <w:left w:val="nil"/>
              <w:bottom w:val="nil"/>
              <w:right w:val="nil"/>
            </w:tcBorders>
            <w:shd w:val="clear" w:color="auto" w:fill="auto"/>
            <w:noWrap/>
            <w:vAlign w:val="bottom"/>
            <w:hideMark/>
          </w:tcPr>
          <w:p w14:paraId="2605374F"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1980</w:t>
            </w:r>
          </w:p>
        </w:tc>
        <w:tc>
          <w:tcPr>
            <w:tcW w:w="1822" w:type="dxa"/>
            <w:tcBorders>
              <w:top w:val="nil"/>
              <w:left w:val="nil"/>
              <w:bottom w:val="nil"/>
              <w:right w:val="nil"/>
            </w:tcBorders>
            <w:shd w:val="clear" w:color="auto" w:fill="auto"/>
            <w:noWrap/>
            <w:vAlign w:val="bottom"/>
            <w:hideMark/>
          </w:tcPr>
          <w:p w14:paraId="31279CB4"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710116F3"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1B1F37E0"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ligulata</w:t>
            </w:r>
          </w:p>
        </w:tc>
        <w:tc>
          <w:tcPr>
            <w:tcW w:w="1615" w:type="dxa"/>
            <w:tcBorders>
              <w:top w:val="nil"/>
              <w:left w:val="nil"/>
              <w:bottom w:val="nil"/>
              <w:right w:val="nil"/>
            </w:tcBorders>
            <w:shd w:val="clear" w:color="auto" w:fill="auto"/>
            <w:noWrap/>
            <w:vAlign w:val="bottom"/>
            <w:hideMark/>
          </w:tcPr>
          <w:p w14:paraId="17AF5D27"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517033</w:t>
            </w:r>
          </w:p>
        </w:tc>
        <w:tc>
          <w:tcPr>
            <w:tcW w:w="1765" w:type="dxa"/>
            <w:tcBorders>
              <w:top w:val="nil"/>
              <w:left w:val="nil"/>
              <w:bottom w:val="nil"/>
              <w:right w:val="nil"/>
            </w:tcBorders>
            <w:shd w:val="clear" w:color="auto" w:fill="auto"/>
            <w:noWrap/>
            <w:vAlign w:val="bottom"/>
            <w:hideMark/>
          </w:tcPr>
          <w:p w14:paraId="3D954D4D"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Morocco</w:t>
            </w:r>
          </w:p>
        </w:tc>
        <w:tc>
          <w:tcPr>
            <w:tcW w:w="1263" w:type="dxa"/>
            <w:tcBorders>
              <w:top w:val="nil"/>
              <w:left w:val="nil"/>
              <w:bottom w:val="nil"/>
              <w:right w:val="nil"/>
            </w:tcBorders>
            <w:shd w:val="clear" w:color="auto" w:fill="auto"/>
            <w:noWrap/>
            <w:vAlign w:val="bottom"/>
            <w:hideMark/>
          </w:tcPr>
          <w:p w14:paraId="23C35C4A"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1983</w:t>
            </w:r>
          </w:p>
        </w:tc>
        <w:tc>
          <w:tcPr>
            <w:tcW w:w="1822" w:type="dxa"/>
            <w:tcBorders>
              <w:top w:val="nil"/>
              <w:left w:val="nil"/>
              <w:bottom w:val="nil"/>
              <w:right w:val="nil"/>
            </w:tcBorders>
            <w:shd w:val="clear" w:color="auto" w:fill="auto"/>
            <w:noWrap/>
            <w:vAlign w:val="bottom"/>
            <w:hideMark/>
          </w:tcPr>
          <w:p w14:paraId="18B84A24"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129E322D"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51DA5A3E"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lindsayi</w:t>
            </w:r>
          </w:p>
        </w:tc>
        <w:tc>
          <w:tcPr>
            <w:tcW w:w="1615" w:type="dxa"/>
            <w:tcBorders>
              <w:top w:val="nil"/>
              <w:left w:val="nil"/>
              <w:bottom w:val="nil"/>
              <w:right w:val="nil"/>
            </w:tcBorders>
            <w:shd w:val="clear" w:color="auto" w:fill="auto"/>
            <w:noWrap/>
            <w:vAlign w:val="bottom"/>
            <w:hideMark/>
          </w:tcPr>
          <w:p w14:paraId="40C4E101"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237163</w:t>
            </w:r>
          </w:p>
        </w:tc>
        <w:tc>
          <w:tcPr>
            <w:tcW w:w="1765" w:type="dxa"/>
            <w:tcBorders>
              <w:top w:val="nil"/>
              <w:left w:val="nil"/>
              <w:bottom w:val="nil"/>
              <w:right w:val="nil"/>
            </w:tcBorders>
            <w:shd w:val="clear" w:color="auto" w:fill="auto"/>
            <w:noWrap/>
            <w:vAlign w:val="bottom"/>
            <w:hideMark/>
          </w:tcPr>
          <w:p w14:paraId="5BF8AD17"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New Zealand</w:t>
            </w:r>
          </w:p>
        </w:tc>
        <w:tc>
          <w:tcPr>
            <w:tcW w:w="1263" w:type="dxa"/>
            <w:tcBorders>
              <w:top w:val="nil"/>
              <w:left w:val="nil"/>
              <w:bottom w:val="nil"/>
              <w:right w:val="nil"/>
            </w:tcBorders>
            <w:shd w:val="clear" w:color="auto" w:fill="auto"/>
            <w:noWrap/>
            <w:vAlign w:val="bottom"/>
            <w:hideMark/>
          </w:tcPr>
          <w:p w14:paraId="6E15415D"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1957</w:t>
            </w:r>
          </w:p>
        </w:tc>
        <w:tc>
          <w:tcPr>
            <w:tcW w:w="1822" w:type="dxa"/>
            <w:tcBorders>
              <w:top w:val="nil"/>
              <w:left w:val="nil"/>
              <w:bottom w:val="nil"/>
              <w:right w:val="nil"/>
            </w:tcBorders>
            <w:shd w:val="clear" w:color="auto" w:fill="auto"/>
            <w:noWrap/>
            <w:vAlign w:val="bottom"/>
            <w:hideMark/>
          </w:tcPr>
          <w:p w14:paraId="40799036"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3BB65D2A"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59F7918F"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longifolia</w:t>
            </w:r>
          </w:p>
        </w:tc>
        <w:tc>
          <w:tcPr>
            <w:tcW w:w="1615" w:type="dxa"/>
            <w:tcBorders>
              <w:top w:val="nil"/>
              <w:left w:val="nil"/>
              <w:bottom w:val="nil"/>
              <w:right w:val="nil"/>
            </w:tcBorders>
            <w:shd w:val="clear" w:color="auto" w:fill="auto"/>
            <w:noWrap/>
            <w:vAlign w:val="bottom"/>
            <w:hideMark/>
          </w:tcPr>
          <w:p w14:paraId="0997F10C"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380991</w:t>
            </w:r>
          </w:p>
        </w:tc>
        <w:tc>
          <w:tcPr>
            <w:tcW w:w="1765" w:type="dxa"/>
            <w:tcBorders>
              <w:top w:val="nil"/>
              <w:left w:val="nil"/>
              <w:bottom w:val="nil"/>
              <w:right w:val="nil"/>
            </w:tcBorders>
            <w:shd w:val="clear" w:color="auto" w:fill="auto"/>
            <w:noWrap/>
            <w:vAlign w:val="bottom"/>
            <w:hideMark/>
          </w:tcPr>
          <w:p w14:paraId="25070186"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Iran</w:t>
            </w:r>
          </w:p>
        </w:tc>
        <w:tc>
          <w:tcPr>
            <w:tcW w:w="1263" w:type="dxa"/>
            <w:tcBorders>
              <w:top w:val="nil"/>
              <w:left w:val="nil"/>
              <w:bottom w:val="nil"/>
              <w:right w:val="nil"/>
            </w:tcBorders>
            <w:shd w:val="clear" w:color="auto" w:fill="auto"/>
            <w:noWrap/>
            <w:vAlign w:val="bottom"/>
            <w:hideMark/>
          </w:tcPr>
          <w:p w14:paraId="18D232F2"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1973</w:t>
            </w:r>
          </w:p>
        </w:tc>
        <w:tc>
          <w:tcPr>
            <w:tcW w:w="1822" w:type="dxa"/>
            <w:tcBorders>
              <w:top w:val="nil"/>
              <w:left w:val="nil"/>
              <w:bottom w:val="nil"/>
              <w:right w:val="nil"/>
            </w:tcBorders>
            <w:shd w:val="clear" w:color="auto" w:fill="auto"/>
            <w:noWrap/>
            <w:vAlign w:val="bottom"/>
            <w:hideMark/>
          </w:tcPr>
          <w:p w14:paraId="52F92968"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1F3B0D62"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5E20DAB0"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maniototo</w:t>
            </w:r>
          </w:p>
        </w:tc>
        <w:tc>
          <w:tcPr>
            <w:tcW w:w="1615" w:type="dxa"/>
            <w:tcBorders>
              <w:top w:val="nil"/>
              <w:left w:val="nil"/>
              <w:bottom w:val="nil"/>
              <w:right w:val="nil"/>
            </w:tcBorders>
            <w:shd w:val="clear" w:color="auto" w:fill="auto"/>
            <w:noWrap/>
            <w:vAlign w:val="bottom"/>
            <w:hideMark/>
          </w:tcPr>
          <w:p w14:paraId="2D728840"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237164</w:t>
            </w:r>
          </w:p>
        </w:tc>
        <w:tc>
          <w:tcPr>
            <w:tcW w:w="1765" w:type="dxa"/>
            <w:tcBorders>
              <w:top w:val="nil"/>
              <w:left w:val="nil"/>
              <w:bottom w:val="nil"/>
              <w:right w:val="nil"/>
            </w:tcBorders>
            <w:shd w:val="clear" w:color="auto" w:fill="auto"/>
            <w:noWrap/>
            <w:vAlign w:val="bottom"/>
            <w:hideMark/>
          </w:tcPr>
          <w:p w14:paraId="1DE1D1D3"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New Zealand</w:t>
            </w:r>
          </w:p>
        </w:tc>
        <w:tc>
          <w:tcPr>
            <w:tcW w:w="1263" w:type="dxa"/>
            <w:tcBorders>
              <w:top w:val="nil"/>
              <w:left w:val="nil"/>
              <w:bottom w:val="nil"/>
              <w:right w:val="nil"/>
            </w:tcBorders>
            <w:shd w:val="clear" w:color="auto" w:fill="auto"/>
            <w:noWrap/>
            <w:vAlign w:val="bottom"/>
            <w:hideMark/>
          </w:tcPr>
          <w:p w14:paraId="7B3B4592"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1957</w:t>
            </w:r>
          </w:p>
        </w:tc>
        <w:tc>
          <w:tcPr>
            <w:tcW w:w="1822" w:type="dxa"/>
            <w:tcBorders>
              <w:top w:val="nil"/>
              <w:left w:val="nil"/>
              <w:bottom w:val="nil"/>
              <w:right w:val="nil"/>
            </w:tcBorders>
            <w:shd w:val="clear" w:color="auto" w:fill="auto"/>
            <w:noWrap/>
            <w:vAlign w:val="bottom"/>
            <w:hideMark/>
          </w:tcPr>
          <w:p w14:paraId="2BE8DB8A"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Rhizomatous</w:t>
            </w:r>
          </w:p>
        </w:tc>
      </w:tr>
      <w:tr w:rsidR="00FE0D9E" w:rsidRPr="001C516A" w14:paraId="0C3F82CC"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377D30AF"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nemoralis</w:t>
            </w:r>
          </w:p>
        </w:tc>
        <w:tc>
          <w:tcPr>
            <w:tcW w:w="1615" w:type="dxa"/>
            <w:tcBorders>
              <w:top w:val="nil"/>
              <w:left w:val="nil"/>
              <w:bottom w:val="nil"/>
              <w:right w:val="nil"/>
            </w:tcBorders>
            <w:shd w:val="clear" w:color="auto" w:fill="auto"/>
            <w:noWrap/>
            <w:vAlign w:val="bottom"/>
            <w:hideMark/>
          </w:tcPr>
          <w:p w14:paraId="58C1795F"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442544</w:t>
            </w:r>
          </w:p>
        </w:tc>
        <w:tc>
          <w:tcPr>
            <w:tcW w:w="1765" w:type="dxa"/>
            <w:tcBorders>
              <w:top w:val="nil"/>
              <w:left w:val="nil"/>
              <w:bottom w:val="nil"/>
              <w:right w:val="nil"/>
            </w:tcBorders>
            <w:shd w:val="clear" w:color="auto" w:fill="auto"/>
            <w:noWrap/>
            <w:vAlign w:val="bottom"/>
            <w:hideMark/>
          </w:tcPr>
          <w:p w14:paraId="115A1C83"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Belgium</w:t>
            </w:r>
          </w:p>
        </w:tc>
        <w:tc>
          <w:tcPr>
            <w:tcW w:w="1263" w:type="dxa"/>
            <w:tcBorders>
              <w:top w:val="nil"/>
              <w:left w:val="nil"/>
              <w:bottom w:val="nil"/>
              <w:right w:val="nil"/>
            </w:tcBorders>
            <w:shd w:val="clear" w:color="auto" w:fill="auto"/>
            <w:noWrap/>
            <w:vAlign w:val="bottom"/>
            <w:hideMark/>
          </w:tcPr>
          <w:p w14:paraId="49048FC0"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1979</w:t>
            </w:r>
          </w:p>
        </w:tc>
        <w:tc>
          <w:tcPr>
            <w:tcW w:w="1822" w:type="dxa"/>
            <w:tcBorders>
              <w:top w:val="nil"/>
              <w:left w:val="nil"/>
              <w:bottom w:val="nil"/>
              <w:right w:val="nil"/>
            </w:tcBorders>
            <w:shd w:val="clear" w:color="auto" w:fill="auto"/>
            <w:noWrap/>
            <w:vAlign w:val="bottom"/>
            <w:hideMark/>
          </w:tcPr>
          <w:p w14:paraId="4F0BA180"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3F1B88B1"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7B8970AC"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nervosa</w:t>
            </w:r>
          </w:p>
        </w:tc>
        <w:tc>
          <w:tcPr>
            <w:tcW w:w="1615" w:type="dxa"/>
            <w:tcBorders>
              <w:top w:val="nil"/>
              <w:left w:val="nil"/>
              <w:bottom w:val="nil"/>
              <w:right w:val="nil"/>
            </w:tcBorders>
            <w:shd w:val="clear" w:color="auto" w:fill="auto"/>
            <w:noWrap/>
            <w:vAlign w:val="bottom"/>
            <w:hideMark/>
          </w:tcPr>
          <w:p w14:paraId="62B468E6"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232352</w:t>
            </w:r>
          </w:p>
        </w:tc>
        <w:tc>
          <w:tcPr>
            <w:tcW w:w="1765" w:type="dxa"/>
            <w:tcBorders>
              <w:top w:val="nil"/>
              <w:left w:val="nil"/>
              <w:bottom w:val="nil"/>
              <w:right w:val="nil"/>
            </w:tcBorders>
            <w:shd w:val="clear" w:color="auto" w:fill="auto"/>
            <w:noWrap/>
            <w:vAlign w:val="bottom"/>
            <w:hideMark/>
          </w:tcPr>
          <w:p w14:paraId="3E29277B"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Wyoming</w:t>
            </w:r>
          </w:p>
        </w:tc>
        <w:tc>
          <w:tcPr>
            <w:tcW w:w="1263" w:type="dxa"/>
            <w:tcBorders>
              <w:top w:val="nil"/>
              <w:left w:val="nil"/>
              <w:bottom w:val="nil"/>
              <w:right w:val="nil"/>
            </w:tcBorders>
            <w:shd w:val="clear" w:color="auto" w:fill="auto"/>
            <w:noWrap/>
            <w:vAlign w:val="bottom"/>
            <w:hideMark/>
          </w:tcPr>
          <w:p w14:paraId="4BDC710D"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1955</w:t>
            </w:r>
          </w:p>
        </w:tc>
        <w:tc>
          <w:tcPr>
            <w:tcW w:w="1822" w:type="dxa"/>
            <w:tcBorders>
              <w:top w:val="nil"/>
              <w:left w:val="nil"/>
              <w:bottom w:val="nil"/>
              <w:right w:val="nil"/>
            </w:tcBorders>
            <w:shd w:val="clear" w:color="auto" w:fill="auto"/>
            <w:noWrap/>
            <w:vAlign w:val="bottom"/>
            <w:hideMark/>
          </w:tcPr>
          <w:p w14:paraId="62E9D19E"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Rhizomatous</w:t>
            </w:r>
          </w:p>
        </w:tc>
      </w:tr>
      <w:tr w:rsidR="00FE0D9E" w:rsidRPr="001C516A" w14:paraId="64C4DC5E"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1E57D687"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ochroleuca</w:t>
            </w:r>
          </w:p>
        </w:tc>
        <w:tc>
          <w:tcPr>
            <w:tcW w:w="1615" w:type="dxa"/>
            <w:tcBorders>
              <w:top w:val="nil"/>
              <w:left w:val="nil"/>
              <w:bottom w:val="nil"/>
              <w:right w:val="nil"/>
            </w:tcBorders>
            <w:shd w:val="clear" w:color="auto" w:fill="auto"/>
            <w:noWrap/>
            <w:vAlign w:val="bottom"/>
            <w:hideMark/>
          </w:tcPr>
          <w:p w14:paraId="2ACDC5EC"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168621</w:t>
            </w:r>
          </w:p>
        </w:tc>
        <w:tc>
          <w:tcPr>
            <w:tcW w:w="1765" w:type="dxa"/>
            <w:tcBorders>
              <w:top w:val="nil"/>
              <w:left w:val="nil"/>
              <w:bottom w:val="nil"/>
              <w:right w:val="nil"/>
            </w:tcBorders>
            <w:shd w:val="clear" w:color="auto" w:fill="auto"/>
            <w:noWrap/>
            <w:vAlign w:val="bottom"/>
            <w:hideMark/>
          </w:tcPr>
          <w:p w14:paraId="332EB026"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Austaralia</w:t>
            </w:r>
          </w:p>
        </w:tc>
        <w:tc>
          <w:tcPr>
            <w:tcW w:w="1263" w:type="dxa"/>
            <w:tcBorders>
              <w:top w:val="nil"/>
              <w:left w:val="nil"/>
              <w:bottom w:val="nil"/>
              <w:right w:val="nil"/>
            </w:tcBorders>
            <w:shd w:val="clear" w:color="auto" w:fill="auto"/>
            <w:noWrap/>
            <w:vAlign w:val="bottom"/>
            <w:hideMark/>
          </w:tcPr>
          <w:p w14:paraId="21286B3D"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1948</w:t>
            </w:r>
          </w:p>
        </w:tc>
        <w:tc>
          <w:tcPr>
            <w:tcW w:w="1822" w:type="dxa"/>
            <w:tcBorders>
              <w:top w:val="nil"/>
              <w:left w:val="nil"/>
              <w:bottom w:val="nil"/>
              <w:right w:val="nil"/>
            </w:tcBorders>
            <w:shd w:val="clear" w:color="auto" w:fill="auto"/>
            <w:noWrap/>
            <w:vAlign w:val="bottom"/>
            <w:hideMark/>
          </w:tcPr>
          <w:p w14:paraId="26A6B6F0"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10B82979"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6F46F16A"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palustris</w:t>
            </w:r>
          </w:p>
        </w:tc>
        <w:tc>
          <w:tcPr>
            <w:tcW w:w="1615" w:type="dxa"/>
            <w:tcBorders>
              <w:top w:val="nil"/>
              <w:left w:val="nil"/>
              <w:bottom w:val="nil"/>
              <w:right w:val="nil"/>
            </w:tcBorders>
            <w:shd w:val="clear" w:color="auto" w:fill="auto"/>
            <w:noWrap/>
            <w:vAlign w:val="bottom"/>
            <w:hideMark/>
          </w:tcPr>
          <w:p w14:paraId="0FA86599"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274644</w:t>
            </w:r>
          </w:p>
        </w:tc>
        <w:tc>
          <w:tcPr>
            <w:tcW w:w="1765" w:type="dxa"/>
            <w:tcBorders>
              <w:top w:val="nil"/>
              <w:left w:val="nil"/>
              <w:bottom w:val="nil"/>
              <w:right w:val="nil"/>
            </w:tcBorders>
            <w:shd w:val="clear" w:color="auto" w:fill="auto"/>
            <w:noWrap/>
            <w:vAlign w:val="bottom"/>
            <w:hideMark/>
          </w:tcPr>
          <w:p w14:paraId="4A4E5C3F"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Poland</w:t>
            </w:r>
          </w:p>
        </w:tc>
        <w:tc>
          <w:tcPr>
            <w:tcW w:w="1263" w:type="dxa"/>
            <w:tcBorders>
              <w:top w:val="nil"/>
              <w:left w:val="nil"/>
              <w:bottom w:val="nil"/>
              <w:right w:val="nil"/>
            </w:tcBorders>
            <w:shd w:val="clear" w:color="auto" w:fill="auto"/>
            <w:noWrap/>
            <w:vAlign w:val="bottom"/>
            <w:hideMark/>
          </w:tcPr>
          <w:p w14:paraId="3B35C989"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1961</w:t>
            </w:r>
          </w:p>
        </w:tc>
        <w:tc>
          <w:tcPr>
            <w:tcW w:w="1822" w:type="dxa"/>
            <w:tcBorders>
              <w:top w:val="nil"/>
              <w:left w:val="nil"/>
              <w:bottom w:val="nil"/>
              <w:right w:val="nil"/>
            </w:tcBorders>
            <w:shd w:val="clear" w:color="auto" w:fill="auto"/>
            <w:noWrap/>
            <w:vAlign w:val="bottom"/>
            <w:hideMark/>
          </w:tcPr>
          <w:p w14:paraId="19814EC9"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6CBEEEBA"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041BC022"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pratensis</w:t>
            </w:r>
          </w:p>
        </w:tc>
        <w:tc>
          <w:tcPr>
            <w:tcW w:w="1615" w:type="dxa"/>
            <w:tcBorders>
              <w:top w:val="nil"/>
              <w:left w:val="nil"/>
              <w:bottom w:val="nil"/>
              <w:right w:val="nil"/>
            </w:tcBorders>
            <w:shd w:val="clear" w:color="auto" w:fill="auto"/>
            <w:noWrap/>
            <w:vAlign w:val="bottom"/>
            <w:hideMark/>
          </w:tcPr>
          <w:p w14:paraId="37A67C2B"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GC</w:t>
            </w:r>
          </w:p>
        </w:tc>
        <w:tc>
          <w:tcPr>
            <w:tcW w:w="1765" w:type="dxa"/>
            <w:tcBorders>
              <w:top w:val="nil"/>
              <w:left w:val="nil"/>
              <w:bottom w:val="nil"/>
              <w:right w:val="nil"/>
            </w:tcBorders>
            <w:shd w:val="clear" w:color="auto" w:fill="auto"/>
            <w:noWrap/>
            <w:vAlign w:val="bottom"/>
            <w:hideMark/>
          </w:tcPr>
          <w:p w14:paraId="08F650B8"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Tennessee</w:t>
            </w:r>
          </w:p>
        </w:tc>
        <w:tc>
          <w:tcPr>
            <w:tcW w:w="1263" w:type="dxa"/>
            <w:tcBorders>
              <w:top w:val="nil"/>
              <w:left w:val="nil"/>
              <w:bottom w:val="nil"/>
              <w:right w:val="nil"/>
            </w:tcBorders>
            <w:shd w:val="clear" w:color="auto" w:fill="auto"/>
            <w:noWrap/>
            <w:vAlign w:val="bottom"/>
            <w:hideMark/>
          </w:tcPr>
          <w:p w14:paraId="6C83672D"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2007</w:t>
            </w:r>
          </w:p>
        </w:tc>
        <w:tc>
          <w:tcPr>
            <w:tcW w:w="1822" w:type="dxa"/>
            <w:tcBorders>
              <w:top w:val="nil"/>
              <w:left w:val="nil"/>
              <w:bottom w:val="nil"/>
              <w:right w:val="nil"/>
            </w:tcBorders>
            <w:shd w:val="clear" w:color="auto" w:fill="auto"/>
            <w:noWrap/>
            <w:vAlign w:val="bottom"/>
            <w:hideMark/>
          </w:tcPr>
          <w:p w14:paraId="081A1C5E"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Rhizomatous</w:t>
            </w:r>
          </w:p>
        </w:tc>
      </w:tr>
      <w:tr w:rsidR="00FE0D9E" w:rsidRPr="001C516A" w14:paraId="518A5F7E"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73D958B1"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pratensis</w:t>
            </w:r>
          </w:p>
        </w:tc>
        <w:tc>
          <w:tcPr>
            <w:tcW w:w="1615" w:type="dxa"/>
            <w:tcBorders>
              <w:top w:val="nil"/>
              <w:left w:val="nil"/>
              <w:bottom w:val="nil"/>
              <w:right w:val="nil"/>
            </w:tcBorders>
            <w:shd w:val="clear" w:color="auto" w:fill="auto"/>
            <w:noWrap/>
            <w:vAlign w:val="bottom"/>
            <w:hideMark/>
          </w:tcPr>
          <w:p w14:paraId="742C79B4"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Kenblue</w:t>
            </w:r>
          </w:p>
        </w:tc>
        <w:tc>
          <w:tcPr>
            <w:tcW w:w="1765" w:type="dxa"/>
            <w:tcBorders>
              <w:top w:val="nil"/>
              <w:left w:val="nil"/>
              <w:bottom w:val="nil"/>
              <w:right w:val="nil"/>
            </w:tcBorders>
            <w:shd w:val="clear" w:color="auto" w:fill="auto"/>
            <w:noWrap/>
            <w:vAlign w:val="bottom"/>
            <w:hideMark/>
          </w:tcPr>
          <w:p w14:paraId="6945F4E2"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NA</w:t>
            </w:r>
          </w:p>
        </w:tc>
        <w:tc>
          <w:tcPr>
            <w:tcW w:w="1263" w:type="dxa"/>
            <w:tcBorders>
              <w:top w:val="nil"/>
              <w:left w:val="nil"/>
              <w:bottom w:val="nil"/>
              <w:right w:val="nil"/>
            </w:tcBorders>
            <w:shd w:val="clear" w:color="auto" w:fill="auto"/>
            <w:noWrap/>
            <w:vAlign w:val="bottom"/>
            <w:hideMark/>
          </w:tcPr>
          <w:p w14:paraId="3BD0841A"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NA</w:t>
            </w:r>
          </w:p>
        </w:tc>
        <w:tc>
          <w:tcPr>
            <w:tcW w:w="1822" w:type="dxa"/>
            <w:tcBorders>
              <w:top w:val="nil"/>
              <w:left w:val="nil"/>
              <w:bottom w:val="nil"/>
              <w:right w:val="nil"/>
            </w:tcBorders>
            <w:shd w:val="clear" w:color="auto" w:fill="auto"/>
            <w:noWrap/>
            <w:vAlign w:val="bottom"/>
            <w:hideMark/>
          </w:tcPr>
          <w:p w14:paraId="4968B8E7"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Rhizomatous</w:t>
            </w:r>
          </w:p>
        </w:tc>
      </w:tr>
      <w:tr w:rsidR="00FE0D9E" w:rsidRPr="001C516A" w14:paraId="01F212A2"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447E3BFD"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pratensis</w:t>
            </w:r>
          </w:p>
        </w:tc>
        <w:tc>
          <w:tcPr>
            <w:tcW w:w="1615" w:type="dxa"/>
            <w:tcBorders>
              <w:top w:val="nil"/>
              <w:left w:val="nil"/>
              <w:bottom w:val="nil"/>
              <w:right w:val="nil"/>
            </w:tcBorders>
            <w:shd w:val="clear" w:color="auto" w:fill="auto"/>
            <w:noWrap/>
            <w:vAlign w:val="bottom"/>
            <w:hideMark/>
          </w:tcPr>
          <w:p w14:paraId="39D0433C"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Midnight Star</w:t>
            </w:r>
          </w:p>
        </w:tc>
        <w:tc>
          <w:tcPr>
            <w:tcW w:w="1765" w:type="dxa"/>
            <w:tcBorders>
              <w:top w:val="nil"/>
              <w:left w:val="nil"/>
              <w:bottom w:val="nil"/>
              <w:right w:val="nil"/>
            </w:tcBorders>
            <w:shd w:val="clear" w:color="auto" w:fill="auto"/>
            <w:noWrap/>
            <w:vAlign w:val="bottom"/>
            <w:hideMark/>
          </w:tcPr>
          <w:p w14:paraId="05B024F9"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NA</w:t>
            </w:r>
          </w:p>
        </w:tc>
        <w:tc>
          <w:tcPr>
            <w:tcW w:w="1263" w:type="dxa"/>
            <w:tcBorders>
              <w:top w:val="nil"/>
              <w:left w:val="nil"/>
              <w:bottom w:val="nil"/>
              <w:right w:val="nil"/>
            </w:tcBorders>
            <w:shd w:val="clear" w:color="auto" w:fill="auto"/>
            <w:noWrap/>
            <w:vAlign w:val="bottom"/>
            <w:hideMark/>
          </w:tcPr>
          <w:p w14:paraId="51872592"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NA</w:t>
            </w:r>
          </w:p>
        </w:tc>
        <w:tc>
          <w:tcPr>
            <w:tcW w:w="1822" w:type="dxa"/>
            <w:tcBorders>
              <w:top w:val="nil"/>
              <w:left w:val="nil"/>
              <w:bottom w:val="nil"/>
              <w:right w:val="nil"/>
            </w:tcBorders>
            <w:shd w:val="clear" w:color="auto" w:fill="auto"/>
            <w:noWrap/>
            <w:vAlign w:val="bottom"/>
            <w:hideMark/>
          </w:tcPr>
          <w:p w14:paraId="48B925F5"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Rhizomatous</w:t>
            </w:r>
          </w:p>
        </w:tc>
      </w:tr>
      <w:tr w:rsidR="00FE0D9E" w:rsidRPr="001C516A" w14:paraId="39DEC6EE"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3EC1702C"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archnifera x pratensis</w:t>
            </w:r>
          </w:p>
        </w:tc>
        <w:tc>
          <w:tcPr>
            <w:tcW w:w="1615" w:type="dxa"/>
            <w:tcBorders>
              <w:top w:val="nil"/>
              <w:left w:val="nil"/>
              <w:bottom w:val="nil"/>
              <w:right w:val="nil"/>
            </w:tcBorders>
            <w:shd w:val="clear" w:color="auto" w:fill="auto"/>
            <w:noWrap/>
            <w:vAlign w:val="bottom"/>
            <w:hideMark/>
          </w:tcPr>
          <w:p w14:paraId="1DF91EFB"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 xml:space="preserve">Armadillo </w:t>
            </w:r>
          </w:p>
        </w:tc>
        <w:tc>
          <w:tcPr>
            <w:tcW w:w="1765" w:type="dxa"/>
            <w:tcBorders>
              <w:top w:val="nil"/>
              <w:left w:val="nil"/>
              <w:bottom w:val="nil"/>
              <w:right w:val="nil"/>
            </w:tcBorders>
            <w:shd w:val="clear" w:color="auto" w:fill="auto"/>
            <w:noWrap/>
            <w:vAlign w:val="bottom"/>
            <w:hideMark/>
          </w:tcPr>
          <w:p w14:paraId="7926493D"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NA</w:t>
            </w:r>
          </w:p>
        </w:tc>
        <w:tc>
          <w:tcPr>
            <w:tcW w:w="1263" w:type="dxa"/>
            <w:tcBorders>
              <w:top w:val="nil"/>
              <w:left w:val="nil"/>
              <w:bottom w:val="nil"/>
              <w:right w:val="nil"/>
            </w:tcBorders>
            <w:shd w:val="clear" w:color="auto" w:fill="auto"/>
            <w:noWrap/>
            <w:vAlign w:val="bottom"/>
            <w:hideMark/>
          </w:tcPr>
          <w:p w14:paraId="4CD4A2FE"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NA</w:t>
            </w:r>
          </w:p>
        </w:tc>
        <w:tc>
          <w:tcPr>
            <w:tcW w:w="1822" w:type="dxa"/>
            <w:tcBorders>
              <w:top w:val="nil"/>
              <w:left w:val="nil"/>
              <w:bottom w:val="nil"/>
              <w:right w:val="nil"/>
            </w:tcBorders>
            <w:shd w:val="clear" w:color="auto" w:fill="auto"/>
            <w:noWrap/>
            <w:vAlign w:val="bottom"/>
            <w:hideMark/>
          </w:tcPr>
          <w:p w14:paraId="147DD19A"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Rhizomatous</w:t>
            </w:r>
          </w:p>
        </w:tc>
      </w:tr>
      <w:tr w:rsidR="00FE0D9E" w:rsidRPr="001C516A" w14:paraId="524BCCF1"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328264F7"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secunda</w:t>
            </w:r>
          </w:p>
        </w:tc>
        <w:tc>
          <w:tcPr>
            <w:tcW w:w="1615" w:type="dxa"/>
            <w:tcBorders>
              <w:top w:val="nil"/>
              <w:left w:val="nil"/>
              <w:bottom w:val="nil"/>
              <w:right w:val="nil"/>
            </w:tcBorders>
            <w:shd w:val="clear" w:color="auto" w:fill="auto"/>
            <w:noWrap/>
            <w:vAlign w:val="bottom"/>
            <w:hideMark/>
          </w:tcPr>
          <w:p w14:paraId="4F681CAA"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578850</w:t>
            </w:r>
          </w:p>
        </w:tc>
        <w:tc>
          <w:tcPr>
            <w:tcW w:w="1765" w:type="dxa"/>
            <w:tcBorders>
              <w:top w:val="nil"/>
              <w:left w:val="nil"/>
              <w:bottom w:val="nil"/>
              <w:right w:val="nil"/>
            </w:tcBorders>
            <w:shd w:val="clear" w:color="auto" w:fill="auto"/>
            <w:noWrap/>
            <w:vAlign w:val="bottom"/>
            <w:hideMark/>
          </w:tcPr>
          <w:p w14:paraId="682083CA"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Washington</w:t>
            </w:r>
          </w:p>
        </w:tc>
        <w:tc>
          <w:tcPr>
            <w:tcW w:w="1263" w:type="dxa"/>
            <w:tcBorders>
              <w:top w:val="nil"/>
              <w:left w:val="nil"/>
              <w:bottom w:val="nil"/>
              <w:right w:val="nil"/>
            </w:tcBorders>
            <w:shd w:val="clear" w:color="auto" w:fill="auto"/>
            <w:noWrap/>
            <w:vAlign w:val="bottom"/>
            <w:hideMark/>
          </w:tcPr>
          <w:p w14:paraId="426CDB03"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1961</w:t>
            </w:r>
          </w:p>
        </w:tc>
        <w:tc>
          <w:tcPr>
            <w:tcW w:w="1822" w:type="dxa"/>
            <w:tcBorders>
              <w:top w:val="nil"/>
              <w:left w:val="nil"/>
              <w:bottom w:val="nil"/>
              <w:right w:val="nil"/>
            </w:tcBorders>
            <w:shd w:val="clear" w:color="auto" w:fill="auto"/>
            <w:noWrap/>
            <w:vAlign w:val="bottom"/>
            <w:hideMark/>
          </w:tcPr>
          <w:p w14:paraId="651ADAE1"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69273501"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41022646"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sierbiana</w:t>
            </w:r>
          </w:p>
        </w:tc>
        <w:tc>
          <w:tcPr>
            <w:tcW w:w="1615" w:type="dxa"/>
            <w:tcBorders>
              <w:top w:val="nil"/>
              <w:left w:val="nil"/>
              <w:bottom w:val="nil"/>
              <w:right w:val="nil"/>
            </w:tcBorders>
            <w:shd w:val="clear" w:color="auto" w:fill="auto"/>
            <w:noWrap/>
            <w:vAlign w:val="bottom"/>
            <w:hideMark/>
          </w:tcPr>
          <w:p w14:paraId="0A83146A"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282383</w:t>
            </w:r>
          </w:p>
        </w:tc>
        <w:tc>
          <w:tcPr>
            <w:tcW w:w="1765" w:type="dxa"/>
            <w:tcBorders>
              <w:top w:val="nil"/>
              <w:left w:val="nil"/>
              <w:bottom w:val="nil"/>
              <w:right w:val="nil"/>
            </w:tcBorders>
            <w:shd w:val="clear" w:color="auto" w:fill="auto"/>
            <w:noWrap/>
            <w:vAlign w:val="bottom"/>
            <w:hideMark/>
          </w:tcPr>
          <w:p w14:paraId="61B2D6D6"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Australia</w:t>
            </w:r>
          </w:p>
        </w:tc>
        <w:tc>
          <w:tcPr>
            <w:tcW w:w="1263" w:type="dxa"/>
            <w:tcBorders>
              <w:top w:val="nil"/>
              <w:left w:val="nil"/>
              <w:bottom w:val="nil"/>
              <w:right w:val="nil"/>
            </w:tcBorders>
            <w:shd w:val="clear" w:color="auto" w:fill="auto"/>
            <w:noWrap/>
            <w:vAlign w:val="bottom"/>
            <w:hideMark/>
          </w:tcPr>
          <w:p w14:paraId="24E8AFA7"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1962</w:t>
            </w:r>
          </w:p>
        </w:tc>
        <w:tc>
          <w:tcPr>
            <w:tcW w:w="1822" w:type="dxa"/>
            <w:tcBorders>
              <w:top w:val="nil"/>
              <w:left w:val="nil"/>
              <w:bottom w:val="nil"/>
              <w:right w:val="nil"/>
            </w:tcBorders>
            <w:shd w:val="clear" w:color="auto" w:fill="auto"/>
            <w:noWrap/>
            <w:vAlign w:val="bottom"/>
            <w:hideMark/>
          </w:tcPr>
          <w:p w14:paraId="0DA76054"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16EB42A6"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202953F0"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sterilis</w:t>
            </w:r>
          </w:p>
        </w:tc>
        <w:tc>
          <w:tcPr>
            <w:tcW w:w="1615" w:type="dxa"/>
            <w:tcBorders>
              <w:top w:val="nil"/>
              <w:left w:val="nil"/>
              <w:bottom w:val="nil"/>
              <w:right w:val="nil"/>
            </w:tcBorders>
            <w:shd w:val="clear" w:color="auto" w:fill="auto"/>
            <w:noWrap/>
            <w:vAlign w:val="bottom"/>
            <w:hideMark/>
          </w:tcPr>
          <w:p w14:paraId="6C85D93B"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283963</w:t>
            </w:r>
          </w:p>
        </w:tc>
        <w:tc>
          <w:tcPr>
            <w:tcW w:w="1765" w:type="dxa"/>
            <w:tcBorders>
              <w:top w:val="nil"/>
              <w:left w:val="nil"/>
              <w:bottom w:val="nil"/>
              <w:right w:val="nil"/>
            </w:tcBorders>
            <w:shd w:val="clear" w:color="auto" w:fill="auto"/>
            <w:noWrap/>
            <w:vAlign w:val="bottom"/>
            <w:hideMark/>
          </w:tcPr>
          <w:p w14:paraId="65EB8B5E"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Australia</w:t>
            </w:r>
          </w:p>
        </w:tc>
        <w:tc>
          <w:tcPr>
            <w:tcW w:w="1263" w:type="dxa"/>
            <w:tcBorders>
              <w:top w:val="nil"/>
              <w:left w:val="nil"/>
              <w:bottom w:val="nil"/>
              <w:right w:val="nil"/>
            </w:tcBorders>
            <w:shd w:val="clear" w:color="auto" w:fill="auto"/>
            <w:noWrap/>
            <w:vAlign w:val="bottom"/>
            <w:hideMark/>
          </w:tcPr>
          <w:p w14:paraId="184E7463"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1962</w:t>
            </w:r>
          </w:p>
        </w:tc>
        <w:tc>
          <w:tcPr>
            <w:tcW w:w="1822" w:type="dxa"/>
            <w:tcBorders>
              <w:top w:val="nil"/>
              <w:left w:val="nil"/>
              <w:bottom w:val="nil"/>
              <w:right w:val="nil"/>
            </w:tcBorders>
            <w:shd w:val="clear" w:color="auto" w:fill="auto"/>
            <w:noWrap/>
            <w:vAlign w:val="bottom"/>
            <w:hideMark/>
          </w:tcPr>
          <w:p w14:paraId="14D3A846"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54A68A43"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5A689D24"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stiriaca</w:t>
            </w:r>
          </w:p>
        </w:tc>
        <w:tc>
          <w:tcPr>
            <w:tcW w:w="1615" w:type="dxa"/>
            <w:tcBorders>
              <w:top w:val="nil"/>
              <w:left w:val="nil"/>
              <w:bottom w:val="nil"/>
              <w:right w:val="nil"/>
            </w:tcBorders>
            <w:shd w:val="clear" w:color="auto" w:fill="auto"/>
            <w:noWrap/>
            <w:vAlign w:val="bottom"/>
            <w:hideMark/>
          </w:tcPr>
          <w:p w14:paraId="7A6148D0"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PI 283964</w:t>
            </w:r>
          </w:p>
        </w:tc>
        <w:tc>
          <w:tcPr>
            <w:tcW w:w="1765" w:type="dxa"/>
            <w:tcBorders>
              <w:top w:val="nil"/>
              <w:left w:val="nil"/>
              <w:bottom w:val="nil"/>
              <w:right w:val="nil"/>
            </w:tcBorders>
            <w:shd w:val="clear" w:color="auto" w:fill="auto"/>
            <w:noWrap/>
            <w:vAlign w:val="bottom"/>
            <w:hideMark/>
          </w:tcPr>
          <w:p w14:paraId="0133527F"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Poland</w:t>
            </w:r>
          </w:p>
        </w:tc>
        <w:tc>
          <w:tcPr>
            <w:tcW w:w="1263" w:type="dxa"/>
            <w:tcBorders>
              <w:top w:val="nil"/>
              <w:left w:val="nil"/>
              <w:bottom w:val="nil"/>
              <w:right w:val="nil"/>
            </w:tcBorders>
            <w:shd w:val="clear" w:color="auto" w:fill="auto"/>
            <w:noWrap/>
            <w:vAlign w:val="bottom"/>
            <w:hideMark/>
          </w:tcPr>
          <w:p w14:paraId="28F07A3A"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1962</w:t>
            </w:r>
          </w:p>
        </w:tc>
        <w:tc>
          <w:tcPr>
            <w:tcW w:w="1822" w:type="dxa"/>
            <w:tcBorders>
              <w:top w:val="nil"/>
              <w:left w:val="nil"/>
              <w:bottom w:val="nil"/>
              <w:right w:val="nil"/>
            </w:tcBorders>
            <w:shd w:val="clear" w:color="auto" w:fill="auto"/>
            <w:noWrap/>
            <w:vAlign w:val="bottom"/>
            <w:hideMark/>
          </w:tcPr>
          <w:p w14:paraId="2C8DBD5E"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Rhizomatous</w:t>
            </w:r>
          </w:p>
        </w:tc>
      </w:tr>
      <w:tr w:rsidR="00FE0D9E" w:rsidRPr="001C516A" w14:paraId="67189EEA"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14131CFF"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supina</w:t>
            </w:r>
          </w:p>
        </w:tc>
        <w:tc>
          <w:tcPr>
            <w:tcW w:w="1615" w:type="dxa"/>
            <w:tcBorders>
              <w:top w:val="nil"/>
              <w:left w:val="nil"/>
              <w:bottom w:val="nil"/>
              <w:right w:val="nil"/>
            </w:tcBorders>
            <w:shd w:val="clear" w:color="auto" w:fill="auto"/>
            <w:noWrap/>
            <w:vAlign w:val="bottom"/>
            <w:hideMark/>
          </w:tcPr>
          <w:p w14:paraId="3C4C2CF7"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Supranova</w:t>
            </w:r>
          </w:p>
        </w:tc>
        <w:tc>
          <w:tcPr>
            <w:tcW w:w="1765" w:type="dxa"/>
            <w:tcBorders>
              <w:top w:val="nil"/>
              <w:left w:val="nil"/>
              <w:bottom w:val="nil"/>
              <w:right w:val="nil"/>
            </w:tcBorders>
            <w:shd w:val="clear" w:color="auto" w:fill="auto"/>
            <w:noWrap/>
            <w:vAlign w:val="bottom"/>
            <w:hideMark/>
          </w:tcPr>
          <w:p w14:paraId="5165E0C3"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NA</w:t>
            </w:r>
          </w:p>
        </w:tc>
        <w:tc>
          <w:tcPr>
            <w:tcW w:w="1263" w:type="dxa"/>
            <w:tcBorders>
              <w:top w:val="nil"/>
              <w:left w:val="nil"/>
              <w:bottom w:val="nil"/>
              <w:right w:val="nil"/>
            </w:tcBorders>
            <w:shd w:val="clear" w:color="auto" w:fill="auto"/>
            <w:noWrap/>
            <w:vAlign w:val="bottom"/>
            <w:hideMark/>
          </w:tcPr>
          <w:p w14:paraId="4C6C7B4C"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NA</w:t>
            </w:r>
          </w:p>
        </w:tc>
        <w:tc>
          <w:tcPr>
            <w:tcW w:w="1822" w:type="dxa"/>
            <w:tcBorders>
              <w:top w:val="nil"/>
              <w:left w:val="nil"/>
              <w:bottom w:val="nil"/>
              <w:right w:val="nil"/>
            </w:tcBorders>
            <w:shd w:val="clear" w:color="auto" w:fill="auto"/>
            <w:noWrap/>
            <w:vAlign w:val="bottom"/>
            <w:hideMark/>
          </w:tcPr>
          <w:p w14:paraId="78C2E002"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Stoloniferous</w:t>
            </w:r>
          </w:p>
        </w:tc>
      </w:tr>
      <w:tr w:rsidR="00FE0D9E" w:rsidRPr="001C516A" w14:paraId="613AEE9A"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36957051"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trivialis</w:t>
            </w:r>
          </w:p>
        </w:tc>
        <w:tc>
          <w:tcPr>
            <w:tcW w:w="1615" w:type="dxa"/>
            <w:tcBorders>
              <w:top w:val="nil"/>
              <w:left w:val="nil"/>
              <w:bottom w:val="nil"/>
              <w:right w:val="nil"/>
            </w:tcBorders>
            <w:shd w:val="clear" w:color="auto" w:fill="auto"/>
            <w:noWrap/>
            <w:vAlign w:val="bottom"/>
            <w:hideMark/>
          </w:tcPr>
          <w:p w14:paraId="1E02B030"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CR-91</w:t>
            </w:r>
          </w:p>
        </w:tc>
        <w:tc>
          <w:tcPr>
            <w:tcW w:w="1765" w:type="dxa"/>
            <w:tcBorders>
              <w:top w:val="nil"/>
              <w:left w:val="nil"/>
              <w:bottom w:val="nil"/>
              <w:right w:val="nil"/>
            </w:tcBorders>
            <w:shd w:val="clear" w:color="auto" w:fill="auto"/>
            <w:noWrap/>
            <w:vAlign w:val="bottom"/>
            <w:hideMark/>
          </w:tcPr>
          <w:p w14:paraId="682DF654"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NA</w:t>
            </w:r>
          </w:p>
        </w:tc>
        <w:tc>
          <w:tcPr>
            <w:tcW w:w="1263" w:type="dxa"/>
            <w:tcBorders>
              <w:top w:val="nil"/>
              <w:left w:val="nil"/>
              <w:bottom w:val="nil"/>
              <w:right w:val="nil"/>
            </w:tcBorders>
            <w:shd w:val="clear" w:color="auto" w:fill="auto"/>
            <w:noWrap/>
            <w:vAlign w:val="bottom"/>
            <w:hideMark/>
          </w:tcPr>
          <w:p w14:paraId="464FED00"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NA</w:t>
            </w:r>
          </w:p>
        </w:tc>
        <w:tc>
          <w:tcPr>
            <w:tcW w:w="1822" w:type="dxa"/>
            <w:tcBorders>
              <w:top w:val="nil"/>
              <w:left w:val="nil"/>
              <w:bottom w:val="nil"/>
              <w:right w:val="nil"/>
            </w:tcBorders>
            <w:shd w:val="clear" w:color="auto" w:fill="auto"/>
            <w:noWrap/>
            <w:vAlign w:val="bottom"/>
            <w:hideMark/>
          </w:tcPr>
          <w:p w14:paraId="0343F5D7"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Stoloniferous</w:t>
            </w:r>
          </w:p>
        </w:tc>
      </w:tr>
      <w:tr w:rsidR="00FE0D9E" w:rsidRPr="001C516A" w14:paraId="1E48BD40"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2CE07E50"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trivialis</w:t>
            </w:r>
          </w:p>
        </w:tc>
        <w:tc>
          <w:tcPr>
            <w:tcW w:w="1615" w:type="dxa"/>
            <w:tcBorders>
              <w:top w:val="nil"/>
              <w:left w:val="nil"/>
              <w:bottom w:val="nil"/>
              <w:right w:val="nil"/>
            </w:tcBorders>
            <w:shd w:val="clear" w:color="auto" w:fill="auto"/>
            <w:noWrap/>
            <w:vAlign w:val="bottom"/>
            <w:hideMark/>
          </w:tcPr>
          <w:p w14:paraId="3B5A90EA"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WSGC</w:t>
            </w:r>
          </w:p>
        </w:tc>
        <w:tc>
          <w:tcPr>
            <w:tcW w:w="1765" w:type="dxa"/>
            <w:tcBorders>
              <w:top w:val="nil"/>
              <w:left w:val="nil"/>
              <w:bottom w:val="nil"/>
              <w:right w:val="nil"/>
            </w:tcBorders>
            <w:shd w:val="clear" w:color="auto" w:fill="auto"/>
            <w:noWrap/>
            <w:vAlign w:val="bottom"/>
            <w:hideMark/>
          </w:tcPr>
          <w:p w14:paraId="1C763049"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Tennessee</w:t>
            </w:r>
          </w:p>
        </w:tc>
        <w:tc>
          <w:tcPr>
            <w:tcW w:w="1263" w:type="dxa"/>
            <w:tcBorders>
              <w:top w:val="nil"/>
              <w:left w:val="nil"/>
              <w:bottom w:val="nil"/>
              <w:right w:val="nil"/>
            </w:tcBorders>
            <w:shd w:val="clear" w:color="auto" w:fill="auto"/>
            <w:noWrap/>
            <w:vAlign w:val="bottom"/>
            <w:hideMark/>
          </w:tcPr>
          <w:p w14:paraId="7D271ABC"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NA</w:t>
            </w:r>
          </w:p>
        </w:tc>
        <w:tc>
          <w:tcPr>
            <w:tcW w:w="1822" w:type="dxa"/>
            <w:tcBorders>
              <w:top w:val="nil"/>
              <w:left w:val="nil"/>
              <w:bottom w:val="nil"/>
              <w:right w:val="nil"/>
            </w:tcBorders>
            <w:shd w:val="clear" w:color="auto" w:fill="auto"/>
            <w:noWrap/>
            <w:vAlign w:val="bottom"/>
            <w:hideMark/>
          </w:tcPr>
          <w:p w14:paraId="6039A3AB"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Stoloniferous</w:t>
            </w:r>
          </w:p>
        </w:tc>
      </w:tr>
      <w:tr w:rsidR="00FE0D9E" w:rsidRPr="001C516A" w14:paraId="01CD499B"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679109D4"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trivialis</w:t>
            </w:r>
          </w:p>
        </w:tc>
        <w:tc>
          <w:tcPr>
            <w:tcW w:w="1615" w:type="dxa"/>
            <w:tcBorders>
              <w:top w:val="nil"/>
              <w:left w:val="nil"/>
              <w:bottom w:val="nil"/>
              <w:right w:val="nil"/>
            </w:tcBorders>
            <w:shd w:val="clear" w:color="auto" w:fill="auto"/>
            <w:noWrap/>
            <w:vAlign w:val="bottom"/>
            <w:hideMark/>
          </w:tcPr>
          <w:p w14:paraId="4232F217" w14:textId="77777777" w:rsidR="00FE0D9E" w:rsidRPr="001C516A" w:rsidRDefault="00FE0D9E"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CCC</w:t>
            </w:r>
          </w:p>
        </w:tc>
        <w:tc>
          <w:tcPr>
            <w:tcW w:w="1765" w:type="dxa"/>
            <w:tcBorders>
              <w:top w:val="nil"/>
              <w:left w:val="nil"/>
              <w:bottom w:val="nil"/>
              <w:right w:val="nil"/>
            </w:tcBorders>
            <w:shd w:val="clear" w:color="auto" w:fill="auto"/>
            <w:noWrap/>
            <w:vAlign w:val="bottom"/>
            <w:hideMark/>
          </w:tcPr>
          <w:p w14:paraId="377E41A9"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Tennessee</w:t>
            </w:r>
          </w:p>
        </w:tc>
        <w:tc>
          <w:tcPr>
            <w:tcW w:w="1263" w:type="dxa"/>
            <w:tcBorders>
              <w:top w:val="nil"/>
              <w:left w:val="nil"/>
              <w:bottom w:val="nil"/>
              <w:right w:val="nil"/>
            </w:tcBorders>
            <w:shd w:val="clear" w:color="auto" w:fill="auto"/>
            <w:noWrap/>
            <w:vAlign w:val="bottom"/>
            <w:hideMark/>
          </w:tcPr>
          <w:p w14:paraId="01A9BA0E"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NA</w:t>
            </w:r>
          </w:p>
        </w:tc>
        <w:tc>
          <w:tcPr>
            <w:tcW w:w="1822" w:type="dxa"/>
            <w:tcBorders>
              <w:top w:val="nil"/>
              <w:left w:val="nil"/>
              <w:bottom w:val="nil"/>
              <w:right w:val="nil"/>
            </w:tcBorders>
            <w:shd w:val="clear" w:color="auto" w:fill="auto"/>
            <w:noWrap/>
            <w:vAlign w:val="bottom"/>
            <w:hideMark/>
          </w:tcPr>
          <w:p w14:paraId="67534D67"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Stoloniferous</w:t>
            </w:r>
          </w:p>
        </w:tc>
      </w:tr>
      <w:tr w:rsidR="00FE0D9E" w:rsidRPr="001C516A" w14:paraId="7A91DAC2" w14:textId="77777777" w:rsidTr="001C516A">
        <w:trPr>
          <w:trHeight w:val="315"/>
          <w:jc w:val="center"/>
        </w:trPr>
        <w:tc>
          <w:tcPr>
            <w:tcW w:w="2516" w:type="dxa"/>
            <w:tcBorders>
              <w:top w:val="nil"/>
              <w:left w:val="nil"/>
              <w:right w:val="nil"/>
            </w:tcBorders>
            <w:shd w:val="clear" w:color="auto" w:fill="auto"/>
            <w:noWrap/>
            <w:vAlign w:val="bottom"/>
            <w:hideMark/>
          </w:tcPr>
          <w:p w14:paraId="3B8D6E70" w14:textId="77777777" w:rsidR="00FE0D9E" w:rsidRPr="001C516A" w:rsidRDefault="00FE0D9E"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spp.</w:t>
            </w:r>
          </w:p>
        </w:tc>
        <w:tc>
          <w:tcPr>
            <w:tcW w:w="1615" w:type="dxa"/>
            <w:tcBorders>
              <w:top w:val="nil"/>
              <w:left w:val="nil"/>
              <w:right w:val="nil"/>
            </w:tcBorders>
            <w:shd w:val="clear" w:color="auto" w:fill="auto"/>
            <w:noWrap/>
            <w:vAlign w:val="bottom"/>
            <w:hideMark/>
          </w:tcPr>
          <w:p w14:paraId="3BD2A232"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W6 13033</w:t>
            </w:r>
          </w:p>
        </w:tc>
        <w:tc>
          <w:tcPr>
            <w:tcW w:w="1765" w:type="dxa"/>
            <w:tcBorders>
              <w:top w:val="nil"/>
              <w:left w:val="nil"/>
              <w:right w:val="nil"/>
            </w:tcBorders>
            <w:shd w:val="clear" w:color="auto" w:fill="auto"/>
            <w:noWrap/>
            <w:vAlign w:val="bottom"/>
            <w:hideMark/>
          </w:tcPr>
          <w:p w14:paraId="1AA52B0A"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China</w:t>
            </w:r>
          </w:p>
        </w:tc>
        <w:tc>
          <w:tcPr>
            <w:tcW w:w="1263" w:type="dxa"/>
            <w:tcBorders>
              <w:top w:val="nil"/>
              <w:left w:val="nil"/>
              <w:right w:val="nil"/>
            </w:tcBorders>
            <w:shd w:val="clear" w:color="auto" w:fill="auto"/>
            <w:noWrap/>
            <w:vAlign w:val="bottom"/>
            <w:hideMark/>
          </w:tcPr>
          <w:p w14:paraId="4D70CE10"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1993</w:t>
            </w:r>
          </w:p>
        </w:tc>
        <w:tc>
          <w:tcPr>
            <w:tcW w:w="1822" w:type="dxa"/>
            <w:tcBorders>
              <w:top w:val="nil"/>
              <w:left w:val="nil"/>
              <w:right w:val="nil"/>
            </w:tcBorders>
            <w:shd w:val="clear" w:color="auto" w:fill="auto"/>
            <w:noWrap/>
            <w:vAlign w:val="bottom"/>
            <w:hideMark/>
          </w:tcPr>
          <w:p w14:paraId="7B9E14D3" w14:textId="77777777" w:rsidR="00FE0D9E" w:rsidRPr="001C516A" w:rsidRDefault="00FE0D9E"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FE0D9E" w:rsidRPr="001C516A" w14:paraId="498E8D94" w14:textId="77777777" w:rsidTr="001C516A">
        <w:trPr>
          <w:trHeight w:val="315"/>
          <w:jc w:val="center"/>
        </w:trPr>
        <w:tc>
          <w:tcPr>
            <w:tcW w:w="8981" w:type="dxa"/>
            <w:gridSpan w:val="5"/>
            <w:tcBorders>
              <w:top w:val="nil"/>
              <w:left w:val="nil"/>
              <w:bottom w:val="single" w:sz="4" w:space="0" w:color="auto"/>
              <w:right w:val="nil"/>
            </w:tcBorders>
            <w:shd w:val="clear" w:color="auto" w:fill="auto"/>
            <w:noWrap/>
            <w:vAlign w:val="bottom"/>
          </w:tcPr>
          <w:p w14:paraId="48824B46" w14:textId="77777777" w:rsidR="00FE0D9E" w:rsidRPr="001C516A" w:rsidRDefault="00FE0D9E" w:rsidP="00FE0D9E">
            <w:pPr>
              <w:spacing w:after="0" w:line="240" w:lineRule="auto"/>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lastRenderedPageBreak/>
              <w:t>Table</w:t>
            </w:r>
            <w:r w:rsidR="001C516A" w:rsidRPr="001C516A">
              <w:rPr>
                <w:rFonts w:ascii="Times New Roman" w:eastAsia="Times New Roman" w:hAnsi="Times New Roman" w:cs="Times New Roman"/>
                <w:b/>
                <w:color w:val="000000"/>
                <w:sz w:val="24"/>
                <w:szCs w:val="24"/>
              </w:rPr>
              <w:t xml:space="preserve"> 2.1. Continued.</w:t>
            </w:r>
          </w:p>
        </w:tc>
      </w:tr>
      <w:tr w:rsidR="001C516A" w:rsidRPr="001C516A" w14:paraId="00960359" w14:textId="77777777" w:rsidTr="001C516A">
        <w:trPr>
          <w:trHeight w:val="315"/>
          <w:jc w:val="center"/>
        </w:trPr>
        <w:tc>
          <w:tcPr>
            <w:tcW w:w="2516" w:type="dxa"/>
            <w:tcBorders>
              <w:top w:val="single" w:sz="4" w:space="0" w:color="auto"/>
              <w:left w:val="nil"/>
              <w:bottom w:val="single" w:sz="4" w:space="0" w:color="auto"/>
              <w:right w:val="nil"/>
            </w:tcBorders>
            <w:shd w:val="clear" w:color="auto" w:fill="auto"/>
            <w:noWrap/>
            <w:vAlign w:val="bottom"/>
          </w:tcPr>
          <w:p w14:paraId="7CDA35BD" w14:textId="77777777" w:rsidR="001C516A" w:rsidRPr="001C516A" w:rsidRDefault="001C516A" w:rsidP="00F368ED">
            <w:pPr>
              <w:spacing w:after="0" w:line="240" w:lineRule="auto"/>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Species</w:t>
            </w:r>
          </w:p>
        </w:tc>
        <w:tc>
          <w:tcPr>
            <w:tcW w:w="1615" w:type="dxa"/>
            <w:tcBorders>
              <w:top w:val="single" w:sz="4" w:space="0" w:color="auto"/>
              <w:left w:val="nil"/>
              <w:bottom w:val="single" w:sz="4" w:space="0" w:color="auto"/>
              <w:right w:val="nil"/>
            </w:tcBorders>
            <w:shd w:val="clear" w:color="auto" w:fill="auto"/>
            <w:noWrap/>
            <w:vAlign w:val="bottom"/>
          </w:tcPr>
          <w:p w14:paraId="5A4C7EBB" w14:textId="77777777" w:rsidR="001C516A" w:rsidRPr="001C516A" w:rsidRDefault="001C516A"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Identifier</w:t>
            </w:r>
          </w:p>
        </w:tc>
        <w:tc>
          <w:tcPr>
            <w:tcW w:w="1765" w:type="dxa"/>
            <w:tcBorders>
              <w:top w:val="single" w:sz="4" w:space="0" w:color="auto"/>
              <w:left w:val="nil"/>
              <w:bottom w:val="single" w:sz="4" w:space="0" w:color="auto"/>
              <w:right w:val="nil"/>
            </w:tcBorders>
            <w:shd w:val="clear" w:color="auto" w:fill="auto"/>
            <w:noWrap/>
            <w:vAlign w:val="bottom"/>
          </w:tcPr>
          <w:p w14:paraId="43A6BB80" w14:textId="77777777" w:rsidR="001C516A" w:rsidRPr="001C516A" w:rsidRDefault="001C516A"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Origin</w:t>
            </w:r>
          </w:p>
        </w:tc>
        <w:tc>
          <w:tcPr>
            <w:tcW w:w="1263" w:type="dxa"/>
            <w:tcBorders>
              <w:top w:val="single" w:sz="4" w:space="0" w:color="auto"/>
              <w:left w:val="nil"/>
              <w:bottom w:val="single" w:sz="4" w:space="0" w:color="auto"/>
              <w:right w:val="nil"/>
            </w:tcBorders>
            <w:shd w:val="clear" w:color="auto" w:fill="auto"/>
            <w:noWrap/>
            <w:vAlign w:val="bottom"/>
          </w:tcPr>
          <w:p w14:paraId="6E740918" w14:textId="77777777" w:rsidR="001C516A" w:rsidRPr="001C516A" w:rsidRDefault="001C516A" w:rsidP="00F368ED">
            <w:pPr>
              <w:spacing w:after="0" w:line="240" w:lineRule="auto"/>
              <w:jc w:val="center"/>
              <w:rPr>
                <w:rFonts w:ascii="Times New Roman" w:eastAsia="Times New Roman" w:hAnsi="Times New Roman" w:cs="Times New Roman"/>
                <w:b/>
                <w:sz w:val="24"/>
                <w:szCs w:val="24"/>
              </w:rPr>
            </w:pPr>
            <w:r w:rsidRPr="001C516A">
              <w:rPr>
                <w:rFonts w:ascii="Times New Roman" w:eastAsia="Times New Roman" w:hAnsi="Times New Roman" w:cs="Times New Roman"/>
                <w:b/>
                <w:sz w:val="24"/>
                <w:szCs w:val="24"/>
              </w:rPr>
              <w:t>Year</w:t>
            </w:r>
          </w:p>
        </w:tc>
        <w:tc>
          <w:tcPr>
            <w:tcW w:w="1822" w:type="dxa"/>
            <w:tcBorders>
              <w:top w:val="single" w:sz="4" w:space="0" w:color="auto"/>
              <w:left w:val="nil"/>
              <w:bottom w:val="single" w:sz="4" w:space="0" w:color="auto"/>
              <w:right w:val="nil"/>
            </w:tcBorders>
            <w:shd w:val="clear" w:color="auto" w:fill="auto"/>
            <w:noWrap/>
            <w:vAlign w:val="bottom"/>
          </w:tcPr>
          <w:p w14:paraId="748DD7A0"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Growth habit</w:t>
            </w:r>
          </w:p>
        </w:tc>
      </w:tr>
      <w:tr w:rsidR="001C516A" w:rsidRPr="001C516A" w14:paraId="06CAC75C" w14:textId="77777777" w:rsidTr="001C516A">
        <w:trPr>
          <w:trHeight w:val="315"/>
          <w:jc w:val="center"/>
        </w:trPr>
        <w:tc>
          <w:tcPr>
            <w:tcW w:w="2516" w:type="dxa"/>
            <w:tcBorders>
              <w:top w:val="single" w:sz="4" w:space="0" w:color="auto"/>
              <w:left w:val="nil"/>
              <w:bottom w:val="nil"/>
              <w:right w:val="nil"/>
            </w:tcBorders>
            <w:shd w:val="clear" w:color="auto" w:fill="auto"/>
            <w:noWrap/>
            <w:vAlign w:val="bottom"/>
            <w:hideMark/>
          </w:tcPr>
          <w:p w14:paraId="160B284E" w14:textId="77777777" w:rsidR="001C516A" w:rsidRPr="001C516A" w:rsidRDefault="001C516A"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spp.</w:t>
            </w:r>
          </w:p>
        </w:tc>
        <w:tc>
          <w:tcPr>
            <w:tcW w:w="1615" w:type="dxa"/>
            <w:tcBorders>
              <w:top w:val="single" w:sz="4" w:space="0" w:color="auto"/>
              <w:left w:val="nil"/>
              <w:bottom w:val="nil"/>
              <w:right w:val="nil"/>
            </w:tcBorders>
            <w:shd w:val="clear" w:color="auto" w:fill="auto"/>
            <w:noWrap/>
            <w:vAlign w:val="bottom"/>
            <w:hideMark/>
          </w:tcPr>
          <w:p w14:paraId="4515E9F1"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PI 204265</w:t>
            </w:r>
          </w:p>
        </w:tc>
        <w:tc>
          <w:tcPr>
            <w:tcW w:w="1765" w:type="dxa"/>
            <w:tcBorders>
              <w:top w:val="single" w:sz="4" w:space="0" w:color="auto"/>
              <w:left w:val="nil"/>
              <w:bottom w:val="nil"/>
              <w:right w:val="nil"/>
            </w:tcBorders>
            <w:shd w:val="clear" w:color="auto" w:fill="auto"/>
            <w:noWrap/>
            <w:vAlign w:val="bottom"/>
            <w:hideMark/>
          </w:tcPr>
          <w:p w14:paraId="74BC8AF7"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Argentina</w:t>
            </w:r>
          </w:p>
        </w:tc>
        <w:tc>
          <w:tcPr>
            <w:tcW w:w="1263" w:type="dxa"/>
            <w:tcBorders>
              <w:top w:val="single" w:sz="4" w:space="0" w:color="auto"/>
              <w:left w:val="nil"/>
              <w:bottom w:val="nil"/>
              <w:right w:val="nil"/>
            </w:tcBorders>
            <w:shd w:val="clear" w:color="auto" w:fill="auto"/>
            <w:noWrap/>
            <w:vAlign w:val="bottom"/>
            <w:hideMark/>
          </w:tcPr>
          <w:p w14:paraId="002C281C"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1952</w:t>
            </w:r>
          </w:p>
        </w:tc>
        <w:tc>
          <w:tcPr>
            <w:tcW w:w="1822" w:type="dxa"/>
            <w:tcBorders>
              <w:top w:val="single" w:sz="4" w:space="0" w:color="auto"/>
              <w:left w:val="nil"/>
              <w:bottom w:val="nil"/>
              <w:right w:val="nil"/>
            </w:tcBorders>
            <w:shd w:val="clear" w:color="auto" w:fill="auto"/>
            <w:noWrap/>
            <w:vAlign w:val="bottom"/>
            <w:hideMark/>
          </w:tcPr>
          <w:p w14:paraId="390B6FBF"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1C516A" w:rsidRPr="001C516A" w14:paraId="7A1F7DE7"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2C4ED589" w14:textId="77777777" w:rsidR="001C516A" w:rsidRPr="001C516A" w:rsidRDefault="001C516A"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spp.</w:t>
            </w:r>
          </w:p>
        </w:tc>
        <w:tc>
          <w:tcPr>
            <w:tcW w:w="1615" w:type="dxa"/>
            <w:tcBorders>
              <w:top w:val="nil"/>
              <w:left w:val="nil"/>
              <w:bottom w:val="nil"/>
              <w:right w:val="nil"/>
            </w:tcBorders>
            <w:shd w:val="clear" w:color="auto" w:fill="auto"/>
            <w:noWrap/>
            <w:vAlign w:val="bottom"/>
            <w:hideMark/>
          </w:tcPr>
          <w:p w14:paraId="6762BCB0"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PI 368993</w:t>
            </w:r>
          </w:p>
        </w:tc>
        <w:tc>
          <w:tcPr>
            <w:tcW w:w="1765" w:type="dxa"/>
            <w:tcBorders>
              <w:top w:val="nil"/>
              <w:left w:val="nil"/>
              <w:bottom w:val="nil"/>
              <w:right w:val="nil"/>
            </w:tcBorders>
            <w:shd w:val="clear" w:color="auto" w:fill="auto"/>
            <w:noWrap/>
            <w:vAlign w:val="bottom"/>
            <w:hideMark/>
          </w:tcPr>
          <w:p w14:paraId="51ED968F"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Chile</w:t>
            </w:r>
          </w:p>
        </w:tc>
        <w:tc>
          <w:tcPr>
            <w:tcW w:w="1263" w:type="dxa"/>
            <w:tcBorders>
              <w:top w:val="nil"/>
              <w:left w:val="nil"/>
              <w:bottom w:val="nil"/>
              <w:right w:val="nil"/>
            </w:tcBorders>
            <w:shd w:val="clear" w:color="auto" w:fill="auto"/>
            <w:noWrap/>
            <w:vAlign w:val="bottom"/>
            <w:hideMark/>
          </w:tcPr>
          <w:p w14:paraId="22B5D7FF"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1965</w:t>
            </w:r>
          </w:p>
        </w:tc>
        <w:tc>
          <w:tcPr>
            <w:tcW w:w="1822" w:type="dxa"/>
            <w:tcBorders>
              <w:top w:val="nil"/>
              <w:left w:val="nil"/>
              <w:bottom w:val="nil"/>
              <w:right w:val="nil"/>
            </w:tcBorders>
            <w:shd w:val="clear" w:color="auto" w:fill="auto"/>
            <w:noWrap/>
            <w:vAlign w:val="bottom"/>
            <w:hideMark/>
          </w:tcPr>
          <w:p w14:paraId="352C28A1"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Rhizomatous</w:t>
            </w:r>
          </w:p>
        </w:tc>
      </w:tr>
      <w:tr w:rsidR="001C516A" w:rsidRPr="001C516A" w14:paraId="5DD7445B"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252E09D2" w14:textId="77777777" w:rsidR="001C516A" w:rsidRPr="001C516A" w:rsidRDefault="001C516A"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 xml:space="preserve">P. spp </w:t>
            </w:r>
          </w:p>
        </w:tc>
        <w:tc>
          <w:tcPr>
            <w:tcW w:w="1615" w:type="dxa"/>
            <w:tcBorders>
              <w:top w:val="nil"/>
              <w:left w:val="nil"/>
              <w:bottom w:val="nil"/>
              <w:right w:val="nil"/>
            </w:tcBorders>
            <w:shd w:val="clear" w:color="auto" w:fill="auto"/>
            <w:noWrap/>
            <w:vAlign w:val="bottom"/>
            <w:hideMark/>
          </w:tcPr>
          <w:p w14:paraId="723B7D5A"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PI 598605</w:t>
            </w:r>
          </w:p>
        </w:tc>
        <w:tc>
          <w:tcPr>
            <w:tcW w:w="1765" w:type="dxa"/>
            <w:tcBorders>
              <w:top w:val="nil"/>
              <w:left w:val="nil"/>
              <w:bottom w:val="nil"/>
              <w:right w:val="nil"/>
            </w:tcBorders>
            <w:shd w:val="clear" w:color="auto" w:fill="auto"/>
            <w:noWrap/>
            <w:vAlign w:val="bottom"/>
            <w:hideMark/>
          </w:tcPr>
          <w:p w14:paraId="6F44CB25"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Kazakhstan</w:t>
            </w:r>
          </w:p>
        </w:tc>
        <w:tc>
          <w:tcPr>
            <w:tcW w:w="1263" w:type="dxa"/>
            <w:tcBorders>
              <w:top w:val="nil"/>
              <w:left w:val="nil"/>
              <w:bottom w:val="nil"/>
              <w:right w:val="nil"/>
            </w:tcBorders>
            <w:shd w:val="clear" w:color="auto" w:fill="auto"/>
            <w:noWrap/>
            <w:vAlign w:val="bottom"/>
            <w:hideMark/>
          </w:tcPr>
          <w:p w14:paraId="3D32488C"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1992</w:t>
            </w:r>
          </w:p>
        </w:tc>
        <w:tc>
          <w:tcPr>
            <w:tcW w:w="1822" w:type="dxa"/>
            <w:tcBorders>
              <w:top w:val="nil"/>
              <w:left w:val="nil"/>
              <w:bottom w:val="nil"/>
              <w:right w:val="nil"/>
            </w:tcBorders>
            <w:shd w:val="clear" w:color="auto" w:fill="auto"/>
            <w:noWrap/>
            <w:vAlign w:val="bottom"/>
            <w:hideMark/>
          </w:tcPr>
          <w:p w14:paraId="4D15F14F"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1C516A" w:rsidRPr="001C516A" w14:paraId="68EA78C7"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26663D0A" w14:textId="77777777" w:rsidR="001C516A" w:rsidRPr="001C516A" w:rsidRDefault="001C516A"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spp.</w:t>
            </w:r>
          </w:p>
        </w:tc>
        <w:tc>
          <w:tcPr>
            <w:tcW w:w="1615" w:type="dxa"/>
            <w:tcBorders>
              <w:top w:val="nil"/>
              <w:left w:val="nil"/>
              <w:bottom w:val="nil"/>
              <w:right w:val="nil"/>
            </w:tcBorders>
            <w:shd w:val="clear" w:color="auto" w:fill="auto"/>
            <w:noWrap/>
            <w:vAlign w:val="bottom"/>
            <w:hideMark/>
          </w:tcPr>
          <w:p w14:paraId="3B406447"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PI 619511</w:t>
            </w:r>
          </w:p>
        </w:tc>
        <w:tc>
          <w:tcPr>
            <w:tcW w:w="1765" w:type="dxa"/>
            <w:tcBorders>
              <w:top w:val="nil"/>
              <w:left w:val="nil"/>
              <w:bottom w:val="nil"/>
              <w:right w:val="nil"/>
            </w:tcBorders>
            <w:shd w:val="clear" w:color="auto" w:fill="auto"/>
            <w:noWrap/>
            <w:vAlign w:val="bottom"/>
            <w:hideMark/>
          </w:tcPr>
          <w:p w14:paraId="3053C1C0"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 xml:space="preserve">Turkey </w:t>
            </w:r>
          </w:p>
        </w:tc>
        <w:tc>
          <w:tcPr>
            <w:tcW w:w="1263" w:type="dxa"/>
            <w:tcBorders>
              <w:top w:val="nil"/>
              <w:left w:val="nil"/>
              <w:bottom w:val="nil"/>
              <w:right w:val="nil"/>
            </w:tcBorders>
            <w:shd w:val="clear" w:color="auto" w:fill="auto"/>
            <w:noWrap/>
            <w:vAlign w:val="bottom"/>
            <w:hideMark/>
          </w:tcPr>
          <w:p w14:paraId="183CA0F1"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1994</w:t>
            </w:r>
          </w:p>
        </w:tc>
        <w:tc>
          <w:tcPr>
            <w:tcW w:w="1822" w:type="dxa"/>
            <w:tcBorders>
              <w:top w:val="nil"/>
              <w:left w:val="nil"/>
              <w:bottom w:val="nil"/>
              <w:right w:val="nil"/>
            </w:tcBorders>
            <w:shd w:val="clear" w:color="auto" w:fill="auto"/>
            <w:noWrap/>
            <w:vAlign w:val="bottom"/>
            <w:hideMark/>
          </w:tcPr>
          <w:p w14:paraId="68F70E3F"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1C516A" w:rsidRPr="001C516A" w14:paraId="26F48BFE" w14:textId="77777777" w:rsidTr="00F368ED">
        <w:trPr>
          <w:trHeight w:val="315"/>
          <w:jc w:val="center"/>
        </w:trPr>
        <w:tc>
          <w:tcPr>
            <w:tcW w:w="2516" w:type="dxa"/>
            <w:tcBorders>
              <w:top w:val="nil"/>
              <w:left w:val="nil"/>
              <w:bottom w:val="nil"/>
              <w:right w:val="nil"/>
            </w:tcBorders>
            <w:shd w:val="clear" w:color="auto" w:fill="auto"/>
            <w:noWrap/>
            <w:vAlign w:val="bottom"/>
            <w:hideMark/>
          </w:tcPr>
          <w:p w14:paraId="062847BB" w14:textId="77777777" w:rsidR="001C516A" w:rsidRPr="001C516A" w:rsidRDefault="001C516A"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spp.</w:t>
            </w:r>
          </w:p>
        </w:tc>
        <w:tc>
          <w:tcPr>
            <w:tcW w:w="1615" w:type="dxa"/>
            <w:tcBorders>
              <w:top w:val="nil"/>
              <w:left w:val="nil"/>
              <w:bottom w:val="nil"/>
              <w:right w:val="nil"/>
            </w:tcBorders>
            <w:shd w:val="clear" w:color="auto" w:fill="auto"/>
            <w:noWrap/>
            <w:vAlign w:val="bottom"/>
            <w:hideMark/>
          </w:tcPr>
          <w:p w14:paraId="525497D1"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PI 632504</w:t>
            </w:r>
          </w:p>
        </w:tc>
        <w:tc>
          <w:tcPr>
            <w:tcW w:w="1765" w:type="dxa"/>
            <w:tcBorders>
              <w:top w:val="nil"/>
              <w:left w:val="nil"/>
              <w:bottom w:val="nil"/>
              <w:right w:val="nil"/>
            </w:tcBorders>
            <w:shd w:val="clear" w:color="auto" w:fill="auto"/>
            <w:noWrap/>
            <w:vAlign w:val="bottom"/>
            <w:hideMark/>
          </w:tcPr>
          <w:p w14:paraId="12510053"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Bulgaria</w:t>
            </w:r>
          </w:p>
        </w:tc>
        <w:tc>
          <w:tcPr>
            <w:tcW w:w="1263" w:type="dxa"/>
            <w:tcBorders>
              <w:top w:val="nil"/>
              <w:left w:val="nil"/>
              <w:bottom w:val="nil"/>
              <w:right w:val="nil"/>
            </w:tcBorders>
            <w:shd w:val="clear" w:color="auto" w:fill="auto"/>
            <w:noWrap/>
            <w:vAlign w:val="bottom"/>
            <w:hideMark/>
          </w:tcPr>
          <w:p w14:paraId="488629FF"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1996</w:t>
            </w:r>
          </w:p>
        </w:tc>
        <w:tc>
          <w:tcPr>
            <w:tcW w:w="1822" w:type="dxa"/>
            <w:tcBorders>
              <w:top w:val="nil"/>
              <w:left w:val="nil"/>
              <w:bottom w:val="nil"/>
              <w:right w:val="nil"/>
            </w:tcBorders>
            <w:shd w:val="clear" w:color="auto" w:fill="auto"/>
            <w:noWrap/>
            <w:vAlign w:val="bottom"/>
            <w:hideMark/>
          </w:tcPr>
          <w:p w14:paraId="5E05FE2A"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r w:rsidR="001C516A" w:rsidRPr="001C516A" w14:paraId="3148517F" w14:textId="77777777" w:rsidTr="00F368ED">
        <w:trPr>
          <w:trHeight w:val="315"/>
          <w:jc w:val="center"/>
        </w:trPr>
        <w:tc>
          <w:tcPr>
            <w:tcW w:w="2516" w:type="dxa"/>
            <w:tcBorders>
              <w:top w:val="nil"/>
              <w:left w:val="nil"/>
              <w:bottom w:val="single" w:sz="4" w:space="0" w:color="auto"/>
              <w:right w:val="nil"/>
            </w:tcBorders>
            <w:shd w:val="clear" w:color="auto" w:fill="auto"/>
            <w:noWrap/>
            <w:vAlign w:val="bottom"/>
            <w:hideMark/>
          </w:tcPr>
          <w:p w14:paraId="0EAB56FC" w14:textId="77777777" w:rsidR="001C516A" w:rsidRPr="001C516A" w:rsidRDefault="001C516A" w:rsidP="00F368ED">
            <w:pPr>
              <w:spacing w:after="0" w:line="240" w:lineRule="auto"/>
              <w:rPr>
                <w:rFonts w:ascii="Calibri" w:eastAsia="Times New Roman" w:hAnsi="Calibri" w:cs="Times New Roman"/>
                <w:b/>
                <w:i/>
                <w:color w:val="000000"/>
              </w:rPr>
            </w:pPr>
            <w:r w:rsidRPr="001C516A">
              <w:rPr>
                <w:rFonts w:ascii="Calibri" w:eastAsia="Times New Roman" w:hAnsi="Calibri" w:cs="Times New Roman"/>
                <w:b/>
                <w:i/>
                <w:color w:val="000000"/>
              </w:rPr>
              <w:t>P. spp.</w:t>
            </w:r>
          </w:p>
        </w:tc>
        <w:tc>
          <w:tcPr>
            <w:tcW w:w="1615" w:type="dxa"/>
            <w:tcBorders>
              <w:top w:val="nil"/>
              <w:left w:val="nil"/>
              <w:bottom w:val="single" w:sz="4" w:space="0" w:color="auto"/>
              <w:right w:val="nil"/>
            </w:tcBorders>
            <w:shd w:val="clear" w:color="auto" w:fill="auto"/>
            <w:noWrap/>
            <w:vAlign w:val="bottom"/>
            <w:hideMark/>
          </w:tcPr>
          <w:p w14:paraId="5E34AE81"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PI 655177</w:t>
            </w:r>
          </w:p>
        </w:tc>
        <w:tc>
          <w:tcPr>
            <w:tcW w:w="1765" w:type="dxa"/>
            <w:tcBorders>
              <w:top w:val="nil"/>
              <w:left w:val="nil"/>
              <w:bottom w:val="single" w:sz="4" w:space="0" w:color="auto"/>
              <w:right w:val="nil"/>
            </w:tcBorders>
            <w:shd w:val="clear" w:color="auto" w:fill="auto"/>
            <w:noWrap/>
            <w:vAlign w:val="bottom"/>
            <w:hideMark/>
          </w:tcPr>
          <w:p w14:paraId="2617641B"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Agrentina</w:t>
            </w:r>
          </w:p>
        </w:tc>
        <w:tc>
          <w:tcPr>
            <w:tcW w:w="1263" w:type="dxa"/>
            <w:tcBorders>
              <w:top w:val="nil"/>
              <w:left w:val="nil"/>
              <w:bottom w:val="single" w:sz="4" w:space="0" w:color="auto"/>
              <w:right w:val="nil"/>
            </w:tcBorders>
            <w:shd w:val="clear" w:color="auto" w:fill="auto"/>
            <w:noWrap/>
            <w:vAlign w:val="bottom"/>
            <w:hideMark/>
          </w:tcPr>
          <w:p w14:paraId="6A682018"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1996</w:t>
            </w:r>
          </w:p>
        </w:tc>
        <w:tc>
          <w:tcPr>
            <w:tcW w:w="1822" w:type="dxa"/>
            <w:tcBorders>
              <w:top w:val="nil"/>
              <w:left w:val="nil"/>
              <w:bottom w:val="single" w:sz="4" w:space="0" w:color="auto"/>
              <w:right w:val="nil"/>
            </w:tcBorders>
            <w:shd w:val="clear" w:color="auto" w:fill="auto"/>
            <w:noWrap/>
            <w:vAlign w:val="bottom"/>
            <w:hideMark/>
          </w:tcPr>
          <w:p w14:paraId="37A43314" w14:textId="77777777" w:rsidR="001C516A" w:rsidRPr="001C516A" w:rsidRDefault="001C516A" w:rsidP="00F368ED">
            <w:pPr>
              <w:spacing w:after="0" w:line="240" w:lineRule="auto"/>
              <w:jc w:val="center"/>
              <w:rPr>
                <w:rFonts w:ascii="Times New Roman" w:eastAsia="Times New Roman" w:hAnsi="Times New Roman" w:cs="Times New Roman"/>
                <w:b/>
                <w:color w:val="000000"/>
                <w:sz w:val="24"/>
                <w:szCs w:val="24"/>
              </w:rPr>
            </w:pPr>
            <w:r w:rsidRPr="001C516A">
              <w:rPr>
                <w:rFonts w:ascii="Times New Roman" w:eastAsia="Times New Roman" w:hAnsi="Times New Roman" w:cs="Times New Roman"/>
                <w:b/>
                <w:color w:val="000000"/>
                <w:sz w:val="24"/>
                <w:szCs w:val="24"/>
              </w:rPr>
              <w:t>Bunch</w:t>
            </w:r>
          </w:p>
        </w:tc>
      </w:tr>
    </w:tbl>
    <w:p w14:paraId="3E6B36B3" w14:textId="77777777" w:rsidR="00FE0D9E" w:rsidRDefault="00FE0D9E"/>
    <w:p w14:paraId="321E4865" w14:textId="77777777" w:rsidR="00FE0D9E" w:rsidRDefault="00FE0D9E"/>
    <w:p w14:paraId="4ECC1C96" w14:textId="77777777" w:rsidR="00FE0D9E" w:rsidRDefault="00FE0D9E"/>
    <w:p w14:paraId="077194CA" w14:textId="77777777" w:rsidR="00FE0D9E" w:rsidRDefault="00FE0D9E">
      <w:pPr>
        <w:sectPr w:rsidR="00FE0D9E" w:rsidSect="00BD5F34">
          <w:headerReference w:type="default" r:id="rId11"/>
          <w:footerReference w:type="default" r:id="rId12"/>
          <w:pgSz w:w="12240" w:h="15840"/>
          <w:pgMar w:top="1440" w:right="1440" w:bottom="1440" w:left="1440" w:header="720" w:footer="720" w:gutter="0"/>
          <w:pgNumType w:start="1"/>
          <w:cols w:space="720"/>
          <w:docGrid w:linePitch="360"/>
        </w:sectPr>
      </w:pPr>
    </w:p>
    <w:tbl>
      <w:tblPr>
        <w:tblW w:w="11692" w:type="dxa"/>
        <w:jc w:val="center"/>
        <w:tblInd w:w="86" w:type="dxa"/>
        <w:tblLook w:val="04A0" w:firstRow="1" w:lastRow="0" w:firstColumn="1" w:lastColumn="0" w:noHBand="0" w:noVBand="1"/>
      </w:tblPr>
      <w:tblGrid>
        <w:gridCol w:w="1630"/>
        <w:gridCol w:w="2289"/>
        <w:gridCol w:w="440"/>
        <w:gridCol w:w="636"/>
        <w:gridCol w:w="603"/>
        <w:gridCol w:w="589"/>
        <w:gridCol w:w="589"/>
        <w:gridCol w:w="658"/>
        <w:gridCol w:w="589"/>
        <w:gridCol w:w="695"/>
        <w:gridCol w:w="589"/>
        <w:gridCol w:w="589"/>
        <w:gridCol w:w="618"/>
        <w:gridCol w:w="589"/>
        <w:gridCol w:w="589"/>
      </w:tblGrid>
      <w:tr w:rsidR="00B0077C" w:rsidRPr="00FF758F" w14:paraId="7B32FCC3" w14:textId="77777777" w:rsidTr="00B0077C">
        <w:trPr>
          <w:trHeight w:val="300"/>
          <w:jc w:val="center"/>
        </w:trPr>
        <w:tc>
          <w:tcPr>
            <w:tcW w:w="11692" w:type="dxa"/>
            <w:gridSpan w:val="15"/>
            <w:tcBorders>
              <w:top w:val="nil"/>
              <w:left w:val="nil"/>
              <w:bottom w:val="nil"/>
              <w:right w:val="nil"/>
            </w:tcBorders>
            <w:shd w:val="clear" w:color="auto" w:fill="auto"/>
            <w:noWrap/>
            <w:vAlign w:val="bottom"/>
            <w:hideMark/>
          </w:tcPr>
          <w:p w14:paraId="2B65CB3F" w14:textId="77777777" w:rsidR="00B0077C" w:rsidRPr="00FF758F" w:rsidRDefault="00B0077C" w:rsidP="00B0077C">
            <w:pPr>
              <w:spacing w:after="0" w:line="240" w:lineRule="auto"/>
              <w:rPr>
                <w:rFonts w:ascii="Calibri" w:eastAsia="Times New Roman" w:hAnsi="Calibri" w:cs="Times New Roman"/>
                <w:b/>
                <w:color w:val="000000"/>
              </w:rPr>
            </w:pPr>
            <w:r w:rsidRPr="00FF758F">
              <w:rPr>
                <w:rFonts w:ascii="Calibri" w:eastAsia="Times New Roman" w:hAnsi="Calibri" w:cs="Times New Roman"/>
                <w:b/>
                <w:color w:val="000000"/>
              </w:rPr>
              <w:lastRenderedPageBreak/>
              <w:t>Table 2.2. ANOVA table for growth habit groups and entries for percent green cover over a one year period in Knoxville, TN.</w:t>
            </w:r>
          </w:p>
        </w:tc>
      </w:tr>
      <w:tr w:rsidR="00B0077C" w:rsidRPr="00FF758F" w14:paraId="2EE8FE15" w14:textId="77777777" w:rsidTr="00B0077C">
        <w:trPr>
          <w:trHeight w:val="300"/>
          <w:jc w:val="center"/>
        </w:trPr>
        <w:tc>
          <w:tcPr>
            <w:tcW w:w="1630" w:type="dxa"/>
            <w:tcBorders>
              <w:top w:val="nil"/>
              <w:left w:val="nil"/>
              <w:bottom w:val="single" w:sz="4" w:space="0" w:color="auto"/>
              <w:right w:val="nil"/>
            </w:tcBorders>
            <w:shd w:val="clear" w:color="auto" w:fill="auto"/>
            <w:noWrap/>
            <w:vAlign w:val="bottom"/>
            <w:hideMark/>
          </w:tcPr>
          <w:p w14:paraId="6E17AC9D" w14:textId="77777777" w:rsidR="00B0077C" w:rsidRPr="00FF758F" w:rsidRDefault="00B0077C" w:rsidP="00B0077C">
            <w:pPr>
              <w:spacing w:after="0" w:line="240" w:lineRule="auto"/>
              <w:rPr>
                <w:rFonts w:ascii="Calibri" w:eastAsia="Times New Roman" w:hAnsi="Calibri" w:cs="Times New Roman"/>
                <w:b/>
                <w:color w:val="000000"/>
              </w:rPr>
            </w:pPr>
            <w:r w:rsidRPr="00FF758F">
              <w:rPr>
                <w:rFonts w:ascii="Calibri" w:eastAsia="Times New Roman" w:hAnsi="Calibri" w:cs="Times New Roman"/>
                <w:b/>
                <w:color w:val="000000"/>
              </w:rPr>
              <w:t>Trial year</w:t>
            </w:r>
          </w:p>
        </w:tc>
        <w:tc>
          <w:tcPr>
            <w:tcW w:w="2289" w:type="dxa"/>
            <w:tcBorders>
              <w:top w:val="nil"/>
              <w:left w:val="nil"/>
              <w:bottom w:val="single" w:sz="4" w:space="0" w:color="auto"/>
              <w:right w:val="nil"/>
            </w:tcBorders>
            <w:shd w:val="clear" w:color="auto" w:fill="auto"/>
            <w:noWrap/>
            <w:vAlign w:val="bottom"/>
            <w:hideMark/>
          </w:tcPr>
          <w:p w14:paraId="1D45F2E8" w14:textId="77777777" w:rsidR="00B0077C" w:rsidRPr="00FF758F" w:rsidRDefault="00B0077C" w:rsidP="00B0077C">
            <w:pPr>
              <w:spacing w:after="0" w:line="240" w:lineRule="auto"/>
              <w:rPr>
                <w:rFonts w:ascii="Calibri" w:eastAsia="Times New Roman" w:hAnsi="Calibri" w:cs="Times New Roman"/>
                <w:b/>
                <w:color w:val="000000"/>
              </w:rPr>
            </w:pPr>
            <w:r w:rsidRPr="00FF758F">
              <w:rPr>
                <w:rFonts w:ascii="Calibri" w:eastAsia="Times New Roman" w:hAnsi="Calibri" w:cs="Times New Roman"/>
                <w:b/>
                <w:color w:val="000000"/>
              </w:rPr>
              <w:t>Source</w:t>
            </w:r>
          </w:p>
        </w:tc>
        <w:tc>
          <w:tcPr>
            <w:tcW w:w="440" w:type="dxa"/>
            <w:tcBorders>
              <w:top w:val="nil"/>
              <w:left w:val="nil"/>
              <w:bottom w:val="single" w:sz="4" w:space="0" w:color="auto"/>
              <w:right w:val="nil"/>
            </w:tcBorders>
            <w:shd w:val="clear" w:color="auto" w:fill="auto"/>
            <w:noWrap/>
            <w:vAlign w:val="bottom"/>
            <w:hideMark/>
          </w:tcPr>
          <w:p w14:paraId="1F84691A"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df</w:t>
            </w:r>
          </w:p>
        </w:tc>
        <w:tc>
          <w:tcPr>
            <w:tcW w:w="636" w:type="dxa"/>
            <w:tcBorders>
              <w:top w:val="nil"/>
              <w:left w:val="nil"/>
              <w:bottom w:val="single" w:sz="4" w:space="0" w:color="auto"/>
              <w:right w:val="nil"/>
            </w:tcBorders>
            <w:shd w:val="clear" w:color="auto" w:fill="auto"/>
            <w:noWrap/>
            <w:vAlign w:val="bottom"/>
            <w:hideMark/>
          </w:tcPr>
          <w:p w14:paraId="35C0D47A"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Nov</w:t>
            </w:r>
          </w:p>
        </w:tc>
        <w:tc>
          <w:tcPr>
            <w:tcW w:w="603" w:type="dxa"/>
            <w:tcBorders>
              <w:top w:val="nil"/>
              <w:left w:val="nil"/>
              <w:bottom w:val="single" w:sz="4" w:space="0" w:color="auto"/>
              <w:right w:val="nil"/>
            </w:tcBorders>
            <w:shd w:val="clear" w:color="auto" w:fill="auto"/>
            <w:noWrap/>
            <w:vAlign w:val="bottom"/>
            <w:hideMark/>
          </w:tcPr>
          <w:p w14:paraId="41A4117B"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Dec</w:t>
            </w:r>
          </w:p>
        </w:tc>
        <w:tc>
          <w:tcPr>
            <w:tcW w:w="589" w:type="dxa"/>
            <w:tcBorders>
              <w:top w:val="nil"/>
              <w:left w:val="nil"/>
              <w:bottom w:val="single" w:sz="4" w:space="0" w:color="auto"/>
              <w:right w:val="nil"/>
            </w:tcBorders>
            <w:shd w:val="clear" w:color="auto" w:fill="auto"/>
            <w:noWrap/>
            <w:vAlign w:val="bottom"/>
            <w:hideMark/>
          </w:tcPr>
          <w:p w14:paraId="4E3F6843"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Jan</w:t>
            </w:r>
          </w:p>
        </w:tc>
        <w:tc>
          <w:tcPr>
            <w:tcW w:w="589" w:type="dxa"/>
            <w:tcBorders>
              <w:top w:val="nil"/>
              <w:left w:val="nil"/>
              <w:bottom w:val="single" w:sz="4" w:space="0" w:color="auto"/>
              <w:right w:val="nil"/>
            </w:tcBorders>
            <w:shd w:val="clear" w:color="auto" w:fill="auto"/>
            <w:noWrap/>
            <w:vAlign w:val="bottom"/>
            <w:hideMark/>
          </w:tcPr>
          <w:p w14:paraId="718F9E3D"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Feb</w:t>
            </w:r>
          </w:p>
        </w:tc>
        <w:tc>
          <w:tcPr>
            <w:tcW w:w="658" w:type="dxa"/>
            <w:tcBorders>
              <w:top w:val="nil"/>
              <w:left w:val="nil"/>
              <w:bottom w:val="single" w:sz="4" w:space="0" w:color="auto"/>
              <w:right w:val="nil"/>
            </w:tcBorders>
            <w:shd w:val="clear" w:color="auto" w:fill="auto"/>
            <w:noWrap/>
            <w:vAlign w:val="bottom"/>
            <w:hideMark/>
          </w:tcPr>
          <w:p w14:paraId="2DB68A70"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Mar</w:t>
            </w:r>
          </w:p>
        </w:tc>
        <w:tc>
          <w:tcPr>
            <w:tcW w:w="589" w:type="dxa"/>
            <w:tcBorders>
              <w:top w:val="nil"/>
              <w:left w:val="nil"/>
              <w:bottom w:val="single" w:sz="4" w:space="0" w:color="auto"/>
              <w:right w:val="nil"/>
            </w:tcBorders>
            <w:shd w:val="clear" w:color="auto" w:fill="auto"/>
            <w:noWrap/>
            <w:vAlign w:val="bottom"/>
            <w:hideMark/>
          </w:tcPr>
          <w:p w14:paraId="4EE9C354"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Apr</w:t>
            </w:r>
          </w:p>
        </w:tc>
        <w:tc>
          <w:tcPr>
            <w:tcW w:w="695" w:type="dxa"/>
            <w:tcBorders>
              <w:top w:val="nil"/>
              <w:left w:val="nil"/>
              <w:bottom w:val="single" w:sz="4" w:space="0" w:color="auto"/>
              <w:right w:val="nil"/>
            </w:tcBorders>
            <w:shd w:val="clear" w:color="auto" w:fill="auto"/>
            <w:noWrap/>
            <w:vAlign w:val="bottom"/>
            <w:hideMark/>
          </w:tcPr>
          <w:p w14:paraId="78F742C8"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May</w:t>
            </w:r>
          </w:p>
        </w:tc>
        <w:tc>
          <w:tcPr>
            <w:tcW w:w="589" w:type="dxa"/>
            <w:tcBorders>
              <w:top w:val="nil"/>
              <w:left w:val="nil"/>
              <w:bottom w:val="single" w:sz="4" w:space="0" w:color="auto"/>
              <w:right w:val="nil"/>
            </w:tcBorders>
            <w:shd w:val="clear" w:color="auto" w:fill="auto"/>
            <w:noWrap/>
            <w:vAlign w:val="bottom"/>
            <w:hideMark/>
          </w:tcPr>
          <w:p w14:paraId="40C9E79F"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Jun</w:t>
            </w:r>
          </w:p>
        </w:tc>
        <w:tc>
          <w:tcPr>
            <w:tcW w:w="589" w:type="dxa"/>
            <w:tcBorders>
              <w:top w:val="nil"/>
              <w:left w:val="nil"/>
              <w:bottom w:val="single" w:sz="4" w:space="0" w:color="auto"/>
              <w:right w:val="nil"/>
            </w:tcBorders>
            <w:shd w:val="clear" w:color="auto" w:fill="auto"/>
            <w:noWrap/>
            <w:vAlign w:val="bottom"/>
            <w:hideMark/>
          </w:tcPr>
          <w:p w14:paraId="1CC78712"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Jul</w:t>
            </w:r>
          </w:p>
        </w:tc>
        <w:tc>
          <w:tcPr>
            <w:tcW w:w="618" w:type="dxa"/>
            <w:tcBorders>
              <w:top w:val="nil"/>
              <w:left w:val="nil"/>
              <w:bottom w:val="single" w:sz="4" w:space="0" w:color="auto"/>
              <w:right w:val="nil"/>
            </w:tcBorders>
            <w:shd w:val="clear" w:color="auto" w:fill="auto"/>
            <w:noWrap/>
            <w:vAlign w:val="bottom"/>
            <w:hideMark/>
          </w:tcPr>
          <w:p w14:paraId="2D957BE1"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Aug</w:t>
            </w:r>
          </w:p>
        </w:tc>
        <w:tc>
          <w:tcPr>
            <w:tcW w:w="589" w:type="dxa"/>
            <w:tcBorders>
              <w:top w:val="nil"/>
              <w:left w:val="nil"/>
              <w:bottom w:val="single" w:sz="4" w:space="0" w:color="auto"/>
              <w:right w:val="nil"/>
            </w:tcBorders>
            <w:shd w:val="clear" w:color="auto" w:fill="auto"/>
            <w:noWrap/>
            <w:vAlign w:val="bottom"/>
            <w:hideMark/>
          </w:tcPr>
          <w:p w14:paraId="5ABE455F"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Sep</w:t>
            </w:r>
          </w:p>
        </w:tc>
        <w:tc>
          <w:tcPr>
            <w:tcW w:w="589" w:type="dxa"/>
            <w:tcBorders>
              <w:top w:val="nil"/>
              <w:left w:val="nil"/>
              <w:bottom w:val="single" w:sz="4" w:space="0" w:color="auto"/>
              <w:right w:val="nil"/>
            </w:tcBorders>
            <w:shd w:val="clear" w:color="auto" w:fill="auto"/>
            <w:noWrap/>
            <w:vAlign w:val="bottom"/>
            <w:hideMark/>
          </w:tcPr>
          <w:p w14:paraId="50783729"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Oct</w:t>
            </w:r>
          </w:p>
        </w:tc>
      </w:tr>
      <w:tr w:rsidR="00B0077C" w:rsidRPr="00FF758F" w14:paraId="3CF666B2" w14:textId="77777777" w:rsidTr="00B0077C">
        <w:trPr>
          <w:trHeight w:val="300"/>
          <w:jc w:val="center"/>
        </w:trPr>
        <w:tc>
          <w:tcPr>
            <w:tcW w:w="1630" w:type="dxa"/>
            <w:tcBorders>
              <w:top w:val="nil"/>
              <w:left w:val="nil"/>
              <w:bottom w:val="nil"/>
              <w:right w:val="nil"/>
            </w:tcBorders>
            <w:shd w:val="clear" w:color="auto" w:fill="auto"/>
            <w:noWrap/>
            <w:vAlign w:val="bottom"/>
            <w:hideMark/>
          </w:tcPr>
          <w:p w14:paraId="3B682B78" w14:textId="77777777" w:rsidR="00B0077C" w:rsidRPr="00FF758F" w:rsidRDefault="00B0077C" w:rsidP="00B0077C">
            <w:pPr>
              <w:spacing w:after="0" w:line="240" w:lineRule="auto"/>
              <w:rPr>
                <w:rFonts w:ascii="Calibri" w:eastAsia="Times New Roman" w:hAnsi="Calibri" w:cs="Times New Roman"/>
                <w:b/>
                <w:color w:val="000000"/>
              </w:rPr>
            </w:pPr>
            <w:r w:rsidRPr="00FF758F">
              <w:rPr>
                <w:rFonts w:ascii="Calibri" w:eastAsia="Times New Roman" w:hAnsi="Calibri" w:cs="Times New Roman"/>
                <w:b/>
                <w:color w:val="000000"/>
              </w:rPr>
              <w:t>2010-2011</w:t>
            </w:r>
          </w:p>
        </w:tc>
        <w:tc>
          <w:tcPr>
            <w:tcW w:w="2289" w:type="dxa"/>
            <w:tcBorders>
              <w:top w:val="nil"/>
              <w:left w:val="nil"/>
              <w:bottom w:val="nil"/>
              <w:right w:val="nil"/>
            </w:tcBorders>
            <w:shd w:val="clear" w:color="auto" w:fill="auto"/>
            <w:noWrap/>
            <w:vAlign w:val="bottom"/>
            <w:hideMark/>
          </w:tcPr>
          <w:p w14:paraId="26586B25" w14:textId="77777777" w:rsidR="00B0077C" w:rsidRPr="00FF758F" w:rsidRDefault="00B0077C" w:rsidP="00B0077C">
            <w:pPr>
              <w:spacing w:after="0" w:line="240" w:lineRule="auto"/>
              <w:rPr>
                <w:rFonts w:ascii="Calibri" w:eastAsia="Times New Roman" w:hAnsi="Calibri" w:cs="Times New Roman"/>
                <w:b/>
                <w:color w:val="000000"/>
              </w:rPr>
            </w:pPr>
            <w:r w:rsidRPr="00FF758F">
              <w:rPr>
                <w:rFonts w:ascii="Calibri" w:eastAsia="Times New Roman" w:hAnsi="Calibri" w:cs="Times New Roman"/>
                <w:b/>
                <w:color w:val="000000"/>
              </w:rPr>
              <w:t>Group</w:t>
            </w:r>
          </w:p>
        </w:tc>
        <w:tc>
          <w:tcPr>
            <w:tcW w:w="440" w:type="dxa"/>
            <w:tcBorders>
              <w:top w:val="nil"/>
              <w:left w:val="nil"/>
              <w:bottom w:val="nil"/>
              <w:right w:val="nil"/>
            </w:tcBorders>
            <w:shd w:val="clear" w:color="auto" w:fill="auto"/>
            <w:noWrap/>
            <w:vAlign w:val="bottom"/>
            <w:hideMark/>
          </w:tcPr>
          <w:p w14:paraId="29132809"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2</w:t>
            </w:r>
          </w:p>
        </w:tc>
        <w:tc>
          <w:tcPr>
            <w:tcW w:w="636" w:type="dxa"/>
            <w:tcBorders>
              <w:top w:val="nil"/>
              <w:left w:val="nil"/>
              <w:bottom w:val="nil"/>
              <w:right w:val="nil"/>
            </w:tcBorders>
            <w:shd w:val="clear" w:color="auto" w:fill="auto"/>
            <w:noWrap/>
            <w:vAlign w:val="bottom"/>
            <w:hideMark/>
          </w:tcPr>
          <w:p w14:paraId="5EF3A095"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603" w:type="dxa"/>
            <w:tcBorders>
              <w:top w:val="nil"/>
              <w:left w:val="nil"/>
              <w:bottom w:val="nil"/>
              <w:right w:val="nil"/>
            </w:tcBorders>
            <w:shd w:val="clear" w:color="auto" w:fill="auto"/>
            <w:noWrap/>
            <w:vAlign w:val="bottom"/>
            <w:hideMark/>
          </w:tcPr>
          <w:p w14:paraId="436460A0"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7CDBB48F"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13AADB5F"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658" w:type="dxa"/>
            <w:tcBorders>
              <w:top w:val="nil"/>
              <w:left w:val="nil"/>
              <w:bottom w:val="nil"/>
              <w:right w:val="nil"/>
            </w:tcBorders>
            <w:shd w:val="clear" w:color="auto" w:fill="auto"/>
            <w:noWrap/>
            <w:vAlign w:val="bottom"/>
            <w:hideMark/>
          </w:tcPr>
          <w:p w14:paraId="1CAE8416"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6E0DF8C9"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695" w:type="dxa"/>
            <w:tcBorders>
              <w:top w:val="nil"/>
              <w:left w:val="nil"/>
              <w:bottom w:val="nil"/>
              <w:right w:val="nil"/>
            </w:tcBorders>
            <w:shd w:val="clear" w:color="auto" w:fill="auto"/>
            <w:noWrap/>
            <w:vAlign w:val="bottom"/>
            <w:hideMark/>
          </w:tcPr>
          <w:p w14:paraId="290E2B16"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1F97AC68"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18BDDB37"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618" w:type="dxa"/>
            <w:tcBorders>
              <w:top w:val="nil"/>
              <w:left w:val="nil"/>
              <w:bottom w:val="nil"/>
              <w:right w:val="nil"/>
            </w:tcBorders>
            <w:shd w:val="clear" w:color="auto" w:fill="auto"/>
            <w:noWrap/>
            <w:vAlign w:val="bottom"/>
            <w:hideMark/>
          </w:tcPr>
          <w:p w14:paraId="468F80C1"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0A4B59A9"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07BB714E"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r>
      <w:tr w:rsidR="00B0077C" w:rsidRPr="00FF758F" w14:paraId="293AA01C" w14:textId="77777777" w:rsidTr="00B0077C">
        <w:trPr>
          <w:trHeight w:val="300"/>
          <w:jc w:val="center"/>
        </w:trPr>
        <w:tc>
          <w:tcPr>
            <w:tcW w:w="1630" w:type="dxa"/>
            <w:tcBorders>
              <w:top w:val="nil"/>
              <w:left w:val="nil"/>
              <w:bottom w:val="nil"/>
              <w:right w:val="nil"/>
            </w:tcBorders>
            <w:shd w:val="clear" w:color="auto" w:fill="auto"/>
            <w:noWrap/>
            <w:vAlign w:val="bottom"/>
            <w:hideMark/>
          </w:tcPr>
          <w:p w14:paraId="53CE9EB1" w14:textId="77777777" w:rsidR="00B0077C" w:rsidRPr="00FF758F" w:rsidRDefault="00B0077C" w:rsidP="00B0077C">
            <w:pPr>
              <w:spacing w:after="0" w:line="240" w:lineRule="auto"/>
              <w:rPr>
                <w:rFonts w:ascii="Calibri" w:eastAsia="Times New Roman" w:hAnsi="Calibri" w:cs="Times New Roman"/>
                <w:b/>
                <w:color w:val="000000"/>
              </w:rPr>
            </w:pPr>
          </w:p>
        </w:tc>
        <w:tc>
          <w:tcPr>
            <w:tcW w:w="2289" w:type="dxa"/>
            <w:tcBorders>
              <w:top w:val="nil"/>
              <w:left w:val="nil"/>
              <w:bottom w:val="nil"/>
              <w:right w:val="nil"/>
            </w:tcBorders>
            <w:shd w:val="clear" w:color="auto" w:fill="auto"/>
            <w:noWrap/>
            <w:vAlign w:val="bottom"/>
            <w:hideMark/>
          </w:tcPr>
          <w:p w14:paraId="38AAD8F3" w14:textId="77777777" w:rsidR="00B0077C" w:rsidRPr="00FF758F" w:rsidRDefault="00B0077C" w:rsidP="00B0077C">
            <w:pPr>
              <w:spacing w:after="0" w:line="240" w:lineRule="auto"/>
              <w:rPr>
                <w:rFonts w:ascii="Calibri" w:eastAsia="Times New Roman" w:hAnsi="Calibri" w:cs="Times New Roman"/>
                <w:b/>
                <w:color w:val="000000"/>
              </w:rPr>
            </w:pPr>
            <w:r w:rsidRPr="00FF758F">
              <w:rPr>
                <w:rFonts w:ascii="Calibri" w:eastAsia="Times New Roman" w:hAnsi="Calibri" w:cs="Times New Roman"/>
                <w:b/>
                <w:color w:val="000000"/>
              </w:rPr>
              <w:t>Entries (Group)</w:t>
            </w:r>
          </w:p>
        </w:tc>
        <w:tc>
          <w:tcPr>
            <w:tcW w:w="440" w:type="dxa"/>
            <w:tcBorders>
              <w:top w:val="nil"/>
              <w:left w:val="nil"/>
              <w:bottom w:val="nil"/>
              <w:right w:val="nil"/>
            </w:tcBorders>
            <w:shd w:val="clear" w:color="auto" w:fill="auto"/>
            <w:noWrap/>
            <w:vAlign w:val="bottom"/>
            <w:hideMark/>
          </w:tcPr>
          <w:p w14:paraId="0D51A44B"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42</w:t>
            </w:r>
          </w:p>
        </w:tc>
        <w:tc>
          <w:tcPr>
            <w:tcW w:w="636" w:type="dxa"/>
            <w:tcBorders>
              <w:top w:val="nil"/>
              <w:left w:val="nil"/>
              <w:bottom w:val="nil"/>
              <w:right w:val="nil"/>
            </w:tcBorders>
            <w:shd w:val="clear" w:color="auto" w:fill="auto"/>
            <w:noWrap/>
            <w:vAlign w:val="bottom"/>
            <w:hideMark/>
          </w:tcPr>
          <w:p w14:paraId="101885B3"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603" w:type="dxa"/>
            <w:tcBorders>
              <w:top w:val="nil"/>
              <w:left w:val="nil"/>
              <w:bottom w:val="nil"/>
              <w:right w:val="nil"/>
            </w:tcBorders>
            <w:shd w:val="clear" w:color="auto" w:fill="auto"/>
            <w:noWrap/>
            <w:vAlign w:val="bottom"/>
            <w:hideMark/>
          </w:tcPr>
          <w:p w14:paraId="17CDDD33"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4FABB7B5"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09B36DDA"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658" w:type="dxa"/>
            <w:tcBorders>
              <w:top w:val="nil"/>
              <w:left w:val="nil"/>
              <w:bottom w:val="nil"/>
              <w:right w:val="nil"/>
            </w:tcBorders>
            <w:shd w:val="clear" w:color="auto" w:fill="auto"/>
            <w:noWrap/>
            <w:vAlign w:val="bottom"/>
            <w:hideMark/>
          </w:tcPr>
          <w:p w14:paraId="438A0888"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2176160F"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695" w:type="dxa"/>
            <w:tcBorders>
              <w:top w:val="nil"/>
              <w:left w:val="nil"/>
              <w:bottom w:val="nil"/>
              <w:right w:val="nil"/>
            </w:tcBorders>
            <w:shd w:val="clear" w:color="auto" w:fill="auto"/>
            <w:noWrap/>
            <w:vAlign w:val="bottom"/>
            <w:hideMark/>
          </w:tcPr>
          <w:p w14:paraId="4A391052"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0A33EF96"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057B0026"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618" w:type="dxa"/>
            <w:tcBorders>
              <w:top w:val="nil"/>
              <w:left w:val="nil"/>
              <w:bottom w:val="nil"/>
              <w:right w:val="nil"/>
            </w:tcBorders>
            <w:shd w:val="clear" w:color="auto" w:fill="auto"/>
            <w:noWrap/>
            <w:vAlign w:val="bottom"/>
            <w:hideMark/>
          </w:tcPr>
          <w:p w14:paraId="5AC15D30"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4720DACC"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52768E36"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r>
      <w:tr w:rsidR="00B0077C" w:rsidRPr="00FF758F" w14:paraId="6A190B3B" w14:textId="77777777" w:rsidTr="00B0077C">
        <w:trPr>
          <w:trHeight w:val="300"/>
          <w:jc w:val="center"/>
        </w:trPr>
        <w:tc>
          <w:tcPr>
            <w:tcW w:w="1630" w:type="dxa"/>
            <w:tcBorders>
              <w:top w:val="nil"/>
              <w:left w:val="nil"/>
              <w:bottom w:val="nil"/>
              <w:right w:val="nil"/>
            </w:tcBorders>
            <w:shd w:val="clear" w:color="auto" w:fill="auto"/>
            <w:noWrap/>
            <w:vAlign w:val="bottom"/>
            <w:hideMark/>
          </w:tcPr>
          <w:p w14:paraId="491D1AA1" w14:textId="77777777" w:rsidR="00B0077C" w:rsidRPr="00FF758F" w:rsidRDefault="00B0077C" w:rsidP="00B0077C">
            <w:pPr>
              <w:spacing w:after="0" w:line="240" w:lineRule="auto"/>
              <w:rPr>
                <w:rFonts w:ascii="Calibri" w:eastAsia="Times New Roman" w:hAnsi="Calibri" w:cs="Times New Roman"/>
                <w:b/>
                <w:color w:val="000000"/>
              </w:rPr>
            </w:pPr>
            <w:r w:rsidRPr="00FF758F">
              <w:rPr>
                <w:rFonts w:ascii="Calibri" w:eastAsia="Times New Roman" w:hAnsi="Calibri" w:cs="Times New Roman"/>
                <w:b/>
                <w:color w:val="000000"/>
              </w:rPr>
              <w:t>2011-2012</w:t>
            </w:r>
          </w:p>
        </w:tc>
        <w:tc>
          <w:tcPr>
            <w:tcW w:w="2289" w:type="dxa"/>
            <w:tcBorders>
              <w:top w:val="nil"/>
              <w:left w:val="nil"/>
              <w:bottom w:val="nil"/>
              <w:right w:val="nil"/>
            </w:tcBorders>
            <w:shd w:val="clear" w:color="auto" w:fill="auto"/>
            <w:noWrap/>
            <w:vAlign w:val="bottom"/>
            <w:hideMark/>
          </w:tcPr>
          <w:p w14:paraId="7C935EC3" w14:textId="77777777" w:rsidR="00B0077C" w:rsidRPr="00FF758F" w:rsidRDefault="00B0077C" w:rsidP="00B0077C">
            <w:pPr>
              <w:spacing w:after="0" w:line="240" w:lineRule="auto"/>
              <w:rPr>
                <w:rFonts w:ascii="Calibri" w:eastAsia="Times New Roman" w:hAnsi="Calibri" w:cs="Times New Roman"/>
                <w:b/>
                <w:color w:val="000000"/>
              </w:rPr>
            </w:pPr>
            <w:r w:rsidRPr="00FF758F">
              <w:rPr>
                <w:rFonts w:ascii="Calibri" w:eastAsia="Times New Roman" w:hAnsi="Calibri" w:cs="Times New Roman"/>
                <w:b/>
                <w:color w:val="000000"/>
              </w:rPr>
              <w:t>Group</w:t>
            </w:r>
          </w:p>
        </w:tc>
        <w:tc>
          <w:tcPr>
            <w:tcW w:w="440" w:type="dxa"/>
            <w:tcBorders>
              <w:top w:val="nil"/>
              <w:left w:val="nil"/>
              <w:bottom w:val="nil"/>
              <w:right w:val="nil"/>
            </w:tcBorders>
            <w:shd w:val="clear" w:color="auto" w:fill="auto"/>
            <w:noWrap/>
            <w:vAlign w:val="bottom"/>
            <w:hideMark/>
          </w:tcPr>
          <w:p w14:paraId="3CA75B99"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2</w:t>
            </w:r>
          </w:p>
        </w:tc>
        <w:tc>
          <w:tcPr>
            <w:tcW w:w="636" w:type="dxa"/>
            <w:tcBorders>
              <w:top w:val="nil"/>
              <w:left w:val="nil"/>
              <w:bottom w:val="nil"/>
              <w:right w:val="nil"/>
            </w:tcBorders>
            <w:shd w:val="clear" w:color="auto" w:fill="auto"/>
            <w:noWrap/>
            <w:vAlign w:val="bottom"/>
            <w:hideMark/>
          </w:tcPr>
          <w:p w14:paraId="7B71C0B0"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603" w:type="dxa"/>
            <w:tcBorders>
              <w:top w:val="nil"/>
              <w:left w:val="nil"/>
              <w:bottom w:val="nil"/>
              <w:right w:val="nil"/>
            </w:tcBorders>
            <w:shd w:val="clear" w:color="auto" w:fill="auto"/>
            <w:noWrap/>
            <w:vAlign w:val="bottom"/>
            <w:hideMark/>
          </w:tcPr>
          <w:p w14:paraId="55FA2469"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7853AF60"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3D7BF0E8"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658" w:type="dxa"/>
            <w:tcBorders>
              <w:top w:val="nil"/>
              <w:left w:val="nil"/>
              <w:bottom w:val="nil"/>
              <w:right w:val="nil"/>
            </w:tcBorders>
            <w:shd w:val="clear" w:color="auto" w:fill="auto"/>
            <w:noWrap/>
            <w:vAlign w:val="bottom"/>
            <w:hideMark/>
          </w:tcPr>
          <w:p w14:paraId="56D5D802"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64CCBBDC"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695" w:type="dxa"/>
            <w:tcBorders>
              <w:top w:val="nil"/>
              <w:left w:val="nil"/>
              <w:bottom w:val="nil"/>
              <w:right w:val="nil"/>
            </w:tcBorders>
            <w:shd w:val="clear" w:color="auto" w:fill="auto"/>
            <w:noWrap/>
            <w:vAlign w:val="bottom"/>
            <w:hideMark/>
          </w:tcPr>
          <w:p w14:paraId="1D4FDFC9"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1C48D4F9"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311F1BB7"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618" w:type="dxa"/>
            <w:tcBorders>
              <w:top w:val="nil"/>
              <w:left w:val="nil"/>
              <w:bottom w:val="nil"/>
              <w:right w:val="nil"/>
            </w:tcBorders>
            <w:shd w:val="clear" w:color="auto" w:fill="auto"/>
            <w:noWrap/>
            <w:vAlign w:val="bottom"/>
            <w:hideMark/>
          </w:tcPr>
          <w:p w14:paraId="11770B5B"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1EFB6DAA"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2EAAD0CD"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r>
      <w:tr w:rsidR="00B0077C" w:rsidRPr="00FF758F" w14:paraId="6186E40F" w14:textId="77777777" w:rsidTr="00B0077C">
        <w:trPr>
          <w:trHeight w:val="300"/>
          <w:jc w:val="center"/>
        </w:trPr>
        <w:tc>
          <w:tcPr>
            <w:tcW w:w="1630" w:type="dxa"/>
            <w:tcBorders>
              <w:top w:val="nil"/>
              <w:left w:val="nil"/>
              <w:bottom w:val="single" w:sz="4" w:space="0" w:color="auto"/>
              <w:right w:val="nil"/>
            </w:tcBorders>
            <w:shd w:val="clear" w:color="auto" w:fill="auto"/>
            <w:noWrap/>
            <w:vAlign w:val="bottom"/>
            <w:hideMark/>
          </w:tcPr>
          <w:p w14:paraId="5DD0D091" w14:textId="77777777" w:rsidR="00B0077C" w:rsidRPr="00FF758F" w:rsidRDefault="00B0077C" w:rsidP="00B0077C">
            <w:pPr>
              <w:spacing w:after="0" w:line="240" w:lineRule="auto"/>
              <w:rPr>
                <w:rFonts w:ascii="Calibri" w:eastAsia="Times New Roman" w:hAnsi="Calibri" w:cs="Times New Roman"/>
                <w:b/>
                <w:color w:val="000000"/>
              </w:rPr>
            </w:pPr>
            <w:r w:rsidRPr="00FF758F">
              <w:rPr>
                <w:rFonts w:ascii="Calibri" w:eastAsia="Times New Roman" w:hAnsi="Calibri" w:cs="Times New Roman"/>
                <w:b/>
                <w:color w:val="000000"/>
              </w:rPr>
              <w:t> </w:t>
            </w:r>
          </w:p>
        </w:tc>
        <w:tc>
          <w:tcPr>
            <w:tcW w:w="2289" w:type="dxa"/>
            <w:tcBorders>
              <w:top w:val="nil"/>
              <w:left w:val="nil"/>
              <w:bottom w:val="single" w:sz="4" w:space="0" w:color="auto"/>
              <w:right w:val="nil"/>
            </w:tcBorders>
            <w:shd w:val="clear" w:color="auto" w:fill="auto"/>
            <w:noWrap/>
            <w:vAlign w:val="bottom"/>
            <w:hideMark/>
          </w:tcPr>
          <w:p w14:paraId="2EDE275D" w14:textId="77777777" w:rsidR="00B0077C" w:rsidRPr="00FF758F" w:rsidRDefault="00B0077C" w:rsidP="00B0077C">
            <w:pPr>
              <w:spacing w:after="0" w:line="240" w:lineRule="auto"/>
              <w:rPr>
                <w:rFonts w:ascii="Calibri" w:eastAsia="Times New Roman" w:hAnsi="Calibri" w:cs="Times New Roman"/>
                <w:b/>
                <w:color w:val="000000"/>
              </w:rPr>
            </w:pPr>
            <w:r w:rsidRPr="00FF758F">
              <w:rPr>
                <w:rFonts w:ascii="Calibri" w:eastAsia="Times New Roman" w:hAnsi="Calibri" w:cs="Times New Roman"/>
                <w:b/>
                <w:color w:val="000000"/>
              </w:rPr>
              <w:t>Entries (Group)</w:t>
            </w:r>
          </w:p>
        </w:tc>
        <w:tc>
          <w:tcPr>
            <w:tcW w:w="440" w:type="dxa"/>
            <w:tcBorders>
              <w:top w:val="nil"/>
              <w:left w:val="nil"/>
              <w:bottom w:val="single" w:sz="4" w:space="0" w:color="auto"/>
              <w:right w:val="nil"/>
            </w:tcBorders>
            <w:shd w:val="clear" w:color="auto" w:fill="auto"/>
            <w:noWrap/>
            <w:vAlign w:val="bottom"/>
            <w:hideMark/>
          </w:tcPr>
          <w:p w14:paraId="1B98E8B7"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42</w:t>
            </w:r>
          </w:p>
        </w:tc>
        <w:tc>
          <w:tcPr>
            <w:tcW w:w="636" w:type="dxa"/>
            <w:tcBorders>
              <w:top w:val="nil"/>
              <w:left w:val="nil"/>
              <w:bottom w:val="nil"/>
              <w:right w:val="nil"/>
            </w:tcBorders>
            <w:shd w:val="clear" w:color="auto" w:fill="auto"/>
            <w:noWrap/>
            <w:vAlign w:val="bottom"/>
            <w:hideMark/>
          </w:tcPr>
          <w:p w14:paraId="5424645C"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603" w:type="dxa"/>
            <w:tcBorders>
              <w:top w:val="nil"/>
              <w:left w:val="nil"/>
              <w:bottom w:val="nil"/>
              <w:right w:val="nil"/>
            </w:tcBorders>
            <w:shd w:val="clear" w:color="auto" w:fill="auto"/>
            <w:noWrap/>
            <w:vAlign w:val="bottom"/>
            <w:hideMark/>
          </w:tcPr>
          <w:p w14:paraId="132AF9E3"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72C1327C"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78BAA1A6"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658" w:type="dxa"/>
            <w:tcBorders>
              <w:top w:val="nil"/>
              <w:left w:val="nil"/>
              <w:bottom w:val="nil"/>
              <w:right w:val="nil"/>
            </w:tcBorders>
            <w:shd w:val="clear" w:color="auto" w:fill="auto"/>
            <w:noWrap/>
            <w:vAlign w:val="bottom"/>
            <w:hideMark/>
          </w:tcPr>
          <w:p w14:paraId="2AD85F02"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49C19363"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695" w:type="dxa"/>
            <w:tcBorders>
              <w:top w:val="nil"/>
              <w:left w:val="nil"/>
              <w:bottom w:val="nil"/>
              <w:right w:val="nil"/>
            </w:tcBorders>
            <w:shd w:val="clear" w:color="auto" w:fill="auto"/>
            <w:noWrap/>
            <w:vAlign w:val="bottom"/>
            <w:hideMark/>
          </w:tcPr>
          <w:p w14:paraId="224017A1"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0FD74D17"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51B5176A"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618" w:type="dxa"/>
            <w:tcBorders>
              <w:top w:val="nil"/>
              <w:left w:val="nil"/>
              <w:bottom w:val="nil"/>
              <w:right w:val="nil"/>
            </w:tcBorders>
            <w:shd w:val="clear" w:color="auto" w:fill="auto"/>
            <w:noWrap/>
            <w:vAlign w:val="bottom"/>
            <w:hideMark/>
          </w:tcPr>
          <w:p w14:paraId="2B500FDB"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397D0FF0"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c>
          <w:tcPr>
            <w:tcW w:w="589" w:type="dxa"/>
            <w:tcBorders>
              <w:top w:val="nil"/>
              <w:left w:val="nil"/>
              <w:bottom w:val="nil"/>
              <w:right w:val="nil"/>
            </w:tcBorders>
            <w:shd w:val="clear" w:color="auto" w:fill="auto"/>
            <w:noWrap/>
            <w:vAlign w:val="bottom"/>
            <w:hideMark/>
          </w:tcPr>
          <w:p w14:paraId="0DD939B1" w14:textId="77777777" w:rsidR="00B0077C" w:rsidRPr="00FF758F" w:rsidRDefault="00B0077C" w:rsidP="00B0077C">
            <w:pPr>
              <w:spacing w:after="0" w:line="240" w:lineRule="auto"/>
              <w:jc w:val="center"/>
              <w:rPr>
                <w:rFonts w:ascii="Calibri" w:eastAsia="Times New Roman" w:hAnsi="Calibri" w:cs="Times New Roman"/>
                <w:b/>
                <w:color w:val="000000"/>
              </w:rPr>
            </w:pPr>
            <w:r w:rsidRPr="00FF758F">
              <w:rPr>
                <w:rFonts w:ascii="Calibri" w:eastAsia="Times New Roman" w:hAnsi="Calibri" w:cs="Times New Roman"/>
                <w:b/>
                <w:color w:val="000000"/>
              </w:rPr>
              <w:t>***</w:t>
            </w:r>
          </w:p>
        </w:tc>
      </w:tr>
      <w:tr w:rsidR="00B0077C" w:rsidRPr="00FF758F" w14:paraId="7732CBC1" w14:textId="77777777" w:rsidTr="00B0077C">
        <w:trPr>
          <w:trHeight w:val="300"/>
          <w:jc w:val="center"/>
        </w:trPr>
        <w:tc>
          <w:tcPr>
            <w:tcW w:w="11692" w:type="dxa"/>
            <w:gridSpan w:val="15"/>
            <w:tcBorders>
              <w:top w:val="single" w:sz="4" w:space="0" w:color="auto"/>
              <w:left w:val="nil"/>
              <w:bottom w:val="nil"/>
              <w:right w:val="nil"/>
            </w:tcBorders>
            <w:shd w:val="clear" w:color="auto" w:fill="auto"/>
            <w:noWrap/>
            <w:vAlign w:val="bottom"/>
            <w:hideMark/>
          </w:tcPr>
          <w:p w14:paraId="0EE80C76" w14:textId="77777777" w:rsidR="00B0077C" w:rsidRPr="00FF758F" w:rsidRDefault="00B0077C" w:rsidP="00B0077C">
            <w:pPr>
              <w:spacing w:after="0" w:line="240" w:lineRule="auto"/>
              <w:rPr>
                <w:rFonts w:ascii="Calibri" w:eastAsia="Times New Roman" w:hAnsi="Calibri" w:cs="Times New Roman"/>
                <w:b/>
                <w:color w:val="000000"/>
              </w:rPr>
            </w:pPr>
            <w:r w:rsidRPr="00FF758F">
              <w:rPr>
                <w:rFonts w:ascii="Calibri" w:eastAsia="Times New Roman" w:hAnsi="Calibri" w:cs="Times New Roman"/>
                <w:b/>
                <w:color w:val="000000"/>
              </w:rPr>
              <w:t>*, **, ***, significant at the 0.05, 0.01, and 0.001 probability levels</w:t>
            </w:r>
          </w:p>
        </w:tc>
      </w:tr>
    </w:tbl>
    <w:p w14:paraId="72BF907D" w14:textId="77777777" w:rsidR="00B0077C" w:rsidRDefault="00B0077C">
      <w:pPr>
        <w:rPr>
          <w:rFonts w:ascii="Times New Roman" w:eastAsiaTheme="majorEastAsia" w:hAnsi="Times New Roman" w:cstheme="majorBidi"/>
          <w:b/>
          <w:bCs/>
          <w:sz w:val="28"/>
          <w:szCs w:val="26"/>
        </w:rPr>
      </w:pPr>
    </w:p>
    <w:p w14:paraId="3A170279" w14:textId="77777777" w:rsidR="00B0077C" w:rsidRDefault="00B0077C" w:rsidP="00B0077C"/>
    <w:p w14:paraId="1FC6A790" w14:textId="77777777" w:rsidR="00FE0D9E" w:rsidRDefault="00FE0D9E" w:rsidP="00B0077C"/>
    <w:p w14:paraId="2316FD5B" w14:textId="77777777" w:rsidR="00FE0D9E" w:rsidRDefault="00FE0D9E" w:rsidP="00B0077C"/>
    <w:p w14:paraId="44024ED2" w14:textId="77777777" w:rsidR="00FE0D9E" w:rsidRDefault="00FE0D9E" w:rsidP="00B0077C"/>
    <w:p w14:paraId="2796A210" w14:textId="77777777" w:rsidR="00FE0D9E" w:rsidRDefault="00FE0D9E" w:rsidP="00B0077C"/>
    <w:p w14:paraId="58D3F622" w14:textId="77777777" w:rsidR="00FE0D9E" w:rsidRDefault="00FE0D9E" w:rsidP="00B0077C"/>
    <w:p w14:paraId="56966AA4" w14:textId="77777777" w:rsidR="00FE0D9E" w:rsidRDefault="00FE0D9E" w:rsidP="00B0077C"/>
    <w:p w14:paraId="6385EBD2" w14:textId="77777777" w:rsidR="00FE0D9E" w:rsidRDefault="00FE0D9E" w:rsidP="00B0077C"/>
    <w:p w14:paraId="23B4B3C1" w14:textId="77777777" w:rsidR="00FE0D9E" w:rsidRDefault="00FE0D9E" w:rsidP="00B0077C"/>
    <w:p w14:paraId="6660AC22" w14:textId="77777777" w:rsidR="00FE0D9E" w:rsidRDefault="00FE0D9E" w:rsidP="00B0077C"/>
    <w:p w14:paraId="25B876F6" w14:textId="77777777" w:rsidR="00FE0D9E" w:rsidRDefault="00FE0D9E" w:rsidP="00B0077C"/>
    <w:p w14:paraId="30B87058" w14:textId="77777777" w:rsidR="00FE0D9E" w:rsidRDefault="00FE0D9E" w:rsidP="00B0077C"/>
    <w:p w14:paraId="2EBAA38E" w14:textId="77777777" w:rsidR="00FE0D9E" w:rsidRDefault="00FE0D9E" w:rsidP="00B0077C"/>
    <w:tbl>
      <w:tblPr>
        <w:tblW w:w="10411" w:type="dxa"/>
        <w:jc w:val="center"/>
        <w:tblInd w:w="3784" w:type="dxa"/>
        <w:tblLook w:val="04A0" w:firstRow="1" w:lastRow="0" w:firstColumn="1" w:lastColumn="0" w:noHBand="0" w:noVBand="1"/>
      </w:tblPr>
      <w:tblGrid>
        <w:gridCol w:w="1530"/>
        <w:gridCol w:w="2360"/>
        <w:gridCol w:w="584"/>
        <w:gridCol w:w="558"/>
        <w:gridCol w:w="516"/>
        <w:gridCol w:w="546"/>
        <w:gridCol w:w="596"/>
        <w:gridCol w:w="546"/>
        <w:gridCol w:w="622"/>
        <w:gridCol w:w="525"/>
        <w:gridCol w:w="461"/>
        <w:gridCol w:w="572"/>
        <w:gridCol w:w="549"/>
        <w:gridCol w:w="534"/>
      </w:tblGrid>
      <w:tr w:rsidR="006258EE" w:rsidRPr="00FF758F" w14:paraId="1E5E69E0" w14:textId="77777777" w:rsidTr="00F368ED">
        <w:trPr>
          <w:trHeight w:val="300"/>
          <w:jc w:val="center"/>
        </w:trPr>
        <w:tc>
          <w:tcPr>
            <w:tcW w:w="10411" w:type="dxa"/>
            <w:gridSpan w:val="14"/>
            <w:tcBorders>
              <w:top w:val="nil"/>
              <w:left w:val="nil"/>
              <w:bottom w:val="single" w:sz="4" w:space="0" w:color="auto"/>
              <w:right w:val="nil"/>
            </w:tcBorders>
            <w:shd w:val="clear" w:color="auto" w:fill="auto"/>
            <w:noWrap/>
            <w:vAlign w:val="bottom"/>
            <w:hideMark/>
          </w:tcPr>
          <w:p w14:paraId="49215248" w14:textId="77777777" w:rsidR="001C516A" w:rsidRPr="00FF758F" w:rsidRDefault="001C516A" w:rsidP="00F368ED">
            <w:pPr>
              <w:spacing w:after="0" w:line="240" w:lineRule="auto"/>
              <w:rPr>
                <w:rFonts w:ascii="Calibri" w:eastAsia="Times New Roman" w:hAnsi="Calibri" w:cs="Times New Roman"/>
                <w:b/>
              </w:rPr>
            </w:pPr>
            <w:r w:rsidRPr="00FF758F">
              <w:rPr>
                <w:rFonts w:ascii="Calibri" w:eastAsia="Times New Roman" w:hAnsi="Calibri" w:cs="Times New Roman"/>
                <w:b/>
              </w:rPr>
              <w:lastRenderedPageBreak/>
              <w:t>Table 2.3. Effect of growth habit and entries on percent green cover over a one year period in 2010-2011 in Knoxville, TN.</w:t>
            </w:r>
          </w:p>
        </w:tc>
      </w:tr>
      <w:tr w:rsidR="006258EE" w:rsidRPr="00FF758F" w14:paraId="65D19843" w14:textId="77777777" w:rsidTr="001C516A">
        <w:trPr>
          <w:trHeight w:val="300"/>
          <w:jc w:val="center"/>
        </w:trPr>
        <w:tc>
          <w:tcPr>
            <w:tcW w:w="1530" w:type="dxa"/>
            <w:tcBorders>
              <w:top w:val="nil"/>
              <w:left w:val="nil"/>
              <w:bottom w:val="single" w:sz="4" w:space="0" w:color="auto"/>
              <w:right w:val="nil"/>
            </w:tcBorders>
            <w:shd w:val="clear" w:color="auto" w:fill="auto"/>
            <w:noWrap/>
            <w:vAlign w:val="bottom"/>
            <w:hideMark/>
          </w:tcPr>
          <w:p w14:paraId="2710886C" w14:textId="77777777" w:rsidR="001C516A" w:rsidRPr="00FF758F" w:rsidRDefault="001C516A" w:rsidP="00F368ED">
            <w:pPr>
              <w:spacing w:after="0" w:line="240" w:lineRule="auto"/>
              <w:rPr>
                <w:rFonts w:ascii="Calibri" w:eastAsia="Times New Roman" w:hAnsi="Calibri" w:cs="Times New Roman"/>
                <w:b/>
              </w:rPr>
            </w:pPr>
            <w:r w:rsidRPr="00FF758F">
              <w:rPr>
                <w:rFonts w:ascii="Calibri" w:eastAsia="Times New Roman" w:hAnsi="Calibri" w:cs="Times New Roman"/>
                <w:b/>
              </w:rPr>
              <w:t>Growth</w:t>
            </w:r>
          </w:p>
        </w:tc>
        <w:tc>
          <w:tcPr>
            <w:tcW w:w="2360" w:type="dxa"/>
            <w:tcBorders>
              <w:top w:val="nil"/>
              <w:left w:val="nil"/>
              <w:bottom w:val="single" w:sz="4" w:space="0" w:color="auto"/>
              <w:right w:val="nil"/>
            </w:tcBorders>
            <w:shd w:val="clear" w:color="auto" w:fill="auto"/>
            <w:noWrap/>
            <w:vAlign w:val="bottom"/>
            <w:hideMark/>
          </w:tcPr>
          <w:p w14:paraId="404E6D1A" w14:textId="77777777" w:rsidR="001C516A" w:rsidRPr="00FF758F" w:rsidRDefault="001C516A" w:rsidP="00F368ED">
            <w:pPr>
              <w:spacing w:after="0" w:line="240" w:lineRule="auto"/>
              <w:rPr>
                <w:rFonts w:ascii="Calibri" w:eastAsia="Times New Roman" w:hAnsi="Calibri" w:cs="Times New Roman"/>
                <w:b/>
              </w:rPr>
            </w:pPr>
            <w:r w:rsidRPr="00FF758F">
              <w:rPr>
                <w:rFonts w:ascii="Calibri" w:eastAsia="Times New Roman" w:hAnsi="Calibri" w:cs="Times New Roman"/>
                <w:b/>
              </w:rPr>
              <w:t>Entry</w:t>
            </w:r>
          </w:p>
        </w:tc>
        <w:tc>
          <w:tcPr>
            <w:tcW w:w="574" w:type="dxa"/>
            <w:tcBorders>
              <w:top w:val="nil"/>
              <w:left w:val="nil"/>
              <w:bottom w:val="single" w:sz="4" w:space="0" w:color="auto"/>
              <w:right w:val="nil"/>
            </w:tcBorders>
            <w:shd w:val="clear" w:color="auto" w:fill="auto"/>
            <w:noWrap/>
            <w:vAlign w:val="bottom"/>
            <w:hideMark/>
          </w:tcPr>
          <w:p w14:paraId="1BBC5E6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Nov</w:t>
            </w:r>
          </w:p>
        </w:tc>
        <w:tc>
          <w:tcPr>
            <w:tcW w:w="554" w:type="dxa"/>
            <w:tcBorders>
              <w:top w:val="nil"/>
              <w:left w:val="nil"/>
              <w:bottom w:val="single" w:sz="4" w:space="0" w:color="auto"/>
              <w:right w:val="nil"/>
            </w:tcBorders>
            <w:shd w:val="clear" w:color="auto" w:fill="auto"/>
            <w:noWrap/>
            <w:vAlign w:val="bottom"/>
            <w:hideMark/>
          </w:tcPr>
          <w:p w14:paraId="247F6F9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Dec</w:t>
            </w:r>
          </w:p>
        </w:tc>
        <w:tc>
          <w:tcPr>
            <w:tcW w:w="508" w:type="dxa"/>
            <w:tcBorders>
              <w:top w:val="nil"/>
              <w:left w:val="nil"/>
              <w:bottom w:val="single" w:sz="4" w:space="0" w:color="auto"/>
              <w:right w:val="nil"/>
            </w:tcBorders>
            <w:shd w:val="clear" w:color="auto" w:fill="auto"/>
            <w:noWrap/>
            <w:vAlign w:val="bottom"/>
            <w:hideMark/>
          </w:tcPr>
          <w:p w14:paraId="47E8AE3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Jan</w:t>
            </w:r>
          </w:p>
        </w:tc>
        <w:tc>
          <w:tcPr>
            <w:tcW w:w="543" w:type="dxa"/>
            <w:tcBorders>
              <w:top w:val="nil"/>
              <w:left w:val="nil"/>
              <w:bottom w:val="single" w:sz="4" w:space="0" w:color="auto"/>
              <w:right w:val="nil"/>
            </w:tcBorders>
            <w:shd w:val="clear" w:color="auto" w:fill="auto"/>
            <w:noWrap/>
            <w:vAlign w:val="bottom"/>
            <w:hideMark/>
          </w:tcPr>
          <w:p w14:paraId="4470ADA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Feb</w:t>
            </w:r>
          </w:p>
        </w:tc>
        <w:tc>
          <w:tcPr>
            <w:tcW w:w="587" w:type="dxa"/>
            <w:tcBorders>
              <w:top w:val="nil"/>
              <w:left w:val="nil"/>
              <w:bottom w:val="single" w:sz="4" w:space="0" w:color="auto"/>
              <w:right w:val="nil"/>
            </w:tcBorders>
            <w:shd w:val="clear" w:color="auto" w:fill="auto"/>
            <w:noWrap/>
            <w:vAlign w:val="bottom"/>
            <w:hideMark/>
          </w:tcPr>
          <w:p w14:paraId="31C2BD8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Mar</w:t>
            </w:r>
          </w:p>
        </w:tc>
        <w:tc>
          <w:tcPr>
            <w:tcW w:w="536" w:type="dxa"/>
            <w:tcBorders>
              <w:top w:val="nil"/>
              <w:left w:val="nil"/>
              <w:bottom w:val="single" w:sz="4" w:space="0" w:color="auto"/>
              <w:right w:val="nil"/>
            </w:tcBorders>
            <w:shd w:val="clear" w:color="auto" w:fill="auto"/>
            <w:noWrap/>
            <w:vAlign w:val="bottom"/>
            <w:hideMark/>
          </w:tcPr>
          <w:p w14:paraId="16EEBAE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Apr</w:t>
            </w:r>
          </w:p>
        </w:tc>
        <w:tc>
          <w:tcPr>
            <w:tcW w:w="610" w:type="dxa"/>
            <w:tcBorders>
              <w:top w:val="nil"/>
              <w:left w:val="nil"/>
              <w:bottom w:val="single" w:sz="4" w:space="0" w:color="auto"/>
              <w:right w:val="nil"/>
            </w:tcBorders>
            <w:shd w:val="clear" w:color="auto" w:fill="auto"/>
            <w:noWrap/>
            <w:vAlign w:val="bottom"/>
            <w:hideMark/>
          </w:tcPr>
          <w:p w14:paraId="5F85840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May</w:t>
            </w:r>
          </w:p>
        </w:tc>
        <w:tc>
          <w:tcPr>
            <w:tcW w:w="518" w:type="dxa"/>
            <w:tcBorders>
              <w:top w:val="nil"/>
              <w:left w:val="nil"/>
              <w:bottom w:val="single" w:sz="4" w:space="0" w:color="auto"/>
              <w:right w:val="nil"/>
            </w:tcBorders>
            <w:shd w:val="clear" w:color="auto" w:fill="auto"/>
            <w:noWrap/>
            <w:vAlign w:val="bottom"/>
            <w:hideMark/>
          </w:tcPr>
          <w:p w14:paraId="2027561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Jun</w:t>
            </w:r>
          </w:p>
        </w:tc>
        <w:tc>
          <w:tcPr>
            <w:tcW w:w="453" w:type="dxa"/>
            <w:tcBorders>
              <w:top w:val="nil"/>
              <w:left w:val="nil"/>
              <w:bottom w:val="single" w:sz="4" w:space="0" w:color="auto"/>
              <w:right w:val="nil"/>
            </w:tcBorders>
            <w:shd w:val="clear" w:color="auto" w:fill="auto"/>
            <w:noWrap/>
            <w:vAlign w:val="bottom"/>
            <w:hideMark/>
          </w:tcPr>
          <w:p w14:paraId="201E7DC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Jul</w:t>
            </w:r>
          </w:p>
        </w:tc>
        <w:tc>
          <w:tcPr>
            <w:tcW w:w="563" w:type="dxa"/>
            <w:tcBorders>
              <w:top w:val="nil"/>
              <w:left w:val="nil"/>
              <w:bottom w:val="single" w:sz="4" w:space="0" w:color="auto"/>
              <w:right w:val="nil"/>
            </w:tcBorders>
            <w:shd w:val="clear" w:color="auto" w:fill="auto"/>
            <w:noWrap/>
            <w:vAlign w:val="bottom"/>
            <w:hideMark/>
          </w:tcPr>
          <w:p w14:paraId="4CCB474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Aug</w:t>
            </w:r>
          </w:p>
        </w:tc>
        <w:tc>
          <w:tcPr>
            <w:tcW w:w="543" w:type="dxa"/>
            <w:tcBorders>
              <w:top w:val="nil"/>
              <w:left w:val="nil"/>
              <w:bottom w:val="single" w:sz="4" w:space="0" w:color="auto"/>
              <w:right w:val="nil"/>
            </w:tcBorders>
            <w:shd w:val="clear" w:color="auto" w:fill="auto"/>
            <w:noWrap/>
            <w:vAlign w:val="bottom"/>
            <w:hideMark/>
          </w:tcPr>
          <w:p w14:paraId="2D7B4E4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Sep</w:t>
            </w:r>
          </w:p>
        </w:tc>
        <w:tc>
          <w:tcPr>
            <w:tcW w:w="532" w:type="dxa"/>
            <w:tcBorders>
              <w:top w:val="nil"/>
              <w:left w:val="nil"/>
              <w:bottom w:val="single" w:sz="4" w:space="0" w:color="auto"/>
              <w:right w:val="nil"/>
            </w:tcBorders>
            <w:shd w:val="clear" w:color="auto" w:fill="auto"/>
            <w:noWrap/>
            <w:vAlign w:val="bottom"/>
            <w:hideMark/>
          </w:tcPr>
          <w:p w14:paraId="6E76FCE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Oct</w:t>
            </w:r>
          </w:p>
        </w:tc>
      </w:tr>
      <w:tr w:rsidR="006258EE" w:rsidRPr="00FF758F" w14:paraId="742FB289"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34CB3AE7" w14:textId="77777777" w:rsidR="001C516A" w:rsidRPr="00FF758F" w:rsidRDefault="001C516A" w:rsidP="00F368ED">
            <w:pPr>
              <w:spacing w:after="0" w:line="240" w:lineRule="auto"/>
              <w:rPr>
                <w:rFonts w:ascii="Calibri" w:eastAsia="Times New Roman" w:hAnsi="Calibri" w:cs="Times New Roman"/>
                <w:b/>
              </w:rPr>
            </w:pPr>
            <w:r w:rsidRPr="00FF758F">
              <w:rPr>
                <w:rFonts w:ascii="Calibri" w:eastAsia="Times New Roman" w:hAnsi="Calibri" w:cs="Times New Roman"/>
                <w:b/>
              </w:rPr>
              <w:t>Bunch</w:t>
            </w:r>
          </w:p>
        </w:tc>
        <w:tc>
          <w:tcPr>
            <w:tcW w:w="2360" w:type="dxa"/>
            <w:tcBorders>
              <w:top w:val="nil"/>
              <w:left w:val="nil"/>
              <w:bottom w:val="nil"/>
              <w:right w:val="nil"/>
            </w:tcBorders>
            <w:shd w:val="clear" w:color="auto" w:fill="auto"/>
            <w:noWrap/>
            <w:vAlign w:val="bottom"/>
            <w:hideMark/>
          </w:tcPr>
          <w:p w14:paraId="739F6D5B"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Poa alpina</w:t>
            </w:r>
          </w:p>
        </w:tc>
        <w:tc>
          <w:tcPr>
            <w:tcW w:w="574" w:type="dxa"/>
            <w:tcBorders>
              <w:top w:val="nil"/>
              <w:left w:val="nil"/>
              <w:bottom w:val="nil"/>
              <w:right w:val="nil"/>
            </w:tcBorders>
            <w:shd w:val="clear" w:color="auto" w:fill="auto"/>
            <w:noWrap/>
            <w:vAlign w:val="bottom"/>
            <w:hideMark/>
          </w:tcPr>
          <w:p w14:paraId="46333A2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18</w:t>
            </w:r>
          </w:p>
        </w:tc>
        <w:tc>
          <w:tcPr>
            <w:tcW w:w="554" w:type="dxa"/>
            <w:tcBorders>
              <w:top w:val="nil"/>
              <w:left w:val="nil"/>
              <w:bottom w:val="nil"/>
              <w:right w:val="nil"/>
            </w:tcBorders>
            <w:shd w:val="clear" w:color="auto" w:fill="auto"/>
            <w:noWrap/>
            <w:vAlign w:val="bottom"/>
            <w:hideMark/>
          </w:tcPr>
          <w:p w14:paraId="364B2BB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43</w:t>
            </w:r>
          </w:p>
        </w:tc>
        <w:tc>
          <w:tcPr>
            <w:tcW w:w="508" w:type="dxa"/>
            <w:tcBorders>
              <w:top w:val="nil"/>
              <w:left w:val="nil"/>
              <w:bottom w:val="nil"/>
              <w:right w:val="nil"/>
            </w:tcBorders>
            <w:shd w:val="clear" w:color="auto" w:fill="auto"/>
            <w:noWrap/>
            <w:vAlign w:val="bottom"/>
            <w:hideMark/>
          </w:tcPr>
          <w:p w14:paraId="7CD89F6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38</w:t>
            </w:r>
          </w:p>
        </w:tc>
        <w:tc>
          <w:tcPr>
            <w:tcW w:w="543" w:type="dxa"/>
            <w:tcBorders>
              <w:top w:val="nil"/>
              <w:left w:val="nil"/>
              <w:bottom w:val="nil"/>
              <w:right w:val="nil"/>
            </w:tcBorders>
            <w:shd w:val="clear" w:color="auto" w:fill="auto"/>
            <w:noWrap/>
            <w:vAlign w:val="bottom"/>
            <w:hideMark/>
          </w:tcPr>
          <w:p w14:paraId="1D68652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29</w:t>
            </w:r>
          </w:p>
        </w:tc>
        <w:tc>
          <w:tcPr>
            <w:tcW w:w="587" w:type="dxa"/>
            <w:tcBorders>
              <w:top w:val="nil"/>
              <w:left w:val="nil"/>
              <w:bottom w:val="nil"/>
              <w:right w:val="nil"/>
            </w:tcBorders>
            <w:shd w:val="clear" w:color="auto" w:fill="auto"/>
            <w:noWrap/>
            <w:vAlign w:val="bottom"/>
            <w:hideMark/>
          </w:tcPr>
          <w:p w14:paraId="48FC385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82</w:t>
            </w:r>
          </w:p>
        </w:tc>
        <w:tc>
          <w:tcPr>
            <w:tcW w:w="536" w:type="dxa"/>
            <w:tcBorders>
              <w:top w:val="nil"/>
              <w:left w:val="nil"/>
              <w:bottom w:val="nil"/>
              <w:right w:val="nil"/>
            </w:tcBorders>
            <w:shd w:val="clear" w:color="auto" w:fill="auto"/>
            <w:noWrap/>
            <w:vAlign w:val="bottom"/>
            <w:hideMark/>
          </w:tcPr>
          <w:p w14:paraId="0F0A58E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86</w:t>
            </w:r>
          </w:p>
        </w:tc>
        <w:tc>
          <w:tcPr>
            <w:tcW w:w="610" w:type="dxa"/>
            <w:tcBorders>
              <w:top w:val="nil"/>
              <w:left w:val="nil"/>
              <w:bottom w:val="nil"/>
              <w:right w:val="nil"/>
            </w:tcBorders>
            <w:shd w:val="clear" w:color="auto" w:fill="auto"/>
            <w:noWrap/>
            <w:vAlign w:val="bottom"/>
            <w:hideMark/>
          </w:tcPr>
          <w:p w14:paraId="1B01034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86</w:t>
            </w:r>
          </w:p>
        </w:tc>
        <w:tc>
          <w:tcPr>
            <w:tcW w:w="518" w:type="dxa"/>
            <w:tcBorders>
              <w:top w:val="nil"/>
              <w:left w:val="nil"/>
              <w:bottom w:val="nil"/>
              <w:right w:val="nil"/>
            </w:tcBorders>
            <w:shd w:val="clear" w:color="auto" w:fill="auto"/>
            <w:noWrap/>
            <w:vAlign w:val="bottom"/>
            <w:hideMark/>
          </w:tcPr>
          <w:p w14:paraId="10E6F26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88</w:t>
            </w:r>
          </w:p>
        </w:tc>
        <w:tc>
          <w:tcPr>
            <w:tcW w:w="453" w:type="dxa"/>
            <w:tcBorders>
              <w:top w:val="nil"/>
              <w:left w:val="nil"/>
              <w:bottom w:val="nil"/>
              <w:right w:val="nil"/>
            </w:tcBorders>
            <w:shd w:val="clear" w:color="auto" w:fill="auto"/>
            <w:noWrap/>
            <w:vAlign w:val="bottom"/>
            <w:hideMark/>
          </w:tcPr>
          <w:p w14:paraId="06EE948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70</w:t>
            </w:r>
          </w:p>
        </w:tc>
        <w:tc>
          <w:tcPr>
            <w:tcW w:w="563" w:type="dxa"/>
            <w:tcBorders>
              <w:top w:val="nil"/>
              <w:left w:val="nil"/>
              <w:bottom w:val="nil"/>
              <w:right w:val="nil"/>
            </w:tcBorders>
            <w:shd w:val="clear" w:color="auto" w:fill="auto"/>
            <w:noWrap/>
            <w:vAlign w:val="bottom"/>
            <w:hideMark/>
          </w:tcPr>
          <w:p w14:paraId="09C454C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19</w:t>
            </w:r>
          </w:p>
        </w:tc>
        <w:tc>
          <w:tcPr>
            <w:tcW w:w="543" w:type="dxa"/>
            <w:tcBorders>
              <w:top w:val="nil"/>
              <w:left w:val="nil"/>
              <w:bottom w:val="nil"/>
              <w:right w:val="nil"/>
            </w:tcBorders>
            <w:shd w:val="clear" w:color="auto" w:fill="auto"/>
            <w:noWrap/>
            <w:vAlign w:val="bottom"/>
            <w:hideMark/>
          </w:tcPr>
          <w:p w14:paraId="4BF56BC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w:t>
            </w:r>
          </w:p>
        </w:tc>
        <w:tc>
          <w:tcPr>
            <w:tcW w:w="532" w:type="dxa"/>
            <w:tcBorders>
              <w:top w:val="nil"/>
              <w:left w:val="nil"/>
              <w:bottom w:val="nil"/>
              <w:right w:val="nil"/>
            </w:tcBorders>
            <w:shd w:val="clear" w:color="auto" w:fill="auto"/>
            <w:noWrap/>
            <w:vAlign w:val="bottom"/>
            <w:hideMark/>
          </w:tcPr>
          <w:p w14:paraId="2134731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14</w:t>
            </w:r>
          </w:p>
        </w:tc>
      </w:tr>
      <w:tr w:rsidR="006258EE" w:rsidRPr="00FF758F" w14:paraId="3E95018F"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64E11DAA"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2B3BF22E"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alsodes</w:t>
            </w:r>
          </w:p>
        </w:tc>
        <w:tc>
          <w:tcPr>
            <w:tcW w:w="574" w:type="dxa"/>
            <w:tcBorders>
              <w:top w:val="nil"/>
              <w:left w:val="nil"/>
              <w:bottom w:val="nil"/>
              <w:right w:val="nil"/>
            </w:tcBorders>
            <w:shd w:val="clear" w:color="auto" w:fill="auto"/>
            <w:noWrap/>
            <w:vAlign w:val="bottom"/>
            <w:hideMark/>
          </w:tcPr>
          <w:p w14:paraId="35C6860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w:t>
            </w:r>
          </w:p>
        </w:tc>
        <w:tc>
          <w:tcPr>
            <w:tcW w:w="554" w:type="dxa"/>
            <w:tcBorders>
              <w:top w:val="nil"/>
              <w:left w:val="nil"/>
              <w:bottom w:val="nil"/>
              <w:right w:val="nil"/>
            </w:tcBorders>
            <w:shd w:val="clear" w:color="auto" w:fill="auto"/>
            <w:noWrap/>
            <w:vAlign w:val="bottom"/>
            <w:hideMark/>
          </w:tcPr>
          <w:p w14:paraId="1C0FD68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24</w:t>
            </w:r>
          </w:p>
        </w:tc>
        <w:tc>
          <w:tcPr>
            <w:tcW w:w="508" w:type="dxa"/>
            <w:tcBorders>
              <w:top w:val="nil"/>
              <w:left w:val="nil"/>
              <w:bottom w:val="nil"/>
              <w:right w:val="nil"/>
            </w:tcBorders>
            <w:shd w:val="clear" w:color="auto" w:fill="auto"/>
            <w:noWrap/>
            <w:vAlign w:val="bottom"/>
            <w:hideMark/>
          </w:tcPr>
          <w:p w14:paraId="26A54CF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29</w:t>
            </w:r>
          </w:p>
        </w:tc>
        <w:tc>
          <w:tcPr>
            <w:tcW w:w="543" w:type="dxa"/>
            <w:tcBorders>
              <w:top w:val="nil"/>
              <w:left w:val="nil"/>
              <w:bottom w:val="nil"/>
              <w:right w:val="nil"/>
            </w:tcBorders>
            <w:shd w:val="clear" w:color="auto" w:fill="auto"/>
            <w:noWrap/>
            <w:vAlign w:val="bottom"/>
            <w:hideMark/>
          </w:tcPr>
          <w:p w14:paraId="2E8740E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26</w:t>
            </w:r>
          </w:p>
        </w:tc>
        <w:tc>
          <w:tcPr>
            <w:tcW w:w="587" w:type="dxa"/>
            <w:tcBorders>
              <w:top w:val="nil"/>
              <w:left w:val="nil"/>
              <w:bottom w:val="nil"/>
              <w:right w:val="nil"/>
            </w:tcBorders>
            <w:shd w:val="clear" w:color="auto" w:fill="auto"/>
            <w:noWrap/>
            <w:vAlign w:val="bottom"/>
            <w:hideMark/>
          </w:tcPr>
          <w:p w14:paraId="15D0CFB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67</w:t>
            </w:r>
          </w:p>
        </w:tc>
        <w:tc>
          <w:tcPr>
            <w:tcW w:w="536" w:type="dxa"/>
            <w:tcBorders>
              <w:top w:val="nil"/>
              <w:left w:val="nil"/>
              <w:bottom w:val="nil"/>
              <w:right w:val="nil"/>
            </w:tcBorders>
            <w:shd w:val="clear" w:color="auto" w:fill="auto"/>
            <w:noWrap/>
            <w:vAlign w:val="bottom"/>
            <w:hideMark/>
          </w:tcPr>
          <w:p w14:paraId="06BD0FA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80</w:t>
            </w:r>
          </w:p>
        </w:tc>
        <w:tc>
          <w:tcPr>
            <w:tcW w:w="610" w:type="dxa"/>
            <w:tcBorders>
              <w:top w:val="nil"/>
              <w:left w:val="nil"/>
              <w:bottom w:val="nil"/>
              <w:right w:val="nil"/>
            </w:tcBorders>
            <w:shd w:val="clear" w:color="auto" w:fill="auto"/>
            <w:noWrap/>
            <w:vAlign w:val="bottom"/>
            <w:hideMark/>
          </w:tcPr>
          <w:p w14:paraId="1E0F06D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71</w:t>
            </w:r>
          </w:p>
        </w:tc>
        <w:tc>
          <w:tcPr>
            <w:tcW w:w="518" w:type="dxa"/>
            <w:tcBorders>
              <w:top w:val="nil"/>
              <w:left w:val="nil"/>
              <w:bottom w:val="nil"/>
              <w:right w:val="nil"/>
            </w:tcBorders>
            <w:shd w:val="clear" w:color="auto" w:fill="auto"/>
            <w:noWrap/>
            <w:vAlign w:val="bottom"/>
            <w:hideMark/>
          </w:tcPr>
          <w:p w14:paraId="41851E6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69</w:t>
            </w:r>
          </w:p>
        </w:tc>
        <w:tc>
          <w:tcPr>
            <w:tcW w:w="453" w:type="dxa"/>
            <w:tcBorders>
              <w:top w:val="nil"/>
              <w:left w:val="nil"/>
              <w:bottom w:val="nil"/>
              <w:right w:val="nil"/>
            </w:tcBorders>
            <w:shd w:val="clear" w:color="auto" w:fill="auto"/>
            <w:noWrap/>
            <w:vAlign w:val="bottom"/>
            <w:hideMark/>
          </w:tcPr>
          <w:p w14:paraId="2AECEC4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60</w:t>
            </w:r>
          </w:p>
        </w:tc>
        <w:tc>
          <w:tcPr>
            <w:tcW w:w="563" w:type="dxa"/>
            <w:tcBorders>
              <w:top w:val="nil"/>
              <w:left w:val="nil"/>
              <w:bottom w:val="nil"/>
              <w:right w:val="nil"/>
            </w:tcBorders>
            <w:shd w:val="clear" w:color="auto" w:fill="auto"/>
            <w:noWrap/>
            <w:vAlign w:val="bottom"/>
            <w:hideMark/>
          </w:tcPr>
          <w:p w14:paraId="5E32225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16</w:t>
            </w:r>
          </w:p>
        </w:tc>
        <w:tc>
          <w:tcPr>
            <w:tcW w:w="543" w:type="dxa"/>
            <w:tcBorders>
              <w:top w:val="nil"/>
              <w:left w:val="nil"/>
              <w:bottom w:val="nil"/>
              <w:right w:val="nil"/>
            </w:tcBorders>
            <w:shd w:val="clear" w:color="auto" w:fill="auto"/>
            <w:noWrap/>
            <w:vAlign w:val="bottom"/>
            <w:hideMark/>
          </w:tcPr>
          <w:p w14:paraId="445CFBD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11</w:t>
            </w:r>
          </w:p>
        </w:tc>
        <w:tc>
          <w:tcPr>
            <w:tcW w:w="532" w:type="dxa"/>
            <w:tcBorders>
              <w:top w:val="nil"/>
              <w:left w:val="nil"/>
              <w:bottom w:val="nil"/>
              <w:right w:val="nil"/>
            </w:tcBorders>
            <w:shd w:val="clear" w:color="auto" w:fill="auto"/>
            <w:noWrap/>
            <w:vAlign w:val="bottom"/>
            <w:hideMark/>
          </w:tcPr>
          <w:p w14:paraId="3E36277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15</w:t>
            </w:r>
          </w:p>
        </w:tc>
      </w:tr>
      <w:tr w:rsidR="006258EE" w:rsidRPr="00FF758F" w14:paraId="1DDE0959"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7569920E"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6E150B62"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annua</w:t>
            </w:r>
          </w:p>
        </w:tc>
        <w:tc>
          <w:tcPr>
            <w:tcW w:w="574" w:type="dxa"/>
            <w:tcBorders>
              <w:top w:val="nil"/>
              <w:left w:val="nil"/>
              <w:bottom w:val="nil"/>
              <w:right w:val="nil"/>
            </w:tcBorders>
            <w:shd w:val="clear" w:color="auto" w:fill="auto"/>
            <w:noWrap/>
            <w:vAlign w:val="bottom"/>
            <w:hideMark/>
          </w:tcPr>
          <w:p w14:paraId="3862A8C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24</w:t>
            </w:r>
          </w:p>
        </w:tc>
        <w:tc>
          <w:tcPr>
            <w:tcW w:w="554" w:type="dxa"/>
            <w:tcBorders>
              <w:top w:val="nil"/>
              <w:left w:val="nil"/>
              <w:bottom w:val="nil"/>
              <w:right w:val="nil"/>
            </w:tcBorders>
            <w:shd w:val="clear" w:color="auto" w:fill="auto"/>
            <w:noWrap/>
            <w:vAlign w:val="bottom"/>
            <w:hideMark/>
          </w:tcPr>
          <w:p w14:paraId="3BF2F0E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49</w:t>
            </w:r>
          </w:p>
        </w:tc>
        <w:tc>
          <w:tcPr>
            <w:tcW w:w="508" w:type="dxa"/>
            <w:tcBorders>
              <w:top w:val="nil"/>
              <w:left w:val="nil"/>
              <w:bottom w:val="nil"/>
              <w:right w:val="nil"/>
            </w:tcBorders>
            <w:shd w:val="clear" w:color="auto" w:fill="auto"/>
            <w:noWrap/>
            <w:vAlign w:val="bottom"/>
            <w:hideMark/>
          </w:tcPr>
          <w:p w14:paraId="7211AB3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51</w:t>
            </w:r>
          </w:p>
        </w:tc>
        <w:tc>
          <w:tcPr>
            <w:tcW w:w="543" w:type="dxa"/>
            <w:tcBorders>
              <w:top w:val="nil"/>
              <w:left w:val="nil"/>
              <w:bottom w:val="nil"/>
              <w:right w:val="nil"/>
            </w:tcBorders>
            <w:shd w:val="clear" w:color="auto" w:fill="auto"/>
            <w:noWrap/>
            <w:vAlign w:val="bottom"/>
            <w:hideMark/>
          </w:tcPr>
          <w:p w14:paraId="2AE2EF4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50</w:t>
            </w:r>
          </w:p>
        </w:tc>
        <w:tc>
          <w:tcPr>
            <w:tcW w:w="587" w:type="dxa"/>
            <w:tcBorders>
              <w:top w:val="nil"/>
              <w:left w:val="nil"/>
              <w:bottom w:val="nil"/>
              <w:right w:val="nil"/>
            </w:tcBorders>
            <w:shd w:val="clear" w:color="auto" w:fill="auto"/>
            <w:noWrap/>
            <w:vAlign w:val="bottom"/>
            <w:hideMark/>
          </w:tcPr>
          <w:p w14:paraId="5F02E9A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84</w:t>
            </w:r>
          </w:p>
        </w:tc>
        <w:tc>
          <w:tcPr>
            <w:tcW w:w="536" w:type="dxa"/>
            <w:tcBorders>
              <w:top w:val="nil"/>
              <w:left w:val="nil"/>
              <w:bottom w:val="nil"/>
              <w:right w:val="nil"/>
            </w:tcBorders>
            <w:shd w:val="clear" w:color="auto" w:fill="auto"/>
            <w:noWrap/>
            <w:vAlign w:val="bottom"/>
            <w:hideMark/>
          </w:tcPr>
          <w:p w14:paraId="0DC9E07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96</w:t>
            </w:r>
          </w:p>
        </w:tc>
        <w:tc>
          <w:tcPr>
            <w:tcW w:w="610" w:type="dxa"/>
            <w:tcBorders>
              <w:top w:val="nil"/>
              <w:left w:val="nil"/>
              <w:bottom w:val="nil"/>
              <w:right w:val="nil"/>
            </w:tcBorders>
            <w:shd w:val="clear" w:color="auto" w:fill="auto"/>
            <w:noWrap/>
            <w:vAlign w:val="bottom"/>
            <w:hideMark/>
          </w:tcPr>
          <w:p w14:paraId="14B41AC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94</w:t>
            </w:r>
          </w:p>
        </w:tc>
        <w:tc>
          <w:tcPr>
            <w:tcW w:w="518" w:type="dxa"/>
            <w:tcBorders>
              <w:top w:val="nil"/>
              <w:left w:val="nil"/>
              <w:bottom w:val="nil"/>
              <w:right w:val="nil"/>
            </w:tcBorders>
            <w:shd w:val="clear" w:color="auto" w:fill="auto"/>
            <w:noWrap/>
            <w:vAlign w:val="bottom"/>
            <w:hideMark/>
          </w:tcPr>
          <w:p w14:paraId="5C751CD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70</w:t>
            </w:r>
          </w:p>
        </w:tc>
        <w:tc>
          <w:tcPr>
            <w:tcW w:w="453" w:type="dxa"/>
            <w:tcBorders>
              <w:top w:val="nil"/>
              <w:left w:val="nil"/>
              <w:bottom w:val="nil"/>
              <w:right w:val="nil"/>
            </w:tcBorders>
            <w:shd w:val="clear" w:color="auto" w:fill="auto"/>
            <w:noWrap/>
            <w:vAlign w:val="bottom"/>
            <w:hideMark/>
          </w:tcPr>
          <w:p w14:paraId="13DF387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32</w:t>
            </w:r>
          </w:p>
        </w:tc>
        <w:tc>
          <w:tcPr>
            <w:tcW w:w="563" w:type="dxa"/>
            <w:tcBorders>
              <w:top w:val="nil"/>
              <w:left w:val="nil"/>
              <w:bottom w:val="nil"/>
              <w:right w:val="nil"/>
            </w:tcBorders>
            <w:shd w:val="clear" w:color="auto" w:fill="auto"/>
            <w:noWrap/>
            <w:vAlign w:val="bottom"/>
            <w:hideMark/>
          </w:tcPr>
          <w:p w14:paraId="758541E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w:t>
            </w:r>
          </w:p>
        </w:tc>
        <w:tc>
          <w:tcPr>
            <w:tcW w:w="543" w:type="dxa"/>
            <w:tcBorders>
              <w:top w:val="nil"/>
              <w:left w:val="nil"/>
              <w:bottom w:val="nil"/>
              <w:right w:val="nil"/>
            </w:tcBorders>
            <w:shd w:val="clear" w:color="auto" w:fill="auto"/>
            <w:noWrap/>
            <w:vAlign w:val="bottom"/>
            <w:hideMark/>
          </w:tcPr>
          <w:p w14:paraId="143F437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w:t>
            </w:r>
          </w:p>
        </w:tc>
        <w:tc>
          <w:tcPr>
            <w:tcW w:w="532" w:type="dxa"/>
            <w:tcBorders>
              <w:top w:val="nil"/>
              <w:left w:val="nil"/>
              <w:bottom w:val="nil"/>
              <w:right w:val="nil"/>
            </w:tcBorders>
            <w:shd w:val="clear" w:color="auto" w:fill="auto"/>
            <w:noWrap/>
            <w:vAlign w:val="bottom"/>
            <w:hideMark/>
          </w:tcPr>
          <w:p w14:paraId="5A0C1DB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10</w:t>
            </w:r>
          </w:p>
        </w:tc>
      </w:tr>
      <w:tr w:rsidR="006258EE" w:rsidRPr="00FF758F" w14:paraId="1DC860B5"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6A195074"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68306A06"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candamoana</w:t>
            </w:r>
          </w:p>
        </w:tc>
        <w:tc>
          <w:tcPr>
            <w:tcW w:w="574" w:type="dxa"/>
            <w:tcBorders>
              <w:top w:val="nil"/>
              <w:left w:val="nil"/>
              <w:bottom w:val="nil"/>
              <w:right w:val="nil"/>
            </w:tcBorders>
            <w:shd w:val="clear" w:color="auto" w:fill="auto"/>
            <w:noWrap/>
            <w:vAlign w:val="bottom"/>
            <w:hideMark/>
          </w:tcPr>
          <w:p w14:paraId="246059F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w:t>
            </w:r>
          </w:p>
        </w:tc>
        <w:tc>
          <w:tcPr>
            <w:tcW w:w="554" w:type="dxa"/>
            <w:tcBorders>
              <w:top w:val="nil"/>
              <w:left w:val="nil"/>
              <w:bottom w:val="nil"/>
              <w:right w:val="nil"/>
            </w:tcBorders>
            <w:shd w:val="clear" w:color="auto" w:fill="auto"/>
            <w:noWrap/>
            <w:vAlign w:val="bottom"/>
            <w:hideMark/>
          </w:tcPr>
          <w:p w14:paraId="1F69621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14</w:t>
            </w:r>
          </w:p>
        </w:tc>
        <w:tc>
          <w:tcPr>
            <w:tcW w:w="508" w:type="dxa"/>
            <w:tcBorders>
              <w:top w:val="nil"/>
              <w:left w:val="nil"/>
              <w:bottom w:val="nil"/>
              <w:right w:val="nil"/>
            </w:tcBorders>
            <w:shd w:val="clear" w:color="auto" w:fill="auto"/>
            <w:noWrap/>
            <w:vAlign w:val="bottom"/>
            <w:hideMark/>
          </w:tcPr>
          <w:p w14:paraId="28E570D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11</w:t>
            </w:r>
          </w:p>
        </w:tc>
        <w:tc>
          <w:tcPr>
            <w:tcW w:w="543" w:type="dxa"/>
            <w:tcBorders>
              <w:top w:val="nil"/>
              <w:left w:val="nil"/>
              <w:bottom w:val="nil"/>
              <w:right w:val="nil"/>
            </w:tcBorders>
            <w:shd w:val="clear" w:color="auto" w:fill="auto"/>
            <w:noWrap/>
            <w:vAlign w:val="bottom"/>
            <w:hideMark/>
          </w:tcPr>
          <w:p w14:paraId="0525AE9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14</w:t>
            </w:r>
          </w:p>
        </w:tc>
        <w:tc>
          <w:tcPr>
            <w:tcW w:w="587" w:type="dxa"/>
            <w:tcBorders>
              <w:top w:val="nil"/>
              <w:left w:val="nil"/>
              <w:bottom w:val="nil"/>
              <w:right w:val="nil"/>
            </w:tcBorders>
            <w:shd w:val="clear" w:color="auto" w:fill="auto"/>
            <w:noWrap/>
            <w:vAlign w:val="bottom"/>
            <w:hideMark/>
          </w:tcPr>
          <w:p w14:paraId="11A76DD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49</w:t>
            </w:r>
          </w:p>
        </w:tc>
        <w:tc>
          <w:tcPr>
            <w:tcW w:w="536" w:type="dxa"/>
            <w:tcBorders>
              <w:top w:val="nil"/>
              <w:left w:val="nil"/>
              <w:bottom w:val="nil"/>
              <w:right w:val="nil"/>
            </w:tcBorders>
            <w:shd w:val="clear" w:color="auto" w:fill="auto"/>
            <w:noWrap/>
            <w:vAlign w:val="bottom"/>
            <w:hideMark/>
          </w:tcPr>
          <w:p w14:paraId="5F2E61B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60</w:t>
            </w:r>
          </w:p>
        </w:tc>
        <w:tc>
          <w:tcPr>
            <w:tcW w:w="610" w:type="dxa"/>
            <w:tcBorders>
              <w:top w:val="nil"/>
              <w:left w:val="nil"/>
              <w:bottom w:val="nil"/>
              <w:right w:val="nil"/>
            </w:tcBorders>
            <w:shd w:val="clear" w:color="auto" w:fill="auto"/>
            <w:noWrap/>
            <w:vAlign w:val="bottom"/>
            <w:hideMark/>
          </w:tcPr>
          <w:p w14:paraId="1166BC2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54</w:t>
            </w:r>
          </w:p>
        </w:tc>
        <w:tc>
          <w:tcPr>
            <w:tcW w:w="518" w:type="dxa"/>
            <w:tcBorders>
              <w:top w:val="nil"/>
              <w:left w:val="nil"/>
              <w:bottom w:val="nil"/>
              <w:right w:val="nil"/>
            </w:tcBorders>
            <w:shd w:val="clear" w:color="auto" w:fill="auto"/>
            <w:noWrap/>
            <w:vAlign w:val="bottom"/>
            <w:hideMark/>
          </w:tcPr>
          <w:p w14:paraId="2D4D4A3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51</w:t>
            </w:r>
          </w:p>
        </w:tc>
        <w:tc>
          <w:tcPr>
            <w:tcW w:w="453" w:type="dxa"/>
            <w:tcBorders>
              <w:top w:val="nil"/>
              <w:left w:val="nil"/>
              <w:bottom w:val="nil"/>
              <w:right w:val="nil"/>
            </w:tcBorders>
            <w:shd w:val="clear" w:color="auto" w:fill="auto"/>
            <w:noWrap/>
            <w:vAlign w:val="bottom"/>
            <w:hideMark/>
          </w:tcPr>
          <w:p w14:paraId="0924C0E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39</w:t>
            </w:r>
          </w:p>
        </w:tc>
        <w:tc>
          <w:tcPr>
            <w:tcW w:w="563" w:type="dxa"/>
            <w:tcBorders>
              <w:top w:val="nil"/>
              <w:left w:val="nil"/>
              <w:bottom w:val="nil"/>
              <w:right w:val="nil"/>
            </w:tcBorders>
            <w:shd w:val="clear" w:color="auto" w:fill="auto"/>
            <w:noWrap/>
            <w:vAlign w:val="bottom"/>
            <w:hideMark/>
          </w:tcPr>
          <w:p w14:paraId="6208213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14</w:t>
            </w:r>
          </w:p>
        </w:tc>
        <w:tc>
          <w:tcPr>
            <w:tcW w:w="543" w:type="dxa"/>
            <w:tcBorders>
              <w:top w:val="nil"/>
              <w:left w:val="nil"/>
              <w:bottom w:val="nil"/>
              <w:right w:val="nil"/>
            </w:tcBorders>
            <w:shd w:val="clear" w:color="auto" w:fill="auto"/>
            <w:noWrap/>
            <w:vAlign w:val="bottom"/>
            <w:hideMark/>
          </w:tcPr>
          <w:p w14:paraId="6CF05FD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17</w:t>
            </w:r>
          </w:p>
        </w:tc>
        <w:tc>
          <w:tcPr>
            <w:tcW w:w="532" w:type="dxa"/>
            <w:tcBorders>
              <w:top w:val="nil"/>
              <w:left w:val="nil"/>
              <w:bottom w:val="nil"/>
              <w:right w:val="nil"/>
            </w:tcBorders>
            <w:shd w:val="clear" w:color="auto" w:fill="auto"/>
            <w:noWrap/>
            <w:vAlign w:val="bottom"/>
            <w:hideMark/>
          </w:tcPr>
          <w:p w14:paraId="5C9A129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21</w:t>
            </w:r>
          </w:p>
        </w:tc>
      </w:tr>
      <w:tr w:rsidR="006258EE" w:rsidRPr="00FF758F" w14:paraId="09889BCD"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2B32D386"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57E9985D"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chaixi</w:t>
            </w:r>
          </w:p>
        </w:tc>
        <w:tc>
          <w:tcPr>
            <w:tcW w:w="574" w:type="dxa"/>
            <w:tcBorders>
              <w:top w:val="nil"/>
              <w:left w:val="nil"/>
              <w:bottom w:val="nil"/>
              <w:right w:val="nil"/>
            </w:tcBorders>
            <w:shd w:val="clear" w:color="auto" w:fill="auto"/>
            <w:noWrap/>
            <w:vAlign w:val="bottom"/>
            <w:hideMark/>
          </w:tcPr>
          <w:p w14:paraId="37871C1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10</w:t>
            </w:r>
          </w:p>
        </w:tc>
        <w:tc>
          <w:tcPr>
            <w:tcW w:w="554" w:type="dxa"/>
            <w:tcBorders>
              <w:top w:val="nil"/>
              <w:left w:val="nil"/>
              <w:bottom w:val="nil"/>
              <w:right w:val="nil"/>
            </w:tcBorders>
            <w:shd w:val="clear" w:color="auto" w:fill="auto"/>
            <w:noWrap/>
            <w:vAlign w:val="bottom"/>
            <w:hideMark/>
          </w:tcPr>
          <w:p w14:paraId="554CDB2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23</w:t>
            </w:r>
          </w:p>
        </w:tc>
        <w:tc>
          <w:tcPr>
            <w:tcW w:w="508" w:type="dxa"/>
            <w:tcBorders>
              <w:top w:val="nil"/>
              <w:left w:val="nil"/>
              <w:bottom w:val="nil"/>
              <w:right w:val="nil"/>
            </w:tcBorders>
            <w:shd w:val="clear" w:color="auto" w:fill="auto"/>
            <w:noWrap/>
            <w:vAlign w:val="bottom"/>
            <w:hideMark/>
          </w:tcPr>
          <w:p w14:paraId="007FF6E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25</w:t>
            </w:r>
          </w:p>
        </w:tc>
        <w:tc>
          <w:tcPr>
            <w:tcW w:w="543" w:type="dxa"/>
            <w:tcBorders>
              <w:top w:val="nil"/>
              <w:left w:val="nil"/>
              <w:bottom w:val="nil"/>
              <w:right w:val="nil"/>
            </w:tcBorders>
            <w:shd w:val="clear" w:color="auto" w:fill="auto"/>
            <w:noWrap/>
            <w:vAlign w:val="bottom"/>
            <w:hideMark/>
          </w:tcPr>
          <w:p w14:paraId="482FDB4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28</w:t>
            </w:r>
          </w:p>
        </w:tc>
        <w:tc>
          <w:tcPr>
            <w:tcW w:w="587" w:type="dxa"/>
            <w:tcBorders>
              <w:top w:val="nil"/>
              <w:left w:val="nil"/>
              <w:bottom w:val="nil"/>
              <w:right w:val="nil"/>
            </w:tcBorders>
            <w:shd w:val="clear" w:color="auto" w:fill="auto"/>
            <w:noWrap/>
            <w:vAlign w:val="bottom"/>
            <w:hideMark/>
          </w:tcPr>
          <w:p w14:paraId="6EFCFB9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68</w:t>
            </w:r>
          </w:p>
        </w:tc>
        <w:tc>
          <w:tcPr>
            <w:tcW w:w="536" w:type="dxa"/>
            <w:tcBorders>
              <w:top w:val="nil"/>
              <w:left w:val="nil"/>
              <w:bottom w:val="nil"/>
              <w:right w:val="nil"/>
            </w:tcBorders>
            <w:shd w:val="clear" w:color="auto" w:fill="auto"/>
            <w:noWrap/>
            <w:vAlign w:val="bottom"/>
            <w:hideMark/>
          </w:tcPr>
          <w:p w14:paraId="7A4C439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73</w:t>
            </w:r>
          </w:p>
        </w:tc>
        <w:tc>
          <w:tcPr>
            <w:tcW w:w="610" w:type="dxa"/>
            <w:tcBorders>
              <w:top w:val="nil"/>
              <w:left w:val="nil"/>
              <w:bottom w:val="nil"/>
              <w:right w:val="nil"/>
            </w:tcBorders>
            <w:shd w:val="clear" w:color="auto" w:fill="auto"/>
            <w:noWrap/>
            <w:vAlign w:val="bottom"/>
            <w:hideMark/>
          </w:tcPr>
          <w:p w14:paraId="5AC8F39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68</w:t>
            </w:r>
          </w:p>
        </w:tc>
        <w:tc>
          <w:tcPr>
            <w:tcW w:w="518" w:type="dxa"/>
            <w:tcBorders>
              <w:top w:val="nil"/>
              <w:left w:val="nil"/>
              <w:bottom w:val="nil"/>
              <w:right w:val="nil"/>
            </w:tcBorders>
            <w:shd w:val="clear" w:color="auto" w:fill="auto"/>
            <w:noWrap/>
            <w:vAlign w:val="bottom"/>
            <w:hideMark/>
          </w:tcPr>
          <w:p w14:paraId="6A366AB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61</w:t>
            </w:r>
          </w:p>
        </w:tc>
        <w:tc>
          <w:tcPr>
            <w:tcW w:w="453" w:type="dxa"/>
            <w:tcBorders>
              <w:top w:val="nil"/>
              <w:left w:val="nil"/>
              <w:bottom w:val="nil"/>
              <w:right w:val="nil"/>
            </w:tcBorders>
            <w:shd w:val="clear" w:color="auto" w:fill="auto"/>
            <w:noWrap/>
            <w:vAlign w:val="bottom"/>
            <w:hideMark/>
          </w:tcPr>
          <w:p w14:paraId="44A9779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43</w:t>
            </w:r>
          </w:p>
        </w:tc>
        <w:tc>
          <w:tcPr>
            <w:tcW w:w="563" w:type="dxa"/>
            <w:tcBorders>
              <w:top w:val="nil"/>
              <w:left w:val="nil"/>
              <w:bottom w:val="nil"/>
              <w:right w:val="nil"/>
            </w:tcBorders>
            <w:shd w:val="clear" w:color="auto" w:fill="auto"/>
            <w:noWrap/>
            <w:vAlign w:val="bottom"/>
            <w:hideMark/>
          </w:tcPr>
          <w:p w14:paraId="345D34F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13</w:t>
            </w:r>
          </w:p>
        </w:tc>
        <w:tc>
          <w:tcPr>
            <w:tcW w:w="543" w:type="dxa"/>
            <w:tcBorders>
              <w:top w:val="nil"/>
              <w:left w:val="nil"/>
              <w:bottom w:val="nil"/>
              <w:right w:val="nil"/>
            </w:tcBorders>
            <w:shd w:val="clear" w:color="auto" w:fill="auto"/>
            <w:noWrap/>
            <w:vAlign w:val="bottom"/>
            <w:hideMark/>
          </w:tcPr>
          <w:p w14:paraId="76C5DD8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w:t>
            </w:r>
          </w:p>
        </w:tc>
        <w:tc>
          <w:tcPr>
            <w:tcW w:w="532" w:type="dxa"/>
            <w:tcBorders>
              <w:top w:val="nil"/>
              <w:left w:val="nil"/>
              <w:bottom w:val="nil"/>
              <w:right w:val="nil"/>
            </w:tcBorders>
            <w:shd w:val="clear" w:color="auto" w:fill="auto"/>
            <w:noWrap/>
            <w:vAlign w:val="bottom"/>
            <w:hideMark/>
          </w:tcPr>
          <w:p w14:paraId="1FCFFF7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w:t>
            </w:r>
          </w:p>
        </w:tc>
      </w:tr>
      <w:tr w:rsidR="006258EE" w:rsidRPr="00FF758F" w14:paraId="106E990E"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58CDCEF4"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6A894B6B"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cita</w:t>
            </w:r>
          </w:p>
        </w:tc>
        <w:tc>
          <w:tcPr>
            <w:tcW w:w="574" w:type="dxa"/>
            <w:tcBorders>
              <w:top w:val="nil"/>
              <w:left w:val="nil"/>
              <w:bottom w:val="nil"/>
              <w:right w:val="nil"/>
            </w:tcBorders>
            <w:shd w:val="clear" w:color="auto" w:fill="auto"/>
            <w:noWrap/>
            <w:vAlign w:val="bottom"/>
            <w:hideMark/>
          </w:tcPr>
          <w:p w14:paraId="301F2D7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12</w:t>
            </w:r>
          </w:p>
        </w:tc>
        <w:tc>
          <w:tcPr>
            <w:tcW w:w="554" w:type="dxa"/>
            <w:tcBorders>
              <w:top w:val="nil"/>
              <w:left w:val="nil"/>
              <w:bottom w:val="nil"/>
              <w:right w:val="nil"/>
            </w:tcBorders>
            <w:shd w:val="clear" w:color="auto" w:fill="auto"/>
            <w:noWrap/>
            <w:vAlign w:val="bottom"/>
            <w:hideMark/>
          </w:tcPr>
          <w:p w14:paraId="3720607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29</w:t>
            </w:r>
          </w:p>
        </w:tc>
        <w:tc>
          <w:tcPr>
            <w:tcW w:w="508" w:type="dxa"/>
            <w:tcBorders>
              <w:top w:val="nil"/>
              <w:left w:val="nil"/>
              <w:bottom w:val="nil"/>
              <w:right w:val="nil"/>
            </w:tcBorders>
            <w:shd w:val="clear" w:color="auto" w:fill="auto"/>
            <w:noWrap/>
            <w:vAlign w:val="bottom"/>
            <w:hideMark/>
          </w:tcPr>
          <w:p w14:paraId="7022539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29</w:t>
            </w:r>
          </w:p>
        </w:tc>
        <w:tc>
          <w:tcPr>
            <w:tcW w:w="543" w:type="dxa"/>
            <w:tcBorders>
              <w:top w:val="nil"/>
              <w:left w:val="nil"/>
              <w:bottom w:val="nil"/>
              <w:right w:val="nil"/>
            </w:tcBorders>
            <w:shd w:val="clear" w:color="auto" w:fill="auto"/>
            <w:noWrap/>
            <w:vAlign w:val="bottom"/>
            <w:hideMark/>
          </w:tcPr>
          <w:p w14:paraId="6FEE43F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28</w:t>
            </w:r>
          </w:p>
        </w:tc>
        <w:tc>
          <w:tcPr>
            <w:tcW w:w="587" w:type="dxa"/>
            <w:tcBorders>
              <w:top w:val="nil"/>
              <w:left w:val="nil"/>
              <w:bottom w:val="nil"/>
              <w:right w:val="nil"/>
            </w:tcBorders>
            <w:shd w:val="clear" w:color="auto" w:fill="auto"/>
            <w:noWrap/>
            <w:vAlign w:val="bottom"/>
            <w:hideMark/>
          </w:tcPr>
          <w:p w14:paraId="22B3234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80</w:t>
            </w:r>
          </w:p>
        </w:tc>
        <w:tc>
          <w:tcPr>
            <w:tcW w:w="536" w:type="dxa"/>
            <w:tcBorders>
              <w:top w:val="nil"/>
              <w:left w:val="nil"/>
              <w:bottom w:val="nil"/>
              <w:right w:val="nil"/>
            </w:tcBorders>
            <w:shd w:val="clear" w:color="auto" w:fill="auto"/>
            <w:noWrap/>
            <w:vAlign w:val="bottom"/>
            <w:hideMark/>
          </w:tcPr>
          <w:p w14:paraId="4D5DBAC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76</w:t>
            </w:r>
          </w:p>
        </w:tc>
        <w:tc>
          <w:tcPr>
            <w:tcW w:w="610" w:type="dxa"/>
            <w:tcBorders>
              <w:top w:val="nil"/>
              <w:left w:val="nil"/>
              <w:bottom w:val="nil"/>
              <w:right w:val="nil"/>
            </w:tcBorders>
            <w:shd w:val="clear" w:color="auto" w:fill="auto"/>
            <w:noWrap/>
            <w:vAlign w:val="bottom"/>
            <w:hideMark/>
          </w:tcPr>
          <w:p w14:paraId="1FD2550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69</w:t>
            </w:r>
          </w:p>
        </w:tc>
        <w:tc>
          <w:tcPr>
            <w:tcW w:w="518" w:type="dxa"/>
            <w:tcBorders>
              <w:top w:val="nil"/>
              <w:left w:val="nil"/>
              <w:bottom w:val="nil"/>
              <w:right w:val="nil"/>
            </w:tcBorders>
            <w:shd w:val="clear" w:color="auto" w:fill="auto"/>
            <w:noWrap/>
            <w:vAlign w:val="bottom"/>
            <w:hideMark/>
          </w:tcPr>
          <w:p w14:paraId="6314E25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63</w:t>
            </w:r>
          </w:p>
        </w:tc>
        <w:tc>
          <w:tcPr>
            <w:tcW w:w="453" w:type="dxa"/>
            <w:tcBorders>
              <w:top w:val="nil"/>
              <w:left w:val="nil"/>
              <w:bottom w:val="nil"/>
              <w:right w:val="nil"/>
            </w:tcBorders>
            <w:shd w:val="clear" w:color="auto" w:fill="auto"/>
            <w:noWrap/>
            <w:vAlign w:val="bottom"/>
            <w:hideMark/>
          </w:tcPr>
          <w:p w14:paraId="333C9DB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51</w:t>
            </w:r>
          </w:p>
        </w:tc>
        <w:tc>
          <w:tcPr>
            <w:tcW w:w="563" w:type="dxa"/>
            <w:tcBorders>
              <w:top w:val="nil"/>
              <w:left w:val="nil"/>
              <w:bottom w:val="nil"/>
              <w:right w:val="nil"/>
            </w:tcBorders>
            <w:shd w:val="clear" w:color="auto" w:fill="auto"/>
            <w:noWrap/>
            <w:vAlign w:val="bottom"/>
            <w:hideMark/>
          </w:tcPr>
          <w:p w14:paraId="377B5B7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23</w:t>
            </w:r>
          </w:p>
        </w:tc>
        <w:tc>
          <w:tcPr>
            <w:tcW w:w="543" w:type="dxa"/>
            <w:tcBorders>
              <w:top w:val="nil"/>
              <w:left w:val="nil"/>
              <w:bottom w:val="nil"/>
              <w:right w:val="nil"/>
            </w:tcBorders>
            <w:shd w:val="clear" w:color="auto" w:fill="auto"/>
            <w:noWrap/>
            <w:vAlign w:val="bottom"/>
            <w:hideMark/>
          </w:tcPr>
          <w:p w14:paraId="1270798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13</w:t>
            </w:r>
          </w:p>
        </w:tc>
        <w:tc>
          <w:tcPr>
            <w:tcW w:w="532" w:type="dxa"/>
            <w:tcBorders>
              <w:top w:val="nil"/>
              <w:left w:val="nil"/>
              <w:bottom w:val="nil"/>
              <w:right w:val="nil"/>
            </w:tcBorders>
            <w:shd w:val="clear" w:color="auto" w:fill="auto"/>
            <w:noWrap/>
            <w:vAlign w:val="bottom"/>
            <w:hideMark/>
          </w:tcPr>
          <w:p w14:paraId="7FF2608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15</w:t>
            </w:r>
          </w:p>
        </w:tc>
      </w:tr>
      <w:tr w:rsidR="006258EE" w:rsidRPr="00FF758F" w14:paraId="01E55BAA"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7DF25891"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553CB281"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colensoi</w:t>
            </w:r>
          </w:p>
        </w:tc>
        <w:tc>
          <w:tcPr>
            <w:tcW w:w="574" w:type="dxa"/>
            <w:tcBorders>
              <w:top w:val="nil"/>
              <w:left w:val="nil"/>
              <w:bottom w:val="nil"/>
              <w:right w:val="nil"/>
            </w:tcBorders>
            <w:shd w:val="clear" w:color="auto" w:fill="auto"/>
            <w:noWrap/>
            <w:vAlign w:val="bottom"/>
            <w:hideMark/>
          </w:tcPr>
          <w:p w14:paraId="1498D43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w:t>
            </w:r>
          </w:p>
        </w:tc>
        <w:tc>
          <w:tcPr>
            <w:tcW w:w="554" w:type="dxa"/>
            <w:tcBorders>
              <w:top w:val="nil"/>
              <w:left w:val="nil"/>
              <w:bottom w:val="nil"/>
              <w:right w:val="nil"/>
            </w:tcBorders>
            <w:shd w:val="clear" w:color="auto" w:fill="auto"/>
            <w:noWrap/>
            <w:vAlign w:val="bottom"/>
            <w:hideMark/>
          </w:tcPr>
          <w:p w14:paraId="4611CAD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17</w:t>
            </w:r>
          </w:p>
        </w:tc>
        <w:tc>
          <w:tcPr>
            <w:tcW w:w="508" w:type="dxa"/>
            <w:tcBorders>
              <w:top w:val="nil"/>
              <w:left w:val="nil"/>
              <w:bottom w:val="nil"/>
              <w:right w:val="nil"/>
            </w:tcBorders>
            <w:shd w:val="clear" w:color="auto" w:fill="auto"/>
            <w:noWrap/>
            <w:vAlign w:val="bottom"/>
            <w:hideMark/>
          </w:tcPr>
          <w:p w14:paraId="339EC4C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17</w:t>
            </w:r>
          </w:p>
        </w:tc>
        <w:tc>
          <w:tcPr>
            <w:tcW w:w="543" w:type="dxa"/>
            <w:tcBorders>
              <w:top w:val="nil"/>
              <w:left w:val="nil"/>
              <w:bottom w:val="nil"/>
              <w:right w:val="nil"/>
            </w:tcBorders>
            <w:shd w:val="clear" w:color="auto" w:fill="auto"/>
            <w:noWrap/>
            <w:vAlign w:val="bottom"/>
            <w:hideMark/>
          </w:tcPr>
          <w:p w14:paraId="6CEF4AF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19</w:t>
            </w:r>
          </w:p>
        </w:tc>
        <w:tc>
          <w:tcPr>
            <w:tcW w:w="587" w:type="dxa"/>
            <w:tcBorders>
              <w:top w:val="nil"/>
              <w:left w:val="nil"/>
              <w:bottom w:val="nil"/>
              <w:right w:val="nil"/>
            </w:tcBorders>
            <w:shd w:val="clear" w:color="auto" w:fill="auto"/>
            <w:noWrap/>
            <w:vAlign w:val="bottom"/>
            <w:hideMark/>
          </w:tcPr>
          <w:p w14:paraId="331B2B8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65</w:t>
            </w:r>
          </w:p>
        </w:tc>
        <w:tc>
          <w:tcPr>
            <w:tcW w:w="536" w:type="dxa"/>
            <w:tcBorders>
              <w:top w:val="nil"/>
              <w:left w:val="nil"/>
              <w:bottom w:val="nil"/>
              <w:right w:val="nil"/>
            </w:tcBorders>
            <w:shd w:val="clear" w:color="auto" w:fill="auto"/>
            <w:noWrap/>
            <w:vAlign w:val="bottom"/>
            <w:hideMark/>
          </w:tcPr>
          <w:p w14:paraId="3461155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78</w:t>
            </w:r>
          </w:p>
        </w:tc>
        <w:tc>
          <w:tcPr>
            <w:tcW w:w="610" w:type="dxa"/>
            <w:tcBorders>
              <w:top w:val="nil"/>
              <w:left w:val="nil"/>
              <w:bottom w:val="nil"/>
              <w:right w:val="nil"/>
            </w:tcBorders>
            <w:shd w:val="clear" w:color="auto" w:fill="auto"/>
            <w:noWrap/>
            <w:vAlign w:val="bottom"/>
            <w:hideMark/>
          </w:tcPr>
          <w:p w14:paraId="0B7C486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72</w:t>
            </w:r>
          </w:p>
        </w:tc>
        <w:tc>
          <w:tcPr>
            <w:tcW w:w="518" w:type="dxa"/>
            <w:tcBorders>
              <w:top w:val="nil"/>
              <w:left w:val="nil"/>
              <w:bottom w:val="nil"/>
              <w:right w:val="nil"/>
            </w:tcBorders>
            <w:shd w:val="clear" w:color="auto" w:fill="auto"/>
            <w:noWrap/>
            <w:vAlign w:val="bottom"/>
            <w:hideMark/>
          </w:tcPr>
          <w:p w14:paraId="39F362A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63</w:t>
            </w:r>
          </w:p>
        </w:tc>
        <w:tc>
          <w:tcPr>
            <w:tcW w:w="453" w:type="dxa"/>
            <w:tcBorders>
              <w:top w:val="nil"/>
              <w:left w:val="nil"/>
              <w:bottom w:val="nil"/>
              <w:right w:val="nil"/>
            </w:tcBorders>
            <w:shd w:val="clear" w:color="auto" w:fill="auto"/>
            <w:noWrap/>
            <w:vAlign w:val="bottom"/>
            <w:hideMark/>
          </w:tcPr>
          <w:p w14:paraId="491D61F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49</w:t>
            </w:r>
          </w:p>
        </w:tc>
        <w:tc>
          <w:tcPr>
            <w:tcW w:w="563" w:type="dxa"/>
            <w:tcBorders>
              <w:top w:val="nil"/>
              <w:left w:val="nil"/>
              <w:bottom w:val="nil"/>
              <w:right w:val="nil"/>
            </w:tcBorders>
            <w:shd w:val="clear" w:color="auto" w:fill="auto"/>
            <w:noWrap/>
            <w:vAlign w:val="bottom"/>
            <w:hideMark/>
          </w:tcPr>
          <w:p w14:paraId="0743EF6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13</w:t>
            </w:r>
          </w:p>
        </w:tc>
        <w:tc>
          <w:tcPr>
            <w:tcW w:w="543" w:type="dxa"/>
            <w:tcBorders>
              <w:top w:val="nil"/>
              <w:left w:val="nil"/>
              <w:bottom w:val="nil"/>
              <w:right w:val="nil"/>
            </w:tcBorders>
            <w:shd w:val="clear" w:color="auto" w:fill="auto"/>
            <w:noWrap/>
            <w:vAlign w:val="bottom"/>
            <w:hideMark/>
          </w:tcPr>
          <w:p w14:paraId="54446F3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w:t>
            </w:r>
          </w:p>
        </w:tc>
        <w:tc>
          <w:tcPr>
            <w:tcW w:w="532" w:type="dxa"/>
            <w:tcBorders>
              <w:top w:val="nil"/>
              <w:left w:val="nil"/>
              <w:bottom w:val="nil"/>
              <w:right w:val="nil"/>
            </w:tcBorders>
            <w:shd w:val="clear" w:color="auto" w:fill="auto"/>
            <w:noWrap/>
            <w:vAlign w:val="bottom"/>
            <w:hideMark/>
          </w:tcPr>
          <w:p w14:paraId="606AF27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12</w:t>
            </w:r>
          </w:p>
        </w:tc>
      </w:tr>
      <w:tr w:rsidR="006258EE" w:rsidRPr="00FF758F" w14:paraId="4E95DC58"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56FA295A"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56113C0F"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dusenii</w:t>
            </w:r>
          </w:p>
        </w:tc>
        <w:tc>
          <w:tcPr>
            <w:tcW w:w="574" w:type="dxa"/>
            <w:tcBorders>
              <w:top w:val="nil"/>
              <w:left w:val="nil"/>
              <w:bottom w:val="nil"/>
              <w:right w:val="nil"/>
            </w:tcBorders>
            <w:shd w:val="clear" w:color="auto" w:fill="auto"/>
            <w:noWrap/>
            <w:vAlign w:val="bottom"/>
            <w:hideMark/>
          </w:tcPr>
          <w:p w14:paraId="6E39FE8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w:t>
            </w:r>
          </w:p>
        </w:tc>
        <w:tc>
          <w:tcPr>
            <w:tcW w:w="554" w:type="dxa"/>
            <w:tcBorders>
              <w:top w:val="nil"/>
              <w:left w:val="nil"/>
              <w:bottom w:val="nil"/>
              <w:right w:val="nil"/>
            </w:tcBorders>
            <w:shd w:val="clear" w:color="auto" w:fill="auto"/>
            <w:noWrap/>
            <w:vAlign w:val="bottom"/>
            <w:hideMark/>
          </w:tcPr>
          <w:p w14:paraId="41E6CDF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22</w:t>
            </w:r>
          </w:p>
        </w:tc>
        <w:tc>
          <w:tcPr>
            <w:tcW w:w="508" w:type="dxa"/>
            <w:tcBorders>
              <w:top w:val="nil"/>
              <w:left w:val="nil"/>
              <w:bottom w:val="nil"/>
              <w:right w:val="nil"/>
            </w:tcBorders>
            <w:shd w:val="clear" w:color="auto" w:fill="auto"/>
            <w:noWrap/>
            <w:vAlign w:val="bottom"/>
            <w:hideMark/>
          </w:tcPr>
          <w:p w14:paraId="4E789B3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24</w:t>
            </w:r>
          </w:p>
        </w:tc>
        <w:tc>
          <w:tcPr>
            <w:tcW w:w="543" w:type="dxa"/>
            <w:tcBorders>
              <w:top w:val="nil"/>
              <w:left w:val="nil"/>
              <w:bottom w:val="nil"/>
              <w:right w:val="nil"/>
            </w:tcBorders>
            <w:shd w:val="clear" w:color="auto" w:fill="auto"/>
            <w:noWrap/>
            <w:vAlign w:val="bottom"/>
            <w:hideMark/>
          </w:tcPr>
          <w:p w14:paraId="03E6FA4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26</w:t>
            </w:r>
          </w:p>
        </w:tc>
        <w:tc>
          <w:tcPr>
            <w:tcW w:w="587" w:type="dxa"/>
            <w:tcBorders>
              <w:top w:val="nil"/>
              <w:left w:val="nil"/>
              <w:bottom w:val="nil"/>
              <w:right w:val="nil"/>
            </w:tcBorders>
            <w:shd w:val="clear" w:color="auto" w:fill="auto"/>
            <w:noWrap/>
            <w:vAlign w:val="bottom"/>
            <w:hideMark/>
          </w:tcPr>
          <w:p w14:paraId="4F1B335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65</w:t>
            </w:r>
          </w:p>
        </w:tc>
        <w:tc>
          <w:tcPr>
            <w:tcW w:w="536" w:type="dxa"/>
            <w:tcBorders>
              <w:top w:val="nil"/>
              <w:left w:val="nil"/>
              <w:bottom w:val="nil"/>
              <w:right w:val="nil"/>
            </w:tcBorders>
            <w:shd w:val="clear" w:color="auto" w:fill="auto"/>
            <w:noWrap/>
            <w:vAlign w:val="bottom"/>
            <w:hideMark/>
          </w:tcPr>
          <w:p w14:paraId="618DF62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68</w:t>
            </w:r>
          </w:p>
        </w:tc>
        <w:tc>
          <w:tcPr>
            <w:tcW w:w="610" w:type="dxa"/>
            <w:tcBorders>
              <w:top w:val="nil"/>
              <w:left w:val="nil"/>
              <w:bottom w:val="nil"/>
              <w:right w:val="nil"/>
            </w:tcBorders>
            <w:shd w:val="clear" w:color="auto" w:fill="auto"/>
            <w:noWrap/>
            <w:vAlign w:val="bottom"/>
            <w:hideMark/>
          </w:tcPr>
          <w:p w14:paraId="1E2A57E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55</w:t>
            </w:r>
          </w:p>
        </w:tc>
        <w:tc>
          <w:tcPr>
            <w:tcW w:w="518" w:type="dxa"/>
            <w:tcBorders>
              <w:top w:val="nil"/>
              <w:left w:val="nil"/>
              <w:bottom w:val="nil"/>
              <w:right w:val="nil"/>
            </w:tcBorders>
            <w:shd w:val="clear" w:color="auto" w:fill="auto"/>
            <w:noWrap/>
            <w:vAlign w:val="bottom"/>
            <w:hideMark/>
          </w:tcPr>
          <w:p w14:paraId="597AB87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47</w:t>
            </w:r>
          </w:p>
        </w:tc>
        <w:tc>
          <w:tcPr>
            <w:tcW w:w="453" w:type="dxa"/>
            <w:tcBorders>
              <w:top w:val="nil"/>
              <w:left w:val="nil"/>
              <w:bottom w:val="nil"/>
              <w:right w:val="nil"/>
            </w:tcBorders>
            <w:shd w:val="clear" w:color="auto" w:fill="auto"/>
            <w:noWrap/>
            <w:vAlign w:val="bottom"/>
            <w:hideMark/>
          </w:tcPr>
          <w:p w14:paraId="5403A9F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39</w:t>
            </w:r>
          </w:p>
        </w:tc>
        <w:tc>
          <w:tcPr>
            <w:tcW w:w="563" w:type="dxa"/>
            <w:tcBorders>
              <w:top w:val="nil"/>
              <w:left w:val="nil"/>
              <w:bottom w:val="nil"/>
              <w:right w:val="nil"/>
            </w:tcBorders>
            <w:shd w:val="clear" w:color="auto" w:fill="auto"/>
            <w:noWrap/>
            <w:vAlign w:val="bottom"/>
            <w:hideMark/>
          </w:tcPr>
          <w:p w14:paraId="2B9D12F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15</w:t>
            </w:r>
          </w:p>
        </w:tc>
        <w:tc>
          <w:tcPr>
            <w:tcW w:w="543" w:type="dxa"/>
            <w:tcBorders>
              <w:top w:val="nil"/>
              <w:left w:val="nil"/>
              <w:bottom w:val="nil"/>
              <w:right w:val="nil"/>
            </w:tcBorders>
            <w:shd w:val="clear" w:color="auto" w:fill="auto"/>
            <w:noWrap/>
            <w:vAlign w:val="bottom"/>
            <w:hideMark/>
          </w:tcPr>
          <w:p w14:paraId="43ECA50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w:t>
            </w:r>
          </w:p>
        </w:tc>
        <w:tc>
          <w:tcPr>
            <w:tcW w:w="532" w:type="dxa"/>
            <w:tcBorders>
              <w:top w:val="nil"/>
              <w:left w:val="nil"/>
              <w:bottom w:val="nil"/>
              <w:right w:val="nil"/>
            </w:tcBorders>
            <w:shd w:val="clear" w:color="auto" w:fill="auto"/>
            <w:noWrap/>
            <w:vAlign w:val="bottom"/>
            <w:hideMark/>
          </w:tcPr>
          <w:p w14:paraId="6884ED7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14</w:t>
            </w:r>
          </w:p>
        </w:tc>
      </w:tr>
      <w:tr w:rsidR="006258EE" w:rsidRPr="00FF758F" w14:paraId="4BBE66E3"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66330311"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4E09A0FB"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flexuosa</w:t>
            </w:r>
          </w:p>
        </w:tc>
        <w:tc>
          <w:tcPr>
            <w:tcW w:w="574" w:type="dxa"/>
            <w:tcBorders>
              <w:top w:val="nil"/>
              <w:left w:val="nil"/>
              <w:bottom w:val="nil"/>
              <w:right w:val="nil"/>
            </w:tcBorders>
            <w:shd w:val="clear" w:color="auto" w:fill="auto"/>
            <w:noWrap/>
            <w:vAlign w:val="bottom"/>
            <w:hideMark/>
          </w:tcPr>
          <w:p w14:paraId="6271960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17</w:t>
            </w:r>
          </w:p>
        </w:tc>
        <w:tc>
          <w:tcPr>
            <w:tcW w:w="554" w:type="dxa"/>
            <w:tcBorders>
              <w:top w:val="nil"/>
              <w:left w:val="nil"/>
              <w:bottom w:val="nil"/>
              <w:right w:val="nil"/>
            </w:tcBorders>
            <w:shd w:val="clear" w:color="auto" w:fill="auto"/>
            <w:noWrap/>
            <w:vAlign w:val="bottom"/>
            <w:hideMark/>
          </w:tcPr>
          <w:p w14:paraId="3A96348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39</w:t>
            </w:r>
          </w:p>
        </w:tc>
        <w:tc>
          <w:tcPr>
            <w:tcW w:w="508" w:type="dxa"/>
            <w:tcBorders>
              <w:top w:val="nil"/>
              <w:left w:val="nil"/>
              <w:bottom w:val="nil"/>
              <w:right w:val="nil"/>
            </w:tcBorders>
            <w:shd w:val="clear" w:color="auto" w:fill="auto"/>
            <w:noWrap/>
            <w:vAlign w:val="bottom"/>
            <w:hideMark/>
          </w:tcPr>
          <w:p w14:paraId="2F6A2E0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42</w:t>
            </w:r>
          </w:p>
        </w:tc>
        <w:tc>
          <w:tcPr>
            <w:tcW w:w="543" w:type="dxa"/>
            <w:tcBorders>
              <w:top w:val="nil"/>
              <w:left w:val="nil"/>
              <w:bottom w:val="nil"/>
              <w:right w:val="nil"/>
            </w:tcBorders>
            <w:shd w:val="clear" w:color="auto" w:fill="auto"/>
            <w:noWrap/>
            <w:vAlign w:val="bottom"/>
            <w:hideMark/>
          </w:tcPr>
          <w:p w14:paraId="1773CC1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37</w:t>
            </w:r>
          </w:p>
        </w:tc>
        <w:tc>
          <w:tcPr>
            <w:tcW w:w="587" w:type="dxa"/>
            <w:tcBorders>
              <w:top w:val="nil"/>
              <w:left w:val="nil"/>
              <w:bottom w:val="nil"/>
              <w:right w:val="nil"/>
            </w:tcBorders>
            <w:shd w:val="clear" w:color="auto" w:fill="auto"/>
            <w:noWrap/>
            <w:vAlign w:val="bottom"/>
            <w:hideMark/>
          </w:tcPr>
          <w:p w14:paraId="506914C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78</w:t>
            </w:r>
          </w:p>
        </w:tc>
        <w:tc>
          <w:tcPr>
            <w:tcW w:w="536" w:type="dxa"/>
            <w:tcBorders>
              <w:top w:val="nil"/>
              <w:left w:val="nil"/>
              <w:bottom w:val="nil"/>
              <w:right w:val="nil"/>
            </w:tcBorders>
            <w:shd w:val="clear" w:color="auto" w:fill="auto"/>
            <w:noWrap/>
            <w:vAlign w:val="bottom"/>
            <w:hideMark/>
          </w:tcPr>
          <w:p w14:paraId="6A4FC7C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87</w:t>
            </w:r>
          </w:p>
        </w:tc>
        <w:tc>
          <w:tcPr>
            <w:tcW w:w="610" w:type="dxa"/>
            <w:tcBorders>
              <w:top w:val="nil"/>
              <w:left w:val="nil"/>
              <w:bottom w:val="nil"/>
              <w:right w:val="nil"/>
            </w:tcBorders>
            <w:shd w:val="clear" w:color="auto" w:fill="auto"/>
            <w:noWrap/>
            <w:vAlign w:val="bottom"/>
            <w:hideMark/>
          </w:tcPr>
          <w:p w14:paraId="11AFE5D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90</w:t>
            </w:r>
          </w:p>
        </w:tc>
        <w:tc>
          <w:tcPr>
            <w:tcW w:w="518" w:type="dxa"/>
            <w:tcBorders>
              <w:top w:val="nil"/>
              <w:left w:val="nil"/>
              <w:bottom w:val="nil"/>
              <w:right w:val="nil"/>
            </w:tcBorders>
            <w:shd w:val="clear" w:color="auto" w:fill="auto"/>
            <w:noWrap/>
            <w:vAlign w:val="bottom"/>
            <w:hideMark/>
          </w:tcPr>
          <w:p w14:paraId="2410A2E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86</w:t>
            </w:r>
          </w:p>
        </w:tc>
        <w:tc>
          <w:tcPr>
            <w:tcW w:w="453" w:type="dxa"/>
            <w:tcBorders>
              <w:top w:val="nil"/>
              <w:left w:val="nil"/>
              <w:bottom w:val="nil"/>
              <w:right w:val="nil"/>
            </w:tcBorders>
            <w:shd w:val="clear" w:color="auto" w:fill="auto"/>
            <w:noWrap/>
            <w:vAlign w:val="bottom"/>
            <w:hideMark/>
          </w:tcPr>
          <w:p w14:paraId="2D4623D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63</w:t>
            </w:r>
          </w:p>
        </w:tc>
        <w:tc>
          <w:tcPr>
            <w:tcW w:w="563" w:type="dxa"/>
            <w:tcBorders>
              <w:top w:val="nil"/>
              <w:left w:val="nil"/>
              <w:bottom w:val="nil"/>
              <w:right w:val="nil"/>
            </w:tcBorders>
            <w:shd w:val="clear" w:color="auto" w:fill="auto"/>
            <w:noWrap/>
            <w:vAlign w:val="bottom"/>
            <w:hideMark/>
          </w:tcPr>
          <w:p w14:paraId="76D9406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16</w:t>
            </w:r>
          </w:p>
        </w:tc>
        <w:tc>
          <w:tcPr>
            <w:tcW w:w="543" w:type="dxa"/>
            <w:tcBorders>
              <w:top w:val="nil"/>
              <w:left w:val="nil"/>
              <w:bottom w:val="nil"/>
              <w:right w:val="nil"/>
            </w:tcBorders>
            <w:shd w:val="clear" w:color="auto" w:fill="auto"/>
            <w:noWrap/>
            <w:vAlign w:val="bottom"/>
            <w:hideMark/>
          </w:tcPr>
          <w:p w14:paraId="0789693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11</w:t>
            </w:r>
          </w:p>
        </w:tc>
        <w:tc>
          <w:tcPr>
            <w:tcW w:w="532" w:type="dxa"/>
            <w:tcBorders>
              <w:top w:val="nil"/>
              <w:left w:val="nil"/>
              <w:bottom w:val="nil"/>
              <w:right w:val="nil"/>
            </w:tcBorders>
            <w:shd w:val="clear" w:color="auto" w:fill="auto"/>
            <w:noWrap/>
            <w:vAlign w:val="bottom"/>
            <w:hideMark/>
          </w:tcPr>
          <w:p w14:paraId="3D96581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22</w:t>
            </w:r>
          </w:p>
        </w:tc>
      </w:tr>
      <w:tr w:rsidR="006258EE" w:rsidRPr="00FF758F" w14:paraId="353986BB"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627DE7F5"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13388583"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gilgiana</w:t>
            </w:r>
          </w:p>
        </w:tc>
        <w:tc>
          <w:tcPr>
            <w:tcW w:w="574" w:type="dxa"/>
            <w:tcBorders>
              <w:top w:val="nil"/>
              <w:left w:val="nil"/>
              <w:bottom w:val="nil"/>
              <w:right w:val="nil"/>
            </w:tcBorders>
            <w:shd w:val="clear" w:color="auto" w:fill="auto"/>
            <w:noWrap/>
            <w:vAlign w:val="bottom"/>
            <w:hideMark/>
          </w:tcPr>
          <w:p w14:paraId="7A66AE7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12</w:t>
            </w:r>
          </w:p>
        </w:tc>
        <w:tc>
          <w:tcPr>
            <w:tcW w:w="554" w:type="dxa"/>
            <w:tcBorders>
              <w:top w:val="nil"/>
              <w:left w:val="nil"/>
              <w:bottom w:val="nil"/>
              <w:right w:val="nil"/>
            </w:tcBorders>
            <w:shd w:val="clear" w:color="auto" w:fill="auto"/>
            <w:noWrap/>
            <w:vAlign w:val="bottom"/>
            <w:hideMark/>
          </w:tcPr>
          <w:p w14:paraId="503F9D5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25</w:t>
            </w:r>
          </w:p>
        </w:tc>
        <w:tc>
          <w:tcPr>
            <w:tcW w:w="508" w:type="dxa"/>
            <w:tcBorders>
              <w:top w:val="nil"/>
              <w:left w:val="nil"/>
              <w:bottom w:val="nil"/>
              <w:right w:val="nil"/>
            </w:tcBorders>
            <w:shd w:val="clear" w:color="auto" w:fill="auto"/>
            <w:noWrap/>
            <w:vAlign w:val="bottom"/>
            <w:hideMark/>
          </w:tcPr>
          <w:p w14:paraId="3384D12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18</w:t>
            </w:r>
          </w:p>
        </w:tc>
        <w:tc>
          <w:tcPr>
            <w:tcW w:w="543" w:type="dxa"/>
            <w:tcBorders>
              <w:top w:val="nil"/>
              <w:left w:val="nil"/>
              <w:bottom w:val="nil"/>
              <w:right w:val="nil"/>
            </w:tcBorders>
            <w:shd w:val="clear" w:color="auto" w:fill="auto"/>
            <w:noWrap/>
            <w:vAlign w:val="bottom"/>
            <w:hideMark/>
          </w:tcPr>
          <w:p w14:paraId="0957986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18</w:t>
            </w:r>
          </w:p>
        </w:tc>
        <w:tc>
          <w:tcPr>
            <w:tcW w:w="587" w:type="dxa"/>
            <w:tcBorders>
              <w:top w:val="nil"/>
              <w:left w:val="nil"/>
              <w:bottom w:val="nil"/>
              <w:right w:val="nil"/>
            </w:tcBorders>
            <w:shd w:val="clear" w:color="auto" w:fill="auto"/>
            <w:noWrap/>
            <w:vAlign w:val="bottom"/>
            <w:hideMark/>
          </w:tcPr>
          <w:p w14:paraId="007DC6B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63</w:t>
            </w:r>
          </w:p>
        </w:tc>
        <w:tc>
          <w:tcPr>
            <w:tcW w:w="536" w:type="dxa"/>
            <w:tcBorders>
              <w:top w:val="nil"/>
              <w:left w:val="nil"/>
              <w:bottom w:val="nil"/>
              <w:right w:val="nil"/>
            </w:tcBorders>
            <w:shd w:val="clear" w:color="auto" w:fill="auto"/>
            <w:noWrap/>
            <w:vAlign w:val="bottom"/>
            <w:hideMark/>
          </w:tcPr>
          <w:p w14:paraId="743C14A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78</w:t>
            </w:r>
          </w:p>
        </w:tc>
        <w:tc>
          <w:tcPr>
            <w:tcW w:w="610" w:type="dxa"/>
            <w:tcBorders>
              <w:top w:val="nil"/>
              <w:left w:val="nil"/>
              <w:bottom w:val="nil"/>
              <w:right w:val="nil"/>
            </w:tcBorders>
            <w:shd w:val="clear" w:color="auto" w:fill="auto"/>
            <w:noWrap/>
            <w:vAlign w:val="bottom"/>
            <w:hideMark/>
          </w:tcPr>
          <w:p w14:paraId="3FF1CFF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73</w:t>
            </w:r>
          </w:p>
        </w:tc>
        <w:tc>
          <w:tcPr>
            <w:tcW w:w="518" w:type="dxa"/>
            <w:tcBorders>
              <w:top w:val="nil"/>
              <w:left w:val="nil"/>
              <w:bottom w:val="nil"/>
              <w:right w:val="nil"/>
            </w:tcBorders>
            <w:shd w:val="clear" w:color="auto" w:fill="auto"/>
            <w:noWrap/>
            <w:vAlign w:val="bottom"/>
            <w:hideMark/>
          </w:tcPr>
          <w:p w14:paraId="3AC3449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74</w:t>
            </w:r>
          </w:p>
        </w:tc>
        <w:tc>
          <w:tcPr>
            <w:tcW w:w="453" w:type="dxa"/>
            <w:tcBorders>
              <w:top w:val="nil"/>
              <w:left w:val="nil"/>
              <w:bottom w:val="nil"/>
              <w:right w:val="nil"/>
            </w:tcBorders>
            <w:shd w:val="clear" w:color="auto" w:fill="auto"/>
            <w:noWrap/>
            <w:vAlign w:val="bottom"/>
            <w:hideMark/>
          </w:tcPr>
          <w:p w14:paraId="702C22B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69</w:t>
            </w:r>
          </w:p>
        </w:tc>
        <w:tc>
          <w:tcPr>
            <w:tcW w:w="563" w:type="dxa"/>
            <w:tcBorders>
              <w:top w:val="nil"/>
              <w:left w:val="nil"/>
              <w:bottom w:val="nil"/>
              <w:right w:val="nil"/>
            </w:tcBorders>
            <w:shd w:val="clear" w:color="auto" w:fill="auto"/>
            <w:noWrap/>
            <w:vAlign w:val="bottom"/>
            <w:hideMark/>
          </w:tcPr>
          <w:p w14:paraId="683D6F1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18</w:t>
            </w:r>
          </w:p>
        </w:tc>
        <w:tc>
          <w:tcPr>
            <w:tcW w:w="543" w:type="dxa"/>
            <w:tcBorders>
              <w:top w:val="nil"/>
              <w:left w:val="nil"/>
              <w:bottom w:val="nil"/>
              <w:right w:val="nil"/>
            </w:tcBorders>
            <w:shd w:val="clear" w:color="auto" w:fill="auto"/>
            <w:noWrap/>
            <w:vAlign w:val="bottom"/>
            <w:hideMark/>
          </w:tcPr>
          <w:p w14:paraId="17DCD69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39</w:t>
            </w:r>
          </w:p>
        </w:tc>
        <w:tc>
          <w:tcPr>
            <w:tcW w:w="532" w:type="dxa"/>
            <w:tcBorders>
              <w:top w:val="nil"/>
              <w:left w:val="nil"/>
              <w:bottom w:val="nil"/>
              <w:right w:val="nil"/>
            </w:tcBorders>
            <w:shd w:val="clear" w:color="auto" w:fill="auto"/>
            <w:noWrap/>
            <w:vAlign w:val="bottom"/>
            <w:hideMark/>
          </w:tcPr>
          <w:p w14:paraId="0E21795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53</w:t>
            </w:r>
          </w:p>
        </w:tc>
      </w:tr>
      <w:tr w:rsidR="006258EE" w:rsidRPr="00FF758F" w14:paraId="2D6018D2"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7AF27245"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4216C610"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hybrida</w:t>
            </w:r>
          </w:p>
        </w:tc>
        <w:tc>
          <w:tcPr>
            <w:tcW w:w="574" w:type="dxa"/>
            <w:tcBorders>
              <w:top w:val="nil"/>
              <w:left w:val="nil"/>
              <w:bottom w:val="nil"/>
              <w:right w:val="nil"/>
            </w:tcBorders>
            <w:shd w:val="clear" w:color="auto" w:fill="auto"/>
            <w:noWrap/>
            <w:vAlign w:val="bottom"/>
            <w:hideMark/>
          </w:tcPr>
          <w:p w14:paraId="7EB93D8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w:t>
            </w:r>
          </w:p>
        </w:tc>
        <w:tc>
          <w:tcPr>
            <w:tcW w:w="554" w:type="dxa"/>
            <w:tcBorders>
              <w:top w:val="nil"/>
              <w:left w:val="nil"/>
              <w:bottom w:val="nil"/>
              <w:right w:val="nil"/>
            </w:tcBorders>
            <w:shd w:val="clear" w:color="auto" w:fill="auto"/>
            <w:noWrap/>
            <w:vAlign w:val="bottom"/>
            <w:hideMark/>
          </w:tcPr>
          <w:p w14:paraId="237A95E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20</w:t>
            </w:r>
          </w:p>
        </w:tc>
        <w:tc>
          <w:tcPr>
            <w:tcW w:w="508" w:type="dxa"/>
            <w:tcBorders>
              <w:top w:val="nil"/>
              <w:left w:val="nil"/>
              <w:bottom w:val="nil"/>
              <w:right w:val="nil"/>
            </w:tcBorders>
            <w:shd w:val="clear" w:color="auto" w:fill="auto"/>
            <w:noWrap/>
            <w:vAlign w:val="bottom"/>
            <w:hideMark/>
          </w:tcPr>
          <w:p w14:paraId="30D660F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20</w:t>
            </w:r>
          </w:p>
        </w:tc>
        <w:tc>
          <w:tcPr>
            <w:tcW w:w="543" w:type="dxa"/>
            <w:tcBorders>
              <w:top w:val="nil"/>
              <w:left w:val="nil"/>
              <w:bottom w:val="nil"/>
              <w:right w:val="nil"/>
            </w:tcBorders>
            <w:shd w:val="clear" w:color="auto" w:fill="auto"/>
            <w:noWrap/>
            <w:vAlign w:val="bottom"/>
            <w:hideMark/>
          </w:tcPr>
          <w:p w14:paraId="2B52C29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24</w:t>
            </w:r>
          </w:p>
        </w:tc>
        <w:tc>
          <w:tcPr>
            <w:tcW w:w="587" w:type="dxa"/>
            <w:tcBorders>
              <w:top w:val="nil"/>
              <w:left w:val="nil"/>
              <w:bottom w:val="nil"/>
              <w:right w:val="nil"/>
            </w:tcBorders>
            <w:shd w:val="clear" w:color="auto" w:fill="auto"/>
            <w:noWrap/>
            <w:vAlign w:val="bottom"/>
            <w:hideMark/>
          </w:tcPr>
          <w:p w14:paraId="20FFF30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64</w:t>
            </w:r>
          </w:p>
        </w:tc>
        <w:tc>
          <w:tcPr>
            <w:tcW w:w="536" w:type="dxa"/>
            <w:tcBorders>
              <w:top w:val="nil"/>
              <w:left w:val="nil"/>
              <w:bottom w:val="nil"/>
              <w:right w:val="nil"/>
            </w:tcBorders>
            <w:shd w:val="clear" w:color="auto" w:fill="auto"/>
            <w:noWrap/>
            <w:vAlign w:val="bottom"/>
            <w:hideMark/>
          </w:tcPr>
          <w:p w14:paraId="161BE52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57</w:t>
            </w:r>
          </w:p>
        </w:tc>
        <w:tc>
          <w:tcPr>
            <w:tcW w:w="610" w:type="dxa"/>
            <w:tcBorders>
              <w:top w:val="nil"/>
              <w:left w:val="nil"/>
              <w:bottom w:val="nil"/>
              <w:right w:val="nil"/>
            </w:tcBorders>
            <w:shd w:val="clear" w:color="auto" w:fill="auto"/>
            <w:noWrap/>
            <w:vAlign w:val="bottom"/>
            <w:hideMark/>
          </w:tcPr>
          <w:p w14:paraId="4733FD0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40</w:t>
            </w:r>
          </w:p>
        </w:tc>
        <w:tc>
          <w:tcPr>
            <w:tcW w:w="518" w:type="dxa"/>
            <w:tcBorders>
              <w:top w:val="nil"/>
              <w:left w:val="nil"/>
              <w:bottom w:val="nil"/>
              <w:right w:val="nil"/>
            </w:tcBorders>
            <w:shd w:val="clear" w:color="auto" w:fill="auto"/>
            <w:noWrap/>
            <w:vAlign w:val="bottom"/>
            <w:hideMark/>
          </w:tcPr>
          <w:p w14:paraId="307F2E9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28</w:t>
            </w:r>
          </w:p>
        </w:tc>
        <w:tc>
          <w:tcPr>
            <w:tcW w:w="453" w:type="dxa"/>
            <w:tcBorders>
              <w:top w:val="nil"/>
              <w:left w:val="nil"/>
              <w:bottom w:val="nil"/>
              <w:right w:val="nil"/>
            </w:tcBorders>
            <w:shd w:val="clear" w:color="auto" w:fill="auto"/>
            <w:noWrap/>
            <w:vAlign w:val="bottom"/>
            <w:hideMark/>
          </w:tcPr>
          <w:p w14:paraId="1A2C2FE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26</w:t>
            </w:r>
          </w:p>
        </w:tc>
        <w:tc>
          <w:tcPr>
            <w:tcW w:w="563" w:type="dxa"/>
            <w:tcBorders>
              <w:top w:val="nil"/>
              <w:left w:val="nil"/>
              <w:bottom w:val="nil"/>
              <w:right w:val="nil"/>
            </w:tcBorders>
            <w:shd w:val="clear" w:color="auto" w:fill="auto"/>
            <w:noWrap/>
            <w:vAlign w:val="bottom"/>
            <w:hideMark/>
          </w:tcPr>
          <w:p w14:paraId="2C3675D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23</w:t>
            </w:r>
          </w:p>
        </w:tc>
        <w:tc>
          <w:tcPr>
            <w:tcW w:w="543" w:type="dxa"/>
            <w:tcBorders>
              <w:top w:val="nil"/>
              <w:left w:val="nil"/>
              <w:bottom w:val="nil"/>
              <w:right w:val="nil"/>
            </w:tcBorders>
            <w:shd w:val="clear" w:color="auto" w:fill="auto"/>
            <w:noWrap/>
            <w:vAlign w:val="bottom"/>
            <w:hideMark/>
          </w:tcPr>
          <w:p w14:paraId="40540A3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w:t>
            </w:r>
          </w:p>
        </w:tc>
        <w:tc>
          <w:tcPr>
            <w:tcW w:w="532" w:type="dxa"/>
            <w:tcBorders>
              <w:top w:val="nil"/>
              <w:left w:val="nil"/>
              <w:bottom w:val="nil"/>
              <w:right w:val="nil"/>
            </w:tcBorders>
            <w:shd w:val="clear" w:color="auto" w:fill="auto"/>
            <w:noWrap/>
            <w:vAlign w:val="bottom"/>
            <w:hideMark/>
          </w:tcPr>
          <w:p w14:paraId="731951B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w:t>
            </w:r>
          </w:p>
        </w:tc>
      </w:tr>
      <w:tr w:rsidR="006258EE" w:rsidRPr="00FF758F" w14:paraId="65501EAA"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5AA4ED34"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042CD795"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iridifolia</w:t>
            </w:r>
          </w:p>
        </w:tc>
        <w:tc>
          <w:tcPr>
            <w:tcW w:w="574" w:type="dxa"/>
            <w:tcBorders>
              <w:top w:val="nil"/>
              <w:left w:val="nil"/>
              <w:bottom w:val="nil"/>
              <w:right w:val="nil"/>
            </w:tcBorders>
            <w:shd w:val="clear" w:color="auto" w:fill="auto"/>
            <w:noWrap/>
            <w:vAlign w:val="bottom"/>
            <w:hideMark/>
          </w:tcPr>
          <w:p w14:paraId="475733F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15</w:t>
            </w:r>
          </w:p>
        </w:tc>
        <w:tc>
          <w:tcPr>
            <w:tcW w:w="554" w:type="dxa"/>
            <w:tcBorders>
              <w:top w:val="nil"/>
              <w:left w:val="nil"/>
              <w:bottom w:val="nil"/>
              <w:right w:val="nil"/>
            </w:tcBorders>
            <w:shd w:val="clear" w:color="auto" w:fill="auto"/>
            <w:noWrap/>
            <w:vAlign w:val="bottom"/>
            <w:hideMark/>
          </w:tcPr>
          <w:p w14:paraId="777247F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35</w:t>
            </w:r>
          </w:p>
        </w:tc>
        <w:tc>
          <w:tcPr>
            <w:tcW w:w="508" w:type="dxa"/>
            <w:tcBorders>
              <w:top w:val="nil"/>
              <w:left w:val="nil"/>
              <w:bottom w:val="nil"/>
              <w:right w:val="nil"/>
            </w:tcBorders>
            <w:shd w:val="clear" w:color="auto" w:fill="auto"/>
            <w:noWrap/>
            <w:vAlign w:val="bottom"/>
            <w:hideMark/>
          </w:tcPr>
          <w:p w14:paraId="76401E3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39</w:t>
            </w:r>
          </w:p>
        </w:tc>
        <w:tc>
          <w:tcPr>
            <w:tcW w:w="543" w:type="dxa"/>
            <w:tcBorders>
              <w:top w:val="nil"/>
              <w:left w:val="nil"/>
              <w:bottom w:val="nil"/>
              <w:right w:val="nil"/>
            </w:tcBorders>
            <w:shd w:val="clear" w:color="auto" w:fill="auto"/>
            <w:noWrap/>
            <w:vAlign w:val="bottom"/>
            <w:hideMark/>
          </w:tcPr>
          <w:p w14:paraId="14D3AFB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34</w:t>
            </w:r>
          </w:p>
        </w:tc>
        <w:tc>
          <w:tcPr>
            <w:tcW w:w="587" w:type="dxa"/>
            <w:tcBorders>
              <w:top w:val="nil"/>
              <w:left w:val="nil"/>
              <w:bottom w:val="nil"/>
              <w:right w:val="nil"/>
            </w:tcBorders>
            <w:shd w:val="clear" w:color="auto" w:fill="auto"/>
            <w:noWrap/>
            <w:vAlign w:val="bottom"/>
            <w:hideMark/>
          </w:tcPr>
          <w:p w14:paraId="1809F9C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69</w:t>
            </w:r>
          </w:p>
        </w:tc>
        <w:tc>
          <w:tcPr>
            <w:tcW w:w="536" w:type="dxa"/>
            <w:tcBorders>
              <w:top w:val="nil"/>
              <w:left w:val="nil"/>
              <w:bottom w:val="nil"/>
              <w:right w:val="nil"/>
            </w:tcBorders>
            <w:shd w:val="clear" w:color="auto" w:fill="auto"/>
            <w:noWrap/>
            <w:vAlign w:val="bottom"/>
            <w:hideMark/>
          </w:tcPr>
          <w:p w14:paraId="51C0BE8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84</w:t>
            </w:r>
          </w:p>
        </w:tc>
        <w:tc>
          <w:tcPr>
            <w:tcW w:w="610" w:type="dxa"/>
            <w:tcBorders>
              <w:top w:val="nil"/>
              <w:left w:val="nil"/>
              <w:bottom w:val="nil"/>
              <w:right w:val="nil"/>
            </w:tcBorders>
            <w:shd w:val="clear" w:color="auto" w:fill="auto"/>
            <w:noWrap/>
            <w:vAlign w:val="bottom"/>
            <w:hideMark/>
          </w:tcPr>
          <w:p w14:paraId="6A5B374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86</w:t>
            </w:r>
          </w:p>
        </w:tc>
        <w:tc>
          <w:tcPr>
            <w:tcW w:w="518" w:type="dxa"/>
            <w:tcBorders>
              <w:top w:val="nil"/>
              <w:left w:val="nil"/>
              <w:bottom w:val="nil"/>
              <w:right w:val="nil"/>
            </w:tcBorders>
            <w:shd w:val="clear" w:color="auto" w:fill="auto"/>
            <w:noWrap/>
            <w:vAlign w:val="bottom"/>
            <w:hideMark/>
          </w:tcPr>
          <w:p w14:paraId="4865B6D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75</w:t>
            </w:r>
          </w:p>
        </w:tc>
        <w:tc>
          <w:tcPr>
            <w:tcW w:w="453" w:type="dxa"/>
            <w:tcBorders>
              <w:top w:val="nil"/>
              <w:left w:val="nil"/>
              <w:bottom w:val="nil"/>
              <w:right w:val="nil"/>
            </w:tcBorders>
            <w:shd w:val="clear" w:color="auto" w:fill="auto"/>
            <w:noWrap/>
            <w:vAlign w:val="bottom"/>
            <w:hideMark/>
          </w:tcPr>
          <w:p w14:paraId="0124AB4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58</w:t>
            </w:r>
          </w:p>
        </w:tc>
        <w:tc>
          <w:tcPr>
            <w:tcW w:w="563" w:type="dxa"/>
            <w:tcBorders>
              <w:top w:val="nil"/>
              <w:left w:val="nil"/>
              <w:bottom w:val="nil"/>
              <w:right w:val="nil"/>
            </w:tcBorders>
            <w:shd w:val="clear" w:color="auto" w:fill="auto"/>
            <w:noWrap/>
            <w:vAlign w:val="bottom"/>
            <w:hideMark/>
          </w:tcPr>
          <w:p w14:paraId="76CB93B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19</w:t>
            </w:r>
          </w:p>
        </w:tc>
        <w:tc>
          <w:tcPr>
            <w:tcW w:w="543" w:type="dxa"/>
            <w:tcBorders>
              <w:top w:val="nil"/>
              <w:left w:val="nil"/>
              <w:bottom w:val="nil"/>
              <w:right w:val="nil"/>
            </w:tcBorders>
            <w:shd w:val="clear" w:color="auto" w:fill="auto"/>
            <w:noWrap/>
            <w:vAlign w:val="bottom"/>
            <w:hideMark/>
          </w:tcPr>
          <w:p w14:paraId="7AEEB3E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w:t>
            </w:r>
          </w:p>
        </w:tc>
        <w:tc>
          <w:tcPr>
            <w:tcW w:w="532" w:type="dxa"/>
            <w:tcBorders>
              <w:top w:val="nil"/>
              <w:left w:val="nil"/>
              <w:bottom w:val="nil"/>
              <w:right w:val="nil"/>
            </w:tcBorders>
            <w:shd w:val="clear" w:color="auto" w:fill="auto"/>
            <w:noWrap/>
            <w:vAlign w:val="bottom"/>
            <w:hideMark/>
          </w:tcPr>
          <w:p w14:paraId="3278F4B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15</w:t>
            </w:r>
          </w:p>
        </w:tc>
      </w:tr>
      <w:tr w:rsidR="006258EE" w:rsidRPr="00FF758F" w14:paraId="1647F4C8"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4DB53CF8"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3CF0CE6F"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lanigera</w:t>
            </w:r>
          </w:p>
        </w:tc>
        <w:tc>
          <w:tcPr>
            <w:tcW w:w="574" w:type="dxa"/>
            <w:tcBorders>
              <w:top w:val="nil"/>
              <w:left w:val="nil"/>
              <w:bottom w:val="nil"/>
              <w:right w:val="nil"/>
            </w:tcBorders>
            <w:shd w:val="clear" w:color="auto" w:fill="auto"/>
            <w:noWrap/>
            <w:vAlign w:val="bottom"/>
            <w:hideMark/>
          </w:tcPr>
          <w:p w14:paraId="7D2C581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13</w:t>
            </w:r>
          </w:p>
        </w:tc>
        <w:tc>
          <w:tcPr>
            <w:tcW w:w="554" w:type="dxa"/>
            <w:tcBorders>
              <w:top w:val="nil"/>
              <w:left w:val="nil"/>
              <w:bottom w:val="nil"/>
              <w:right w:val="nil"/>
            </w:tcBorders>
            <w:shd w:val="clear" w:color="auto" w:fill="auto"/>
            <w:noWrap/>
            <w:vAlign w:val="bottom"/>
            <w:hideMark/>
          </w:tcPr>
          <w:p w14:paraId="293BFCB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36</w:t>
            </w:r>
          </w:p>
        </w:tc>
        <w:tc>
          <w:tcPr>
            <w:tcW w:w="508" w:type="dxa"/>
            <w:tcBorders>
              <w:top w:val="nil"/>
              <w:left w:val="nil"/>
              <w:bottom w:val="nil"/>
              <w:right w:val="nil"/>
            </w:tcBorders>
            <w:shd w:val="clear" w:color="auto" w:fill="auto"/>
            <w:noWrap/>
            <w:vAlign w:val="bottom"/>
            <w:hideMark/>
          </w:tcPr>
          <w:p w14:paraId="7D5ABF4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43</w:t>
            </w:r>
          </w:p>
        </w:tc>
        <w:tc>
          <w:tcPr>
            <w:tcW w:w="543" w:type="dxa"/>
            <w:tcBorders>
              <w:top w:val="nil"/>
              <w:left w:val="nil"/>
              <w:bottom w:val="nil"/>
              <w:right w:val="nil"/>
            </w:tcBorders>
            <w:shd w:val="clear" w:color="auto" w:fill="auto"/>
            <w:noWrap/>
            <w:vAlign w:val="bottom"/>
            <w:hideMark/>
          </w:tcPr>
          <w:p w14:paraId="1D69465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45</w:t>
            </w:r>
          </w:p>
        </w:tc>
        <w:tc>
          <w:tcPr>
            <w:tcW w:w="587" w:type="dxa"/>
            <w:tcBorders>
              <w:top w:val="nil"/>
              <w:left w:val="nil"/>
              <w:bottom w:val="nil"/>
              <w:right w:val="nil"/>
            </w:tcBorders>
            <w:shd w:val="clear" w:color="auto" w:fill="auto"/>
            <w:noWrap/>
            <w:vAlign w:val="bottom"/>
            <w:hideMark/>
          </w:tcPr>
          <w:p w14:paraId="6ABB290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78</w:t>
            </w:r>
          </w:p>
        </w:tc>
        <w:tc>
          <w:tcPr>
            <w:tcW w:w="536" w:type="dxa"/>
            <w:tcBorders>
              <w:top w:val="nil"/>
              <w:left w:val="nil"/>
              <w:bottom w:val="nil"/>
              <w:right w:val="nil"/>
            </w:tcBorders>
            <w:shd w:val="clear" w:color="auto" w:fill="auto"/>
            <w:noWrap/>
            <w:vAlign w:val="bottom"/>
            <w:hideMark/>
          </w:tcPr>
          <w:p w14:paraId="2921D3B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85</w:t>
            </w:r>
          </w:p>
        </w:tc>
        <w:tc>
          <w:tcPr>
            <w:tcW w:w="610" w:type="dxa"/>
            <w:tcBorders>
              <w:top w:val="nil"/>
              <w:left w:val="nil"/>
              <w:bottom w:val="nil"/>
              <w:right w:val="nil"/>
            </w:tcBorders>
            <w:shd w:val="clear" w:color="auto" w:fill="auto"/>
            <w:noWrap/>
            <w:vAlign w:val="bottom"/>
            <w:hideMark/>
          </w:tcPr>
          <w:p w14:paraId="11C351E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65</w:t>
            </w:r>
          </w:p>
        </w:tc>
        <w:tc>
          <w:tcPr>
            <w:tcW w:w="518" w:type="dxa"/>
            <w:tcBorders>
              <w:top w:val="nil"/>
              <w:left w:val="nil"/>
              <w:bottom w:val="nil"/>
              <w:right w:val="nil"/>
            </w:tcBorders>
            <w:shd w:val="clear" w:color="auto" w:fill="auto"/>
            <w:noWrap/>
            <w:vAlign w:val="bottom"/>
            <w:hideMark/>
          </w:tcPr>
          <w:p w14:paraId="0D2A80B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64</w:t>
            </w:r>
          </w:p>
        </w:tc>
        <w:tc>
          <w:tcPr>
            <w:tcW w:w="453" w:type="dxa"/>
            <w:tcBorders>
              <w:top w:val="nil"/>
              <w:left w:val="nil"/>
              <w:bottom w:val="nil"/>
              <w:right w:val="nil"/>
            </w:tcBorders>
            <w:shd w:val="clear" w:color="auto" w:fill="auto"/>
            <w:noWrap/>
            <w:vAlign w:val="bottom"/>
            <w:hideMark/>
          </w:tcPr>
          <w:p w14:paraId="32978B0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56</w:t>
            </w:r>
          </w:p>
        </w:tc>
        <w:tc>
          <w:tcPr>
            <w:tcW w:w="563" w:type="dxa"/>
            <w:tcBorders>
              <w:top w:val="nil"/>
              <w:left w:val="nil"/>
              <w:bottom w:val="nil"/>
              <w:right w:val="nil"/>
            </w:tcBorders>
            <w:shd w:val="clear" w:color="auto" w:fill="auto"/>
            <w:noWrap/>
            <w:vAlign w:val="bottom"/>
            <w:hideMark/>
          </w:tcPr>
          <w:p w14:paraId="7ABD29A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47</w:t>
            </w:r>
          </w:p>
        </w:tc>
        <w:tc>
          <w:tcPr>
            <w:tcW w:w="543" w:type="dxa"/>
            <w:tcBorders>
              <w:top w:val="nil"/>
              <w:left w:val="nil"/>
              <w:bottom w:val="nil"/>
              <w:right w:val="nil"/>
            </w:tcBorders>
            <w:shd w:val="clear" w:color="auto" w:fill="auto"/>
            <w:noWrap/>
            <w:vAlign w:val="bottom"/>
            <w:hideMark/>
          </w:tcPr>
          <w:p w14:paraId="45F4395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32</w:t>
            </w:r>
          </w:p>
        </w:tc>
        <w:tc>
          <w:tcPr>
            <w:tcW w:w="532" w:type="dxa"/>
            <w:tcBorders>
              <w:top w:val="nil"/>
              <w:left w:val="nil"/>
              <w:bottom w:val="nil"/>
              <w:right w:val="nil"/>
            </w:tcBorders>
            <w:shd w:val="clear" w:color="auto" w:fill="auto"/>
            <w:noWrap/>
            <w:vAlign w:val="bottom"/>
            <w:hideMark/>
          </w:tcPr>
          <w:p w14:paraId="4548D60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58</w:t>
            </w:r>
          </w:p>
        </w:tc>
      </w:tr>
      <w:tr w:rsidR="006258EE" w:rsidRPr="00FF758F" w14:paraId="5578E933"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61866A81"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7CB0CC7F"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ligulata</w:t>
            </w:r>
          </w:p>
        </w:tc>
        <w:tc>
          <w:tcPr>
            <w:tcW w:w="574" w:type="dxa"/>
            <w:tcBorders>
              <w:top w:val="nil"/>
              <w:left w:val="nil"/>
              <w:bottom w:val="nil"/>
              <w:right w:val="nil"/>
            </w:tcBorders>
            <w:shd w:val="clear" w:color="auto" w:fill="auto"/>
            <w:noWrap/>
            <w:vAlign w:val="bottom"/>
            <w:hideMark/>
          </w:tcPr>
          <w:p w14:paraId="25A22B1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13</w:t>
            </w:r>
          </w:p>
        </w:tc>
        <w:tc>
          <w:tcPr>
            <w:tcW w:w="554" w:type="dxa"/>
            <w:tcBorders>
              <w:top w:val="nil"/>
              <w:left w:val="nil"/>
              <w:bottom w:val="nil"/>
              <w:right w:val="nil"/>
            </w:tcBorders>
            <w:shd w:val="clear" w:color="auto" w:fill="auto"/>
            <w:noWrap/>
            <w:vAlign w:val="bottom"/>
            <w:hideMark/>
          </w:tcPr>
          <w:p w14:paraId="595BA3B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44</w:t>
            </w:r>
          </w:p>
        </w:tc>
        <w:tc>
          <w:tcPr>
            <w:tcW w:w="508" w:type="dxa"/>
            <w:tcBorders>
              <w:top w:val="nil"/>
              <w:left w:val="nil"/>
              <w:bottom w:val="nil"/>
              <w:right w:val="nil"/>
            </w:tcBorders>
            <w:shd w:val="clear" w:color="auto" w:fill="auto"/>
            <w:noWrap/>
            <w:vAlign w:val="bottom"/>
            <w:hideMark/>
          </w:tcPr>
          <w:p w14:paraId="2BA46A3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52</w:t>
            </w:r>
          </w:p>
        </w:tc>
        <w:tc>
          <w:tcPr>
            <w:tcW w:w="543" w:type="dxa"/>
            <w:tcBorders>
              <w:top w:val="nil"/>
              <w:left w:val="nil"/>
              <w:bottom w:val="nil"/>
              <w:right w:val="nil"/>
            </w:tcBorders>
            <w:shd w:val="clear" w:color="auto" w:fill="auto"/>
            <w:noWrap/>
            <w:vAlign w:val="bottom"/>
            <w:hideMark/>
          </w:tcPr>
          <w:p w14:paraId="5D8B857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46</w:t>
            </w:r>
          </w:p>
        </w:tc>
        <w:tc>
          <w:tcPr>
            <w:tcW w:w="587" w:type="dxa"/>
            <w:tcBorders>
              <w:top w:val="nil"/>
              <w:left w:val="nil"/>
              <w:bottom w:val="nil"/>
              <w:right w:val="nil"/>
            </w:tcBorders>
            <w:shd w:val="clear" w:color="auto" w:fill="auto"/>
            <w:noWrap/>
            <w:vAlign w:val="bottom"/>
            <w:hideMark/>
          </w:tcPr>
          <w:p w14:paraId="4C8B022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87</w:t>
            </w:r>
          </w:p>
        </w:tc>
        <w:tc>
          <w:tcPr>
            <w:tcW w:w="536" w:type="dxa"/>
            <w:tcBorders>
              <w:top w:val="nil"/>
              <w:left w:val="nil"/>
              <w:bottom w:val="nil"/>
              <w:right w:val="nil"/>
            </w:tcBorders>
            <w:shd w:val="clear" w:color="auto" w:fill="auto"/>
            <w:noWrap/>
            <w:vAlign w:val="bottom"/>
            <w:hideMark/>
          </w:tcPr>
          <w:p w14:paraId="0BDDDA8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84</w:t>
            </w:r>
          </w:p>
        </w:tc>
        <w:tc>
          <w:tcPr>
            <w:tcW w:w="610" w:type="dxa"/>
            <w:tcBorders>
              <w:top w:val="nil"/>
              <w:left w:val="nil"/>
              <w:bottom w:val="nil"/>
              <w:right w:val="nil"/>
            </w:tcBorders>
            <w:shd w:val="clear" w:color="auto" w:fill="auto"/>
            <w:noWrap/>
            <w:vAlign w:val="bottom"/>
            <w:hideMark/>
          </w:tcPr>
          <w:p w14:paraId="5914158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52</w:t>
            </w:r>
          </w:p>
        </w:tc>
        <w:tc>
          <w:tcPr>
            <w:tcW w:w="518" w:type="dxa"/>
            <w:tcBorders>
              <w:top w:val="nil"/>
              <w:left w:val="nil"/>
              <w:bottom w:val="nil"/>
              <w:right w:val="nil"/>
            </w:tcBorders>
            <w:shd w:val="clear" w:color="auto" w:fill="auto"/>
            <w:noWrap/>
            <w:vAlign w:val="bottom"/>
            <w:hideMark/>
          </w:tcPr>
          <w:p w14:paraId="728B8CC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46</w:t>
            </w:r>
          </w:p>
        </w:tc>
        <w:tc>
          <w:tcPr>
            <w:tcW w:w="453" w:type="dxa"/>
            <w:tcBorders>
              <w:top w:val="nil"/>
              <w:left w:val="nil"/>
              <w:bottom w:val="nil"/>
              <w:right w:val="nil"/>
            </w:tcBorders>
            <w:shd w:val="clear" w:color="auto" w:fill="auto"/>
            <w:noWrap/>
            <w:vAlign w:val="bottom"/>
            <w:hideMark/>
          </w:tcPr>
          <w:p w14:paraId="6EA47DD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45</w:t>
            </w:r>
          </w:p>
        </w:tc>
        <w:tc>
          <w:tcPr>
            <w:tcW w:w="563" w:type="dxa"/>
            <w:tcBorders>
              <w:top w:val="nil"/>
              <w:left w:val="nil"/>
              <w:bottom w:val="nil"/>
              <w:right w:val="nil"/>
            </w:tcBorders>
            <w:shd w:val="clear" w:color="auto" w:fill="auto"/>
            <w:noWrap/>
            <w:vAlign w:val="bottom"/>
            <w:hideMark/>
          </w:tcPr>
          <w:p w14:paraId="377D83E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w:t>
            </w:r>
          </w:p>
        </w:tc>
        <w:tc>
          <w:tcPr>
            <w:tcW w:w="543" w:type="dxa"/>
            <w:tcBorders>
              <w:top w:val="nil"/>
              <w:left w:val="nil"/>
              <w:bottom w:val="nil"/>
              <w:right w:val="nil"/>
            </w:tcBorders>
            <w:shd w:val="clear" w:color="auto" w:fill="auto"/>
            <w:noWrap/>
            <w:vAlign w:val="bottom"/>
            <w:hideMark/>
          </w:tcPr>
          <w:p w14:paraId="65399E5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w:t>
            </w:r>
          </w:p>
        </w:tc>
        <w:tc>
          <w:tcPr>
            <w:tcW w:w="532" w:type="dxa"/>
            <w:tcBorders>
              <w:top w:val="nil"/>
              <w:left w:val="nil"/>
              <w:bottom w:val="nil"/>
              <w:right w:val="nil"/>
            </w:tcBorders>
            <w:shd w:val="clear" w:color="auto" w:fill="auto"/>
            <w:noWrap/>
            <w:vAlign w:val="bottom"/>
            <w:hideMark/>
          </w:tcPr>
          <w:p w14:paraId="6E7D3C2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13</w:t>
            </w:r>
          </w:p>
        </w:tc>
      </w:tr>
      <w:tr w:rsidR="006258EE" w:rsidRPr="00FF758F" w14:paraId="3D7B65F4"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1A972551"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337F5B75"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lindsayi</w:t>
            </w:r>
          </w:p>
        </w:tc>
        <w:tc>
          <w:tcPr>
            <w:tcW w:w="574" w:type="dxa"/>
            <w:tcBorders>
              <w:top w:val="nil"/>
              <w:left w:val="nil"/>
              <w:bottom w:val="nil"/>
              <w:right w:val="nil"/>
            </w:tcBorders>
            <w:shd w:val="clear" w:color="auto" w:fill="auto"/>
            <w:noWrap/>
            <w:vAlign w:val="bottom"/>
            <w:hideMark/>
          </w:tcPr>
          <w:p w14:paraId="37E478D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11</w:t>
            </w:r>
          </w:p>
        </w:tc>
        <w:tc>
          <w:tcPr>
            <w:tcW w:w="554" w:type="dxa"/>
            <w:tcBorders>
              <w:top w:val="nil"/>
              <w:left w:val="nil"/>
              <w:bottom w:val="nil"/>
              <w:right w:val="nil"/>
            </w:tcBorders>
            <w:shd w:val="clear" w:color="auto" w:fill="auto"/>
            <w:noWrap/>
            <w:vAlign w:val="bottom"/>
            <w:hideMark/>
          </w:tcPr>
          <w:p w14:paraId="52FC81B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29</w:t>
            </w:r>
          </w:p>
        </w:tc>
        <w:tc>
          <w:tcPr>
            <w:tcW w:w="508" w:type="dxa"/>
            <w:tcBorders>
              <w:top w:val="nil"/>
              <w:left w:val="nil"/>
              <w:bottom w:val="nil"/>
              <w:right w:val="nil"/>
            </w:tcBorders>
            <w:shd w:val="clear" w:color="auto" w:fill="auto"/>
            <w:noWrap/>
            <w:vAlign w:val="bottom"/>
            <w:hideMark/>
          </w:tcPr>
          <w:p w14:paraId="3C08E00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29</w:t>
            </w:r>
          </w:p>
        </w:tc>
        <w:tc>
          <w:tcPr>
            <w:tcW w:w="543" w:type="dxa"/>
            <w:tcBorders>
              <w:top w:val="nil"/>
              <w:left w:val="nil"/>
              <w:bottom w:val="nil"/>
              <w:right w:val="nil"/>
            </w:tcBorders>
            <w:shd w:val="clear" w:color="auto" w:fill="auto"/>
            <w:noWrap/>
            <w:vAlign w:val="bottom"/>
            <w:hideMark/>
          </w:tcPr>
          <w:p w14:paraId="3B87869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27</w:t>
            </w:r>
          </w:p>
        </w:tc>
        <w:tc>
          <w:tcPr>
            <w:tcW w:w="587" w:type="dxa"/>
            <w:tcBorders>
              <w:top w:val="nil"/>
              <w:left w:val="nil"/>
              <w:bottom w:val="nil"/>
              <w:right w:val="nil"/>
            </w:tcBorders>
            <w:shd w:val="clear" w:color="auto" w:fill="auto"/>
            <w:noWrap/>
            <w:vAlign w:val="bottom"/>
            <w:hideMark/>
          </w:tcPr>
          <w:p w14:paraId="5943607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70</w:t>
            </w:r>
          </w:p>
        </w:tc>
        <w:tc>
          <w:tcPr>
            <w:tcW w:w="536" w:type="dxa"/>
            <w:tcBorders>
              <w:top w:val="nil"/>
              <w:left w:val="nil"/>
              <w:bottom w:val="nil"/>
              <w:right w:val="nil"/>
            </w:tcBorders>
            <w:shd w:val="clear" w:color="auto" w:fill="auto"/>
            <w:noWrap/>
            <w:vAlign w:val="bottom"/>
            <w:hideMark/>
          </w:tcPr>
          <w:p w14:paraId="08D7A61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69</w:t>
            </w:r>
          </w:p>
        </w:tc>
        <w:tc>
          <w:tcPr>
            <w:tcW w:w="610" w:type="dxa"/>
            <w:tcBorders>
              <w:top w:val="nil"/>
              <w:left w:val="nil"/>
              <w:bottom w:val="nil"/>
              <w:right w:val="nil"/>
            </w:tcBorders>
            <w:shd w:val="clear" w:color="auto" w:fill="auto"/>
            <w:noWrap/>
            <w:vAlign w:val="bottom"/>
            <w:hideMark/>
          </w:tcPr>
          <w:p w14:paraId="540CA94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66</w:t>
            </w:r>
          </w:p>
        </w:tc>
        <w:tc>
          <w:tcPr>
            <w:tcW w:w="518" w:type="dxa"/>
            <w:tcBorders>
              <w:top w:val="nil"/>
              <w:left w:val="nil"/>
              <w:bottom w:val="nil"/>
              <w:right w:val="nil"/>
            </w:tcBorders>
            <w:shd w:val="clear" w:color="auto" w:fill="auto"/>
            <w:noWrap/>
            <w:vAlign w:val="bottom"/>
            <w:hideMark/>
          </w:tcPr>
          <w:p w14:paraId="04C72DF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51</w:t>
            </w:r>
          </w:p>
        </w:tc>
        <w:tc>
          <w:tcPr>
            <w:tcW w:w="453" w:type="dxa"/>
            <w:tcBorders>
              <w:top w:val="nil"/>
              <w:left w:val="nil"/>
              <w:bottom w:val="nil"/>
              <w:right w:val="nil"/>
            </w:tcBorders>
            <w:shd w:val="clear" w:color="auto" w:fill="auto"/>
            <w:noWrap/>
            <w:vAlign w:val="bottom"/>
            <w:hideMark/>
          </w:tcPr>
          <w:p w14:paraId="683A108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46</w:t>
            </w:r>
          </w:p>
        </w:tc>
        <w:tc>
          <w:tcPr>
            <w:tcW w:w="563" w:type="dxa"/>
            <w:tcBorders>
              <w:top w:val="nil"/>
              <w:left w:val="nil"/>
              <w:bottom w:val="nil"/>
              <w:right w:val="nil"/>
            </w:tcBorders>
            <w:shd w:val="clear" w:color="auto" w:fill="auto"/>
            <w:noWrap/>
            <w:vAlign w:val="bottom"/>
            <w:hideMark/>
          </w:tcPr>
          <w:p w14:paraId="1699CC3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15</w:t>
            </w:r>
          </w:p>
        </w:tc>
        <w:tc>
          <w:tcPr>
            <w:tcW w:w="543" w:type="dxa"/>
            <w:tcBorders>
              <w:top w:val="nil"/>
              <w:left w:val="nil"/>
              <w:bottom w:val="nil"/>
              <w:right w:val="nil"/>
            </w:tcBorders>
            <w:shd w:val="clear" w:color="auto" w:fill="auto"/>
            <w:noWrap/>
            <w:vAlign w:val="bottom"/>
            <w:hideMark/>
          </w:tcPr>
          <w:p w14:paraId="253B148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12</w:t>
            </w:r>
          </w:p>
        </w:tc>
        <w:tc>
          <w:tcPr>
            <w:tcW w:w="532" w:type="dxa"/>
            <w:tcBorders>
              <w:top w:val="nil"/>
              <w:left w:val="nil"/>
              <w:bottom w:val="nil"/>
              <w:right w:val="nil"/>
            </w:tcBorders>
            <w:shd w:val="clear" w:color="auto" w:fill="auto"/>
            <w:noWrap/>
            <w:vAlign w:val="bottom"/>
            <w:hideMark/>
          </w:tcPr>
          <w:p w14:paraId="669000C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18</w:t>
            </w:r>
          </w:p>
        </w:tc>
      </w:tr>
      <w:tr w:rsidR="006258EE" w:rsidRPr="00FF758F" w14:paraId="6FF170A2"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4203254C"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0DBA9E6B"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longifolia</w:t>
            </w:r>
          </w:p>
        </w:tc>
        <w:tc>
          <w:tcPr>
            <w:tcW w:w="574" w:type="dxa"/>
            <w:tcBorders>
              <w:top w:val="nil"/>
              <w:left w:val="nil"/>
              <w:bottom w:val="nil"/>
              <w:right w:val="nil"/>
            </w:tcBorders>
            <w:shd w:val="clear" w:color="auto" w:fill="auto"/>
            <w:noWrap/>
            <w:vAlign w:val="bottom"/>
            <w:hideMark/>
          </w:tcPr>
          <w:p w14:paraId="4B5C1F2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17</w:t>
            </w:r>
          </w:p>
        </w:tc>
        <w:tc>
          <w:tcPr>
            <w:tcW w:w="554" w:type="dxa"/>
            <w:tcBorders>
              <w:top w:val="nil"/>
              <w:left w:val="nil"/>
              <w:bottom w:val="nil"/>
              <w:right w:val="nil"/>
            </w:tcBorders>
            <w:shd w:val="clear" w:color="auto" w:fill="auto"/>
            <w:noWrap/>
            <w:vAlign w:val="bottom"/>
            <w:hideMark/>
          </w:tcPr>
          <w:p w14:paraId="2822E79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52</w:t>
            </w:r>
          </w:p>
        </w:tc>
        <w:tc>
          <w:tcPr>
            <w:tcW w:w="508" w:type="dxa"/>
            <w:tcBorders>
              <w:top w:val="nil"/>
              <w:left w:val="nil"/>
              <w:bottom w:val="nil"/>
              <w:right w:val="nil"/>
            </w:tcBorders>
            <w:shd w:val="clear" w:color="auto" w:fill="auto"/>
            <w:noWrap/>
            <w:vAlign w:val="bottom"/>
            <w:hideMark/>
          </w:tcPr>
          <w:p w14:paraId="5E1A707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61</w:t>
            </w:r>
          </w:p>
        </w:tc>
        <w:tc>
          <w:tcPr>
            <w:tcW w:w="543" w:type="dxa"/>
            <w:tcBorders>
              <w:top w:val="nil"/>
              <w:left w:val="nil"/>
              <w:bottom w:val="nil"/>
              <w:right w:val="nil"/>
            </w:tcBorders>
            <w:shd w:val="clear" w:color="auto" w:fill="auto"/>
            <w:noWrap/>
            <w:vAlign w:val="bottom"/>
            <w:hideMark/>
          </w:tcPr>
          <w:p w14:paraId="3758F69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63</w:t>
            </w:r>
          </w:p>
        </w:tc>
        <w:tc>
          <w:tcPr>
            <w:tcW w:w="587" w:type="dxa"/>
            <w:tcBorders>
              <w:top w:val="nil"/>
              <w:left w:val="nil"/>
              <w:bottom w:val="nil"/>
              <w:right w:val="nil"/>
            </w:tcBorders>
            <w:shd w:val="clear" w:color="auto" w:fill="auto"/>
            <w:noWrap/>
            <w:vAlign w:val="bottom"/>
            <w:hideMark/>
          </w:tcPr>
          <w:p w14:paraId="6AF9FB7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87</w:t>
            </w:r>
          </w:p>
        </w:tc>
        <w:tc>
          <w:tcPr>
            <w:tcW w:w="536" w:type="dxa"/>
            <w:tcBorders>
              <w:top w:val="nil"/>
              <w:left w:val="nil"/>
              <w:bottom w:val="nil"/>
              <w:right w:val="nil"/>
            </w:tcBorders>
            <w:shd w:val="clear" w:color="auto" w:fill="auto"/>
            <w:noWrap/>
            <w:vAlign w:val="bottom"/>
            <w:hideMark/>
          </w:tcPr>
          <w:p w14:paraId="1331E06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59</w:t>
            </w:r>
          </w:p>
        </w:tc>
        <w:tc>
          <w:tcPr>
            <w:tcW w:w="610" w:type="dxa"/>
            <w:tcBorders>
              <w:top w:val="nil"/>
              <w:left w:val="nil"/>
              <w:bottom w:val="nil"/>
              <w:right w:val="nil"/>
            </w:tcBorders>
            <w:shd w:val="clear" w:color="auto" w:fill="auto"/>
            <w:noWrap/>
            <w:vAlign w:val="bottom"/>
            <w:hideMark/>
          </w:tcPr>
          <w:p w14:paraId="7B7B6C5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51</w:t>
            </w:r>
          </w:p>
        </w:tc>
        <w:tc>
          <w:tcPr>
            <w:tcW w:w="518" w:type="dxa"/>
            <w:tcBorders>
              <w:top w:val="nil"/>
              <w:left w:val="nil"/>
              <w:bottom w:val="nil"/>
              <w:right w:val="nil"/>
            </w:tcBorders>
            <w:shd w:val="clear" w:color="auto" w:fill="auto"/>
            <w:noWrap/>
            <w:vAlign w:val="bottom"/>
            <w:hideMark/>
          </w:tcPr>
          <w:p w14:paraId="48F949E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44</w:t>
            </w:r>
          </w:p>
        </w:tc>
        <w:tc>
          <w:tcPr>
            <w:tcW w:w="453" w:type="dxa"/>
            <w:tcBorders>
              <w:top w:val="nil"/>
              <w:left w:val="nil"/>
              <w:bottom w:val="nil"/>
              <w:right w:val="nil"/>
            </w:tcBorders>
            <w:shd w:val="clear" w:color="auto" w:fill="auto"/>
            <w:noWrap/>
            <w:vAlign w:val="bottom"/>
            <w:hideMark/>
          </w:tcPr>
          <w:p w14:paraId="1E94472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40</w:t>
            </w:r>
          </w:p>
        </w:tc>
        <w:tc>
          <w:tcPr>
            <w:tcW w:w="563" w:type="dxa"/>
            <w:tcBorders>
              <w:top w:val="nil"/>
              <w:left w:val="nil"/>
              <w:bottom w:val="nil"/>
              <w:right w:val="nil"/>
            </w:tcBorders>
            <w:shd w:val="clear" w:color="auto" w:fill="auto"/>
            <w:noWrap/>
            <w:vAlign w:val="bottom"/>
            <w:hideMark/>
          </w:tcPr>
          <w:p w14:paraId="3979A9A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18</w:t>
            </w:r>
          </w:p>
        </w:tc>
        <w:tc>
          <w:tcPr>
            <w:tcW w:w="543" w:type="dxa"/>
            <w:tcBorders>
              <w:top w:val="nil"/>
              <w:left w:val="nil"/>
              <w:bottom w:val="nil"/>
              <w:right w:val="nil"/>
            </w:tcBorders>
            <w:shd w:val="clear" w:color="auto" w:fill="auto"/>
            <w:noWrap/>
            <w:vAlign w:val="bottom"/>
            <w:hideMark/>
          </w:tcPr>
          <w:p w14:paraId="0B6D943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w:t>
            </w:r>
          </w:p>
        </w:tc>
        <w:tc>
          <w:tcPr>
            <w:tcW w:w="532" w:type="dxa"/>
            <w:tcBorders>
              <w:top w:val="nil"/>
              <w:left w:val="nil"/>
              <w:bottom w:val="nil"/>
              <w:right w:val="nil"/>
            </w:tcBorders>
            <w:shd w:val="clear" w:color="auto" w:fill="auto"/>
            <w:noWrap/>
            <w:vAlign w:val="bottom"/>
            <w:hideMark/>
          </w:tcPr>
          <w:p w14:paraId="05DC4FE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20</w:t>
            </w:r>
          </w:p>
        </w:tc>
      </w:tr>
      <w:tr w:rsidR="006258EE" w:rsidRPr="00FF758F" w14:paraId="133C6EA6"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1C7AE765"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320BE0F0"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nemoralis</w:t>
            </w:r>
          </w:p>
        </w:tc>
        <w:tc>
          <w:tcPr>
            <w:tcW w:w="574" w:type="dxa"/>
            <w:tcBorders>
              <w:top w:val="nil"/>
              <w:left w:val="nil"/>
              <w:bottom w:val="nil"/>
              <w:right w:val="nil"/>
            </w:tcBorders>
            <w:shd w:val="clear" w:color="auto" w:fill="auto"/>
            <w:noWrap/>
            <w:vAlign w:val="bottom"/>
            <w:hideMark/>
          </w:tcPr>
          <w:p w14:paraId="0CC1297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10</w:t>
            </w:r>
          </w:p>
        </w:tc>
        <w:tc>
          <w:tcPr>
            <w:tcW w:w="554" w:type="dxa"/>
            <w:tcBorders>
              <w:top w:val="nil"/>
              <w:left w:val="nil"/>
              <w:bottom w:val="nil"/>
              <w:right w:val="nil"/>
            </w:tcBorders>
            <w:shd w:val="clear" w:color="auto" w:fill="auto"/>
            <w:noWrap/>
            <w:vAlign w:val="bottom"/>
            <w:hideMark/>
          </w:tcPr>
          <w:p w14:paraId="6960584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31</w:t>
            </w:r>
          </w:p>
        </w:tc>
        <w:tc>
          <w:tcPr>
            <w:tcW w:w="508" w:type="dxa"/>
            <w:tcBorders>
              <w:top w:val="nil"/>
              <w:left w:val="nil"/>
              <w:bottom w:val="nil"/>
              <w:right w:val="nil"/>
            </w:tcBorders>
            <w:shd w:val="clear" w:color="auto" w:fill="auto"/>
            <w:noWrap/>
            <w:vAlign w:val="bottom"/>
            <w:hideMark/>
          </w:tcPr>
          <w:p w14:paraId="30276F6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36</w:t>
            </w:r>
          </w:p>
        </w:tc>
        <w:tc>
          <w:tcPr>
            <w:tcW w:w="543" w:type="dxa"/>
            <w:tcBorders>
              <w:top w:val="nil"/>
              <w:left w:val="nil"/>
              <w:bottom w:val="nil"/>
              <w:right w:val="nil"/>
            </w:tcBorders>
            <w:shd w:val="clear" w:color="auto" w:fill="auto"/>
            <w:noWrap/>
            <w:vAlign w:val="bottom"/>
            <w:hideMark/>
          </w:tcPr>
          <w:p w14:paraId="73EA044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38</w:t>
            </w:r>
          </w:p>
        </w:tc>
        <w:tc>
          <w:tcPr>
            <w:tcW w:w="587" w:type="dxa"/>
            <w:tcBorders>
              <w:top w:val="nil"/>
              <w:left w:val="nil"/>
              <w:bottom w:val="nil"/>
              <w:right w:val="nil"/>
            </w:tcBorders>
            <w:shd w:val="clear" w:color="auto" w:fill="auto"/>
            <w:noWrap/>
            <w:vAlign w:val="bottom"/>
            <w:hideMark/>
          </w:tcPr>
          <w:p w14:paraId="73B22E2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82</w:t>
            </w:r>
          </w:p>
        </w:tc>
        <w:tc>
          <w:tcPr>
            <w:tcW w:w="536" w:type="dxa"/>
            <w:tcBorders>
              <w:top w:val="nil"/>
              <w:left w:val="nil"/>
              <w:bottom w:val="nil"/>
              <w:right w:val="nil"/>
            </w:tcBorders>
            <w:shd w:val="clear" w:color="auto" w:fill="auto"/>
            <w:noWrap/>
            <w:vAlign w:val="bottom"/>
            <w:hideMark/>
          </w:tcPr>
          <w:p w14:paraId="15A1171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89</w:t>
            </w:r>
          </w:p>
        </w:tc>
        <w:tc>
          <w:tcPr>
            <w:tcW w:w="610" w:type="dxa"/>
            <w:tcBorders>
              <w:top w:val="nil"/>
              <w:left w:val="nil"/>
              <w:bottom w:val="nil"/>
              <w:right w:val="nil"/>
            </w:tcBorders>
            <w:shd w:val="clear" w:color="auto" w:fill="auto"/>
            <w:noWrap/>
            <w:vAlign w:val="bottom"/>
            <w:hideMark/>
          </w:tcPr>
          <w:p w14:paraId="5FFF722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62</w:t>
            </w:r>
          </w:p>
        </w:tc>
        <w:tc>
          <w:tcPr>
            <w:tcW w:w="518" w:type="dxa"/>
            <w:tcBorders>
              <w:top w:val="nil"/>
              <w:left w:val="nil"/>
              <w:bottom w:val="nil"/>
              <w:right w:val="nil"/>
            </w:tcBorders>
            <w:shd w:val="clear" w:color="auto" w:fill="auto"/>
            <w:noWrap/>
            <w:vAlign w:val="bottom"/>
            <w:hideMark/>
          </w:tcPr>
          <w:p w14:paraId="65CAD66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45</w:t>
            </w:r>
          </w:p>
        </w:tc>
        <w:tc>
          <w:tcPr>
            <w:tcW w:w="453" w:type="dxa"/>
            <w:tcBorders>
              <w:top w:val="nil"/>
              <w:left w:val="nil"/>
              <w:bottom w:val="nil"/>
              <w:right w:val="nil"/>
            </w:tcBorders>
            <w:shd w:val="clear" w:color="auto" w:fill="auto"/>
            <w:noWrap/>
            <w:vAlign w:val="bottom"/>
            <w:hideMark/>
          </w:tcPr>
          <w:p w14:paraId="318FE28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40</w:t>
            </w:r>
          </w:p>
        </w:tc>
        <w:tc>
          <w:tcPr>
            <w:tcW w:w="563" w:type="dxa"/>
            <w:tcBorders>
              <w:top w:val="nil"/>
              <w:left w:val="nil"/>
              <w:bottom w:val="nil"/>
              <w:right w:val="nil"/>
            </w:tcBorders>
            <w:shd w:val="clear" w:color="auto" w:fill="auto"/>
            <w:noWrap/>
            <w:vAlign w:val="bottom"/>
            <w:hideMark/>
          </w:tcPr>
          <w:p w14:paraId="77F2C00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11</w:t>
            </w:r>
          </w:p>
        </w:tc>
        <w:tc>
          <w:tcPr>
            <w:tcW w:w="543" w:type="dxa"/>
            <w:tcBorders>
              <w:top w:val="nil"/>
              <w:left w:val="nil"/>
              <w:bottom w:val="nil"/>
              <w:right w:val="nil"/>
            </w:tcBorders>
            <w:shd w:val="clear" w:color="auto" w:fill="auto"/>
            <w:noWrap/>
            <w:vAlign w:val="bottom"/>
            <w:hideMark/>
          </w:tcPr>
          <w:p w14:paraId="36BD4B4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11</w:t>
            </w:r>
          </w:p>
        </w:tc>
        <w:tc>
          <w:tcPr>
            <w:tcW w:w="532" w:type="dxa"/>
            <w:tcBorders>
              <w:top w:val="nil"/>
              <w:left w:val="nil"/>
              <w:bottom w:val="nil"/>
              <w:right w:val="nil"/>
            </w:tcBorders>
            <w:shd w:val="clear" w:color="auto" w:fill="auto"/>
            <w:noWrap/>
            <w:vAlign w:val="bottom"/>
            <w:hideMark/>
          </w:tcPr>
          <w:p w14:paraId="16FD6C9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15</w:t>
            </w:r>
          </w:p>
        </w:tc>
      </w:tr>
      <w:tr w:rsidR="006258EE" w:rsidRPr="00FF758F" w14:paraId="07BE8B4D"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106D7ED8"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53A7E235"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ochroleuca</w:t>
            </w:r>
          </w:p>
        </w:tc>
        <w:tc>
          <w:tcPr>
            <w:tcW w:w="574" w:type="dxa"/>
            <w:tcBorders>
              <w:top w:val="nil"/>
              <w:left w:val="nil"/>
              <w:bottom w:val="nil"/>
              <w:right w:val="nil"/>
            </w:tcBorders>
            <w:shd w:val="clear" w:color="auto" w:fill="auto"/>
            <w:noWrap/>
            <w:vAlign w:val="bottom"/>
            <w:hideMark/>
          </w:tcPr>
          <w:p w14:paraId="6A9DFED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w:t>
            </w:r>
          </w:p>
        </w:tc>
        <w:tc>
          <w:tcPr>
            <w:tcW w:w="554" w:type="dxa"/>
            <w:tcBorders>
              <w:top w:val="nil"/>
              <w:left w:val="nil"/>
              <w:bottom w:val="nil"/>
              <w:right w:val="nil"/>
            </w:tcBorders>
            <w:shd w:val="clear" w:color="auto" w:fill="auto"/>
            <w:noWrap/>
            <w:vAlign w:val="bottom"/>
            <w:hideMark/>
          </w:tcPr>
          <w:p w14:paraId="4A476EE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27</w:t>
            </w:r>
          </w:p>
        </w:tc>
        <w:tc>
          <w:tcPr>
            <w:tcW w:w="508" w:type="dxa"/>
            <w:tcBorders>
              <w:top w:val="nil"/>
              <w:left w:val="nil"/>
              <w:bottom w:val="nil"/>
              <w:right w:val="nil"/>
            </w:tcBorders>
            <w:shd w:val="clear" w:color="auto" w:fill="auto"/>
            <w:noWrap/>
            <w:vAlign w:val="bottom"/>
            <w:hideMark/>
          </w:tcPr>
          <w:p w14:paraId="31766F1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28</w:t>
            </w:r>
          </w:p>
        </w:tc>
        <w:tc>
          <w:tcPr>
            <w:tcW w:w="543" w:type="dxa"/>
            <w:tcBorders>
              <w:top w:val="nil"/>
              <w:left w:val="nil"/>
              <w:bottom w:val="nil"/>
              <w:right w:val="nil"/>
            </w:tcBorders>
            <w:shd w:val="clear" w:color="auto" w:fill="auto"/>
            <w:noWrap/>
            <w:vAlign w:val="bottom"/>
            <w:hideMark/>
          </w:tcPr>
          <w:p w14:paraId="27913AD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31</w:t>
            </w:r>
          </w:p>
        </w:tc>
        <w:tc>
          <w:tcPr>
            <w:tcW w:w="587" w:type="dxa"/>
            <w:tcBorders>
              <w:top w:val="nil"/>
              <w:left w:val="nil"/>
              <w:bottom w:val="nil"/>
              <w:right w:val="nil"/>
            </w:tcBorders>
            <w:shd w:val="clear" w:color="auto" w:fill="auto"/>
            <w:noWrap/>
            <w:vAlign w:val="bottom"/>
            <w:hideMark/>
          </w:tcPr>
          <w:p w14:paraId="098A663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81</w:t>
            </w:r>
          </w:p>
        </w:tc>
        <w:tc>
          <w:tcPr>
            <w:tcW w:w="536" w:type="dxa"/>
            <w:tcBorders>
              <w:top w:val="nil"/>
              <w:left w:val="nil"/>
              <w:bottom w:val="nil"/>
              <w:right w:val="nil"/>
            </w:tcBorders>
            <w:shd w:val="clear" w:color="auto" w:fill="auto"/>
            <w:noWrap/>
            <w:vAlign w:val="bottom"/>
            <w:hideMark/>
          </w:tcPr>
          <w:p w14:paraId="1D80940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85</w:t>
            </w:r>
          </w:p>
        </w:tc>
        <w:tc>
          <w:tcPr>
            <w:tcW w:w="610" w:type="dxa"/>
            <w:tcBorders>
              <w:top w:val="nil"/>
              <w:left w:val="nil"/>
              <w:bottom w:val="nil"/>
              <w:right w:val="nil"/>
            </w:tcBorders>
            <w:shd w:val="clear" w:color="auto" w:fill="auto"/>
            <w:noWrap/>
            <w:vAlign w:val="bottom"/>
            <w:hideMark/>
          </w:tcPr>
          <w:p w14:paraId="68BC1CB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56</w:t>
            </w:r>
          </w:p>
        </w:tc>
        <w:tc>
          <w:tcPr>
            <w:tcW w:w="518" w:type="dxa"/>
            <w:tcBorders>
              <w:top w:val="nil"/>
              <w:left w:val="nil"/>
              <w:bottom w:val="nil"/>
              <w:right w:val="nil"/>
            </w:tcBorders>
            <w:shd w:val="clear" w:color="auto" w:fill="auto"/>
            <w:noWrap/>
            <w:vAlign w:val="bottom"/>
            <w:hideMark/>
          </w:tcPr>
          <w:p w14:paraId="13A6BDE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50</w:t>
            </w:r>
          </w:p>
        </w:tc>
        <w:tc>
          <w:tcPr>
            <w:tcW w:w="453" w:type="dxa"/>
            <w:tcBorders>
              <w:top w:val="nil"/>
              <w:left w:val="nil"/>
              <w:bottom w:val="nil"/>
              <w:right w:val="nil"/>
            </w:tcBorders>
            <w:shd w:val="clear" w:color="auto" w:fill="auto"/>
            <w:noWrap/>
            <w:vAlign w:val="bottom"/>
            <w:hideMark/>
          </w:tcPr>
          <w:p w14:paraId="7ED0E2F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43</w:t>
            </w:r>
          </w:p>
        </w:tc>
        <w:tc>
          <w:tcPr>
            <w:tcW w:w="563" w:type="dxa"/>
            <w:tcBorders>
              <w:top w:val="nil"/>
              <w:left w:val="nil"/>
              <w:bottom w:val="nil"/>
              <w:right w:val="nil"/>
            </w:tcBorders>
            <w:shd w:val="clear" w:color="auto" w:fill="auto"/>
            <w:noWrap/>
            <w:vAlign w:val="bottom"/>
            <w:hideMark/>
          </w:tcPr>
          <w:p w14:paraId="2EA034F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17</w:t>
            </w:r>
          </w:p>
        </w:tc>
        <w:tc>
          <w:tcPr>
            <w:tcW w:w="543" w:type="dxa"/>
            <w:tcBorders>
              <w:top w:val="nil"/>
              <w:left w:val="nil"/>
              <w:bottom w:val="nil"/>
              <w:right w:val="nil"/>
            </w:tcBorders>
            <w:shd w:val="clear" w:color="auto" w:fill="auto"/>
            <w:noWrap/>
            <w:vAlign w:val="bottom"/>
            <w:hideMark/>
          </w:tcPr>
          <w:p w14:paraId="531BA3F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12</w:t>
            </w:r>
          </w:p>
        </w:tc>
        <w:tc>
          <w:tcPr>
            <w:tcW w:w="532" w:type="dxa"/>
            <w:tcBorders>
              <w:top w:val="nil"/>
              <w:left w:val="nil"/>
              <w:bottom w:val="nil"/>
              <w:right w:val="nil"/>
            </w:tcBorders>
            <w:shd w:val="clear" w:color="auto" w:fill="auto"/>
            <w:noWrap/>
            <w:vAlign w:val="bottom"/>
            <w:hideMark/>
          </w:tcPr>
          <w:p w14:paraId="666D3CB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23</w:t>
            </w:r>
          </w:p>
        </w:tc>
      </w:tr>
      <w:tr w:rsidR="006258EE" w:rsidRPr="00FF758F" w14:paraId="6C17668D"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33F2CE82"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04E91A49"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palustris</w:t>
            </w:r>
          </w:p>
        </w:tc>
        <w:tc>
          <w:tcPr>
            <w:tcW w:w="574" w:type="dxa"/>
            <w:tcBorders>
              <w:top w:val="nil"/>
              <w:left w:val="nil"/>
              <w:bottom w:val="nil"/>
              <w:right w:val="nil"/>
            </w:tcBorders>
            <w:shd w:val="clear" w:color="auto" w:fill="auto"/>
            <w:noWrap/>
            <w:vAlign w:val="bottom"/>
            <w:hideMark/>
          </w:tcPr>
          <w:p w14:paraId="7DA219D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13</w:t>
            </w:r>
          </w:p>
        </w:tc>
        <w:tc>
          <w:tcPr>
            <w:tcW w:w="554" w:type="dxa"/>
            <w:tcBorders>
              <w:top w:val="nil"/>
              <w:left w:val="nil"/>
              <w:bottom w:val="nil"/>
              <w:right w:val="nil"/>
            </w:tcBorders>
            <w:shd w:val="clear" w:color="auto" w:fill="auto"/>
            <w:noWrap/>
            <w:vAlign w:val="bottom"/>
            <w:hideMark/>
          </w:tcPr>
          <w:p w14:paraId="4EC542B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38</w:t>
            </w:r>
          </w:p>
        </w:tc>
        <w:tc>
          <w:tcPr>
            <w:tcW w:w="508" w:type="dxa"/>
            <w:tcBorders>
              <w:top w:val="nil"/>
              <w:left w:val="nil"/>
              <w:bottom w:val="nil"/>
              <w:right w:val="nil"/>
            </w:tcBorders>
            <w:shd w:val="clear" w:color="auto" w:fill="auto"/>
            <w:noWrap/>
            <w:vAlign w:val="bottom"/>
            <w:hideMark/>
          </w:tcPr>
          <w:p w14:paraId="009D2D9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41</w:t>
            </w:r>
          </w:p>
        </w:tc>
        <w:tc>
          <w:tcPr>
            <w:tcW w:w="543" w:type="dxa"/>
            <w:tcBorders>
              <w:top w:val="nil"/>
              <w:left w:val="nil"/>
              <w:bottom w:val="nil"/>
              <w:right w:val="nil"/>
            </w:tcBorders>
            <w:shd w:val="clear" w:color="auto" w:fill="auto"/>
            <w:noWrap/>
            <w:vAlign w:val="bottom"/>
            <w:hideMark/>
          </w:tcPr>
          <w:p w14:paraId="28EABBC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38</w:t>
            </w:r>
          </w:p>
        </w:tc>
        <w:tc>
          <w:tcPr>
            <w:tcW w:w="587" w:type="dxa"/>
            <w:tcBorders>
              <w:top w:val="nil"/>
              <w:left w:val="nil"/>
              <w:bottom w:val="nil"/>
              <w:right w:val="nil"/>
            </w:tcBorders>
            <w:shd w:val="clear" w:color="auto" w:fill="auto"/>
            <w:noWrap/>
            <w:vAlign w:val="bottom"/>
            <w:hideMark/>
          </w:tcPr>
          <w:p w14:paraId="50332E9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82</w:t>
            </w:r>
          </w:p>
        </w:tc>
        <w:tc>
          <w:tcPr>
            <w:tcW w:w="536" w:type="dxa"/>
            <w:tcBorders>
              <w:top w:val="nil"/>
              <w:left w:val="nil"/>
              <w:bottom w:val="nil"/>
              <w:right w:val="nil"/>
            </w:tcBorders>
            <w:shd w:val="clear" w:color="auto" w:fill="auto"/>
            <w:noWrap/>
            <w:vAlign w:val="bottom"/>
            <w:hideMark/>
          </w:tcPr>
          <w:p w14:paraId="568F460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88</w:t>
            </w:r>
          </w:p>
        </w:tc>
        <w:tc>
          <w:tcPr>
            <w:tcW w:w="610" w:type="dxa"/>
            <w:tcBorders>
              <w:top w:val="nil"/>
              <w:left w:val="nil"/>
              <w:bottom w:val="nil"/>
              <w:right w:val="nil"/>
            </w:tcBorders>
            <w:shd w:val="clear" w:color="auto" w:fill="auto"/>
            <w:noWrap/>
            <w:vAlign w:val="bottom"/>
            <w:hideMark/>
          </w:tcPr>
          <w:p w14:paraId="517DB98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82</w:t>
            </w:r>
          </w:p>
        </w:tc>
        <w:tc>
          <w:tcPr>
            <w:tcW w:w="518" w:type="dxa"/>
            <w:tcBorders>
              <w:top w:val="nil"/>
              <w:left w:val="nil"/>
              <w:bottom w:val="nil"/>
              <w:right w:val="nil"/>
            </w:tcBorders>
            <w:shd w:val="clear" w:color="auto" w:fill="auto"/>
            <w:noWrap/>
            <w:vAlign w:val="bottom"/>
            <w:hideMark/>
          </w:tcPr>
          <w:p w14:paraId="5F42709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81</w:t>
            </w:r>
          </w:p>
        </w:tc>
        <w:tc>
          <w:tcPr>
            <w:tcW w:w="453" w:type="dxa"/>
            <w:tcBorders>
              <w:top w:val="nil"/>
              <w:left w:val="nil"/>
              <w:bottom w:val="nil"/>
              <w:right w:val="nil"/>
            </w:tcBorders>
            <w:shd w:val="clear" w:color="auto" w:fill="auto"/>
            <w:noWrap/>
            <w:vAlign w:val="bottom"/>
            <w:hideMark/>
          </w:tcPr>
          <w:p w14:paraId="12E62BD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71</w:t>
            </w:r>
          </w:p>
        </w:tc>
        <w:tc>
          <w:tcPr>
            <w:tcW w:w="563" w:type="dxa"/>
            <w:tcBorders>
              <w:top w:val="nil"/>
              <w:left w:val="nil"/>
              <w:bottom w:val="nil"/>
              <w:right w:val="nil"/>
            </w:tcBorders>
            <w:shd w:val="clear" w:color="auto" w:fill="auto"/>
            <w:noWrap/>
            <w:vAlign w:val="bottom"/>
            <w:hideMark/>
          </w:tcPr>
          <w:p w14:paraId="232BDE6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20</w:t>
            </w:r>
          </w:p>
        </w:tc>
        <w:tc>
          <w:tcPr>
            <w:tcW w:w="543" w:type="dxa"/>
            <w:tcBorders>
              <w:top w:val="nil"/>
              <w:left w:val="nil"/>
              <w:bottom w:val="nil"/>
              <w:right w:val="nil"/>
            </w:tcBorders>
            <w:shd w:val="clear" w:color="auto" w:fill="auto"/>
            <w:noWrap/>
            <w:vAlign w:val="bottom"/>
            <w:hideMark/>
          </w:tcPr>
          <w:p w14:paraId="64FFB0F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13</w:t>
            </w:r>
          </w:p>
        </w:tc>
        <w:tc>
          <w:tcPr>
            <w:tcW w:w="532" w:type="dxa"/>
            <w:tcBorders>
              <w:top w:val="nil"/>
              <w:left w:val="nil"/>
              <w:bottom w:val="nil"/>
              <w:right w:val="nil"/>
            </w:tcBorders>
            <w:shd w:val="clear" w:color="auto" w:fill="auto"/>
            <w:noWrap/>
            <w:vAlign w:val="bottom"/>
            <w:hideMark/>
          </w:tcPr>
          <w:p w14:paraId="4035D41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25</w:t>
            </w:r>
          </w:p>
        </w:tc>
      </w:tr>
      <w:tr w:rsidR="006258EE" w:rsidRPr="00FF758F" w14:paraId="2FA845BA"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58C61F64"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43AF1605"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secunda</w:t>
            </w:r>
          </w:p>
        </w:tc>
        <w:tc>
          <w:tcPr>
            <w:tcW w:w="574" w:type="dxa"/>
            <w:tcBorders>
              <w:top w:val="nil"/>
              <w:left w:val="nil"/>
              <w:bottom w:val="nil"/>
              <w:right w:val="nil"/>
            </w:tcBorders>
            <w:shd w:val="clear" w:color="auto" w:fill="auto"/>
            <w:noWrap/>
            <w:vAlign w:val="bottom"/>
            <w:hideMark/>
          </w:tcPr>
          <w:p w14:paraId="2EEC9DB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12</w:t>
            </w:r>
          </w:p>
        </w:tc>
        <w:tc>
          <w:tcPr>
            <w:tcW w:w="554" w:type="dxa"/>
            <w:tcBorders>
              <w:top w:val="nil"/>
              <w:left w:val="nil"/>
              <w:bottom w:val="nil"/>
              <w:right w:val="nil"/>
            </w:tcBorders>
            <w:shd w:val="clear" w:color="auto" w:fill="auto"/>
            <w:noWrap/>
            <w:vAlign w:val="bottom"/>
            <w:hideMark/>
          </w:tcPr>
          <w:p w14:paraId="466BAF3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40</w:t>
            </w:r>
          </w:p>
        </w:tc>
        <w:tc>
          <w:tcPr>
            <w:tcW w:w="508" w:type="dxa"/>
            <w:tcBorders>
              <w:top w:val="nil"/>
              <w:left w:val="nil"/>
              <w:bottom w:val="nil"/>
              <w:right w:val="nil"/>
            </w:tcBorders>
            <w:shd w:val="clear" w:color="auto" w:fill="auto"/>
            <w:noWrap/>
            <w:vAlign w:val="bottom"/>
            <w:hideMark/>
          </w:tcPr>
          <w:p w14:paraId="2C2E28E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50</w:t>
            </w:r>
          </w:p>
        </w:tc>
        <w:tc>
          <w:tcPr>
            <w:tcW w:w="543" w:type="dxa"/>
            <w:tcBorders>
              <w:top w:val="nil"/>
              <w:left w:val="nil"/>
              <w:bottom w:val="nil"/>
              <w:right w:val="nil"/>
            </w:tcBorders>
            <w:shd w:val="clear" w:color="auto" w:fill="auto"/>
            <w:noWrap/>
            <w:vAlign w:val="bottom"/>
            <w:hideMark/>
          </w:tcPr>
          <w:p w14:paraId="01E4D24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51</w:t>
            </w:r>
          </w:p>
        </w:tc>
        <w:tc>
          <w:tcPr>
            <w:tcW w:w="587" w:type="dxa"/>
            <w:tcBorders>
              <w:top w:val="nil"/>
              <w:left w:val="nil"/>
              <w:bottom w:val="nil"/>
              <w:right w:val="nil"/>
            </w:tcBorders>
            <w:shd w:val="clear" w:color="auto" w:fill="auto"/>
            <w:noWrap/>
            <w:vAlign w:val="bottom"/>
            <w:hideMark/>
          </w:tcPr>
          <w:p w14:paraId="4264DBB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85</w:t>
            </w:r>
          </w:p>
        </w:tc>
        <w:tc>
          <w:tcPr>
            <w:tcW w:w="536" w:type="dxa"/>
            <w:tcBorders>
              <w:top w:val="nil"/>
              <w:left w:val="nil"/>
              <w:bottom w:val="nil"/>
              <w:right w:val="nil"/>
            </w:tcBorders>
            <w:shd w:val="clear" w:color="auto" w:fill="auto"/>
            <w:noWrap/>
            <w:vAlign w:val="bottom"/>
            <w:hideMark/>
          </w:tcPr>
          <w:p w14:paraId="324EE6F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72</w:t>
            </w:r>
          </w:p>
        </w:tc>
        <w:tc>
          <w:tcPr>
            <w:tcW w:w="610" w:type="dxa"/>
            <w:tcBorders>
              <w:top w:val="nil"/>
              <w:left w:val="nil"/>
              <w:bottom w:val="nil"/>
              <w:right w:val="nil"/>
            </w:tcBorders>
            <w:shd w:val="clear" w:color="auto" w:fill="auto"/>
            <w:noWrap/>
            <w:vAlign w:val="bottom"/>
            <w:hideMark/>
          </w:tcPr>
          <w:p w14:paraId="17FF3B2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62</w:t>
            </w:r>
          </w:p>
        </w:tc>
        <w:tc>
          <w:tcPr>
            <w:tcW w:w="518" w:type="dxa"/>
            <w:tcBorders>
              <w:top w:val="nil"/>
              <w:left w:val="nil"/>
              <w:bottom w:val="nil"/>
              <w:right w:val="nil"/>
            </w:tcBorders>
            <w:shd w:val="clear" w:color="auto" w:fill="auto"/>
            <w:noWrap/>
            <w:vAlign w:val="bottom"/>
            <w:hideMark/>
          </w:tcPr>
          <w:p w14:paraId="358DA54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47</w:t>
            </w:r>
          </w:p>
        </w:tc>
        <w:tc>
          <w:tcPr>
            <w:tcW w:w="453" w:type="dxa"/>
            <w:tcBorders>
              <w:top w:val="nil"/>
              <w:left w:val="nil"/>
              <w:bottom w:val="nil"/>
              <w:right w:val="nil"/>
            </w:tcBorders>
            <w:shd w:val="clear" w:color="auto" w:fill="auto"/>
            <w:noWrap/>
            <w:vAlign w:val="bottom"/>
            <w:hideMark/>
          </w:tcPr>
          <w:p w14:paraId="1609972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53</w:t>
            </w:r>
          </w:p>
        </w:tc>
        <w:tc>
          <w:tcPr>
            <w:tcW w:w="563" w:type="dxa"/>
            <w:tcBorders>
              <w:top w:val="nil"/>
              <w:left w:val="nil"/>
              <w:bottom w:val="nil"/>
              <w:right w:val="nil"/>
            </w:tcBorders>
            <w:shd w:val="clear" w:color="auto" w:fill="auto"/>
            <w:noWrap/>
            <w:vAlign w:val="bottom"/>
            <w:hideMark/>
          </w:tcPr>
          <w:p w14:paraId="08F8027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25</w:t>
            </w:r>
          </w:p>
        </w:tc>
        <w:tc>
          <w:tcPr>
            <w:tcW w:w="543" w:type="dxa"/>
            <w:tcBorders>
              <w:top w:val="nil"/>
              <w:left w:val="nil"/>
              <w:bottom w:val="nil"/>
              <w:right w:val="nil"/>
            </w:tcBorders>
            <w:shd w:val="clear" w:color="auto" w:fill="auto"/>
            <w:noWrap/>
            <w:vAlign w:val="bottom"/>
            <w:hideMark/>
          </w:tcPr>
          <w:p w14:paraId="2D83668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w:t>
            </w:r>
          </w:p>
        </w:tc>
        <w:tc>
          <w:tcPr>
            <w:tcW w:w="532" w:type="dxa"/>
            <w:tcBorders>
              <w:top w:val="nil"/>
              <w:left w:val="nil"/>
              <w:bottom w:val="nil"/>
              <w:right w:val="nil"/>
            </w:tcBorders>
            <w:shd w:val="clear" w:color="auto" w:fill="auto"/>
            <w:noWrap/>
            <w:vAlign w:val="bottom"/>
            <w:hideMark/>
          </w:tcPr>
          <w:p w14:paraId="2500ED9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13</w:t>
            </w:r>
          </w:p>
        </w:tc>
      </w:tr>
      <w:tr w:rsidR="006258EE" w:rsidRPr="00FF758F" w14:paraId="18CF1F59"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6587B20E"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21C6B9D9"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sierbiana</w:t>
            </w:r>
          </w:p>
        </w:tc>
        <w:tc>
          <w:tcPr>
            <w:tcW w:w="574" w:type="dxa"/>
            <w:tcBorders>
              <w:top w:val="nil"/>
              <w:left w:val="nil"/>
              <w:bottom w:val="nil"/>
              <w:right w:val="nil"/>
            </w:tcBorders>
            <w:shd w:val="clear" w:color="auto" w:fill="auto"/>
            <w:noWrap/>
            <w:vAlign w:val="bottom"/>
            <w:hideMark/>
          </w:tcPr>
          <w:p w14:paraId="5FD48FD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12</w:t>
            </w:r>
          </w:p>
        </w:tc>
        <w:tc>
          <w:tcPr>
            <w:tcW w:w="554" w:type="dxa"/>
            <w:tcBorders>
              <w:top w:val="nil"/>
              <w:left w:val="nil"/>
              <w:bottom w:val="nil"/>
              <w:right w:val="nil"/>
            </w:tcBorders>
            <w:shd w:val="clear" w:color="auto" w:fill="auto"/>
            <w:noWrap/>
            <w:vAlign w:val="bottom"/>
            <w:hideMark/>
          </w:tcPr>
          <w:p w14:paraId="789F65C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40</w:t>
            </w:r>
          </w:p>
        </w:tc>
        <w:tc>
          <w:tcPr>
            <w:tcW w:w="508" w:type="dxa"/>
            <w:tcBorders>
              <w:top w:val="nil"/>
              <w:left w:val="nil"/>
              <w:bottom w:val="nil"/>
              <w:right w:val="nil"/>
            </w:tcBorders>
            <w:shd w:val="clear" w:color="auto" w:fill="auto"/>
            <w:noWrap/>
            <w:vAlign w:val="bottom"/>
            <w:hideMark/>
          </w:tcPr>
          <w:p w14:paraId="160F628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45</w:t>
            </w:r>
          </w:p>
        </w:tc>
        <w:tc>
          <w:tcPr>
            <w:tcW w:w="543" w:type="dxa"/>
            <w:tcBorders>
              <w:top w:val="nil"/>
              <w:left w:val="nil"/>
              <w:bottom w:val="nil"/>
              <w:right w:val="nil"/>
            </w:tcBorders>
            <w:shd w:val="clear" w:color="auto" w:fill="auto"/>
            <w:noWrap/>
            <w:vAlign w:val="bottom"/>
            <w:hideMark/>
          </w:tcPr>
          <w:p w14:paraId="674283C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51</w:t>
            </w:r>
          </w:p>
        </w:tc>
        <w:tc>
          <w:tcPr>
            <w:tcW w:w="587" w:type="dxa"/>
            <w:tcBorders>
              <w:top w:val="nil"/>
              <w:left w:val="nil"/>
              <w:bottom w:val="nil"/>
              <w:right w:val="nil"/>
            </w:tcBorders>
            <w:shd w:val="clear" w:color="auto" w:fill="auto"/>
            <w:noWrap/>
            <w:vAlign w:val="bottom"/>
            <w:hideMark/>
          </w:tcPr>
          <w:p w14:paraId="7DC5EA0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80</w:t>
            </w:r>
          </w:p>
        </w:tc>
        <w:tc>
          <w:tcPr>
            <w:tcW w:w="536" w:type="dxa"/>
            <w:tcBorders>
              <w:top w:val="nil"/>
              <w:left w:val="nil"/>
              <w:bottom w:val="nil"/>
              <w:right w:val="nil"/>
            </w:tcBorders>
            <w:shd w:val="clear" w:color="auto" w:fill="auto"/>
            <w:noWrap/>
            <w:vAlign w:val="bottom"/>
            <w:hideMark/>
          </w:tcPr>
          <w:p w14:paraId="2CB07AC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79</w:t>
            </w:r>
          </w:p>
        </w:tc>
        <w:tc>
          <w:tcPr>
            <w:tcW w:w="610" w:type="dxa"/>
            <w:tcBorders>
              <w:top w:val="nil"/>
              <w:left w:val="nil"/>
              <w:bottom w:val="nil"/>
              <w:right w:val="nil"/>
            </w:tcBorders>
            <w:shd w:val="clear" w:color="auto" w:fill="auto"/>
            <w:noWrap/>
            <w:vAlign w:val="bottom"/>
            <w:hideMark/>
          </w:tcPr>
          <w:p w14:paraId="09638CA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73</w:t>
            </w:r>
          </w:p>
        </w:tc>
        <w:tc>
          <w:tcPr>
            <w:tcW w:w="518" w:type="dxa"/>
            <w:tcBorders>
              <w:top w:val="nil"/>
              <w:left w:val="nil"/>
              <w:bottom w:val="nil"/>
              <w:right w:val="nil"/>
            </w:tcBorders>
            <w:shd w:val="clear" w:color="auto" w:fill="auto"/>
            <w:noWrap/>
            <w:vAlign w:val="bottom"/>
            <w:hideMark/>
          </w:tcPr>
          <w:p w14:paraId="4B177A0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69</w:t>
            </w:r>
          </w:p>
        </w:tc>
        <w:tc>
          <w:tcPr>
            <w:tcW w:w="453" w:type="dxa"/>
            <w:tcBorders>
              <w:top w:val="nil"/>
              <w:left w:val="nil"/>
              <w:bottom w:val="nil"/>
              <w:right w:val="nil"/>
            </w:tcBorders>
            <w:shd w:val="clear" w:color="auto" w:fill="auto"/>
            <w:noWrap/>
            <w:vAlign w:val="bottom"/>
            <w:hideMark/>
          </w:tcPr>
          <w:p w14:paraId="5EB1EB9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57</w:t>
            </w:r>
          </w:p>
        </w:tc>
        <w:tc>
          <w:tcPr>
            <w:tcW w:w="563" w:type="dxa"/>
            <w:tcBorders>
              <w:top w:val="nil"/>
              <w:left w:val="nil"/>
              <w:bottom w:val="nil"/>
              <w:right w:val="nil"/>
            </w:tcBorders>
            <w:shd w:val="clear" w:color="auto" w:fill="auto"/>
            <w:noWrap/>
            <w:vAlign w:val="bottom"/>
            <w:hideMark/>
          </w:tcPr>
          <w:p w14:paraId="6AA8A3E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19</w:t>
            </w:r>
          </w:p>
        </w:tc>
        <w:tc>
          <w:tcPr>
            <w:tcW w:w="543" w:type="dxa"/>
            <w:tcBorders>
              <w:top w:val="nil"/>
              <w:left w:val="nil"/>
              <w:bottom w:val="nil"/>
              <w:right w:val="nil"/>
            </w:tcBorders>
            <w:shd w:val="clear" w:color="auto" w:fill="auto"/>
            <w:noWrap/>
            <w:vAlign w:val="bottom"/>
            <w:hideMark/>
          </w:tcPr>
          <w:p w14:paraId="62A5964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w:t>
            </w:r>
          </w:p>
        </w:tc>
        <w:tc>
          <w:tcPr>
            <w:tcW w:w="532" w:type="dxa"/>
            <w:tcBorders>
              <w:top w:val="nil"/>
              <w:left w:val="nil"/>
              <w:bottom w:val="nil"/>
              <w:right w:val="nil"/>
            </w:tcBorders>
            <w:shd w:val="clear" w:color="auto" w:fill="auto"/>
            <w:noWrap/>
            <w:vAlign w:val="bottom"/>
            <w:hideMark/>
          </w:tcPr>
          <w:p w14:paraId="05834A8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26</w:t>
            </w:r>
          </w:p>
        </w:tc>
      </w:tr>
      <w:tr w:rsidR="006258EE" w:rsidRPr="00FF758F" w14:paraId="4AE116F6"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5CF247F0"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55BE9B47"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sterilis</w:t>
            </w:r>
          </w:p>
        </w:tc>
        <w:tc>
          <w:tcPr>
            <w:tcW w:w="574" w:type="dxa"/>
            <w:tcBorders>
              <w:top w:val="nil"/>
              <w:left w:val="nil"/>
              <w:bottom w:val="nil"/>
              <w:right w:val="nil"/>
            </w:tcBorders>
            <w:shd w:val="clear" w:color="auto" w:fill="auto"/>
            <w:noWrap/>
            <w:vAlign w:val="bottom"/>
            <w:hideMark/>
          </w:tcPr>
          <w:p w14:paraId="0C57CB8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14</w:t>
            </w:r>
          </w:p>
        </w:tc>
        <w:tc>
          <w:tcPr>
            <w:tcW w:w="554" w:type="dxa"/>
            <w:tcBorders>
              <w:top w:val="nil"/>
              <w:left w:val="nil"/>
              <w:bottom w:val="nil"/>
              <w:right w:val="nil"/>
            </w:tcBorders>
            <w:shd w:val="clear" w:color="auto" w:fill="auto"/>
            <w:noWrap/>
            <w:vAlign w:val="bottom"/>
            <w:hideMark/>
          </w:tcPr>
          <w:p w14:paraId="1F27167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39</w:t>
            </w:r>
          </w:p>
        </w:tc>
        <w:tc>
          <w:tcPr>
            <w:tcW w:w="508" w:type="dxa"/>
            <w:tcBorders>
              <w:top w:val="nil"/>
              <w:left w:val="nil"/>
              <w:bottom w:val="nil"/>
              <w:right w:val="nil"/>
            </w:tcBorders>
            <w:shd w:val="clear" w:color="auto" w:fill="auto"/>
            <w:noWrap/>
            <w:vAlign w:val="bottom"/>
            <w:hideMark/>
          </w:tcPr>
          <w:p w14:paraId="39959DB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46</w:t>
            </w:r>
          </w:p>
        </w:tc>
        <w:tc>
          <w:tcPr>
            <w:tcW w:w="543" w:type="dxa"/>
            <w:tcBorders>
              <w:top w:val="nil"/>
              <w:left w:val="nil"/>
              <w:bottom w:val="nil"/>
              <w:right w:val="nil"/>
            </w:tcBorders>
            <w:shd w:val="clear" w:color="auto" w:fill="auto"/>
            <w:noWrap/>
            <w:vAlign w:val="bottom"/>
            <w:hideMark/>
          </w:tcPr>
          <w:p w14:paraId="3BD017B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44</w:t>
            </w:r>
          </w:p>
        </w:tc>
        <w:tc>
          <w:tcPr>
            <w:tcW w:w="587" w:type="dxa"/>
            <w:tcBorders>
              <w:top w:val="nil"/>
              <w:left w:val="nil"/>
              <w:bottom w:val="nil"/>
              <w:right w:val="nil"/>
            </w:tcBorders>
            <w:shd w:val="clear" w:color="auto" w:fill="auto"/>
            <w:noWrap/>
            <w:vAlign w:val="bottom"/>
            <w:hideMark/>
          </w:tcPr>
          <w:p w14:paraId="392AEE6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87</w:t>
            </w:r>
          </w:p>
        </w:tc>
        <w:tc>
          <w:tcPr>
            <w:tcW w:w="536" w:type="dxa"/>
            <w:tcBorders>
              <w:top w:val="nil"/>
              <w:left w:val="nil"/>
              <w:bottom w:val="nil"/>
              <w:right w:val="nil"/>
            </w:tcBorders>
            <w:shd w:val="clear" w:color="auto" w:fill="auto"/>
            <w:noWrap/>
            <w:vAlign w:val="bottom"/>
            <w:hideMark/>
          </w:tcPr>
          <w:p w14:paraId="3F09736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88</w:t>
            </w:r>
          </w:p>
        </w:tc>
        <w:tc>
          <w:tcPr>
            <w:tcW w:w="610" w:type="dxa"/>
            <w:tcBorders>
              <w:top w:val="nil"/>
              <w:left w:val="nil"/>
              <w:bottom w:val="nil"/>
              <w:right w:val="nil"/>
            </w:tcBorders>
            <w:shd w:val="clear" w:color="auto" w:fill="auto"/>
            <w:noWrap/>
            <w:vAlign w:val="bottom"/>
            <w:hideMark/>
          </w:tcPr>
          <w:p w14:paraId="689C61B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62</w:t>
            </w:r>
          </w:p>
        </w:tc>
        <w:tc>
          <w:tcPr>
            <w:tcW w:w="518" w:type="dxa"/>
            <w:tcBorders>
              <w:top w:val="nil"/>
              <w:left w:val="nil"/>
              <w:bottom w:val="nil"/>
              <w:right w:val="nil"/>
            </w:tcBorders>
            <w:shd w:val="clear" w:color="auto" w:fill="auto"/>
            <w:noWrap/>
            <w:vAlign w:val="bottom"/>
            <w:hideMark/>
          </w:tcPr>
          <w:p w14:paraId="525ED2D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38</w:t>
            </w:r>
          </w:p>
        </w:tc>
        <w:tc>
          <w:tcPr>
            <w:tcW w:w="453" w:type="dxa"/>
            <w:tcBorders>
              <w:top w:val="nil"/>
              <w:left w:val="nil"/>
              <w:bottom w:val="nil"/>
              <w:right w:val="nil"/>
            </w:tcBorders>
            <w:shd w:val="clear" w:color="auto" w:fill="auto"/>
            <w:noWrap/>
            <w:vAlign w:val="bottom"/>
            <w:hideMark/>
          </w:tcPr>
          <w:p w14:paraId="1ACBAF5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44</w:t>
            </w:r>
          </w:p>
        </w:tc>
        <w:tc>
          <w:tcPr>
            <w:tcW w:w="563" w:type="dxa"/>
            <w:tcBorders>
              <w:top w:val="nil"/>
              <w:left w:val="nil"/>
              <w:bottom w:val="nil"/>
              <w:right w:val="nil"/>
            </w:tcBorders>
            <w:shd w:val="clear" w:color="auto" w:fill="auto"/>
            <w:noWrap/>
            <w:vAlign w:val="bottom"/>
            <w:hideMark/>
          </w:tcPr>
          <w:p w14:paraId="131274A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29</w:t>
            </w:r>
          </w:p>
        </w:tc>
        <w:tc>
          <w:tcPr>
            <w:tcW w:w="543" w:type="dxa"/>
            <w:tcBorders>
              <w:top w:val="nil"/>
              <w:left w:val="nil"/>
              <w:bottom w:val="nil"/>
              <w:right w:val="nil"/>
            </w:tcBorders>
            <w:shd w:val="clear" w:color="auto" w:fill="auto"/>
            <w:noWrap/>
            <w:vAlign w:val="bottom"/>
            <w:hideMark/>
          </w:tcPr>
          <w:p w14:paraId="4611C83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w:t>
            </w:r>
          </w:p>
        </w:tc>
        <w:tc>
          <w:tcPr>
            <w:tcW w:w="532" w:type="dxa"/>
            <w:tcBorders>
              <w:top w:val="nil"/>
              <w:left w:val="nil"/>
              <w:bottom w:val="nil"/>
              <w:right w:val="nil"/>
            </w:tcBorders>
            <w:shd w:val="clear" w:color="auto" w:fill="auto"/>
            <w:noWrap/>
            <w:vAlign w:val="bottom"/>
            <w:hideMark/>
          </w:tcPr>
          <w:p w14:paraId="3339C90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15</w:t>
            </w:r>
          </w:p>
        </w:tc>
      </w:tr>
      <w:tr w:rsidR="006258EE" w:rsidRPr="00FF758F" w14:paraId="17197A3B"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383AAEEA"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3E550ECA"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spp. PI 13033</w:t>
            </w:r>
          </w:p>
        </w:tc>
        <w:tc>
          <w:tcPr>
            <w:tcW w:w="574" w:type="dxa"/>
            <w:tcBorders>
              <w:top w:val="nil"/>
              <w:left w:val="nil"/>
              <w:bottom w:val="nil"/>
              <w:right w:val="nil"/>
            </w:tcBorders>
            <w:shd w:val="clear" w:color="auto" w:fill="auto"/>
            <w:noWrap/>
            <w:vAlign w:val="bottom"/>
            <w:hideMark/>
          </w:tcPr>
          <w:p w14:paraId="602535A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12</w:t>
            </w:r>
          </w:p>
        </w:tc>
        <w:tc>
          <w:tcPr>
            <w:tcW w:w="554" w:type="dxa"/>
            <w:tcBorders>
              <w:top w:val="nil"/>
              <w:left w:val="nil"/>
              <w:bottom w:val="nil"/>
              <w:right w:val="nil"/>
            </w:tcBorders>
            <w:shd w:val="clear" w:color="auto" w:fill="auto"/>
            <w:noWrap/>
            <w:vAlign w:val="bottom"/>
            <w:hideMark/>
          </w:tcPr>
          <w:p w14:paraId="0E88DC9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27</w:t>
            </w:r>
          </w:p>
        </w:tc>
        <w:tc>
          <w:tcPr>
            <w:tcW w:w="508" w:type="dxa"/>
            <w:tcBorders>
              <w:top w:val="nil"/>
              <w:left w:val="nil"/>
              <w:bottom w:val="nil"/>
              <w:right w:val="nil"/>
            </w:tcBorders>
            <w:shd w:val="clear" w:color="auto" w:fill="auto"/>
            <w:noWrap/>
            <w:vAlign w:val="bottom"/>
            <w:hideMark/>
          </w:tcPr>
          <w:p w14:paraId="3383E6F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24</w:t>
            </w:r>
          </w:p>
        </w:tc>
        <w:tc>
          <w:tcPr>
            <w:tcW w:w="543" w:type="dxa"/>
            <w:tcBorders>
              <w:top w:val="nil"/>
              <w:left w:val="nil"/>
              <w:bottom w:val="nil"/>
              <w:right w:val="nil"/>
            </w:tcBorders>
            <w:shd w:val="clear" w:color="auto" w:fill="auto"/>
            <w:noWrap/>
            <w:vAlign w:val="bottom"/>
            <w:hideMark/>
          </w:tcPr>
          <w:p w14:paraId="6640AEE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24</w:t>
            </w:r>
          </w:p>
        </w:tc>
        <w:tc>
          <w:tcPr>
            <w:tcW w:w="587" w:type="dxa"/>
            <w:tcBorders>
              <w:top w:val="nil"/>
              <w:left w:val="nil"/>
              <w:bottom w:val="nil"/>
              <w:right w:val="nil"/>
            </w:tcBorders>
            <w:shd w:val="clear" w:color="auto" w:fill="auto"/>
            <w:noWrap/>
            <w:vAlign w:val="bottom"/>
            <w:hideMark/>
          </w:tcPr>
          <w:p w14:paraId="5A83BD7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63</w:t>
            </w:r>
          </w:p>
        </w:tc>
        <w:tc>
          <w:tcPr>
            <w:tcW w:w="536" w:type="dxa"/>
            <w:tcBorders>
              <w:top w:val="nil"/>
              <w:left w:val="nil"/>
              <w:bottom w:val="nil"/>
              <w:right w:val="nil"/>
            </w:tcBorders>
            <w:shd w:val="clear" w:color="auto" w:fill="auto"/>
            <w:noWrap/>
            <w:vAlign w:val="bottom"/>
            <w:hideMark/>
          </w:tcPr>
          <w:p w14:paraId="0B07A83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67</w:t>
            </w:r>
          </w:p>
        </w:tc>
        <w:tc>
          <w:tcPr>
            <w:tcW w:w="610" w:type="dxa"/>
            <w:tcBorders>
              <w:top w:val="nil"/>
              <w:left w:val="nil"/>
              <w:bottom w:val="nil"/>
              <w:right w:val="nil"/>
            </w:tcBorders>
            <w:shd w:val="clear" w:color="auto" w:fill="auto"/>
            <w:noWrap/>
            <w:vAlign w:val="bottom"/>
            <w:hideMark/>
          </w:tcPr>
          <w:p w14:paraId="3FCD0BB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71</w:t>
            </w:r>
          </w:p>
        </w:tc>
        <w:tc>
          <w:tcPr>
            <w:tcW w:w="518" w:type="dxa"/>
            <w:tcBorders>
              <w:top w:val="nil"/>
              <w:left w:val="nil"/>
              <w:bottom w:val="nil"/>
              <w:right w:val="nil"/>
            </w:tcBorders>
            <w:shd w:val="clear" w:color="auto" w:fill="auto"/>
            <w:noWrap/>
            <w:vAlign w:val="bottom"/>
            <w:hideMark/>
          </w:tcPr>
          <w:p w14:paraId="38482F9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52</w:t>
            </w:r>
          </w:p>
        </w:tc>
        <w:tc>
          <w:tcPr>
            <w:tcW w:w="453" w:type="dxa"/>
            <w:tcBorders>
              <w:top w:val="nil"/>
              <w:left w:val="nil"/>
              <w:bottom w:val="nil"/>
              <w:right w:val="nil"/>
            </w:tcBorders>
            <w:shd w:val="clear" w:color="auto" w:fill="auto"/>
            <w:noWrap/>
            <w:vAlign w:val="bottom"/>
            <w:hideMark/>
          </w:tcPr>
          <w:p w14:paraId="4457B80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49</w:t>
            </w:r>
          </w:p>
        </w:tc>
        <w:tc>
          <w:tcPr>
            <w:tcW w:w="563" w:type="dxa"/>
            <w:tcBorders>
              <w:top w:val="nil"/>
              <w:left w:val="nil"/>
              <w:bottom w:val="nil"/>
              <w:right w:val="nil"/>
            </w:tcBorders>
            <w:shd w:val="clear" w:color="auto" w:fill="auto"/>
            <w:noWrap/>
            <w:vAlign w:val="bottom"/>
            <w:hideMark/>
          </w:tcPr>
          <w:p w14:paraId="743CF45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22</w:t>
            </w:r>
          </w:p>
        </w:tc>
        <w:tc>
          <w:tcPr>
            <w:tcW w:w="543" w:type="dxa"/>
            <w:tcBorders>
              <w:top w:val="nil"/>
              <w:left w:val="nil"/>
              <w:bottom w:val="nil"/>
              <w:right w:val="nil"/>
            </w:tcBorders>
            <w:shd w:val="clear" w:color="auto" w:fill="auto"/>
            <w:noWrap/>
            <w:vAlign w:val="bottom"/>
            <w:hideMark/>
          </w:tcPr>
          <w:p w14:paraId="6177504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w:t>
            </w:r>
          </w:p>
        </w:tc>
        <w:tc>
          <w:tcPr>
            <w:tcW w:w="532" w:type="dxa"/>
            <w:tcBorders>
              <w:top w:val="nil"/>
              <w:left w:val="nil"/>
              <w:bottom w:val="nil"/>
              <w:right w:val="nil"/>
            </w:tcBorders>
            <w:shd w:val="clear" w:color="auto" w:fill="auto"/>
            <w:noWrap/>
            <w:vAlign w:val="bottom"/>
            <w:hideMark/>
          </w:tcPr>
          <w:p w14:paraId="394E979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11</w:t>
            </w:r>
          </w:p>
        </w:tc>
      </w:tr>
      <w:tr w:rsidR="006258EE" w:rsidRPr="00FF758F" w14:paraId="234846AB"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4772FA22"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20F2B5E2"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sp.p PI 204265</w:t>
            </w:r>
          </w:p>
        </w:tc>
        <w:tc>
          <w:tcPr>
            <w:tcW w:w="574" w:type="dxa"/>
            <w:tcBorders>
              <w:top w:val="nil"/>
              <w:left w:val="nil"/>
              <w:bottom w:val="nil"/>
              <w:right w:val="nil"/>
            </w:tcBorders>
            <w:shd w:val="clear" w:color="auto" w:fill="auto"/>
            <w:noWrap/>
            <w:vAlign w:val="bottom"/>
            <w:hideMark/>
          </w:tcPr>
          <w:p w14:paraId="1A38562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w:t>
            </w:r>
          </w:p>
        </w:tc>
        <w:tc>
          <w:tcPr>
            <w:tcW w:w="554" w:type="dxa"/>
            <w:tcBorders>
              <w:top w:val="nil"/>
              <w:left w:val="nil"/>
              <w:bottom w:val="nil"/>
              <w:right w:val="nil"/>
            </w:tcBorders>
            <w:shd w:val="clear" w:color="auto" w:fill="auto"/>
            <w:noWrap/>
            <w:vAlign w:val="bottom"/>
            <w:hideMark/>
          </w:tcPr>
          <w:p w14:paraId="7E4EC33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27</w:t>
            </w:r>
          </w:p>
        </w:tc>
        <w:tc>
          <w:tcPr>
            <w:tcW w:w="508" w:type="dxa"/>
            <w:tcBorders>
              <w:top w:val="nil"/>
              <w:left w:val="nil"/>
              <w:bottom w:val="nil"/>
              <w:right w:val="nil"/>
            </w:tcBorders>
            <w:shd w:val="clear" w:color="auto" w:fill="auto"/>
            <w:noWrap/>
            <w:vAlign w:val="bottom"/>
            <w:hideMark/>
          </w:tcPr>
          <w:p w14:paraId="2EA481D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30</w:t>
            </w:r>
          </w:p>
        </w:tc>
        <w:tc>
          <w:tcPr>
            <w:tcW w:w="543" w:type="dxa"/>
            <w:tcBorders>
              <w:top w:val="nil"/>
              <w:left w:val="nil"/>
              <w:bottom w:val="nil"/>
              <w:right w:val="nil"/>
            </w:tcBorders>
            <w:shd w:val="clear" w:color="auto" w:fill="auto"/>
            <w:noWrap/>
            <w:vAlign w:val="bottom"/>
            <w:hideMark/>
          </w:tcPr>
          <w:p w14:paraId="7815824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31</w:t>
            </w:r>
          </w:p>
        </w:tc>
        <w:tc>
          <w:tcPr>
            <w:tcW w:w="587" w:type="dxa"/>
            <w:tcBorders>
              <w:top w:val="nil"/>
              <w:left w:val="nil"/>
              <w:bottom w:val="nil"/>
              <w:right w:val="nil"/>
            </w:tcBorders>
            <w:shd w:val="clear" w:color="auto" w:fill="auto"/>
            <w:noWrap/>
            <w:vAlign w:val="bottom"/>
            <w:hideMark/>
          </w:tcPr>
          <w:p w14:paraId="6C34871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78</w:t>
            </w:r>
          </w:p>
        </w:tc>
        <w:tc>
          <w:tcPr>
            <w:tcW w:w="536" w:type="dxa"/>
            <w:tcBorders>
              <w:top w:val="nil"/>
              <w:left w:val="nil"/>
              <w:bottom w:val="nil"/>
              <w:right w:val="nil"/>
            </w:tcBorders>
            <w:shd w:val="clear" w:color="auto" w:fill="auto"/>
            <w:noWrap/>
            <w:vAlign w:val="bottom"/>
            <w:hideMark/>
          </w:tcPr>
          <w:p w14:paraId="36300D6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62</w:t>
            </w:r>
          </w:p>
        </w:tc>
        <w:tc>
          <w:tcPr>
            <w:tcW w:w="610" w:type="dxa"/>
            <w:tcBorders>
              <w:top w:val="nil"/>
              <w:left w:val="nil"/>
              <w:bottom w:val="nil"/>
              <w:right w:val="nil"/>
            </w:tcBorders>
            <w:shd w:val="clear" w:color="auto" w:fill="auto"/>
            <w:noWrap/>
            <w:vAlign w:val="bottom"/>
            <w:hideMark/>
          </w:tcPr>
          <w:p w14:paraId="6C7FB06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50</w:t>
            </w:r>
          </w:p>
        </w:tc>
        <w:tc>
          <w:tcPr>
            <w:tcW w:w="518" w:type="dxa"/>
            <w:tcBorders>
              <w:top w:val="nil"/>
              <w:left w:val="nil"/>
              <w:bottom w:val="nil"/>
              <w:right w:val="nil"/>
            </w:tcBorders>
            <w:shd w:val="clear" w:color="auto" w:fill="auto"/>
            <w:noWrap/>
            <w:vAlign w:val="bottom"/>
            <w:hideMark/>
          </w:tcPr>
          <w:p w14:paraId="799EC31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37</w:t>
            </w:r>
          </w:p>
        </w:tc>
        <w:tc>
          <w:tcPr>
            <w:tcW w:w="453" w:type="dxa"/>
            <w:tcBorders>
              <w:top w:val="nil"/>
              <w:left w:val="nil"/>
              <w:bottom w:val="nil"/>
              <w:right w:val="nil"/>
            </w:tcBorders>
            <w:shd w:val="clear" w:color="auto" w:fill="auto"/>
            <w:noWrap/>
            <w:vAlign w:val="bottom"/>
            <w:hideMark/>
          </w:tcPr>
          <w:p w14:paraId="5AAF56B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33</w:t>
            </w:r>
          </w:p>
        </w:tc>
        <w:tc>
          <w:tcPr>
            <w:tcW w:w="563" w:type="dxa"/>
            <w:tcBorders>
              <w:top w:val="nil"/>
              <w:left w:val="nil"/>
              <w:bottom w:val="nil"/>
              <w:right w:val="nil"/>
            </w:tcBorders>
            <w:shd w:val="clear" w:color="auto" w:fill="auto"/>
            <w:noWrap/>
            <w:vAlign w:val="bottom"/>
            <w:hideMark/>
          </w:tcPr>
          <w:p w14:paraId="139FADF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12</w:t>
            </w:r>
          </w:p>
        </w:tc>
        <w:tc>
          <w:tcPr>
            <w:tcW w:w="543" w:type="dxa"/>
            <w:tcBorders>
              <w:top w:val="nil"/>
              <w:left w:val="nil"/>
              <w:bottom w:val="nil"/>
              <w:right w:val="nil"/>
            </w:tcBorders>
            <w:shd w:val="clear" w:color="auto" w:fill="auto"/>
            <w:noWrap/>
            <w:vAlign w:val="bottom"/>
            <w:hideMark/>
          </w:tcPr>
          <w:p w14:paraId="6FE08DC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10</w:t>
            </w:r>
          </w:p>
        </w:tc>
        <w:tc>
          <w:tcPr>
            <w:tcW w:w="532" w:type="dxa"/>
            <w:tcBorders>
              <w:top w:val="nil"/>
              <w:left w:val="nil"/>
              <w:bottom w:val="nil"/>
              <w:right w:val="nil"/>
            </w:tcBorders>
            <w:shd w:val="clear" w:color="auto" w:fill="auto"/>
            <w:noWrap/>
            <w:vAlign w:val="bottom"/>
            <w:hideMark/>
          </w:tcPr>
          <w:p w14:paraId="14ABF0F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w:t>
            </w:r>
          </w:p>
        </w:tc>
      </w:tr>
      <w:tr w:rsidR="006258EE" w:rsidRPr="00FF758F" w14:paraId="166D5340"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26CBC92B"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72F12F30"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spp. PI 598605</w:t>
            </w:r>
          </w:p>
        </w:tc>
        <w:tc>
          <w:tcPr>
            <w:tcW w:w="574" w:type="dxa"/>
            <w:tcBorders>
              <w:top w:val="nil"/>
              <w:left w:val="nil"/>
              <w:bottom w:val="nil"/>
              <w:right w:val="nil"/>
            </w:tcBorders>
            <w:shd w:val="clear" w:color="auto" w:fill="auto"/>
            <w:noWrap/>
            <w:vAlign w:val="bottom"/>
            <w:hideMark/>
          </w:tcPr>
          <w:p w14:paraId="29AC49F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28</w:t>
            </w:r>
          </w:p>
        </w:tc>
        <w:tc>
          <w:tcPr>
            <w:tcW w:w="554" w:type="dxa"/>
            <w:tcBorders>
              <w:top w:val="nil"/>
              <w:left w:val="nil"/>
              <w:bottom w:val="nil"/>
              <w:right w:val="nil"/>
            </w:tcBorders>
            <w:shd w:val="clear" w:color="auto" w:fill="auto"/>
            <w:noWrap/>
            <w:vAlign w:val="bottom"/>
            <w:hideMark/>
          </w:tcPr>
          <w:p w14:paraId="519E303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51</w:t>
            </w:r>
          </w:p>
        </w:tc>
        <w:tc>
          <w:tcPr>
            <w:tcW w:w="508" w:type="dxa"/>
            <w:tcBorders>
              <w:top w:val="nil"/>
              <w:left w:val="nil"/>
              <w:bottom w:val="nil"/>
              <w:right w:val="nil"/>
            </w:tcBorders>
            <w:shd w:val="clear" w:color="auto" w:fill="auto"/>
            <w:noWrap/>
            <w:vAlign w:val="bottom"/>
            <w:hideMark/>
          </w:tcPr>
          <w:p w14:paraId="3CACA39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52</w:t>
            </w:r>
          </w:p>
        </w:tc>
        <w:tc>
          <w:tcPr>
            <w:tcW w:w="543" w:type="dxa"/>
            <w:tcBorders>
              <w:top w:val="nil"/>
              <w:left w:val="nil"/>
              <w:bottom w:val="nil"/>
              <w:right w:val="nil"/>
            </w:tcBorders>
            <w:shd w:val="clear" w:color="auto" w:fill="auto"/>
            <w:noWrap/>
            <w:vAlign w:val="bottom"/>
            <w:hideMark/>
          </w:tcPr>
          <w:p w14:paraId="460DC4F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42</w:t>
            </w:r>
          </w:p>
        </w:tc>
        <w:tc>
          <w:tcPr>
            <w:tcW w:w="587" w:type="dxa"/>
            <w:tcBorders>
              <w:top w:val="nil"/>
              <w:left w:val="nil"/>
              <w:bottom w:val="nil"/>
              <w:right w:val="nil"/>
            </w:tcBorders>
            <w:shd w:val="clear" w:color="auto" w:fill="auto"/>
            <w:noWrap/>
            <w:vAlign w:val="bottom"/>
            <w:hideMark/>
          </w:tcPr>
          <w:p w14:paraId="194AB03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85</w:t>
            </w:r>
          </w:p>
        </w:tc>
        <w:tc>
          <w:tcPr>
            <w:tcW w:w="536" w:type="dxa"/>
            <w:tcBorders>
              <w:top w:val="nil"/>
              <w:left w:val="nil"/>
              <w:bottom w:val="nil"/>
              <w:right w:val="nil"/>
            </w:tcBorders>
            <w:shd w:val="clear" w:color="auto" w:fill="auto"/>
            <w:noWrap/>
            <w:vAlign w:val="bottom"/>
            <w:hideMark/>
          </w:tcPr>
          <w:p w14:paraId="61562DE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89</w:t>
            </w:r>
          </w:p>
        </w:tc>
        <w:tc>
          <w:tcPr>
            <w:tcW w:w="610" w:type="dxa"/>
            <w:tcBorders>
              <w:top w:val="nil"/>
              <w:left w:val="nil"/>
              <w:bottom w:val="nil"/>
              <w:right w:val="nil"/>
            </w:tcBorders>
            <w:shd w:val="clear" w:color="auto" w:fill="auto"/>
            <w:noWrap/>
            <w:vAlign w:val="bottom"/>
            <w:hideMark/>
          </w:tcPr>
          <w:p w14:paraId="422CCD0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76</w:t>
            </w:r>
          </w:p>
        </w:tc>
        <w:tc>
          <w:tcPr>
            <w:tcW w:w="518" w:type="dxa"/>
            <w:tcBorders>
              <w:top w:val="nil"/>
              <w:left w:val="nil"/>
              <w:bottom w:val="nil"/>
              <w:right w:val="nil"/>
            </w:tcBorders>
            <w:shd w:val="clear" w:color="auto" w:fill="auto"/>
            <w:noWrap/>
            <w:vAlign w:val="bottom"/>
            <w:hideMark/>
          </w:tcPr>
          <w:p w14:paraId="4BC2E0B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43</w:t>
            </w:r>
          </w:p>
        </w:tc>
        <w:tc>
          <w:tcPr>
            <w:tcW w:w="453" w:type="dxa"/>
            <w:tcBorders>
              <w:top w:val="nil"/>
              <w:left w:val="nil"/>
              <w:bottom w:val="nil"/>
              <w:right w:val="nil"/>
            </w:tcBorders>
            <w:shd w:val="clear" w:color="auto" w:fill="auto"/>
            <w:noWrap/>
            <w:vAlign w:val="bottom"/>
            <w:hideMark/>
          </w:tcPr>
          <w:p w14:paraId="0E33650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35</w:t>
            </w:r>
          </w:p>
        </w:tc>
        <w:tc>
          <w:tcPr>
            <w:tcW w:w="563" w:type="dxa"/>
            <w:tcBorders>
              <w:top w:val="nil"/>
              <w:left w:val="nil"/>
              <w:bottom w:val="nil"/>
              <w:right w:val="nil"/>
            </w:tcBorders>
            <w:shd w:val="clear" w:color="auto" w:fill="auto"/>
            <w:noWrap/>
            <w:vAlign w:val="bottom"/>
            <w:hideMark/>
          </w:tcPr>
          <w:p w14:paraId="64B8BA1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13</w:t>
            </w:r>
          </w:p>
        </w:tc>
        <w:tc>
          <w:tcPr>
            <w:tcW w:w="543" w:type="dxa"/>
            <w:tcBorders>
              <w:top w:val="nil"/>
              <w:left w:val="nil"/>
              <w:bottom w:val="nil"/>
              <w:right w:val="nil"/>
            </w:tcBorders>
            <w:shd w:val="clear" w:color="auto" w:fill="auto"/>
            <w:noWrap/>
            <w:vAlign w:val="bottom"/>
            <w:hideMark/>
          </w:tcPr>
          <w:p w14:paraId="1DC8667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w:t>
            </w:r>
          </w:p>
        </w:tc>
        <w:tc>
          <w:tcPr>
            <w:tcW w:w="532" w:type="dxa"/>
            <w:tcBorders>
              <w:top w:val="nil"/>
              <w:left w:val="nil"/>
              <w:bottom w:val="nil"/>
              <w:right w:val="nil"/>
            </w:tcBorders>
            <w:shd w:val="clear" w:color="auto" w:fill="auto"/>
            <w:noWrap/>
            <w:vAlign w:val="bottom"/>
            <w:hideMark/>
          </w:tcPr>
          <w:p w14:paraId="2C10AA9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w:t>
            </w:r>
          </w:p>
        </w:tc>
      </w:tr>
      <w:tr w:rsidR="006258EE" w:rsidRPr="00FF758F" w14:paraId="0A2EE0DA"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7B1F8368"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03011FBA"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spp. PI 619511</w:t>
            </w:r>
          </w:p>
        </w:tc>
        <w:tc>
          <w:tcPr>
            <w:tcW w:w="574" w:type="dxa"/>
            <w:tcBorders>
              <w:top w:val="nil"/>
              <w:left w:val="nil"/>
              <w:bottom w:val="nil"/>
              <w:right w:val="nil"/>
            </w:tcBorders>
            <w:shd w:val="clear" w:color="auto" w:fill="auto"/>
            <w:noWrap/>
            <w:vAlign w:val="bottom"/>
            <w:hideMark/>
          </w:tcPr>
          <w:p w14:paraId="5D2AC84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19</w:t>
            </w:r>
          </w:p>
        </w:tc>
        <w:tc>
          <w:tcPr>
            <w:tcW w:w="554" w:type="dxa"/>
            <w:tcBorders>
              <w:top w:val="nil"/>
              <w:left w:val="nil"/>
              <w:bottom w:val="nil"/>
              <w:right w:val="nil"/>
            </w:tcBorders>
            <w:shd w:val="clear" w:color="auto" w:fill="auto"/>
            <w:noWrap/>
            <w:vAlign w:val="bottom"/>
            <w:hideMark/>
          </w:tcPr>
          <w:p w14:paraId="4D5173D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50</w:t>
            </w:r>
          </w:p>
        </w:tc>
        <w:tc>
          <w:tcPr>
            <w:tcW w:w="508" w:type="dxa"/>
            <w:tcBorders>
              <w:top w:val="nil"/>
              <w:left w:val="nil"/>
              <w:bottom w:val="nil"/>
              <w:right w:val="nil"/>
            </w:tcBorders>
            <w:shd w:val="clear" w:color="auto" w:fill="auto"/>
            <w:noWrap/>
            <w:vAlign w:val="bottom"/>
            <w:hideMark/>
          </w:tcPr>
          <w:p w14:paraId="48D5736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55</w:t>
            </w:r>
          </w:p>
        </w:tc>
        <w:tc>
          <w:tcPr>
            <w:tcW w:w="543" w:type="dxa"/>
            <w:tcBorders>
              <w:top w:val="nil"/>
              <w:left w:val="nil"/>
              <w:bottom w:val="nil"/>
              <w:right w:val="nil"/>
            </w:tcBorders>
            <w:shd w:val="clear" w:color="auto" w:fill="auto"/>
            <w:noWrap/>
            <w:vAlign w:val="bottom"/>
            <w:hideMark/>
          </w:tcPr>
          <w:p w14:paraId="3FB99CD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50</w:t>
            </w:r>
          </w:p>
        </w:tc>
        <w:tc>
          <w:tcPr>
            <w:tcW w:w="587" w:type="dxa"/>
            <w:tcBorders>
              <w:top w:val="nil"/>
              <w:left w:val="nil"/>
              <w:bottom w:val="nil"/>
              <w:right w:val="nil"/>
            </w:tcBorders>
            <w:shd w:val="clear" w:color="auto" w:fill="auto"/>
            <w:noWrap/>
            <w:vAlign w:val="bottom"/>
            <w:hideMark/>
          </w:tcPr>
          <w:p w14:paraId="4EC2130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91</w:t>
            </w:r>
          </w:p>
        </w:tc>
        <w:tc>
          <w:tcPr>
            <w:tcW w:w="536" w:type="dxa"/>
            <w:tcBorders>
              <w:top w:val="nil"/>
              <w:left w:val="nil"/>
              <w:bottom w:val="nil"/>
              <w:right w:val="nil"/>
            </w:tcBorders>
            <w:shd w:val="clear" w:color="auto" w:fill="auto"/>
            <w:noWrap/>
            <w:vAlign w:val="bottom"/>
            <w:hideMark/>
          </w:tcPr>
          <w:p w14:paraId="0661059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56</w:t>
            </w:r>
          </w:p>
        </w:tc>
        <w:tc>
          <w:tcPr>
            <w:tcW w:w="610" w:type="dxa"/>
            <w:tcBorders>
              <w:top w:val="nil"/>
              <w:left w:val="nil"/>
              <w:bottom w:val="nil"/>
              <w:right w:val="nil"/>
            </w:tcBorders>
            <w:shd w:val="clear" w:color="auto" w:fill="auto"/>
            <w:noWrap/>
            <w:vAlign w:val="bottom"/>
            <w:hideMark/>
          </w:tcPr>
          <w:p w14:paraId="531FD94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36</w:t>
            </w:r>
          </w:p>
        </w:tc>
        <w:tc>
          <w:tcPr>
            <w:tcW w:w="518" w:type="dxa"/>
            <w:tcBorders>
              <w:top w:val="nil"/>
              <w:left w:val="nil"/>
              <w:bottom w:val="nil"/>
              <w:right w:val="nil"/>
            </w:tcBorders>
            <w:shd w:val="clear" w:color="auto" w:fill="auto"/>
            <w:noWrap/>
            <w:vAlign w:val="bottom"/>
            <w:hideMark/>
          </w:tcPr>
          <w:p w14:paraId="07DF62D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25</w:t>
            </w:r>
          </w:p>
        </w:tc>
        <w:tc>
          <w:tcPr>
            <w:tcW w:w="453" w:type="dxa"/>
            <w:tcBorders>
              <w:top w:val="nil"/>
              <w:left w:val="nil"/>
              <w:bottom w:val="nil"/>
              <w:right w:val="nil"/>
            </w:tcBorders>
            <w:shd w:val="clear" w:color="auto" w:fill="auto"/>
            <w:noWrap/>
            <w:vAlign w:val="bottom"/>
            <w:hideMark/>
          </w:tcPr>
          <w:p w14:paraId="1FDEC69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29</w:t>
            </w:r>
          </w:p>
        </w:tc>
        <w:tc>
          <w:tcPr>
            <w:tcW w:w="563" w:type="dxa"/>
            <w:tcBorders>
              <w:top w:val="nil"/>
              <w:left w:val="nil"/>
              <w:bottom w:val="nil"/>
              <w:right w:val="nil"/>
            </w:tcBorders>
            <w:shd w:val="clear" w:color="auto" w:fill="auto"/>
            <w:noWrap/>
            <w:vAlign w:val="bottom"/>
            <w:hideMark/>
          </w:tcPr>
          <w:p w14:paraId="4075607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w:t>
            </w:r>
          </w:p>
        </w:tc>
        <w:tc>
          <w:tcPr>
            <w:tcW w:w="543" w:type="dxa"/>
            <w:tcBorders>
              <w:top w:val="nil"/>
              <w:left w:val="nil"/>
              <w:bottom w:val="nil"/>
              <w:right w:val="nil"/>
            </w:tcBorders>
            <w:shd w:val="clear" w:color="auto" w:fill="auto"/>
            <w:noWrap/>
            <w:vAlign w:val="bottom"/>
            <w:hideMark/>
          </w:tcPr>
          <w:p w14:paraId="7202148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w:t>
            </w:r>
          </w:p>
        </w:tc>
        <w:tc>
          <w:tcPr>
            <w:tcW w:w="532" w:type="dxa"/>
            <w:tcBorders>
              <w:top w:val="nil"/>
              <w:left w:val="nil"/>
              <w:bottom w:val="nil"/>
              <w:right w:val="nil"/>
            </w:tcBorders>
            <w:shd w:val="clear" w:color="auto" w:fill="auto"/>
            <w:noWrap/>
            <w:vAlign w:val="bottom"/>
            <w:hideMark/>
          </w:tcPr>
          <w:p w14:paraId="54DBAAA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w:t>
            </w:r>
          </w:p>
        </w:tc>
      </w:tr>
      <w:tr w:rsidR="006258EE" w:rsidRPr="00FF758F" w14:paraId="16CB6829"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4374BB4D"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704243F9"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spp. PI 632504</w:t>
            </w:r>
          </w:p>
        </w:tc>
        <w:tc>
          <w:tcPr>
            <w:tcW w:w="574" w:type="dxa"/>
            <w:tcBorders>
              <w:top w:val="nil"/>
              <w:left w:val="nil"/>
              <w:bottom w:val="nil"/>
              <w:right w:val="nil"/>
            </w:tcBorders>
            <w:shd w:val="clear" w:color="auto" w:fill="auto"/>
            <w:noWrap/>
            <w:vAlign w:val="bottom"/>
            <w:hideMark/>
          </w:tcPr>
          <w:p w14:paraId="3936A0D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16</w:t>
            </w:r>
          </w:p>
        </w:tc>
        <w:tc>
          <w:tcPr>
            <w:tcW w:w="554" w:type="dxa"/>
            <w:tcBorders>
              <w:top w:val="nil"/>
              <w:left w:val="nil"/>
              <w:bottom w:val="nil"/>
              <w:right w:val="nil"/>
            </w:tcBorders>
            <w:shd w:val="clear" w:color="auto" w:fill="auto"/>
            <w:noWrap/>
            <w:vAlign w:val="bottom"/>
            <w:hideMark/>
          </w:tcPr>
          <w:p w14:paraId="7FC53BD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46</w:t>
            </w:r>
          </w:p>
        </w:tc>
        <w:tc>
          <w:tcPr>
            <w:tcW w:w="508" w:type="dxa"/>
            <w:tcBorders>
              <w:top w:val="nil"/>
              <w:left w:val="nil"/>
              <w:bottom w:val="nil"/>
              <w:right w:val="nil"/>
            </w:tcBorders>
            <w:shd w:val="clear" w:color="auto" w:fill="auto"/>
            <w:noWrap/>
            <w:vAlign w:val="bottom"/>
            <w:hideMark/>
          </w:tcPr>
          <w:p w14:paraId="4C95518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50</w:t>
            </w:r>
          </w:p>
        </w:tc>
        <w:tc>
          <w:tcPr>
            <w:tcW w:w="543" w:type="dxa"/>
            <w:tcBorders>
              <w:top w:val="nil"/>
              <w:left w:val="nil"/>
              <w:bottom w:val="nil"/>
              <w:right w:val="nil"/>
            </w:tcBorders>
            <w:shd w:val="clear" w:color="auto" w:fill="auto"/>
            <w:noWrap/>
            <w:vAlign w:val="bottom"/>
            <w:hideMark/>
          </w:tcPr>
          <w:p w14:paraId="1765079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46</w:t>
            </w:r>
          </w:p>
        </w:tc>
        <w:tc>
          <w:tcPr>
            <w:tcW w:w="587" w:type="dxa"/>
            <w:tcBorders>
              <w:top w:val="nil"/>
              <w:left w:val="nil"/>
              <w:bottom w:val="nil"/>
              <w:right w:val="nil"/>
            </w:tcBorders>
            <w:shd w:val="clear" w:color="auto" w:fill="auto"/>
            <w:noWrap/>
            <w:vAlign w:val="bottom"/>
            <w:hideMark/>
          </w:tcPr>
          <w:p w14:paraId="19E15FD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86</w:t>
            </w:r>
          </w:p>
        </w:tc>
        <w:tc>
          <w:tcPr>
            <w:tcW w:w="536" w:type="dxa"/>
            <w:tcBorders>
              <w:top w:val="nil"/>
              <w:left w:val="nil"/>
              <w:bottom w:val="nil"/>
              <w:right w:val="nil"/>
            </w:tcBorders>
            <w:shd w:val="clear" w:color="auto" w:fill="auto"/>
            <w:noWrap/>
            <w:vAlign w:val="bottom"/>
            <w:hideMark/>
          </w:tcPr>
          <w:p w14:paraId="762653C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85</w:t>
            </w:r>
          </w:p>
        </w:tc>
        <w:tc>
          <w:tcPr>
            <w:tcW w:w="610" w:type="dxa"/>
            <w:tcBorders>
              <w:top w:val="nil"/>
              <w:left w:val="nil"/>
              <w:bottom w:val="nil"/>
              <w:right w:val="nil"/>
            </w:tcBorders>
            <w:shd w:val="clear" w:color="auto" w:fill="auto"/>
            <w:noWrap/>
            <w:vAlign w:val="bottom"/>
            <w:hideMark/>
          </w:tcPr>
          <w:p w14:paraId="37680A1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53</w:t>
            </w:r>
          </w:p>
        </w:tc>
        <w:tc>
          <w:tcPr>
            <w:tcW w:w="518" w:type="dxa"/>
            <w:tcBorders>
              <w:top w:val="nil"/>
              <w:left w:val="nil"/>
              <w:bottom w:val="nil"/>
              <w:right w:val="nil"/>
            </w:tcBorders>
            <w:shd w:val="clear" w:color="auto" w:fill="auto"/>
            <w:noWrap/>
            <w:vAlign w:val="bottom"/>
            <w:hideMark/>
          </w:tcPr>
          <w:p w14:paraId="2D584C0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50</w:t>
            </w:r>
          </w:p>
        </w:tc>
        <w:tc>
          <w:tcPr>
            <w:tcW w:w="453" w:type="dxa"/>
            <w:tcBorders>
              <w:top w:val="nil"/>
              <w:left w:val="nil"/>
              <w:bottom w:val="nil"/>
              <w:right w:val="nil"/>
            </w:tcBorders>
            <w:shd w:val="clear" w:color="auto" w:fill="auto"/>
            <w:noWrap/>
            <w:vAlign w:val="bottom"/>
            <w:hideMark/>
          </w:tcPr>
          <w:p w14:paraId="2F68A3E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58</w:t>
            </w:r>
          </w:p>
        </w:tc>
        <w:tc>
          <w:tcPr>
            <w:tcW w:w="563" w:type="dxa"/>
            <w:tcBorders>
              <w:top w:val="nil"/>
              <w:left w:val="nil"/>
              <w:bottom w:val="nil"/>
              <w:right w:val="nil"/>
            </w:tcBorders>
            <w:shd w:val="clear" w:color="auto" w:fill="auto"/>
            <w:noWrap/>
            <w:vAlign w:val="bottom"/>
            <w:hideMark/>
          </w:tcPr>
          <w:p w14:paraId="5C655B3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15</w:t>
            </w:r>
          </w:p>
        </w:tc>
        <w:tc>
          <w:tcPr>
            <w:tcW w:w="543" w:type="dxa"/>
            <w:tcBorders>
              <w:top w:val="nil"/>
              <w:left w:val="nil"/>
              <w:bottom w:val="nil"/>
              <w:right w:val="nil"/>
            </w:tcBorders>
            <w:shd w:val="clear" w:color="auto" w:fill="auto"/>
            <w:noWrap/>
            <w:vAlign w:val="bottom"/>
            <w:hideMark/>
          </w:tcPr>
          <w:p w14:paraId="376A307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17</w:t>
            </w:r>
          </w:p>
        </w:tc>
        <w:tc>
          <w:tcPr>
            <w:tcW w:w="532" w:type="dxa"/>
            <w:tcBorders>
              <w:top w:val="nil"/>
              <w:left w:val="nil"/>
              <w:bottom w:val="nil"/>
              <w:right w:val="nil"/>
            </w:tcBorders>
            <w:shd w:val="clear" w:color="auto" w:fill="auto"/>
            <w:noWrap/>
            <w:vAlign w:val="bottom"/>
            <w:hideMark/>
          </w:tcPr>
          <w:p w14:paraId="7FD12D7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32</w:t>
            </w:r>
          </w:p>
        </w:tc>
      </w:tr>
      <w:tr w:rsidR="006258EE" w:rsidRPr="00FF758F" w14:paraId="2913969F" w14:textId="77777777" w:rsidTr="001C516A">
        <w:trPr>
          <w:trHeight w:val="300"/>
          <w:jc w:val="center"/>
        </w:trPr>
        <w:tc>
          <w:tcPr>
            <w:tcW w:w="1530" w:type="dxa"/>
            <w:tcBorders>
              <w:top w:val="nil"/>
              <w:left w:val="nil"/>
              <w:right w:val="nil"/>
            </w:tcBorders>
            <w:shd w:val="clear" w:color="auto" w:fill="auto"/>
            <w:noWrap/>
            <w:vAlign w:val="bottom"/>
            <w:hideMark/>
          </w:tcPr>
          <w:p w14:paraId="1467ACA9" w14:textId="77777777" w:rsidR="001C516A" w:rsidRPr="00FF758F" w:rsidRDefault="001C516A" w:rsidP="00F368ED">
            <w:pPr>
              <w:spacing w:after="0" w:line="240" w:lineRule="auto"/>
              <w:rPr>
                <w:rFonts w:ascii="Calibri" w:eastAsia="Times New Roman" w:hAnsi="Calibri" w:cs="Times New Roman"/>
                <w:b/>
              </w:rPr>
            </w:pPr>
            <w:r w:rsidRPr="00FF758F">
              <w:rPr>
                <w:rFonts w:ascii="Calibri" w:eastAsia="Times New Roman" w:hAnsi="Calibri" w:cs="Times New Roman"/>
                <w:b/>
              </w:rPr>
              <w:t> </w:t>
            </w:r>
          </w:p>
        </w:tc>
        <w:tc>
          <w:tcPr>
            <w:tcW w:w="2360" w:type="dxa"/>
            <w:tcBorders>
              <w:top w:val="nil"/>
              <w:left w:val="nil"/>
              <w:right w:val="nil"/>
            </w:tcBorders>
            <w:shd w:val="clear" w:color="auto" w:fill="auto"/>
            <w:noWrap/>
            <w:vAlign w:val="bottom"/>
            <w:hideMark/>
          </w:tcPr>
          <w:p w14:paraId="685798F9"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spp. PI 655177</w:t>
            </w:r>
          </w:p>
        </w:tc>
        <w:tc>
          <w:tcPr>
            <w:tcW w:w="574" w:type="dxa"/>
            <w:tcBorders>
              <w:top w:val="nil"/>
              <w:left w:val="nil"/>
              <w:right w:val="nil"/>
            </w:tcBorders>
            <w:shd w:val="clear" w:color="auto" w:fill="auto"/>
            <w:noWrap/>
            <w:vAlign w:val="bottom"/>
            <w:hideMark/>
          </w:tcPr>
          <w:p w14:paraId="0394708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w:t>
            </w:r>
          </w:p>
        </w:tc>
        <w:tc>
          <w:tcPr>
            <w:tcW w:w="554" w:type="dxa"/>
            <w:tcBorders>
              <w:top w:val="nil"/>
              <w:left w:val="nil"/>
              <w:right w:val="nil"/>
            </w:tcBorders>
            <w:shd w:val="clear" w:color="auto" w:fill="auto"/>
            <w:noWrap/>
            <w:vAlign w:val="bottom"/>
            <w:hideMark/>
          </w:tcPr>
          <w:p w14:paraId="70ADF6B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24</w:t>
            </w:r>
          </w:p>
        </w:tc>
        <w:tc>
          <w:tcPr>
            <w:tcW w:w="508" w:type="dxa"/>
            <w:tcBorders>
              <w:top w:val="nil"/>
              <w:left w:val="nil"/>
              <w:right w:val="nil"/>
            </w:tcBorders>
            <w:shd w:val="clear" w:color="auto" w:fill="auto"/>
            <w:noWrap/>
            <w:vAlign w:val="bottom"/>
            <w:hideMark/>
          </w:tcPr>
          <w:p w14:paraId="5CDE6DC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25</w:t>
            </w:r>
          </w:p>
        </w:tc>
        <w:tc>
          <w:tcPr>
            <w:tcW w:w="543" w:type="dxa"/>
            <w:tcBorders>
              <w:top w:val="nil"/>
              <w:left w:val="nil"/>
              <w:right w:val="nil"/>
            </w:tcBorders>
            <w:shd w:val="clear" w:color="auto" w:fill="auto"/>
            <w:noWrap/>
            <w:vAlign w:val="bottom"/>
            <w:hideMark/>
          </w:tcPr>
          <w:p w14:paraId="5C260DA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24</w:t>
            </w:r>
          </w:p>
        </w:tc>
        <w:tc>
          <w:tcPr>
            <w:tcW w:w="587" w:type="dxa"/>
            <w:tcBorders>
              <w:top w:val="nil"/>
              <w:left w:val="nil"/>
              <w:right w:val="nil"/>
            </w:tcBorders>
            <w:shd w:val="clear" w:color="auto" w:fill="auto"/>
            <w:noWrap/>
            <w:vAlign w:val="bottom"/>
            <w:hideMark/>
          </w:tcPr>
          <w:p w14:paraId="3AE7DAB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67</w:t>
            </w:r>
          </w:p>
        </w:tc>
        <w:tc>
          <w:tcPr>
            <w:tcW w:w="536" w:type="dxa"/>
            <w:tcBorders>
              <w:top w:val="nil"/>
              <w:left w:val="nil"/>
              <w:right w:val="nil"/>
            </w:tcBorders>
            <w:shd w:val="clear" w:color="auto" w:fill="auto"/>
            <w:noWrap/>
            <w:vAlign w:val="bottom"/>
            <w:hideMark/>
          </w:tcPr>
          <w:p w14:paraId="6BBED77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76</w:t>
            </w:r>
          </w:p>
        </w:tc>
        <w:tc>
          <w:tcPr>
            <w:tcW w:w="610" w:type="dxa"/>
            <w:tcBorders>
              <w:top w:val="nil"/>
              <w:left w:val="nil"/>
              <w:right w:val="nil"/>
            </w:tcBorders>
            <w:shd w:val="clear" w:color="auto" w:fill="auto"/>
            <w:noWrap/>
            <w:vAlign w:val="bottom"/>
            <w:hideMark/>
          </w:tcPr>
          <w:p w14:paraId="135D4F3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82</w:t>
            </w:r>
          </w:p>
        </w:tc>
        <w:tc>
          <w:tcPr>
            <w:tcW w:w="518" w:type="dxa"/>
            <w:tcBorders>
              <w:top w:val="nil"/>
              <w:left w:val="nil"/>
              <w:right w:val="nil"/>
            </w:tcBorders>
            <w:shd w:val="clear" w:color="auto" w:fill="auto"/>
            <w:noWrap/>
            <w:vAlign w:val="bottom"/>
            <w:hideMark/>
          </w:tcPr>
          <w:p w14:paraId="7DB4E06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67</w:t>
            </w:r>
          </w:p>
        </w:tc>
        <w:tc>
          <w:tcPr>
            <w:tcW w:w="453" w:type="dxa"/>
            <w:tcBorders>
              <w:top w:val="nil"/>
              <w:left w:val="nil"/>
              <w:right w:val="nil"/>
            </w:tcBorders>
            <w:shd w:val="clear" w:color="auto" w:fill="auto"/>
            <w:noWrap/>
            <w:vAlign w:val="bottom"/>
            <w:hideMark/>
          </w:tcPr>
          <w:p w14:paraId="1F1186B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45</w:t>
            </w:r>
          </w:p>
        </w:tc>
        <w:tc>
          <w:tcPr>
            <w:tcW w:w="563" w:type="dxa"/>
            <w:tcBorders>
              <w:top w:val="nil"/>
              <w:left w:val="nil"/>
              <w:right w:val="nil"/>
            </w:tcBorders>
            <w:shd w:val="clear" w:color="auto" w:fill="auto"/>
            <w:noWrap/>
            <w:vAlign w:val="bottom"/>
            <w:hideMark/>
          </w:tcPr>
          <w:p w14:paraId="7E69F66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23</w:t>
            </w:r>
          </w:p>
        </w:tc>
        <w:tc>
          <w:tcPr>
            <w:tcW w:w="543" w:type="dxa"/>
            <w:tcBorders>
              <w:top w:val="nil"/>
              <w:left w:val="nil"/>
              <w:right w:val="nil"/>
            </w:tcBorders>
            <w:shd w:val="clear" w:color="auto" w:fill="auto"/>
            <w:noWrap/>
            <w:vAlign w:val="bottom"/>
            <w:hideMark/>
          </w:tcPr>
          <w:p w14:paraId="421F3BD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w:t>
            </w:r>
          </w:p>
        </w:tc>
        <w:tc>
          <w:tcPr>
            <w:tcW w:w="532" w:type="dxa"/>
            <w:tcBorders>
              <w:top w:val="nil"/>
              <w:left w:val="nil"/>
              <w:right w:val="nil"/>
            </w:tcBorders>
            <w:shd w:val="clear" w:color="auto" w:fill="auto"/>
            <w:noWrap/>
            <w:vAlign w:val="bottom"/>
            <w:hideMark/>
          </w:tcPr>
          <w:p w14:paraId="4347805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17</w:t>
            </w:r>
          </w:p>
        </w:tc>
      </w:tr>
      <w:tr w:rsidR="006258EE" w:rsidRPr="00FF758F" w14:paraId="08634EB5" w14:textId="77777777" w:rsidTr="001C516A">
        <w:trPr>
          <w:trHeight w:val="300"/>
          <w:jc w:val="center"/>
        </w:trPr>
        <w:tc>
          <w:tcPr>
            <w:tcW w:w="10411" w:type="dxa"/>
            <w:gridSpan w:val="14"/>
            <w:tcBorders>
              <w:top w:val="nil"/>
              <w:left w:val="nil"/>
              <w:bottom w:val="single" w:sz="4" w:space="0" w:color="auto"/>
              <w:right w:val="nil"/>
            </w:tcBorders>
            <w:shd w:val="clear" w:color="auto" w:fill="auto"/>
            <w:noWrap/>
            <w:vAlign w:val="bottom"/>
          </w:tcPr>
          <w:p w14:paraId="6F8625C1" w14:textId="77777777" w:rsidR="001C516A" w:rsidRPr="00FF758F" w:rsidRDefault="001C516A" w:rsidP="00F368ED">
            <w:pPr>
              <w:spacing w:after="0" w:line="240" w:lineRule="auto"/>
              <w:rPr>
                <w:rFonts w:ascii="Calibri" w:eastAsia="Times New Roman" w:hAnsi="Calibri" w:cs="Times New Roman"/>
                <w:b/>
              </w:rPr>
            </w:pPr>
            <w:r w:rsidRPr="00FF758F">
              <w:rPr>
                <w:rFonts w:ascii="Calibri" w:eastAsia="Times New Roman" w:hAnsi="Calibri" w:cs="Times New Roman"/>
                <w:b/>
              </w:rPr>
              <w:lastRenderedPageBreak/>
              <w:t>Table 2.3.Continued.</w:t>
            </w:r>
          </w:p>
        </w:tc>
      </w:tr>
      <w:tr w:rsidR="006258EE" w:rsidRPr="00FF758F" w14:paraId="59325E77" w14:textId="77777777" w:rsidTr="001C516A">
        <w:trPr>
          <w:trHeight w:val="300"/>
          <w:jc w:val="center"/>
        </w:trPr>
        <w:tc>
          <w:tcPr>
            <w:tcW w:w="1530" w:type="dxa"/>
            <w:tcBorders>
              <w:top w:val="single" w:sz="4" w:space="0" w:color="auto"/>
              <w:left w:val="nil"/>
              <w:bottom w:val="single" w:sz="4" w:space="0" w:color="auto"/>
              <w:right w:val="nil"/>
            </w:tcBorders>
            <w:shd w:val="clear" w:color="auto" w:fill="auto"/>
            <w:noWrap/>
            <w:vAlign w:val="bottom"/>
          </w:tcPr>
          <w:p w14:paraId="64CF3750" w14:textId="77777777" w:rsidR="001C516A" w:rsidRPr="00FF758F" w:rsidRDefault="001C516A" w:rsidP="00F368ED">
            <w:pPr>
              <w:spacing w:after="0" w:line="240" w:lineRule="auto"/>
              <w:rPr>
                <w:rFonts w:ascii="Calibri" w:eastAsia="Times New Roman" w:hAnsi="Calibri" w:cs="Times New Roman"/>
                <w:b/>
              </w:rPr>
            </w:pPr>
            <w:r w:rsidRPr="00FF758F">
              <w:rPr>
                <w:rFonts w:ascii="Calibri" w:eastAsia="Times New Roman" w:hAnsi="Calibri" w:cs="Times New Roman"/>
                <w:b/>
              </w:rPr>
              <w:t>Growth</w:t>
            </w:r>
          </w:p>
        </w:tc>
        <w:tc>
          <w:tcPr>
            <w:tcW w:w="2360" w:type="dxa"/>
            <w:tcBorders>
              <w:top w:val="single" w:sz="4" w:space="0" w:color="auto"/>
              <w:left w:val="nil"/>
              <w:bottom w:val="single" w:sz="4" w:space="0" w:color="auto"/>
              <w:right w:val="nil"/>
            </w:tcBorders>
            <w:shd w:val="clear" w:color="auto" w:fill="auto"/>
            <w:noWrap/>
            <w:vAlign w:val="bottom"/>
          </w:tcPr>
          <w:p w14:paraId="7C89F5CA" w14:textId="77777777" w:rsidR="001C516A" w:rsidRPr="00FF758F" w:rsidRDefault="001C516A" w:rsidP="00F368ED">
            <w:pPr>
              <w:spacing w:after="0" w:line="240" w:lineRule="auto"/>
              <w:rPr>
                <w:rFonts w:ascii="Calibri" w:eastAsia="Times New Roman" w:hAnsi="Calibri" w:cs="Times New Roman"/>
                <w:b/>
              </w:rPr>
            </w:pPr>
            <w:r w:rsidRPr="00FF758F">
              <w:rPr>
                <w:rFonts w:ascii="Calibri" w:eastAsia="Times New Roman" w:hAnsi="Calibri" w:cs="Times New Roman"/>
                <w:b/>
              </w:rPr>
              <w:t>Entry</w:t>
            </w:r>
          </w:p>
        </w:tc>
        <w:tc>
          <w:tcPr>
            <w:tcW w:w="574" w:type="dxa"/>
            <w:tcBorders>
              <w:top w:val="single" w:sz="4" w:space="0" w:color="auto"/>
              <w:left w:val="nil"/>
              <w:bottom w:val="single" w:sz="4" w:space="0" w:color="auto"/>
              <w:right w:val="nil"/>
            </w:tcBorders>
            <w:shd w:val="clear" w:color="auto" w:fill="auto"/>
            <w:noWrap/>
            <w:vAlign w:val="bottom"/>
          </w:tcPr>
          <w:p w14:paraId="53A73EA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Nov</w:t>
            </w:r>
          </w:p>
        </w:tc>
        <w:tc>
          <w:tcPr>
            <w:tcW w:w="554" w:type="dxa"/>
            <w:tcBorders>
              <w:top w:val="single" w:sz="4" w:space="0" w:color="auto"/>
              <w:left w:val="nil"/>
              <w:bottom w:val="single" w:sz="4" w:space="0" w:color="auto"/>
              <w:right w:val="nil"/>
            </w:tcBorders>
            <w:shd w:val="clear" w:color="auto" w:fill="auto"/>
            <w:noWrap/>
            <w:vAlign w:val="bottom"/>
          </w:tcPr>
          <w:p w14:paraId="521B07F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Dec</w:t>
            </w:r>
          </w:p>
        </w:tc>
        <w:tc>
          <w:tcPr>
            <w:tcW w:w="508" w:type="dxa"/>
            <w:tcBorders>
              <w:top w:val="single" w:sz="4" w:space="0" w:color="auto"/>
              <w:left w:val="nil"/>
              <w:bottom w:val="single" w:sz="4" w:space="0" w:color="auto"/>
              <w:right w:val="nil"/>
            </w:tcBorders>
            <w:shd w:val="clear" w:color="auto" w:fill="auto"/>
            <w:noWrap/>
            <w:vAlign w:val="bottom"/>
          </w:tcPr>
          <w:p w14:paraId="720CBE1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Jan</w:t>
            </w:r>
          </w:p>
        </w:tc>
        <w:tc>
          <w:tcPr>
            <w:tcW w:w="543" w:type="dxa"/>
            <w:tcBorders>
              <w:top w:val="single" w:sz="4" w:space="0" w:color="auto"/>
              <w:left w:val="nil"/>
              <w:bottom w:val="single" w:sz="4" w:space="0" w:color="auto"/>
              <w:right w:val="nil"/>
            </w:tcBorders>
            <w:shd w:val="clear" w:color="auto" w:fill="auto"/>
            <w:noWrap/>
            <w:vAlign w:val="bottom"/>
          </w:tcPr>
          <w:p w14:paraId="6DE600E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Feb</w:t>
            </w:r>
          </w:p>
        </w:tc>
        <w:tc>
          <w:tcPr>
            <w:tcW w:w="587" w:type="dxa"/>
            <w:tcBorders>
              <w:top w:val="single" w:sz="4" w:space="0" w:color="auto"/>
              <w:left w:val="nil"/>
              <w:bottom w:val="single" w:sz="4" w:space="0" w:color="auto"/>
              <w:right w:val="nil"/>
            </w:tcBorders>
            <w:shd w:val="clear" w:color="auto" w:fill="auto"/>
            <w:noWrap/>
            <w:vAlign w:val="bottom"/>
          </w:tcPr>
          <w:p w14:paraId="2BBE6C5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Mar</w:t>
            </w:r>
          </w:p>
        </w:tc>
        <w:tc>
          <w:tcPr>
            <w:tcW w:w="536" w:type="dxa"/>
            <w:tcBorders>
              <w:top w:val="single" w:sz="4" w:space="0" w:color="auto"/>
              <w:left w:val="nil"/>
              <w:bottom w:val="single" w:sz="4" w:space="0" w:color="auto"/>
              <w:right w:val="nil"/>
            </w:tcBorders>
            <w:shd w:val="clear" w:color="auto" w:fill="auto"/>
            <w:noWrap/>
            <w:vAlign w:val="bottom"/>
          </w:tcPr>
          <w:p w14:paraId="434E791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Apr</w:t>
            </w:r>
          </w:p>
        </w:tc>
        <w:tc>
          <w:tcPr>
            <w:tcW w:w="610" w:type="dxa"/>
            <w:tcBorders>
              <w:top w:val="single" w:sz="4" w:space="0" w:color="auto"/>
              <w:left w:val="nil"/>
              <w:bottom w:val="single" w:sz="4" w:space="0" w:color="auto"/>
              <w:right w:val="nil"/>
            </w:tcBorders>
            <w:shd w:val="clear" w:color="auto" w:fill="auto"/>
            <w:noWrap/>
            <w:vAlign w:val="bottom"/>
          </w:tcPr>
          <w:p w14:paraId="3488C93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May</w:t>
            </w:r>
          </w:p>
        </w:tc>
        <w:tc>
          <w:tcPr>
            <w:tcW w:w="518" w:type="dxa"/>
            <w:tcBorders>
              <w:top w:val="single" w:sz="4" w:space="0" w:color="auto"/>
              <w:left w:val="nil"/>
              <w:bottom w:val="single" w:sz="4" w:space="0" w:color="auto"/>
              <w:right w:val="nil"/>
            </w:tcBorders>
            <w:shd w:val="clear" w:color="auto" w:fill="auto"/>
            <w:noWrap/>
            <w:vAlign w:val="bottom"/>
          </w:tcPr>
          <w:p w14:paraId="7E9B221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Jun</w:t>
            </w:r>
          </w:p>
        </w:tc>
        <w:tc>
          <w:tcPr>
            <w:tcW w:w="453" w:type="dxa"/>
            <w:tcBorders>
              <w:top w:val="single" w:sz="4" w:space="0" w:color="auto"/>
              <w:left w:val="nil"/>
              <w:bottom w:val="single" w:sz="4" w:space="0" w:color="auto"/>
              <w:right w:val="nil"/>
            </w:tcBorders>
            <w:shd w:val="clear" w:color="auto" w:fill="auto"/>
            <w:noWrap/>
            <w:vAlign w:val="bottom"/>
          </w:tcPr>
          <w:p w14:paraId="207866B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Jul</w:t>
            </w:r>
          </w:p>
        </w:tc>
        <w:tc>
          <w:tcPr>
            <w:tcW w:w="563" w:type="dxa"/>
            <w:tcBorders>
              <w:top w:val="single" w:sz="4" w:space="0" w:color="auto"/>
              <w:left w:val="nil"/>
              <w:bottom w:val="single" w:sz="4" w:space="0" w:color="auto"/>
              <w:right w:val="nil"/>
            </w:tcBorders>
            <w:shd w:val="clear" w:color="auto" w:fill="auto"/>
            <w:noWrap/>
            <w:vAlign w:val="bottom"/>
          </w:tcPr>
          <w:p w14:paraId="4608319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Aug</w:t>
            </w:r>
          </w:p>
        </w:tc>
        <w:tc>
          <w:tcPr>
            <w:tcW w:w="543" w:type="dxa"/>
            <w:tcBorders>
              <w:top w:val="single" w:sz="4" w:space="0" w:color="auto"/>
              <w:left w:val="nil"/>
              <w:bottom w:val="single" w:sz="4" w:space="0" w:color="auto"/>
              <w:right w:val="nil"/>
            </w:tcBorders>
            <w:shd w:val="clear" w:color="auto" w:fill="auto"/>
            <w:noWrap/>
            <w:vAlign w:val="bottom"/>
          </w:tcPr>
          <w:p w14:paraId="4363953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Sep</w:t>
            </w:r>
          </w:p>
        </w:tc>
        <w:tc>
          <w:tcPr>
            <w:tcW w:w="532" w:type="dxa"/>
            <w:tcBorders>
              <w:top w:val="single" w:sz="4" w:space="0" w:color="auto"/>
              <w:left w:val="nil"/>
              <w:bottom w:val="single" w:sz="4" w:space="0" w:color="auto"/>
              <w:right w:val="nil"/>
            </w:tcBorders>
            <w:shd w:val="clear" w:color="auto" w:fill="auto"/>
            <w:noWrap/>
            <w:vAlign w:val="bottom"/>
          </w:tcPr>
          <w:p w14:paraId="5E61637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Oct</w:t>
            </w:r>
          </w:p>
        </w:tc>
      </w:tr>
      <w:tr w:rsidR="006258EE" w:rsidRPr="00FF758F" w14:paraId="49FF8EA1" w14:textId="77777777" w:rsidTr="001C516A">
        <w:trPr>
          <w:trHeight w:val="300"/>
          <w:jc w:val="center"/>
        </w:trPr>
        <w:tc>
          <w:tcPr>
            <w:tcW w:w="1530" w:type="dxa"/>
            <w:tcBorders>
              <w:top w:val="single" w:sz="4" w:space="0" w:color="auto"/>
              <w:left w:val="nil"/>
              <w:bottom w:val="nil"/>
              <w:right w:val="nil"/>
            </w:tcBorders>
            <w:shd w:val="clear" w:color="auto" w:fill="auto"/>
            <w:noWrap/>
            <w:vAlign w:val="bottom"/>
            <w:hideMark/>
          </w:tcPr>
          <w:p w14:paraId="7C5EF3F0" w14:textId="77777777" w:rsidR="001C516A" w:rsidRPr="00FF758F" w:rsidRDefault="001C516A" w:rsidP="00F368ED">
            <w:pPr>
              <w:spacing w:after="0" w:line="240" w:lineRule="auto"/>
              <w:rPr>
                <w:rFonts w:ascii="Calibri" w:eastAsia="Times New Roman" w:hAnsi="Calibri" w:cs="Times New Roman"/>
                <w:b/>
              </w:rPr>
            </w:pPr>
            <w:r w:rsidRPr="00FF758F">
              <w:rPr>
                <w:rFonts w:ascii="Calibri" w:eastAsia="Times New Roman" w:hAnsi="Calibri" w:cs="Times New Roman"/>
                <w:b/>
              </w:rPr>
              <w:t>Rhizomatous</w:t>
            </w:r>
          </w:p>
        </w:tc>
        <w:tc>
          <w:tcPr>
            <w:tcW w:w="2360" w:type="dxa"/>
            <w:tcBorders>
              <w:top w:val="single" w:sz="4" w:space="0" w:color="auto"/>
              <w:left w:val="nil"/>
              <w:bottom w:val="nil"/>
              <w:right w:val="nil"/>
            </w:tcBorders>
            <w:shd w:val="clear" w:color="auto" w:fill="auto"/>
            <w:noWrap/>
            <w:vAlign w:val="bottom"/>
            <w:hideMark/>
          </w:tcPr>
          <w:p w14:paraId="61C12FED"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arachnifera×dusenii</w:t>
            </w:r>
          </w:p>
        </w:tc>
        <w:tc>
          <w:tcPr>
            <w:tcW w:w="574" w:type="dxa"/>
            <w:tcBorders>
              <w:top w:val="single" w:sz="4" w:space="0" w:color="auto"/>
              <w:left w:val="nil"/>
              <w:bottom w:val="nil"/>
              <w:right w:val="nil"/>
            </w:tcBorders>
            <w:shd w:val="clear" w:color="auto" w:fill="auto"/>
            <w:noWrap/>
            <w:vAlign w:val="bottom"/>
            <w:hideMark/>
          </w:tcPr>
          <w:p w14:paraId="4B588D1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w:t>
            </w:r>
          </w:p>
        </w:tc>
        <w:tc>
          <w:tcPr>
            <w:tcW w:w="554" w:type="dxa"/>
            <w:tcBorders>
              <w:top w:val="single" w:sz="4" w:space="0" w:color="auto"/>
              <w:left w:val="nil"/>
              <w:bottom w:val="nil"/>
              <w:right w:val="nil"/>
            </w:tcBorders>
            <w:shd w:val="clear" w:color="auto" w:fill="auto"/>
            <w:noWrap/>
            <w:vAlign w:val="bottom"/>
            <w:hideMark/>
          </w:tcPr>
          <w:p w14:paraId="1F2A483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23</w:t>
            </w:r>
          </w:p>
        </w:tc>
        <w:tc>
          <w:tcPr>
            <w:tcW w:w="508" w:type="dxa"/>
            <w:tcBorders>
              <w:top w:val="single" w:sz="4" w:space="0" w:color="auto"/>
              <w:left w:val="nil"/>
              <w:bottom w:val="nil"/>
              <w:right w:val="nil"/>
            </w:tcBorders>
            <w:shd w:val="clear" w:color="auto" w:fill="auto"/>
            <w:noWrap/>
            <w:vAlign w:val="bottom"/>
            <w:hideMark/>
          </w:tcPr>
          <w:p w14:paraId="3421F03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27</w:t>
            </w:r>
          </w:p>
        </w:tc>
        <w:tc>
          <w:tcPr>
            <w:tcW w:w="543" w:type="dxa"/>
            <w:tcBorders>
              <w:top w:val="single" w:sz="4" w:space="0" w:color="auto"/>
              <w:left w:val="nil"/>
              <w:bottom w:val="nil"/>
              <w:right w:val="nil"/>
            </w:tcBorders>
            <w:shd w:val="clear" w:color="auto" w:fill="auto"/>
            <w:noWrap/>
            <w:vAlign w:val="bottom"/>
            <w:hideMark/>
          </w:tcPr>
          <w:p w14:paraId="1508BC8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27</w:t>
            </w:r>
          </w:p>
        </w:tc>
        <w:tc>
          <w:tcPr>
            <w:tcW w:w="587" w:type="dxa"/>
            <w:tcBorders>
              <w:top w:val="single" w:sz="4" w:space="0" w:color="auto"/>
              <w:left w:val="nil"/>
              <w:bottom w:val="nil"/>
              <w:right w:val="nil"/>
            </w:tcBorders>
            <w:shd w:val="clear" w:color="auto" w:fill="auto"/>
            <w:noWrap/>
            <w:vAlign w:val="bottom"/>
            <w:hideMark/>
          </w:tcPr>
          <w:p w14:paraId="0B35656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73</w:t>
            </w:r>
          </w:p>
        </w:tc>
        <w:tc>
          <w:tcPr>
            <w:tcW w:w="536" w:type="dxa"/>
            <w:tcBorders>
              <w:top w:val="single" w:sz="4" w:space="0" w:color="auto"/>
              <w:left w:val="nil"/>
              <w:bottom w:val="nil"/>
              <w:right w:val="nil"/>
            </w:tcBorders>
            <w:shd w:val="clear" w:color="auto" w:fill="auto"/>
            <w:noWrap/>
            <w:vAlign w:val="bottom"/>
            <w:hideMark/>
          </w:tcPr>
          <w:p w14:paraId="1A7F080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74</w:t>
            </w:r>
          </w:p>
        </w:tc>
        <w:tc>
          <w:tcPr>
            <w:tcW w:w="610" w:type="dxa"/>
            <w:tcBorders>
              <w:top w:val="single" w:sz="4" w:space="0" w:color="auto"/>
              <w:left w:val="nil"/>
              <w:bottom w:val="nil"/>
              <w:right w:val="nil"/>
            </w:tcBorders>
            <w:shd w:val="clear" w:color="auto" w:fill="auto"/>
            <w:noWrap/>
            <w:vAlign w:val="bottom"/>
            <w:hideMark/>
          </w:tcPr>
          <w:p w14:paraId="166349C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53</w:t>
            </w:r>
          </w:p>
        </w:tc>
        <w:tc>
          <w:tcPr>
            <w:tcW w:w="518" w:type="dxa"/>
            <w:tcBorders>
              <w:top w:val="single" w:sz="4" w:space="0" w:color="auto"/>
              <w:left w:val="nil"/>
              <w:bottom w:val="nil"/>
              <w:right w:val="nil"/>
            </w:tcBorders>
            <w:shd w:val="clear" w:color="auto" w:fill="auto"/>
            <w:noWrap/>
            <w:vAlign w:val="bottom"/>
            <w:hideMark/>
          </w:tcPr>
          <w:p w14:paraId="7A117C2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41</w:t>
            </w:r>
          </w:p>
        </w:tc>
        <w:tc>
          <w:tcPr>
            <w:tcW w:w="453" w:type="dxa"/>
            <w:tcBorders>
              <w:top w:val="single" w:sz="4" w:space="0" w:color="auto"/>
              <w:left w:val="nil"/>
              <w:bottom w:val="nil"/>
              <w:right w:val="nil"/>
            </w:tcBorders>
            <w:shd w:val="clear" w:color="auto" w:fill="auto"/>
            <w:noWrap/>
            <w:vAlign w:val="bottom"/>
            <w:hideMark/>
          </w:tcPr>
          <w:p w14:paraId="0BD5CF5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36</w:t>
            </w:r>
          </w:p>
        </w:tc>
        <w:tc>
          <w:tcPr>
            <w:tcW w:w="563" w:type="dxa"/>
            <w:tcBorders>
              <w:top w:val="single" w:sz="4" w:space="0" w:color="auto"/>
              <w:left w:val="nil"/>
              <w:bottom w:val="nil"/>
              <w:right w:val="nil"/>
            </w:tcBorders>
            <w:shd w:val="clear" w:color="auto" w:fill="auto"/>
            <w:noWrap/>
            <w:vAlign w:val="bottom"/>
            <w:hideMark/>
          </w:tcPr>
          <w:p w14:paraId="24804CB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31</w:t>
            </w:r>
          </w:p>
        </w:tc>
        <w:tc>
          <w:tcPr>
            <w:tcW w:w="543" w:type="dxa"/>
            <w:tcBorders>
              <w:top w:val="single" w:sz="4" w:space="0" w:color="auto"/>
              <w:left w:val="nil"/>
              <w:bottom w:val="nil"/>
              <w:right w:val="nil"/>
            </w:tcBorders>
            <w:shd w:val="clear" w:color="auto" w:fill="auto"/>
            <w:noWrap/>
            <w:vAlign w:val="bottom"/>
            <w:hideMark/>
          </w:tcPr>
          <w:p w14:paraId="690B077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18</w:t>
            </w:r>
          </w:p>
        </w:tc>
        <w:tc>
          <w:tcPr>
            <w:tcW w:w="532" w:type="dxa"/>
            <w:tcBorders>
              <w:top w:val="single" w:sz="4" w:space="0" w:color="auto"/>
              <w:left w:val="nil"/>
              <w:bottom w:val="nil"/>
              <w:right w:val="nil"/>
            </w:tcBorders>
            <w:shd w:val="clear" w:color="auto" w:fill="auto"/>
            <w:noWrap/>
            <w:vAlign w:val="bottom"/>
            <w:hideMark/>
          </w:tcPr>
          <w:p w14:paraId="6729CF3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37</w:t>
            </w:r>
          </w:p>
        </w:tc>
      </w:tr>
      <w:tr w:rsidR="006258EE" w:rsidRPr="00FF758F" w14:paraId="03E9D0D5"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6C0F96EB"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2D1DACCF"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P.arachnifera</w:t>
            </w:r>
          </w:p>
        </w:tc>
        <w:tc>
          <w:tcPr>
            <w:tcW w:w="574" w:type="dxa"/>
            <w:tcBorders>
              <w:top w:val="nil"/>
              <w:left w:val="nil"/>
              <w:bottom w:val="nil"/>
              <w:right w:val="nil"/>
            </w:tcBorders>
            <w:shd w:val="clear" w:color="auto" w:fill="auto"/>
            <w:noWrap/>
            <w:vAlign w:val="bottom"/>
            <w:hideMark/>
          </w:tcPr>
          <w:p w14:paraId="667B495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w:t>
            </w:r>
          </w:p>
        </w:tc>
        <w:tc>
          <w:tcPr>
            <w:tcW w:w="554" w:type="dxa"/>
            <w:tcBorders>
              <w:top w:val="nil"/>
              <w:left w:val="nil"/>
              <w:bottom w:val="nil"/>
              <w:right w:val="nil"/>
            </w:tcBorders>
            <w:shd w:val="clear" w:color="auto" w:fill="auto"/>
            <w:noWrap/>
            <w:vAlign w:val="bottom"/>
            <w:hideMark/>
          </w:tcPr>
          <w:p w14:paraId="22B9FED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27</w:t>
            </w:r>
          </w:p>
        </w:tc>
        <w:tc>
          <w:tcPr>
            <w:tcW w:w="508" w:type="dxa"/>
            <w:tcBorders>
              <w:top w:val="nil"/>
              <w:left w:val="nil"/>
              <w:bottom w:val="nil"/>
              <w:right w:val="nil"/>
            </w:tcBorders>
            <w:shd w:val="clear" w:color="auto" w:fill="auto"/>
            <w:noWrap/>
            <w:vAlign w:val="bottom"/>
            <w:hideMark/>
          </w:tcPr>
          <w:p w14:paraId="5471CB8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31</w:t>
            </w:r>
          </w:p>
        </w:tc>
        <w:tc>
          <w:tcPr>
            <w:tcW w:w="543" w:type="dxa"/>
            <w:tcBorders>
              <w:top w:val="nil"/>
              <w:left w:val="nil"/>
              <w:bottom w:val="nil"/>
              <w:right w:val="nil"/>
            </w:tcBorders>
            <w:shd w:val="clear" w:color="auto" w:fill="auto"/>
            <w:noWrap/>
            <w:vAlign w:val="bottom"/>
            <w:hideMark/>
          </w:tcPr>
          <w:p w14:paraId="2C99E2F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31</w:t>
            </w:r>
          </w:p>
        </w:tc>
        <w:tc>
          <w:tcPr>
            <w:tcW w:w="587" w:type="dxa"/>
            <w:tcBorders>
              <w:top w:val="nil"/>
              <w:left w:val="nil"/>
              <w:bottom w:val="nil"/>
              <w:right w:val="nil"/>
            </w:tcBorders>
            <w:shd w:val="clear" w:color="auto" w:fill="auto"/>
            <w:noWrap/>
            <w:vAlign w:val="bottom"/>
            <w:hideMark/>
          </w:tcPr>
          <w:p w14:paraId="26A41CC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68</w:t>
            </w:r>
          </w:p>
        </w:tc>
        <w:tc>
          <w:tcPr>
            <w:tcW w:w="536" w:type="dxa"/>
            <w:tcBorders>
              <w:top w:val="nil"/>
              <w:left w:val="nil"/>
              <w:bottom w:val="nil"/>
              <w:right w:val="nil"/>
            </w:tcBorders>
            <w:shd w:val="clear" w:color="auto" w:fill="auto"/>
            <w:noWrap/>
            <w:vAlign w:val="bottom"/>
            <w:hideMark/>
          </w:tcPr>
          <w:p w14:paraId="00F0E75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67</w:t>
            </w:r>
          </w:p>
        </w:tc>
        <w:tc>
          <w:tcPr>
            <w:tcW w:w="610" w:type="dxa"/>
            <w:tcBorders>
              <w:top w:val="nil"/>
              <w:left w:val="nil"/>
              <w:bottom w:val="nil"/>
              <w:right w:val="nil"/>
            </w:tcBorders>
            <w:shd w:val="clear" w:color="auto" w:fill="auto"/>
            <w:noWrap/>
            <w:vAlign w:val="bottom"/>
            <w:hideMark/>
          </w:tcPr>
          <w:p w14:paraId="34E7E7C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60</w:t>
            </w:r>
          </w:p>
        </w:tc>
        <w:tc>
          <w:tcPr>
            <w:tcW w:w="518" w:type="dxa"/>
            <w:tcBorders>
              <w:top w:val="nil"/>
              <w:left w:val="nil"/>
              <w:bottom w:val="nil"/>
              <w:right w:val="nil"/>
            </w:tcBorders>
            <w:shd w:val="clear" w:color="auto" w:fill="auto"/>
            <w:noWrap/>
            <w:vAlign w:val="bottom"/>
            <w:hideMark/>
          </w:tcPr>
          <w:p w14:paraId="3FB3516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59</w:t>
            </w:r>
          </w:p>
        </w:tc>
        <w:tc>
          <w:tcPr>
            <w:tcW w:w="453" w:type="dxa"/>
            <w:tcBorders>
              <w:top w:val="nil"/>
              <w:left w:val="nil"/>
              <w:bottom w:val="nil"/>
              <w:right w:val="nil"/>
            </w:tcBorders>
            <w:shd w:val="clear" w:color="auto" w:fill="auto"/>
            <w:noWrap/>
            <w:vAlign w:val="bottom"/>
            <w:hideMark/>
          </w:tcPr>
          <w:p w14:paraId="5D45A8E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53</w:t>
            </w:r>
          </w:p>
        </w:tc>
        <w:tc>
          <w:tcPr>
            <w:tcW w:w="563" w:type="dxa"/>
            <w:tcBorders>
              <w:top w:val="nil"/>
              <w:left w:val="nil"/>
              <w:bottom w:val="nil"/>
              <w:right w:val="nil"/>
            </w:tcBorders>
            <w:shd w:val="clear" w:color="auto" w:fill="auto"/>
            <w:noWrap/>
            <w:vAlign w:val="bottom"/>
            <w:hideMark/>
          </w:tcPr>
          <w:p w14:paraId="546E748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29</w:t>
            </w:r>
          </w:p>
        </w:tc>
        <w:tc>
          <w:tcPr>
            <w:tcW w:w="543" w:type="dxa"/>
            <w:tcBorders>
              <w:top w:val="nil"/>
              <w:left w:val="nil"/>
              <w:bottom w:val="nil"/>
              <w:right w:val="nil"/>
            </w:tcBorders>
            <w:shd w:val="clear" w:color="auto" w:fill="auto"/>
            <w:noWrap/>
            <w:vAlign w:val="bottom"/>
            <w:hideMark/>
          </w:tcPr>
          <w:p w14:paraId="2C7A00A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33</w:t>
            </w:r>
          </w:p>
        </w:tc>
        <w:tc>
          <w:tcPr>
            <w:tcW w:w="532" w:type="dxa"/>
            <w:tcBorders>
              <w:top w:val="nil"/>
              <w:left w:val="nil"/>
              <w:bottom w:val="nil"/>
              <w:right w:val="nil"/>
            </w:tcBorders>
            <w:shd w:val="clear" w:color="auto" w:fill="auto"/>
            <w:noWrap/>
            <w:vAlign w:val="bottom"/>
            <w:hideMark/>
          </w:tcPr>
          <w:p w14:paraId="5F776EF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64</w:t>
            </w:r>
          </w:p>
        </w:tc>
      </w:tr>
      <w:tr w:rsidR="006258EE" w:rsidRPr="00FF758F" w14:paraId="625DAE51"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3BFD2497"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79718AF2"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arida</w:t>
            </w:r>
          </w:p>
        </w:tc>
        <w:tc>
          <w:tcPr>
            <w:tcW w:w="574" w:type="dxa"/>
            <w:tcBorders>
              <w:top w:val="nil"/>
              <w:left w:val="nil"/>
              <w:bottom w:val="nil"/>
              <w:right w:val="nil"/>
            </w:tcBorders>
            <w:shd w:val="clear" w:color="auto" w:fill="auto"/>
            <w:noWrap/>
            <w:vAlign w:val="bottom"/>
            <w:hideMark/>
          </w:tcPr>
          <w:p w14:paraId="13EC5AC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11</w:t>
            </w:r>
          </w:p>
        </w:tc>
        <w:tc>
          <w:tcPr>
            <w:tcW w:w="554" w:type="dxa"/>
            <w:tcBorders>
              <w:top w:val="nil"/>
              <w:left w:val="nil"/>
              <w:bottom w:val="nil"/>
              <w:right w:val="nil"/>
            </w:tcBorders>
            <w:shd w:val="clear" w:color="auto" w:fill="auto"/>
            <w:noWrap/>
            <w:vAlign w:val="bottom"/>
            <w:hideMark/>
          </w:tcPr>
          <w:p w14:paraId="6D64521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27</w:t>
            </w:r>
          </w:p>
        </w:tc>
        <w:tc>
          <w:tcPr>
            <w:tcW w:w="508" w:type="dxa"/>
            <w:tcBorders>
              <w:top w:val="nil"/>
              <w:left w:val="nil"/>
              <w:bottom w:val="nil"/>
              <w:right w:val="nil"/>
            </w:tcBorders>
            <w:shd w:val="clear" w:color="auto" w:fill="auto"/>
            <w:noWrap/>
            <w:vAlign w:val="bottom"/>
            <w:hideMark/>
          </w:tcPr>
          <w:p w14:paraId="3CAE6AF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29</w:t>
            </w:r>
          </w:p>
        </w:tc>
        <w:tc>
          <w:tcPr>
            <w:tcW w:w="543" w:type="dxa"/>
            <w:tcBorders>
              <w:top w:val="nil"/>
              <w:left w:val="nil"/>
              <w:bottom w:val="nil"/>
              <w:right w:val="nil"/>
            </w:tcBorders>
            <w:shd w:val="clear" w:color="auto" w:fill="auto"/>
            <w:noWrap/>
            <w:vAlign w:val="bottom"/>
            <w:hideMark/>
          </w:tcPr>
          <w:p w14:paraId="0A495BB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27</w:t>
            </w:r>
          </w:p>
        </w:tc>
        <w:tc>
          <w:tcPr>
            <w:tcW w:w="587" w:type="dxa"/>
            <w:tcBorders>
              <w:top w:val="nil"/>
              <w:left w:val="nil"/>
              <w:bottom w:val="nil"/>
              <w:right w:val="nil"/>
            </w:tcBorders>
            <w:shd w:val="clear" w:color="auto" w:fill="auto"/>
            <w:noWrap/>
            <w:vAlign w:val="bottom"/>
            <w:hideMark/>
          </w:tcPr>
          <w:p w14:paraId="3B50763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76</w:t>
            </w:r>
          </w:p>
        </w:tc>
        <w:tc>
          <w:tcPr>
            <w:tcW w:w="536" w:type="dxa"/>
            <w:tcBorders>
              <w:top w:val="nil"/>
              <w:left w:val="nil"/>
              <w:bottom w:val="nil"/>
              <w:right w:val="nil"/>
            </w:tcBorders>
            <w:shd w:val="clear" w:color="auto" w:fill="auto"/>
            <w:noWrap/>
            <w:vAlign w:val="bottom"/>
            <w:hideMark/>
          </w:tcPr>
          <w:p w14:paraId="18D3E3B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82</w:t>
            </w:r>
          </w:p>
        </w:tc>
        <w:tc>
          <w:tcPr>
            <w:tcW w:w="610" w:type="dxa"/>
            <w:tcBorders>
              <w:top w:val="nil"/>
              <w:left w:val="nil"/>
              <w:bottom w:val="nil"/>
              <w:right w:val="nil"/>
            </w:tcBorders>
            <w:shd w:val="clear" w:color="auto" w:fill="auto"/>
            <w:noWrap/>
            <w:vAlign w:val="bottom"/>
            <w:hideMark/>
          </w:tcPr>
          <w:p w14:paraId="13D2AA4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64</w:t>
            </w:r>
          </w:p>
        </w:tc>
        <w:tc>
          <w:tcPr>
            <w:tcW w:w="518" w:type="dxa"/>
            <w:tcBorders>
              <w:top w:val="nil"/>
              <w:left w:val="nil"/>
              <w:bottom w:val="nil"/>
              <w:right w:val="nil"/>
            </w:tcBorders>
            <w:shd w:val="clear" w:color="auto" w:fill="auto"/>
            <w:noWrap/>
            <w:vAlign w:val="bottom"/>
            <w:hideMark/>
          </w:tcPr>
          <w:p w14:paraId="13DA7F3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67</w:t>
            </w:r>
          </w:p>
        </w:tc>
        <w:tc>
          <w:tcPr>
            <w:tcW w:w="453" w:type="dxa"/>
            <w:tcBorders>
              <w:top w:val="nil"/>
              <w:left w:val="nil"/>
              <w:bottom w:val="nil"/>
              <w:right w:val="nil"/>
            </w:tcBorders>
            <w:shd w:val="clear" w:color="auto" w:fill="auto"/>
            <w:noWrap/>
            <w:vAlign w:val="bottom"/>
            <w:hideMark/>
          </w:tcPr>
          <w:p w14:paraId="404F47A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63</w:t>
            </w:r>
          </w:p>
        </w:tc>
        <w:tc>
          <w:tcPr>
            <w:tcW w:w="563" w:type="dxa"/>
            <w:tcBorders>
              <w:top w:val="nil"/>
              <w:left w:val="nil"/>
              <w:bottom w:val="nil"/>
              <w:right w:val="nil"/>
            </w:tcBorders>
            <w:shd w:val="clear" w:color="auto" w:fill="auto"/>
            <w:noWrap/>
            <w:vAlign w:val="bottom"/>
            <w:hideMark/>
          </w:tcPr>
          <w:p w14:paraId="3C7BE5D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26</w:t>
            </w:r>
          </w:p>
        </w:tc>
        <w:tc>
          <w:tcPr>
            <w:tcW w:w="543" w:type="dxa"/>
            <w:tcBorders>
              <w:top w:val="nil"/>
              <w:left w:val="nil"/>
              <w:bottom w:val="nil"/>
              <w:right w:val="nil"/>
            </w:tcBorders>
            <w:shd w:val="clear" w:color="auto" w:fill="auto"/>
            <w:noWrap/>
            <w:vAlign w:val="bottom"/>
            <w:hideMark/>
          </w:tcPr>
          <w:p w14:paraId="782D810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19</w:t>
            </w:r>
          </w:p>
        </w:tc>
        <w:tc>
          <w:tcPr>
            <w:tcW w:w="532" w:type="dxa"/>
            <w:tcBorders>
              <w:top w:val="nil"/>
              <w:left w:val="nil"/>
              <w:bottom w:val="nil"/>
              <w:right w:val="nil"/>
            </w:tcBorders>
            <w:shd w:val="clear" w:color="auto" w:fill="auto"/>
            <w:noWrap/>
            <w:vAlign w:val="bottom"/>
            <w:hideMark/>
          </w:tcPr>
          <w:p w14:paraId="04BD046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39</w:t>
            </w:r>
          </w:p>
        </w:tc>
      </w:tr>
      <w:tr w:rsidR="006258EE" w:rsidRPr="00FF758F" w14:paraId="50C38A26"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3EF5324B"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5F972B0E"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compressa</w:t>
            </w:r>
          </w:p>
        </w:tc>
        <w:tc>
          <w:tcPr>
            <w:tcW w:w="574" w:type="dxa"/>
            <w:tcBorders>
              <w:top w:val="nil"/>
              <w:left w:val="nil"/>
              <w:bottom w:val="nil"/>
              <w:right w:val="nil"/>
            </w:tcBorders>
            <w:shd w:val="clear" w:color="auto" w:fill="auto"/>
            <w:noWrap/>
            <w:vAlign w:val="bottom"/>
            <w:hideMark/>
          </w:tcPr>
          <w:p w14:paraId="455BA0B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16</w:t>
            </w:r>
          </w:p>
        </w:tc>
        <w:tc>
          <w:tcPr>
            <w:tcW w:w="554" w:type="dxa"/>
            <w:tcBorders>
              <w:top w:val="nil"/>
              <w:left w:val="nil"/>
              <w:bottom w:val="nil"/>
              <w:right w:val="nil"/>
            </w:tcBorders>
            <w:shd w:val="clear" w:color="auto" w:fill="auto"/>
            <w:noWrap/>
            <w:vAlign w:val="bottom"/>
            <w:hideMark/>
          </w:tcPr>
          <w:p w14:paraId="6730494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44</w:t>
            </w:r>
          </w:p>
        </w:tc>
        <w:tc>
          <w:tcPr>
            <w:tcW w:w="508" w:type="dxa"/>
            <w:tcBorders>
              <w:top w:val="nil"/>
              <w:left w:val="nil"/>
              <w:bottom w:val="nil"/>
              <w:right w:val="nil"/>
            </w:tcBorders>
            <w:shd w:val="clear" w:color="auto" w:fill="auto"/>
            <w:noWrap/>
            <w:vAlign w:val="bottom"/>
            <w:hideMark/>
          </w:tcPr>
          <w:p w14:paraId="4278956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50</w:t>
            </w:r>
          </w:p>
        </w:tc>
        <w:tc>
          <w:tcPr>
            <w:tcW w:w="543" w:type="dxa"/>
            <w:tcBorders>
              <w:top w:val="nil"/>
              <w:left w:val="nil"/>
              <w:bottom w:val="nil"/>
              <w:right w:val="nil"/>
            </w:tcBorders>
            <w:shd w:val="clear" w:color="auto" w:fill="auto"/>
            <w:noWrap/>
            <w:vAlign w:val="bottom"/>
            <w:hideMark/>
          </w:tcPr>
          <w:p w14:paraId="2708F52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44</w:t>
            </w:r>
          </w:p>
        </w:tc>
        <w:tc>
          <w:tcPr>
            <w:tcW w:w="587" w:type="dxa"/>
            <w:tcBorders>
              <w:top w:val="nil"/>
              <w:left w:val="nil"/>
              <w:bottom w:val="nil"/>
              <w:right w:val="nil"/>
            </w:tcBorders>
            <w:shd w:val="clear" w:color="auto" w:fill="auto"/>
            <w:noWrap/>
            <w:vAlign w:val="bottom"/>
            <w:hideMark/>
          </w:tcPr>
          <w:p w14:paraId="1DB287E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87</w:t>
            </w:r>
          </w:p>
        </w:tc>
        <w:tc>
          <w:tcPr>
            <w:tcW w:w="536" w:type="dxa"/>
            <w:tcBorders>
              <w:top w:val="nil"/>
              <w:left w:val="nil"/>
              <w:bottom w:val="nil"/>
              <w:right w:val="nil"/>
            </w:tcBorders>
            <w:shd w:val="clear" w:color="auto" w:fill="auto"/>
            <w:noWrap/>
            <w:vAlign w:val="bottom"/>
            <w:hideMark/>
          </w:tcPr>
          <w:p w14:paraId="651395F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97</w:t>
            </w:r>
          </w:p>
        </w:tc>
        <w:tc>
          <w:tcPr>
            <w:tcW w:w="610" w:type="dxa"/>
            <w:tcBorders>
              <w:top w:val="nil"/>
              <w:left w:val="nil"/>
              <w:bottom w:val="nil"/>
              <w:right w:val="nil"/>
            </w:tcBorders>
            <w:shd w:val="clear" w:color="auto" w:fill="auto"/>
            <w:noWrap/>
            <w:vAlign w:val="bottom"/>
            <w:hideMark/>
          </w:tcPr>
          <w:p w14:paraId="3B6DB6D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92</w:t>
            </w:r>
          </w:p>
        </w:tc>
        <w:tc>
          <w:tcPr>
            <w:tcW w:w="518" w:type="dxa"/>
            <w:tcBorders>
              <w:top w:val="nil"/>
              <w:left w:val="nil"/>
              <w:bottom w:val="nil"/>
              <w:right w:val="nil"/>
            </w:tcBorders>
            <w:shd w:val="clear" w:color="auto" w:fill="auto"/>
            <w:noWrap/>
            <w:vAlign w:val="bottom"/>
            <w:hideMark/>
          </w:tcPr>
          <w:p w14:paraId="7B0B5AB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77</w:t>
            </w:r>
          </w:p>
        </w:tc>
        <w:tc>
          <w:tcPr>
            <w:tcW w:w="453" w:type="dxa"/>
            <w:tcBorders>
              <w:top w:val="nil"/>
              <w:left w:val="nil"/>
              <w:bottom w:val="nil"/>
              <w:right w:val="nil"/>
            </w:tcBorders>
            <w:shd w:val="clear" w:color="auto" w:fill="auto"/>
            <w:noWrap/>
            <w:vAlign w:val="bottom"/>
            <w:hideMark/>
          </w:tcPr>
          <w:p w14:paraId="7DA358A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89</w:t>
            </w:r>
          </w:p>
        </w:tc>
        <w:tc>
          <w:tcPr>
            <w:tcW w:w="563" w:type="dxa"/>
            <w:tcBorders>
              <w:top w:val="nil"/>
              <w:left w:val="nil"/>
              <w:bottom w:val="nil"/>
              <w:right w:val="nil"/>
            </w:tcBorders>
            <w:shd w:val="clear" w:color="auto" w:fill="auto"/>
            <w:noWrap/>
            <w:vAlign w:val="bottom"/>
            <w:hideMark/>
          </w:tcPr>
          <w:p w14:paraId="7E8CA70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50</w:t>
            </w:r>
          </w:p>
        </w:tc>
        <w:tc>
          <w:tcPr>
            <w:tcW w:w="543" w:type="dxa"/>
            <w:tcBorders>
              <w:top w:val="nil"/>
              <w:left w:val="nil"/>
              <w:bottom w:val="nil"/>
              <w:right w:val="nil"/>
            </w:tcBorders>
            <w:shd w:val="clear" w:color="auto" w:fill="auto"/>
            <w:noWrap/>
            <w:vAlign w:val="bottom"/>
            <w:hideMark/>
          </w:tcPr>
          <w:p w14:paraId="74F19A5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41</w:t>
            </w:r>
          </w:p>
        </w:tc>
        <w:tc>
          <w:tcPr>
            <w:tcW w:w="532" w:type="dxa"/>
            <w:tcBorders>
              <w:top w:val="nil"/>
              <w:left w:val="nil"/>
              <w:bottom w:val="nil"/>
              <w:right w:val="nil"/>
            </w:tcBorders>
            <w:shd w:val="clear" w:color="auto" w:fill="auto"/>
            <w:noWrap/>
            <w:vAlign w:val="bottom"/>
            <w:hideMark/>
          </w:tcPr>
          <w:p w14:paraId="73BA650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43</w:t>
            </w:r>
          </w:p>
        </w:tc>
      </w:tr>
      <w:tr w:rsidR="006258EE" w:rsidRPr="00FF758F" w14:paraId="6DE79F1C"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7897B954"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6FADD070"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maniototo</w:t>
            </w:r>
          </w:p>
        </w:tc>
        <w:tc>
          <w:tcPr>
            <w:tcW w:w="574" w:type="dxa"/>
            <w:tcBorders>
              <w:top w:val="nil"/>
              <w:left w:val="nil"/>
              <w:bottom w:val="nil"/>
              <w:right w:val="nil"/>
            </w:tcBorders>
            <w:shd w:val="clear" w:color="auto" w:fill="auto"/>
            <w:noWrap/>
            <w:vAlign w:val="bottom"/>
            <w:hideMark/>
          </w:tcPr>
          <w:p w14:paraId="7A223B8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15</w:t>
            </w:r>
          </w:p>
        </w:tc>
        <w:tc>
          <w:tcPr>
            <w:tcW w:w="554" w:type="dxa"/>
            <w:tcBorders>
              <w:top w:val="nil"/>
              <w:left w:val="nil"/>
              <w:bottom w:val="nil"/>
              <w:right w:val="nil"/>
            </w:tcBorders>
            <w:shd w:val="clear" w:color="auto" w:fill="auto"/>
            <w:noWrap/>
            <w:vAlign w:val="bottom"/>
            <w:hideMark/>
          </w:tcPr>
          <w:p w14:paraId="0E52274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37</w:t>
            </w:r>
          </w:p>
        </w:tc>
        <w:tc>
          <w:tcPr>
            <w:tcW w:w="508" w:type="dxa"/>
            <w:tcBorders>
              <w:top w:val="nil"/>
              <w:left w:val="nil"/>
              <w:bottom w:val="nil"/>
              <w:right w:val="nil"/>
            </w:tcBorders>
            <w:shd w:val="clear" w:color="auto" w:fill="auto"/>
            <w:noWrap/>
            <w:vAlign w:val="bottom"/>
            <w:hideMark/>
          </w:tcPr>
          <w:p w14:paraId="00B966B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41</w:t>
            </w:r>
          </w:p>
        </w:tc>
        <w:tc>
          <w:tcPr>
            <w:tcW w:w="543" w:type="dxa"/>
            <w:tcBorders>
              <w:top w:val="nil"/>
              <w:left w:val="nil"/>
              <w:bottom w:val="nil"/>
              <w:right w:val="nil"/>
            </w:tcBorders>
            <w:shd w:val="clear" w:color="auto" w:fill="auto"/>
            <w:noWrap/>
            <w:vAlign w:val="bottom"/>
            <w:hideMark/>
          </w:tcPr>
          <w:p w14:paraId="63A5925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39</w:t>
            </w:r>
          </w:p>
        </w:tc>
        <w:tc>
          <w:tcPr>
            <w:tcW w:w="587" w:type="dxa"/>
            <w:tcBorders>
              <w:top w:val="nil"/>
              <w:left w:val="nil"/>
              <w:bottom w:val="nil"/>
              <w:right w:val="nil"/>
            </w:tcBorders>
            <w:shd w:val="clear" w:color="auto" w:fill="auto"/>
            <w:noWrap/>
            <w:vAlign w:val="bottom"/>
            <w:hideMark/>
          </w:tcPr>
          <w:p w14:paraId="61EB8E4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81</w:t>
            </w:r>
          </w:p>
        </w:tc>
        <w:tc>
          <w:tcPr>
            <w:tcW w:w="536" w:type="dxa"/>
            <w:tcBorders>
              <w:top w:val="nil"/>
              <w:left w:val="nil"/>
              <w:bottom w:val="nil"/>
              <w:right w:val="nil"/>
            </w:tcBorders>
            <w:shd w:val="clear" w:color="auto" w:fill="auto"/>
            <w:noWrap/>
            <w:vAlign w:val="bottom"/>
            <w:hideMark/>
          </w:tcPr>
          <w:p w14:paraId="24BE6FC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92</w:t>
            </w:r>
          </w:p>
        </w:tc>
        <w:tc>
          <w:tcPr>
            <w:tcW w:w="610" w:type="dxa"/>
            <w:tcBorders>
              <w:top w:val="nil"/>
              <w:left w:val="nil"/>
              <w:bottom w:val="nil"/>
              <w:right w:val="nil"/>
            </w:tcBorders>
            <w:shd w:val="clear" w:color="auto" w:fill="auto"/>
            <w:noWrap/>
            <w:vAlign w:val="bottom"/>
            <w:hideMark/>
          </w:tcPr>
          <w:p w14:paraId="38D3A07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87</w:t>
            </w:r>
          </w:p>
        </w:tc>
        <w:tc>
          <w:tcPr>
            <w:tcW w:w="518" w:type="dxa"/>
            <w:tcBorders>
              <w:top w:val="nil"/>
              <w:left w:val="nil"/>
              <w:bottom w:val="nil"/>
              <w:right w:val="nil"/>
            </w:tcBorders>
            <w:shd w:val="clear" w:color="auto" w:fill="auto"/>
            <w:noWrap/>
            <w:vAlign w:val="bottom"/>
            <w:hideMark/>
          </w:tcPr>
          <w:p w14:paraId="29BF569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95</w:t>
            </w:r>
          </w:p>
        </w:tc>
        <w:tc>
          <w:tcPr>
            <w:tcW w:w="453" w:type="dxa"/>
            <w:tcBorders>
              <w:top w:val="nil"/>
              <w:left w:val="nil"/>
              <w:bottom w:val="nil"/>
              <w:right w:val="nil"/>
            </w:tcBorders>
            <w:shd w:val="clear" w:color="auto" w:fill="auto"/>
            <w:noWrap/>
            <w:vAlign w:val="bottom"/>
            <w:hideMark/>
          </w:tcPr>
          <w:p w14:paraId="2C69872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84</w:t>
            </w:r>
          </w:p>
        </w:tc>
        <w:tc>
          <w:tcPr>
            <w:tcW w:w="563" w:type="dxa"/>
            <w:tcBorders>
              <w:top w:val="nil"/>
              <w:left w:val="nil"/>
              <w:bottom w:val="nil"/>
              <w:right w:val="nil"/>
            </w:tcBorders>
            <w:shd w:val="clear" w:color="auto" w:fill="auto"/>
            <w:noWrap/>
            <w:vAlign w:val="bottom"/>
            <w:hideMark/>
          </w:tcPr>
          <w:p w14:paraId="67734BD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75</w:t>
            </w:r>
          </w:p>
        </w:tc>
        <w:tc>
          <w:tcPr>
            <w:tcW w:w="543" w:type="dxa"/>
            <w:tcBorders>
              <w:top w:val="nil"/>
              <w:left w:val="nil"/>
              <w:bottom w:val="nil"/>
              <w:right w:val="nil"/>
            </w:tcBorders>
            <w:shd w:val="clear" w:color="auto" w:fill="auto"/>
            <w:noWrap/>
            <w:vAlign w:val="bottom"/>
            <w:hideMark/>
          </w:tcPr>
          <w:p w14:paraId="4D3090E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71</w:t>
            </w:r>
          </w:p>
        </w:tc>
        <w:tc>
          <w:tcPr>
            <w:tcW w:w="532" w:type="dxa"/>
            <w:tcBorders>
              <w:top w:val="nil"/>
              <w:left w:val="nil"/>
              <w:bottom w:val="nil"/>
              <w:right w:val="nil"/>
            </w:tcBorders>
            <w:shd w:val="clear" w:color="auto" w:fill="auto"/>
            <w:noWrap/>
            <w:vAlign w:val="bottom"/>
            <w:hideMark/>
          </w:tcPr>
          <w:p w14:paraId="5B33D10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93</w:t>
            </w:r>
          </w:p>
        </w:tc>
      </w:tr>
      <w:tr w:rsidR="006258EE" w:rsidRPr="00FF758F" w14:paraId="685EA0CA"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69CFE8A2"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681C8B9B"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nervosa</w:t>
            </w:r>
          </w:p>
        </w:tc>
        <w:tc>
          <w:tcPr>
            <w:tcW w:w="574" w:type="dxa"/>
            <w:tcBorders>
              <w:top w:val="nil"/>
              <w:left w:val="nil"/>
              <w:bottom w:val="nil"/>
              <w:right w:val="nil"/>
            </w:tcBorders>
            <w:shd w:val="clear" w:color="auto" w:fill="auto"/>
            <w:noWrap/>
            <w:vAlign w:val="bottom"/>
            <w:hideMark/>
          </w:tcPr>
          <w:p w14:paraId="2A24A3B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11</w:t>
            </w:r>
          </w:p>
        </w:tc>
        <w:tc>
          <w:tcPr>
            <w:tcW w:w="554" w:type="dxa"/>
            <w:tcBorders>
              <w:top w:val="nil"/>
              <w:left w:val="nil"/>
              <w:bottom w:val="nil"/>
              <w:right w:val="nil"/>
            </w:tcBorders>
            <w:shd w:val="clear" w:color="auto" w:fill="auto"/>
            <w:noWrap/>
            <w:vAlign w:val="bottom"/>
            <w:hideMark/>
          </w:tcPr>
          <w:p w14:paraId="5AA92DE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29</w:t>
            </w:r>
          </w:p>
        </w:tc>
        <w:tc>
          <w:tcPr>
            <w:tcW w:w="508" w:type="dxa"/>
            <w:tcBorders>
              <w:top w:val="nil"/>
              <w:left w:val="nil"/>
              <w:bottom w:val="nil"/>
              <w:right w:val="nil"/>
            </w:tcBorders>
            <w:shd w:val="clear" w:color="auto" w:fill="auto"/>
            <w:noWrap/>
            <w:vAlign w:val="bottom"/>
            <w:hideMark/>
          </w:tcPr>
          <w:p w14:paraId="27528D8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32</w:t>
            </w:r>
          </w:p>
        </w:tc>
        <w:tc>
          <w:tcPr>
            <w:tcW w:w="543" w:type="dxa"/>
            <w:tcBorders>
              <w:top w:val="nil"/>
              <w:left w:val="nil"/>
              <w:bottom w:val="nil"/>
              <w:right w:val="nil"/>
            </w:tcBorders>
            <w:shd w:val="clear" w:color="auto" w:fill="auto"/>
            <w:noWrap/>
            <w:vAlign w:val="bottom"/>
            <w:hideMark/>
          </w:tcPr>
          <w:p w14:paraId="250D082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27</w:t>
            </w:r>
          </w:p>
        </w:tc>
        <w:tc>
          <w:tcPr>
            <w:tcW w:w="587" w:type="dxa"/>
            <w:tcBorders>
              <w:top w:val="nil"/>
              <w:left w:val="nil"/>
              <w:bottom w:val="nil"/>
              <w:right w:val="nil"/>
            </w:tcBorders>
            <w:shd w:val="clear" w:color="auto" w:fill="auto"/>
            <w:noWrap/>
            <w:vAlign w:val="bottom"/>
            <w:hideMark/>
          </w:tcPr>
          <w:p w14:paraId="7FFEA74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77</w:t>
            </w:r>
          </w:p>
        </w:tc>
        <w:tc>
          <w:tcPr>
            <w:tcW w:w="536" w:type="dxa"/>
            <w:tcBorders>
              <w:top w:val="nil"/>
              <w:left w:val="nil"/>
              <w:bottom w:val="nil"/>
              <w:right w:val="nil"/>
            </w:tcBorders>
            <w:shd w:val="clear" w:color="auto" w:fill="auto"/>
            <w:noWrap/>
            <w:vAlign w:val="bottom"/>
            <w:hideMark/>
          </w:tcPr>
          <w:p w14:paraId="6763D98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63</w:t>
            </w:r>
          </w:p>
        </w:tc>
        <w:tc>
          <w:tcPr>
            <w:tcW w:w="610" w:type="dxa"/>
            <w:tcBorders>
              <w:top w:val="nil"/>
              <w:left w:val="nil"/>
              <w:bottom w:val="nil"/>
              <w:right w:val="nil"/>
            </w:tcBorders>
            <w:shd w:val="clear" w:color="auto" w:fill="auto"/>
            <w:noWrap/>
            <w:vAlign w:val="bottom"/>
            <w:hideMark/>
          </w:tcPr>
          <w:p w14:paraId="7C9C292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53</w:t>
            </w:r>
          </w:p>
        </w:tc>
        <w:tc>
          <w:tcPr>
            <w:tcW w:w="518" w:type="dxa"/>
            <w:tcBorders>
              <w:top w:val="nil"/>
              <w:left w:val="nil"/>
              <w:bottom w:val="nil"/>
              <w:right w:val="nil"/>
            </w:tcBorders>
            <w:shd w:val="clear" w:color="auto" w:fill="auto"/>
            <w:noWrap/>
            <w:vAlign w:val="bottom"/>
            <w:hideMark/>
          </w:tcPr>
          <w:p w14:paraId="0DE4216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45</w:t>
            </w:r>
          </w:p>
        </w:tc>
        <w:tc>
          <w:tcPr>
            <w:tcW w:w="453" w:type="dxa"/>
            <w:tcBorders>
              <w:top w:val="nil"/>
              <w:left w:val="nil"/>
              <w:bottom w:val="nil"/>
              <w:right w:val="nil"/>
            </w:tcBorders>
            <w:shd w:val="clear" w:color="auto" w:fill="auto"/>
            <w:noWrap/>
            <w:vAlign w:val="bottom"/>
            <w:hideMark/>
          </w:tcPr>
          <w:p w14:paraId="03E22AB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40</w:t>
            </w:r>
          </w:p>
        </w:tc>
        <w:tc>
          <w:tcPr>
            <w:tcW w:w="563" w:type="dxa"/>
            <w:tcBorders>
              <w:top w:val="nil"/>
              <w:left w:val="nil"/>
              <w:bottom w:val="nil"/>
              <w:right w:val="nil"/>
            </w:tcBorders>
            <w:shd w:val="clear" w:color="auto" w:fill="auto"/>
            <w:noWrap/>
            <w:vAlign w:val="bottom"/>
            <w:hideMark/>
          </w:tcPr>
          <w:p w14:paraId="168C533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18</w:t>
            </w:r>
          </w:p>
        </w:tc>
        <w:tc>
          <w:tcPr>
            <w:tcW w:w="543" w:type="dxa"/>
            <w:tcBorders>
              <w:top w:val="nil"/>
              <w:left w:val="nil"/>
              <w:bottom w:val="nil"/>
              <w:right w:val="nil"/>
            </w:tcBorders>
            <w:shd w:val="clear" w:color="auto" w:fill="auto"/>
            <w:noWrap/>
            <w:vAlign w:val="bottom"/>
            <w:hideMark/>
          </w:tcPr>
          <w:p w14:paraId="206238E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w:t>
            </w:r>
          </w:p>
        </w:tc>
        <w:tc>
          <w:tcPr>
            <w:tcW w:w="532" w:type="dxa"/>
            <w:tcBorders>
              <w:top w:val="nil"/>
              <w:left w:val="nil"/>
              <w:bottom w:val="nil"/>
              <w:right w:val="nil"/>
            </w:tcBorders>
            <w:shd w:val="clear" w:color="auto" w:fill="auto"/>
            <w:noWrap/>
            <w:vAlign w:val="bottom"/>
            <w:hideMark/>
          </w:tcPr>
          <w:p w14:paraId="732EE04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12</w:t>
            </w:r>
          </w:p>
        </w:tc>
      </w:tr>
      <w:tr w:rsidR="006258EE" w:rsidRPr="00FF758F" w14:paraId="3F5DF2E8"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114B4A9D"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107A2BB9"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prat GC</w:t>
            </w:r>
          </w:p>
        </w:tc>
        <w:tc>
          <w:tcPr>
            <w:tcW w:w="574" w:type="dxa"/>
            <w:tcBorders>
              <w:top w:val="nil"/>
              <w:left w:val="nil"/>
              <w:bottom w:val="nil"/>
              <w:right w:val="nil"/>
            </w:tcBorders>
            <w:shd w:val="clear" w:color="auto" w:fill="auto"/>
            <w:noWrap/>
            <w:vAlign w:val="bottom"/>
            <w:hideMark/>
          </w:tcPr>
          <w:p w14:paraId="39EC250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15</w:t>
            </w:r>
          </w:p>
        </w:tc>
        <w:tc>
          <w:tcPr>
            <w:tcW w:w="554" w:type="dxa"/>
            <w:tcBorders>
              <w:top w:val="nil"/>
              <w:left w:val="nil"/>
              <w:bottom w:val="nil"/>
              <w:right w:val="nil"/>
            </w:tcBorders>
            <w:shd w:val="clear" w:color="auto" w:fill="auto"/>
            <w:noWrap/>
            <w:vAlign w:val="bottom"/>
            <w:hideMark/>
          </w:tcPr>
          <w:p w14:paraId="33549E8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40</w:t>
            </w:r>
          </w:p>
        </w:tc>
        <w:tc>
          <w:tcPr>
            <w:tcW w:w="508" w:type="dxa"/>
            <w:tcBorders>
              <w:top w:val="nil"/>
              <w:left w:val="nil"/>
              <w:bottom w:val="nil"/>
              <w:right w:val="nil"/>
            </w:tcBorders>
            <w:shd w:val="clear" w:color="auto" w:fill="auto"/>
            <w:noWrap/>
            <w:vAlign w:val="bottom"/>
            <w:hideMark/>
          </w:tcPr>
          <w:p w14:paraId="5052BB5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45</w:t>
            </w:r>
          </w:p>
        </w:tc>
        <w:tc>
          <w:tcPr>
            <w:tcW w:w="543" w:type="dxa"/>
            <w:tcBorders>
              <w:top w:val="nil"/>
              <w:left w:val="nil"/>
              <w:bottom w:val="nil"/>
              <w:right w:val="nil"/>
            </w:tcBorders>
            <w:shd w:val="clear" w:color="auto" w:fill="auto"/>
            <w:noWrap/>
            <w:vAlign w:val="bottom"/>
            <w:hideMark/>
          </w:tcPr>
          <w:p w14:paraId="10E9128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42</w:t>
            </w:r>
          </w:p>
        </w:tc>
        <w:tc>
          <w:tcPr>
            <w:tcW w:w="587" w:type="dxa"/>
            <w:tcBorders>
              <w:top w:val="nil"/>
              <w:left w:val="nil"/>
              <w:bottom w:val="nil"/>
              <w:right w:val="nil"/>
            </w:tcBorders>
            <w:shd w:val="clear" w:color="auto" w:fill="auto"/>
            <w:noWrap/>
            <w:vAlign w:val="bottom"/>
            <w:hideMark/>
          </w:tcPr>
          <w:p w14:paraId="58799C4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81</w:t>
            </w:r>
          </w:p>
        </w:tc>
        <w:tc>
          <w:tcPr>
            <w:tcW w:w="536" w:type="dxa"/>
            <w:tcBorders>
              <w:top w:val="nil"/>
              <w:left w:val="nil"/>
              <w:bottom w:val="nil"/>
              <w:right w:val="nil"/>
            </w:tcBorders>
            <w:shd w:val="clear" w:color="auto" w:fill="auto"/>
            <w:noWrap/>
            <w:vAlign w:val="bottom"/>
            <w:hideMark/>
          </w:tcPr>
          <w:p w14:paraId="4C6DA06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73</w:t>
            </w:r>
          </w:p>
        </w:tc>
        <w:tc>
          <w:tcPr>
            <w:tcW w:w="610" w:type="dxa"/>
            <w:tcBorders>
              <w:top w:val="nil"/>
              <w:left w:val="nil"/>
              <w:bottom w:val="nil"/>
              <w:right w:val="nil"/>
            </w:tcBorders>
            <w:shd w:val="clear" w:color="auto" w:fill="auto"/>
            <w:noWrap/>
            <w:vAlign w:val="bottom"/>
            <w:hideMark/>
          </w:tcPr>
          <w:p w14:paraId="24AF108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80</w:t>
            </w:r>
          </w:p>
        </w:tc>
        <w:tc>
          <w:tcPr>
            <w:tcW w:w="518" w:type="dxa"/>
            <w:tcBorders>
              <w:top w:val="nil"/>
              <w:left w:val="nil"/>
              <w:bottom w:val="nil"/>
              <w:right w:val="nil"/>
            </w:tcBorders>
            <w:shd w:val="clear" w:color="auto" w:fill="auto"/>
            <w:noWrap/>
            <w:vAlign w:val="bottom"/>
            <w:hideMark/>
          </w:tcPr>
          <w:p w14:paraId="6B1A73C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93</w:t>
            </w:r>
          </w:p>
        </w:tc>
        <w:tc>
          <w:tcPr>
            <w:tcW w:w="453" w:type="dxa"/>
            <w:tcBorders>
              <w:top w:val="nil"/>
              <w:left w:val="nil"/>
              <w:bottom w:val="nil"/>
              <w:right w:val="nil"/>
            </w:tcBorders>
            <w:shd w:val="clear" w:color="auto" w:fill="auto"/>
            <w:noWrap/>
            <w:vAlign w:val="bottom"/>
            <w:hideMark/>
          </w:tcPr>
          <w:p w14:paraId="70D82D2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90</w:t>
            </w:r>
          </w:p>
        </w:tc>
        <w:tc>
          <w:tcPr>
            <w:tcW w:w="563" w:type="dxa"/>
            <w:tcBorders>
              <w:top w:val="nil"/>
              <w:left w:val="nil"/>
              <w:bottom w:val="nil"/>
              <w:right w:val="nil"/>
            </w:tcBorders>
            <w:shd w:val="clear" w:color="auto" w:fill="auto"/>
            <w:noWrap/>
            <w:vAlign w:val="bottom"/>
            <w:hideMark/>
          </w:tcPr>
          <w:p w14:paraId="3048E9E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71</w:t>
            </w:r>
          </w:p>
        </w:tc>
        <w:tc>
          <w:tcPr>
            <w:tcW w:w="543" w:type="dxa"/>
            <w:tcBorders>
              <w:top w:val="nil"/>
              <w:left w:val="nil"/>
              <w:bottom w:val="nil"/>
              <w:right w:val="nil"/>
            </w:tcBorders>
            <w:shd w:val="clear" w:color="auto" w:fill="auto"/>
            <w:noWrap/>
            <w:vAlign w:val="bottom"/>
            <w:hideMark/>
          </w:tcPr>
          <w:p w14:paraId="784196A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87</w:t>
            </w:r>
          </w:p>
        </w:tc>
        <w:tc>
          <w:tcPr>
            <w:tcW w:w="532" w:type="dxa"/>
            <w:tcBorders>
              <w:top w:val="nil"/>
              <w:left w:val="nil"/>
              <w:bottom w:val="nil"/>
              <w:right w:val="nil"/>
            </w:tcBorders>
            <w:shd w:val="clear" w:color="auto" w:fill="auto"/>
            <w:noWrap/>
            <w:vAlign w:val="bottom"/>
            <w:hideMark/>
          </w:tcPr>
          <w:p w14:paraId="073CB7A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96</w:t>
            </w:r>
          </w:p>
        </w:tc>
      </w:tr>
      <w:tr w:rsidR="006258EE" w:rsidRPr="00FF758F" w14:paraId="53DC4BDF"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123C9071"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387DF094"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P.prat KB</w:t>
            </w:r>
          </w:p>
        </w:tc>
        <w:tc>
          <w:tcPr>
            <w:tcW w:w="574" w:type="dxa"/>
            <w:tcBorders>
              <w:top w:val="nil"/>
              <w:left w:val="nil"/>
              <w:bottom w:val="nil"/>
              <w:right w:val="nil"/>
            </w:tcBorders>
            <w:shd w:val="clear" w:color="auto" w:fill="auto"/>
            <w:noWrap/>
            <w:vAlign w:val="bottom"/>
            <w:hideMark/>
          </w:tcPr>
          <w:p w14:paraId="52833A1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12</w:t>
            </w:r>
          </w:p>
        </w:tc>
        <w:tc>
          <w:tcPr>
            <w:tcW w:w="554" w:type="dxa"/>
            <w:tcBorders>
              <w:top w:val="nil"/>
              <w:left w:val="nil"/>
              <w:bottom w:val="nil"/>
              <w:right w:val="nil"/>
            </w:tcBorders>
            <w:shd w:val="clear" w:color="auto" w:fill="auto"/>
            <w:noWrap/>
            <w:vAlign w:val="bottom"/>
            <w:hideMark/>
          </w:tcPr>
          <w:p w14:paraId="0F57E2B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41</w:t>
            </w:r>
          </w:p>
        </w:tc>
        <w:tc>
          <w:tcPr>
            <w:tcW w:w="508" w:type="dxa"/>
            <w:tcBorders>
              <w:top w:val="nil"/>
              <w:left w:val="nil"/>
              <w:bottom w:val="nil"/>
              <w:right w:val="nil"/>
            </w:tcBorders>
            <w:shd w:val="clear" w:color="auto" w:fill="auto"/>
            <w:noWrap/>
            <w:vAlign w:val="bottom"/>
            <w:hideMark/>
          </w:tcPr>
          <w:p w14:paraId="39A14AF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46</w:t>
            </w:r>
          </w:p>
        </w:tc>
        <w:tc>
          <w:tcPr>
            <w:tcW w:w="543" w:type="dxa"/>
            <w:tcBorders>
              <w:top w:val="nil"/>
              <w:left w:val="nil"/>
              <w:bottom w:val="nil"/>
              <w:right w:val="nil"/>
            </w:tcBorders>
            <w:shd w:val="clear" w:color="auto" w:fill="auto"/>
            <w:noWrap/>
            <w:vAlign w:val="bottom"/>
            <w:hideMark/>
          </w:tcPr>
          <w:p w14:paraId="7BC5C05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37</w:t>
            </w:r>
          </w:p>
        </w:tc>
        <w:tc>
          <w:tcPr>
            <w:tcW w:w="587" w:type="dxa"/>
            <w:tcBorders>
              <w:top w:val="nil"/>
              <w:left w:val="nil"/>
              <w:bottom w:val="nil"/>
              <w:right w:val="nil"/>
            </w:tcBorders>
            <w:shd w:val="clear" w:color="auto" w:fill="auto"/>
            <w:noWrap/>
            <w:vAlign w:val="bottom"/>
            <w:hideMark/>
          </w:tcPr>
          <w:p w14:paraId="6C6FD46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79</w:t>
            </w:r>
          </w:p>
        </w:tc>
        <w:tc>
          <w:tcPr>
            <w:tcW w:w="536" w:type="dxa"/>
            <w:tcBorders>
              <w:top w:val="nil"/>
              <w:left w:val="nil"/>
              <w:bottom w:val="nil"/>
              <w:right w:val="nil"/>
            </w:tcBorders>
            <w:shd w:val="clear" w:color="auto" w:fill="auto"/>
            <w:noWrap/>
            <w:vAlign w:val="bottom"/>
            <w:hideMark/>
          </w:tcPr>
          <w:p w14:paraId="1934E36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80</w:t>
            </w:r>
          </w:p>
        </w:tc>
        <w:tc>
          <w:tcPr>
            <w:tcW w:w="610" w:type="dxa"/>
            <w:tcBorders>
              <w:top w:val="nil"/>
              <w:left w:val="nil"/>
              <w:bottom w:val="nil"/>
              <w:right w:val="nil"/>
            </w:tcBorders>
            <w:shd w:val="clear" w:color="auto" w:fill="auto"/>
            <w:noWrap/>
            <w:vAlign w:val="bottom"/>
            <w:hideMark/>
          </w:tcPr>
          <w:p w14:paraId="1D052B8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80</w:t>
            </w:r>
          </w:p>
        </w:tc>
        <w:tc>
          <w:tcPr>
            <w:tcW w:w="518" w:type="dxa"/>
            <w:tcBorders>
              <w:top w:val="nil"/>
              <w:left w:val="nil"/>
              <w:bottom w:val="nil"/>
              <w:right w:val="nil"/>
            </w:tcBorders>
            <w:shd w:val="clear" w:color="auto" w:fill="auto"/>
            <w:noWrap/>
            <w:vAlign w:val="bottom"/>
            <w:hideMark/>
          </w:tcPr>
          <w:p w14:paraId="6A64BC7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87</w:t>
            </w:r>
          </w:p>
        </w:tc>
        <w:tc>
          <w:tcPr>
            <w:tcW w:w="453" w:type="dxa"/>
            <w:tcBorders>
              <w:top w:val="nil"/>
              <w:left w:val="nil"/>
              <w:bottom w:val="nil"/>
              <w:right w:val="nil"/>
            </w:tcBorders>
            <w:shd w:val="clear" w:color="auto" w:fill="auto"/>
            <w:noWrap/>
            <w:vAlign w:val="bottom"/>
            <w:hideMark/>
          </w:tcPr>
          <w:p w14:paraId="359E8E2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82</w:t>
            </w:r>
          </w:p>
        </w:tc>
        <w:tc>
          <w:tcPr>
            <w:tcW w:w="563" w:type="dxa"/>
            <w:tcBorders>
              <w:top w:val="nil"/>
              <w:left w:val="nil"/>
              <w:bottom w:val="nil"/>
              <w:right w:val="nil"/>
            </w:tcBorders>
            <w:shd w:val="clear" w:color="auto" w:fill="auto"/>
            <w:noWrap/>
            <w:vAlign w:val="bottom"/>
            <w:hideMark/>
          </w:tcPr>
          <w:p w14:paraId="1EBF2F4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57</w:t>
            </w:r>
          </w:p>
        </w:tc>
        <w:tc>
          <w:tcPr>
            <w:tcW w:w="543" w:type="dxa"/>
            <w:tcBorders>
              <w:top w:val="nil"/>
              <w:left w:val="nil"/>
              <w:bottom w:val="nil"/>
              <w:right w:val="nil"/>
            </w:tcBorders>
            <w:shd w:val="clear" w:color="auto" w:fill="auto"/>
            <w:noWrap/>
            <w:vAlign w:val="bottom"/>
            <w:hideMark/>
          </w:tcPr>
          <w:p w14:paraId="27848AF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61</w:t>
            </w:r>
          </w:p>
        </w:tc>
        <w:tc>
          <w:tcPr>
            <w:tcW w:w="532" w:type="dxa"/>
            <w:tcBorders>
              <w:top w:val="nil"/>
              <w:left w:val="nil"/>
              <w:bottom w:val="nil"/>
              <w:right w:val="nil"/>
            </w:tcBorders>
            <w:shd w:val="clear" w:color="auto" w:fill="auto"/>
            <w:noWrap/>
            <w:vAlign w:val="bottom"/>
            <w:hideMark/>
          </w:tcPr>
          <w:p w14:paraId="22D4AC2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83</w:t>
            </w:r>
          </w:p>
        </w:tc>
      </w:tr>
      <w:tr w:rsidR="006258EE" w:rsidRPr="00FF758F" w14:paraId="1352C6E4"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45579AB4"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4CD6CC6C"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prat MS</w:t>
            </w:r>
          </w:p>
        </w:tc>
        <w:tc>
          <w:tcPr>
            <w:tcW w:w="574" w:type="dxa"/>
            <w:tcBorders>
              <w:top w:val="nil"/>
              <w:left w:val="nil"/>
              <w:bottom w:val="nil"/>
              <w:right w:val="nil"/>
            </w:tcBorders>
            <w:shd w:val="clear" w:color="auto" w:fill="auto"/>
            <w:noWrap/>
            <w:vAlign w:val="bottom"/>
            <w:hideMark/>
          </w:tcPr>
          <w:p w14:paraId="676D2DB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15</w:t>
            </w:r>
          </w:p>
        </w:tc>
        <w:tc>
          <w:tcPr>
            <w:tcW w:w="554" w:type="dxa"/>
            <w:tcBorders>
              <w:top w:val="nil"/>
              <w:left w:val="nil"/>
              <w:bottom w:val="nil"/>
              <w:right w:val="nil"/>
            </w:tcBorders>
            <w:shd w:val="clear" w:color="auto" w:fill="auto"/>
            <w:noWrap/>
            <w:vAlign w:val="bottom"/>
            <w:hideMark/>
          </w:tcPr>
          <w:p w14:paraId="627EACB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46</w:t>
            </w:r>
          </w:p>
        </w:tc>
        <w:tc>
          <w:tcPr>
            <w:tcW w:w="508" w:type="dxa"/>
            <w:tcBorders>
              <w:top w:val="nil"/>
              <w:left w:val="nil"/>
              <w:bottom w:val="nil"/>
              <w:right w:val="nil"/>
            </w:tcBorders>
            <w:shd w:val="clear" w:color="auto" w:fill="auto"/>
            <w:noWrap/>
            <w:vAlign w:val="bottom"/>
            <w:hideMark/>
          </w:tcPr>
          <w:p w14:paraId="30B4413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51</w:t>
            </w:r>
          </w:p>
        </w:tc>
        <w:tc>
          <w:tcPr>
            <w:tcW w:w="543" w:type="dxa"/>
            <w:tcBorders>
              <w:top w:val="nil"/>
              <w:left w:val="nil"/>
              <w:bottom w:val="nil"/>
              <w:right w:val="nil"/>
            </w:tcBorders>
            <w:shd w:val="clear" w:color="auto" w:fill="auto"/>
            <w:noWrap/>
            <w:vAlign w:val="bottom"/>
            <w:hideMark/>
          </w:tcPr>
          <w:p w14:paraId="0E36D44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47</w:t>
            </w:r>
          </w:p>
        </w:tc>
        <w:tc>
          <w:tcPr>
            <w:tcW w:w="587" w:type="dxa"/>
            <w:tcBorders>
              <w:top w:val="nil"/>
              <w:left w:val="nil"/>
              <w:bottom w:val="nil"/>
              <w:right w:val="nil"/>
            </w:tcBorders>
            <w:shd w:val="clear" w:color="auto" w:fill="auto"/>
            <w:noWrap/>
            <w:vAlign w:val="bottom"/>
            <w:hideMark/>
          </w:tcPr>
          <w:p w14:paraId="687AF7A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82</w:t>
            </w:r>
          </w:p>
        </w:tc>
        <w:tc>
          <w:tcPr>
            <w:tcW w:w="536" w:type="dxa"/>
            <w:tcBorders>
              <w:top w:val="nil"/>
              <w:left w:val="nil"/>
              <w:bottom w:val="nil"/>
              <w:right w:val="nil"/>
            </w:tcBorders>
            <w:shd w:val="clear" w:color="auto" w:fill="auto"/>
            <w:noWrap/>
            <w:vAlign w:val="bottom"/>
            <w:hideMark/>
          </w:tcPr>
          <w:p w14:paraId="507B49D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91</w:t>
            </w:r>
          </w:p>
        </w:tc>
        <w:tc>
          <w:tcPr>
            <w:tcW w:w="610" w:type="dxa"/>
            <w:tcBorders>
              <w:top w:val="nil"/>
              <w:left w:val="nil"/>
              <w:bottom w:val="nil"/>
              <w:right w:val="nil"/>
            </w:tcBorders>
            <w:shd w:val="clear" w:color="auto" w:fill="auto"/>
            <w:noWrap/>
            <w:vAlign w:val="bottom"/>
            <w:hideMark/>
          </w:tcPr>
          <w:p w14:paraId="24CC68D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86</w:t>
            </w:r>
          </w:p>
        </w:tc>
        <w:tc>
          <w:tcPr>
            <w:tcW w:w="518" w:type="dxa"/>
            <w:tcBorders>
              <w:top w:val="nil"/>
              <w:left w:val="nil"/>
              <w:bottom w:val="nil"/>
              <w:right w:val="nil"/>
            </w:tcBorders>
            <w:shd w:val="clear" w:color="auto" w:fill="auto"/>
            <w:noWrap/>
            <w:vAlign w:val="bottom"/>
            <w:hideMark/>
          </w:tcPr>
          <w:p w14:paraId="50DFC31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95</w:t>
            </w:r>
          </w:p>
        </w:tc>
        <w:tc>
          <w:tcPr>
            <w:tcW w:w="453" w:type="dxa"/>
            <w:tcBorders>
              <w:top w:val="nil"/>
              <w:left w:val="nil"/>
              <w:bottom w:val="nil"/>
              <w:right w:val="nil"/>
            </w:tcBorders>
            <w:shd w:val="clear" w:color="auto" w:fill="auto"/>
            <w:noWrap/>
            <w:vAlign w:val="bottom"/>
            <w:hideMark/>
          </w:tcPr>
          <w:p w14:paraId="334D582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87</w:t>
            </w:r>
          </w:p>
        </w:tc>
        <w:tc>
          <w:tcPr>
            <w:tcW w:w="563" w:type="dxa"/>
            <w:tcBorders>
              <w:top w:val="nil"/>
              <w:left w:val="nil"/>
              <w:bottom w:val="nil"/>
              <w:right w:val="nil"/>
            </w:tcBorders>
            <w:shd w:val="clear" w:color="auto" w:fill="auto"/>
            <w:noWrap/>
            <w:vAlign w:val="bottom"/>
            <w:hideMark/>
          </w:tcPr>
          <w:p w14:paraId="393A91A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62</w:t>
            </w:r>
          </w:p>
        </w:tc>
        <w:tc>
          <w:tcPr>
            <w:tcW w:w="543" w:type="dxa"/>
            <w:tcBorders>
              <w:top w:val="nil"/>
              <w:left w:val="nil"/>
              <w:bottom w:val="nil"/>
              <w:right w:val="nil"/>
            </w:tcBorders>
            <w:shd w:val="clear" w:color="auto" w:fill="auto"/>
            <w:noWrap/>
            <w:vAlign w:val="bottom"/>
            <w:hideMark/>
          </w:tcPr>
          <w:p w14:paraId="16F1845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74</w:t>
            </w:r>
          </w:p>
        </w:tc>
        <w:tc>
          <w:tcPr>
            <w:tcW w:w="532" w:type="dxa"/>
            <w:tcBorders>
              <w:top w:val="nil"/>
              <w:left w:val="nil"/>
              <w:bottom w:val="nil"/>
              <w:right w:val="nil"/>
            </w:tcBorders>
            <w:shd w:val="clear" w:color="auto" w:fill="auto"/>
            <w:noWrap/>
            <w:vAlign w:val="bottom"/>
            <w:hideMark/>
          </w:tcPr>
          <w:p w14:paraId="4A6EAF9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88</w:t>
            </w:r>
          </w:p>
        </w:tc>
      </w:tr>
      <w:tr w:rsidR="006258EE" w:rsidRPr="00FF758F" w14:paraId="7E825C7D"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69A4D18C"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7307D4F4"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arachnifera  x pratenis</w:t>
            </w:r>
          </w:p>
        </w:tc>
        <w:tc>
          <w:tcPr>
            <w:tcW w:w="574" w:type="dxa"/>
            <w:tcBorders>
              <w:top w:val="nil"/>
              <w:left w:val="nil"/>
              <w:bottom w:val="nil"/>
              <w:right w:val="nil"/>
            </w:tcBorders>
            <w:shd w:val="clear" w:color="auto" w:fill="auto"/>
            <w:noWrap/>
            <w:vAlign w:val="bottom"/>
            <w:hideMark/>
          </w:tcPr>
          <w:p w14:paraId="0E81807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14</w:t>
            </w:r>
          </w:p>
        </w:tc>
        <w:tc>
          <w:tcPr>
            <w:tcW w:w="554" w:type="dxa"/>
            <w:tcBorders>
              <w:top w:val="nil"/>
              <w:left w:val="nil"/>
              <w:bottom w:val="nil"/>
              <w:right w:val="nil"/>
            </w:tcBorders>
            <w:shd w:val="clear" w:color="auto" w:fill="auto"/>
            <w:noWrap/>
            <w:vAlign w:val="bottom"/>
            <w:hideMark/>
          </w:tcPr>
          <w:p w14:paraId="192A176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42</w:t>
            </w:r>
          </w:p>
        </w:tc>
        <w:tc>
          <w:tcPr>
            <w:tcW w:w="508" w:type="dxa"/>
            <w:tcBorders>
              <w:top w:val="nil"/>
              <w:left w:val="nil"/>
              <w:bottom w:val="nil"/>
              <w:right w:val="nil"/>
            </w:tcBorders>
            <w:shd w:val="clear" w:color="auto" w:fill="auto"/>
            <w:noWrap/>
            <w:vAlign w:val="bottom"/>
            <w:hideMark/>
          </w:tcPr>
          <w:p w14:paraId="7ED0401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47</w:t>
            </w:r>
          </w:p>
        </w:tc>
        <w:tc>
          <w:tcPr>
            <w:tcW w:w="543" w:type="dxa"/>
            <w:tcBorders>
              <w:top w:val="nil"/>
              <w:left w:val="nil"/>
              <w:bottom w:val="nil"/>
              <w:right w:val="nil"/>
            </w:tcBorders>
            <w:shd w:val="clear" w:color="auto" w:fill="auto"/>
            <w:noWrap/>
            <w:vAlign w:val="bottom"/>
            <w:hideMark/>
          </w:tcPr>
          <w:p w14:paraId="1637168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43</w:t>
            </w:r>
          </w:p>
        </w:tc>
        <w:tc>
          <w:tcPr>
            <w:tcW w:w="587" w:type="dxa"/>
            <w:tcBorders>
              <w:top w:val="nil"/>
              <w:left w:val="nil"/>
              <w:bottom w:val="nil"/>
              <w:right w:val="nil"/>
            </w:tcBorders>
            <w:shd w:val="clear" w:color="auto" w:fill="auto"/>
            <w:noWrap/>
            <w:vAlign w:val="bottom"/>
            <w:hideMark/>
          </w:tcPr>
          <w:p w14:paraId="5A6936F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77</w:t>
            </w:r>
          </w:p>
        </w:tc>
        <w:tc>
          <w:tcPr>
            <w:tcW w:w="536" w:type="dxa"/>
            <w:tcBorders>
              <w:top w:val="nil"/>
              <w:left w:val="nil"/>
              <w:bottom w:val="nil"/>
              <w:right w:val="nil"/>
            </w:tcBorders>
            <w:shd w:val="clear" w:color="auto" w:fill="auto"/>
            <w:noWrap/>
            <w:vAlign w:val="bottom"/>
            <w:hideMark/>
          </w:tcPr>
          <w:p w14:paraId="116E01A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81</w:t>
            </w:r>
          </w:p>
        </w:tc>
        <w:tc>
          <w:tcPr>
            <w:tcW w:w="610" w:type="dxa"/>
            <w:tcBorders>
              <w:top w:val="nil"/>
              <w:left w:val="nil"/>
              <w:bottom w:val="nil"/>
              <w:right w:val="nil"/>
            </w:tcBorders>
            <w:shd w:val="clear" w:color="auto" w:fill="auto"/>
            <w:noWrap/>
            <w:vAlign w:val="bottom"/>
            <w:hideMark/>
          </w:tcPr>
          <w:p w14:paraId="4442942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82</w:t>
            </w:r>
          </w:p>
        </w:tc>
        <w:tc>
          <w:tcPr>
            <w:tcW w:w="518" w:type="dxa"/>
            <w:tcBorders>
              <w:top w:val="nil"/>
              <w:left w:val="nil"/>
              <w:bottom w:val="nil"/>
              <w:right w:val="nil"/>
            </w:tcBorders>
            <w:shd w:val="clear" w:color="auto" w:fill="auto"/>
            <w:noWrap/>
            <w:vAlign w:val="bottom"/>
            <w:hideMark/>
          </w:tcPr>
          <w:p w14:paraId="4939606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92</w:t>
            </w:r>
          </w:p>
        </w:tc>
        <w:tc>
          <w:tcPr>
            <w:tcW w:w="453" w:type="dxa"/>
            <w:tcBorders>
              <w:top w:val="nil"/>
              <w:left w:val="nil"/>
              <w:bottom w:val="nil"/>
              <w:right w:val="nil"/>
            </w:tcBorders>
            <w:shd w:val="clear" w:color="auto" w:fill="auto"/>
            <w:noWrap/>
            <w:vAlign w:val="bottom"/>
            <w:hideMark/>
          </w:tcPr>
          <w:p w14:paraId="3933FB8D"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81</w:t>
            </w:r>
          </w:p>
        </w:tc>
        <w:tc>
          <w:tcPr>
            <w:tcW w:w="563" w:type="dxa"/>
            <w:tcBorders>
              <w:top w:val="nil"/>
              <w:left w:val="nil"/>
              <w:bottom w:val="nil"/>
              <w:right w:val="nil"/>
            </w:tcBorders>
            <w:shd w:val="clear" w:color="auto" w:fill="auto"/>
            <w:noWrap/>
            <w:vAlign w:val="bottom"/>
            <w:hideMark/>
          </w:tcPr>
          <w:p w14:paraId="1A46298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72</w:t>
            </w:r>
          </w:p>
        </w:tc>
        <w:tc>
          <w:tcPr>
            <w:tcW w:w="543" w:type="dxa"/>
            <w:tcBorders>
              <w:top w:val="nil"/>
              <w:left w:val="nil"/>
              <w:bottom w:val="nil"/>
              <w:right w:val="nil"/>
            </w:tcBorders>
            <w:shd w:val="clear" w:color="auto" w:fill="auto"/>
            <w:noWrap/>
            <w:vAlign w:val="bottom"/>
            <w:hideMark/>
          </w:tcPr>
          <w:p w14:paraId="10B45A6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82</w:t>
            </w:r>
          </w:p>
        </w:tc>
        <w:tc>
          <w:tcPr>
            <w:tcW w:w="532" w:type="dxa"/>
            <w:tcBorders>
              <w:top w:val="nil"/>
              <w:left w:val="nil"/>
              <w:bottom w:val="nil"/>
              <w:right w:val="nil"/>
            </w:tcBorders>
            <w:shd w:val="clear" w:color="auto" w:fill="auto"/>
            <w:noWrap/>
            <w:vAlign w:val="bottom"/>
            <w:hideMark/>
          </w:tcPr>
          <w:p w14:paraId="71FC7E3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91</w:t>
            </w:r>
          </w:p>
        </w:tc>
      </w:tr>
      <w:tr w:rsidR="006258EE" w:rsidRPr="00FF758F" w14:paraId="02031EFB"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6A233240"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634BB16A"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stiriaca</w:t>
            </w:r>
          </w:p>
        </w:tc>
        <w:tc>
          <w:tcPr>
            <w:tcW w:w="574" w:type="dxa"/>
            <w:tcBorders>
              <w:top w:val="nil"/>
              <w:left w:val="nil"/>
              <w:bottom w:val="nil"/>
              <w:right w:val="nil"/>
            </w:tcBorders>
            <w:shd w:val="clear" w:color="auto" w:fill="auto"/>
            <w:noWrap/>
            <w:vAlign w:val="bottom"/>
            <w:hideMark/>
          </w:tcPr>
          <w:p w14:paraId="69E22C7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15</w:t>
            </w:r>
          </w:p>
        </w:tc>
        <w:tc>
          <w:tcPr>
            <w:tcW w:w="554" w:type="dxa"/>
            <w:tcBorders>
              <w:top w:val="nil"/>
              <w:left w:val="nil"/>
              <w:bottom w:val="nil"/>
              <w:right w:val="nil"/>
            </w:tcBorders>
            <w:shd w:val="clear" w:color="auto" w:fill="auto"/>
            <w:noWrap/>
            <w:vAlign w:val="bottom"/>
            <w:hideMark/>
          </w:tcPr>
          <w:p w14:paraId="24D1905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50</w:t>
            </w:r>
          </w:p>
        </w:tc>
        <w:tc>
          <w:tcPr>
            <w:tcW w:w="508" w:type="dxa"/>
            <w:tcBorders>
              <w:top w:val="nil"/>
              <w:left w:val="nil"/>
              <w:bottom w:val="nil"/>
              <w:right w:val="nil"/>
            </w:tcBorders>
            <w:shd w:val="clear" w:color="auto" w:fill="auto"/>
            <w:noWrap/>
            <w:vAlign w:val="bottom"/>
            <w:hideMark/>
          </w:tcPr>
          <w:p w14:paraId="169B977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56</w:t>
            </w:r>
          </w:p>
        </w:tc>
        <w:tc>
          <w:tcPr>
            <w:tcW w:w="543" w:type="dxa"/>
            <w:tcBorders>
              <w:top w:val="nil"/>
              <w:left w:val="nil"/>
              <w:bottom w:val="nil"/>
              <w:right w:val="nil"/>
            </w:tcBorders>
            <w:shd w:val="clear" w:color="auto" w:fill="auto"/>
            <w:noWrap/>
            <w:vAlign w:val="bottom"/>
            <w:hideMark/>
          </w:tcPr>
          <w:p w14:paraId="6A0EE16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62</w:t>
            </w:r>
          </w:p>
        </w:tc>
        <w:tc>
          <w:tcPr>
            <w:tcW w:w="587" w:type="dxa"/>
            <w:tcBorders>
              <w:top w:val="nil"/>
              <w:left w:val="nil"/>
              <w:bottom w:val="nil"/>
              <w:right w:val="nil"/>
            </w:tcBorders>
            <w:shd w:val="clear" w:color="auto" w:fill="auto"/>
            <w:noWrap/>
            <w:vAlign w:val="bottom"/>
            <w:hideMark/>
          </w:tcPr>
          <w:p w14:paraId="57EB4F6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90</w:t>
            </w:r>
          </w:p>
        </w:tc>
        <w:tc>
          <w:tcPr>
            <w:tcW w:w="536" w:type="dxa"/>
            <w:tcBorders>
              <w:top w:val="nil"/>
              <w:left w:val="nil"/>
              <w:bottom w:val="nil"/>
              <w:right w:val="nil"/>
            </w:tcBorders>
            <w:shd w:val="clear" w:color="auto" w:fill="auto"/>
            <w:noWrap/>
            <w:vAlign w:val="bottom"/>
            <w:hideMark/>
          </w:tcPr>
          <w:p w14:paraId="79528B8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99</w:t>
            </w:r>
          </w:p>
        </w:tc>
        <w:tc>
          <w:tcPr>
            <w:tcW w:w="610" w:type="dxa"/>
            <w:tcBorders>
              <w:top w:val="nil"/>
              <w:left w:val="nil"/>
              <w:bottom w:val="nil"/>
              <w:right w:val="nil"/>
            </w:tcBorders>
            <w:shd w:val="clear" w:color="auto" w:fill="auto"/>
            <w:noWrap/>
            <w:vAlign w:val="bottom"/>
            <w:hideMark/>
          </w:tcPr>
          <w:p w14:paraId="6EBF4A6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95</w:t>
            </w:r>
          </w:p>
        </w:tc>
        <w:tc>
          <w:tcPr>
            <w:tcW w:w="518" w:type="dxa"/>
            <w:tcBorders>
              <w:top w:val="nil"/>
              <w:left w:val="nil"/>
              <w:bottom w:val="nil"/>
              <w:right w:val="nil"/>
            </w:tcBorders>
            <w:shd w:val="clear" w:color="auto" w:fill="auto"/>
            <w:noWrap/>
            <w:vAlign w:val="bottom"/>
            <w:hideMark/>
          </w:tcPr>
          <w:p w14:paraId="3B9535C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97</w:t>
            </w:r>
          </w:p>
        </w:tc>
        <w:tc>
          <w:tcPr>
            <w:tcW w:w="453" w:type="dxa"/>
            <w:tcBorders>
              <w:top w:val="nil"/>
              <w:left w:val="nil"/>
              <w:bottom w:val="nil"/>
              <w:right w:val="nil"/>
            </w:tcBorders>
            <w:shd w:val="clear" w:color="auto" w:fill="auto"/>
            <w:noWrap/>
            <w:vAlign w:val="bottom"/>
            <w:hideMark/>
          </w:tcPr>
          <w:p w14:paraId="663D7C6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90</w:t>
            </w:r>
          </w:p>
        </w:tc>
        <w:tc>
          <w:tcPr>
            <w:tcW w:w="563" w:type="dxa"/>
            <w:tcBorders>
              <w:top w:val="nil"/>
              <w:left w:val="nil"/>
              <w:bottom w:val="nil"/>
              <w:right w:val="nil"/>
            </w:tcBorders>
            <w:shd w:val="clear" w:color="auto" w:fill="auto"/>
            <w:noWrap/>
            <w:vAlign w:val="bottom"/>
            <w:hideMark/>
          </w:tcPr>
          <w:p w14:paraId="5FDA0BC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73</w:t>
            </w:r>
          </w:p>
        </w:tc>
        <w:tc>
          <w:tcPr>
            <w:tcW w:w="543" w:type="dxa"/>
            <w:tcBorders>
              <w:top w:val="nil"/>
              <w:left w:val="nil"/>
              <w:bottom w:val="nil"/>
              <w:right w:val="nil"/>
            </w:tcBorders>
            <w:shd w:val="clear" w:color="auto" w:fill="auto"/>
            <w:noWrap/>
            <w:vAlign w:val="bottom"/>
            <w:hideMark/>
          </w:tcPr>
          <w:p w14:paraId="4B01B58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79</w:t>
            </w:r>
          </w:p>
        </w:tc>
        <w:tc>
          <w:tcPr>
            <w:tcW w:w="532" w:type="dxa"/>
            <w:tcBorders>
              <w:top w:val="nil"/>
              <w:left w:val="nil"/>
              <w:bottom w:val="nil"/>
              <w:right w:val="nil"/>
            </w:tcBorders>
            <w:shd w:val="clear" w:color="auto" w:fill="auto"/>
            <w:noWrap/>
            <w:vAlign w:val="bottom"/>
            <w:hideMark/>
          </w:tcPr>
          <w:p w14:paraId="1B9D70F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98</w:t>
            </w:r>
          </w:p>
        </w:tc>
      </w:tr>
      <w:tr w:rsidR="006258EE" w:rsidRPr="00FF758F" w14:paraId="07639FC0" w14:textId="77777777" w:rsidTr="001C516A">
        <w:trPr>
          <w:trHeight w:val="300"/>
          <w:jc w:val="center"/>
        </w:trPr>
        <w:tc>
          <w:tcPr>
            <w:tcW w:w="1530" w:type="dxa"/>
            <w:tcBorders>
              <w:top w:val="nil"/>
              <w:left w:val="nil"/>
              <w:bottom w:val="single" w:sz="4" w:space="0" w:color="auto"/>
              <w:right w:val="nil"/>
            </w:tcBorders>
            <w:shd w:val="clear" w:color="auto" w:fill="auto"/>
            <w:noWrap/>
            <w:vAlign w:val="bottom"/>
            <w:hideMark/>
          </w:tcPr>
          <w:p w14:paraId="4CC82A98" w14:textId="77777777" w:rsidR="001C516A" w:rsidRPr="00FF758F" w:rsidRDefault="001C516A" w:rsidP="00F368ED">
            <w:pPr>
              <w:spacing w:after="0" w:line="240" w:lineRule="auto"/>
              <w:rPr>
                <w:rFonts w:ascii="Calibri" w:eastAsia="Times New Roman" w:hAnsi="Calibri" w:cs="Times New Roman"/>
                <w:b/>
              </w:rPr>
            </w:pPr>
            <w:r w:rsidRPr="00FF758F">
              <w:rPr>
                <w:rFonts w:ascii="Calibri" w:eastAsia="Times New Roman" w:hAnsi="Calibri" w:cs="Times New Roman"/>
                <w:b/>
              </w:rPr>
              <w:t> </w:t>
            </w:r>
          </w:p>
        </w:tc>
        <w:tc>
          <w:tcPr>
            <w:tcW w:w="2360" w:type="dxa"/>
            <w:tcBorders>
              <w:top w:val="nil"/>
              <w:left w:val="nil"/>
              <w:bottom w:val="single" w:sz="4" w:space="0" w:color="auto"/>
              <w:right w:val="nil"/>
            </w:tcBorders>
            <w:shd w:val="clear" w:color="auto" w:fill="auto"/>
            <w:noWrap/>
            <w:vAlign w:val="bottom"/>
            <w:hideMark/>
          </w:tcPr>
          <w:p w14:paraId="3616F7E4"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spp. PI 368993</w:t>
            </w:r>
          </w:p>
        </w:tc>
        <w:tc>
          <w:tcPr>
            <w:tcW w:w="574" w:type="dxa"/>
            <w:tcBorders>
              <w:top w:val="nil"/>
              <w:left w:val="nil"/>
              <w:bottom w:val="single" w:sz="4" w:space="0" w:color="auto"/>
              <w:right w:val="nil"/>
            </w:tcBorders>
            <w:shd w:val="clear" w:color="auto" w:fill="auto"/>
            <w:noWrap/>
            <w:vAlign w:val="bottom"/>
            <w:hideMark/>
          </w:tcPr>
          <w:p w14:paraId="2A30BB2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11</w:t>
            </w:r>
          </w:p>
        </w:tc>
        <w:tc>
          <w:tcPr>
            <w:tcW w:w="554" w:type="dxa"/>
            <w:tcBorders>
              <w:top w:val="nil"/>
              <w:left w:val="nil"/>
              <w:bottom w:val="single" w:sz="4" w:space="0" w:color="auto"/>
              <w:right w:val="nil"/>
            </w:tcBorders>
            <w:shd w:val="clear" w:color="auto" w:fill="auto"/>
            <w:noWrap/>
            <w:vAlign w:val="bottom"/>
            <w:hideMark/>
          </w:tcPr>
          <w:p w14:paraId="2A895C8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36</w:t>
            </w:r>
          </w:p>
        </w:tc>
        <w:tc>
          <w:tcPr>
            <w:tcW w:w="508" w:type="dxa"/>
            <w:tcBorders>
              <w:top w:val="nil"/>
              <w:left w:val="nil"/>
              <w:bottom w:val="single" w:sz="4" w:space="0" w:color="auto"/>
              <w:right w:val="nil"/>
            </w:tcBorders>
            <w:shd w:val="clear" w:color="auto" w:fill="auto"/>
            <w:noWrap/>
            <w:vAlign w:val="bottom"/>
            <w:hideMark/>
          </w:tcPr>
          <w:p w14:paraId="72B077B1"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42</w:t>
            </w:r>
          </w:p>
        </w:tc>
        <w:tc>
          <w:tcPr>
            <w:tcW w:w="543" w:type="dxa"/>
            <w:tcBorders>
              <w:top w:val="nil"/>
              <w:left w:val="nil"/>
              <w:bottom w:val="single" w:sz="4" w:space="0" w:color="auto"/>
              <w:right w:val="nil"/>
            </w:tcBorders>
            <w:shd w:val="clear" w:color="auto" w:fill="auto"/>
            <w:noWrap/>
            <w:vAlign w:val="bottom"/>
            <w:hideMark/>
          </w:tcPr>
          <w:p w14:paraId="76ECC5C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45</w:t>
            </w:r>
          </w:p>
        </w:tc>
        <w:tc>
          <w:tcPr>
            <w:tcW w:w="587" w:type="dxa"/>
            <w:tcBorders>
              <w:top w:val="nil"/>
              <w:left w:val="nil"/>
              <w:bottom w:val="single" w:sz="4" w:space="0" w:color="auto"/>
              <w:right w:val="nil"/>
            </w:tcBorders>
            <w:shd w:val="clear" w:color="auto" w:fill="auto"/>
            <w:noWrap/>
            <w:vAlign w:val="bottom"/>
            <w:hideMark/>
          </w:tcPr>
          <w:p w14:paraId="746C1C2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81</w:t>
            </w:r>
          </w:p>
        </w:tc>
        <w:tc>
          <w:tcPr>
            <w:tcW w:w="536" w:type="dxa"/>
            <w:tcBorders>
              <w:top w:val="nil"/>
              <w:left w:val="nil"/>
              <w:bottom w:val="single" w:sz="4" w:space="0" w:color="auto"/>
              <w:right w:val="nil"/>
            </w:tcBorders>
            <w:shd w:val="clear" w:color="auto" w:fill="auto"/>
            <w:noWrap/>
            <w:vAlign w:val="bottom"/>
            <w:hideMark/>
          </w:tcPr>
          <w:p w14:paraId="72814C0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70</w:t>
            </w:r>
          </w:p>
        </w:tc>
        <w:tc>
          <w:tcPr>
            <w:tcW w:w="610" w:type="dxa"/>
            <w:tcBorders>
              <w:top w:val="nil"/>
              <w:left w:val="nil"/>
              <w:bottom w:val="single" w:sz="4" w:space="0" w:color="auto"/>
              <w:right w:val="nil"/>
            </w:tcBorders>
            <w:shd w:val="clear" w:color="auto" w:fill="auto"/>
            <w:noWrap/>
            <w:vAlign w:val="bottom"/>
            <w:hideMark/>
          </w:tcPr>
          <w:p w14:paraId="654D869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64</w:t>
            </w:r>
          </w:p>
        </w:tc>
        <w:tc>
          <w:tcPr>
            <w:tcW w:w="518" w:type="dxa"/>
            <w:tcBorders>
              <w:top w:val="nil"/>
              <w:left w:val="nil"/>
              <w:bottom w:val="single" w:sz="4" w:space="0" w:color="auto"/>
              <w:right w:val="nil"/>
            </w:tcBorders>
            <w:shd w:val="clear" w:color="auto" w:fill="auto"/>
            <w:noWrap/>
            <w:vAlign w:val="bottom"/>
            <w:hideMark/>
          </w:tcPr>
          <w:p w14:paraId="6A326DE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61</w:t>
            </w:r>
          </w:p>
        </w:tc>
        <w:tc>
          <w:tcPr>
            <w:tcW w:w="453" w:type="dxa"/>
            <w:tcBorders>
              <w:top w:val="nil"/>
              <w:left w:val="nil"/>
              <w:bottom w:val="single" w:sz="4" w:space="0" w:color="auto"/>
              <w:right w:val="nil"/>
            </w:tcBorders>
            <w:shd w:val="clear" w:color="auto" w:fill="auto"/>
            <w:noWrap/>
            <w:vAlign w:val="bottom"/>
            <w:hideMark/>
          </w:tcPr>
          <w:p w14:paraId="2BAE551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54</w:t>
            </w:r>
          </w:p>
        </w:tc>
        <w:tc>
          <w:tcPr>
            <w:tcW w:w="563" w:type="dxa"/>
            <w:tcBorders>
              <w:top w:val="nil"/>
              <w:left w:val="nil"/>
              <w:bottom w:val="single" w:sz="4" w:space="0" w:color="auto"/>
              <w:right w:val="nil"/>
            </w:tcBorders>
            <w:shd w:val="clear" w:color="auto" w:fill="auto"/>
            <w:noWrap/>
            <w:vAlign w:val="bottom"/>
            <w:hideMark/>
          </w:tcPr>
          <w:p w14:paraId="5A02181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12</w:t>
            </w:r>
          </w:p>
        </w:tc>
        <w:tc>
          <w:tcPr>
            <w:tcW w:w="543" w:type="dxa"/>
            <w:tcBorders>
              <w:top w:val="nil"/>
              <w:left w:val="nil"/>
              <w:bottom w:val="single" w:sz="4" w:space="0" w:color="auto"/>
              <w:right w:val="nil"/>
            </w:tcBorders>
            <w:shd w:val="clear" w:color="auto" w:fill="auto"/>
            <w:noWrap/>
            <w:vAlign w:val="bottom"/>
            <w:hideMark/>
          </w:tcPr>
          <w:p w14:paraId="1D63C71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12</w:t>
            </w:r>
          </w:p>
        </w:tc>
        <w:tc>
          <w:tcPr>
            <w:tcW w:w="532" w:type="dxa"/>
            <w:tcBorders>
              <w:top w:val="nil"/>
              <w:left w:val="nil"/>
              <w:bottom w:val="single" w:sz="4" w:space="0" w:color="auto"/>
              <w:right w:val="nil"/>
            </w:tcBorders>
            <w:shd w:val="clear" w:color="auto" w:fill="auto"/>
            <w:noWrap/>
            <w:vAlign w:val="bottom"/>
            <w:hideMark/>
          </w:tcPr>
          <w:p w14:paraId="17D9537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19</w:t>
            </w:r>
          </w:p>
        </w:tc>
      </w:tr>
      <w:tr w:rsidR="006258EE" w:rsidRPr="00FF758F" w14:paraId="03D2C2DB"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13F43FFA" w14:textId="77777777" w:rsidR="001C516A" w:rsidRPr="00FF758F" w:rsidRDefault="001C516A" w:rsidP="00F368ED">
            <w:pPr>
              <w:spacing w:after="0" w:line="240" w:lineRule="auto"/>
              <w:rPr>
                <w:rFonts w:ascii="Calibri" w:eastAsia="Times New Roman" w:hAnsi="Calibri" w:cs="Times New Roman"/>
                <w:b/>
              </w:rPr>
            </w:pPr>
            <w:r w:rsidRPr="00FF758F">
              <w:rPr>
                <w:rFonts w:ascii="Calibri" w:eastAsia="Times New Roman" w:hAnsi="Calibri" w:cs="Times New Roman"/>
                <w:b/>
              </w:rPr>
              <w:t>Stoloniferous</w:t>
            </w:r>
          </w:p>
        </w:tc>
        <w:tc>
          <w:tcPr>
            <w:tcW w:w="2360" w:type="dxa"/>
            <w:tcBorders>
              <w:top w:val="nil"/>
              <w:left w:val="nil"/>
              <w:bottom w:val="nil"/>
              <w:right w:val="nil"/>
            </w:tcBorders>
            <w:shd w:val="clear" w:color="auto" w:fill="auto"/>
            <w:noWrap/>
            <w:vAlign w:val="bottom"/>
            <w:hideMark/>
          </w:tcPr>
          <w:p w14:paraId="1C470847"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supina</w:t>
            </w:r>
          </w:p>
        </w:tc>
        <w:tc>
          <w:tcPr>
            <w:tcW w:w="574" w:type="dxa"/>
            <w:tcBorders>
              <w:top w:val="nil"/>
              <w:left w:val="nil"/>
              <w:bottom w:val="nil"/>
              <w:right w:val="nil"/>
            </w:tcBorders>
            <w:shd w:val="clear" w:color="auto" w:fill="auto"/>
            <w:noWrap/>
            <w:vAlign w:val="bottom"/>
            <w:hideMark/>
          </w:tcPr>
          <w:p w14:paraId="6C1556F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27</w:t>
            </w:r>
          </w:p>
        </w:tc>
        <w:tc>
          <w:tcPr>
            <w:tcW w:w="554" w:type="dxa"/>
            <w:tcBorders>
              <w:top w:val="nil"/>
              <w:left w:val="nil"/>
              <w:bottom w:val="nil"/>
              <w:right w:val="nil"/>
            </w:tcBorders>
            <w:shd w:val="clear" w:color="auto" w:fill="auto"/>
            <w:noWrap/>
            <w:vAlign w:val="bottom"/>
            <w:hideMark/>
          </w:tcPr>
          <w:p w14:paraId="09B562E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48</w:t>
            </w:r>
          </w:p>
        </w:tc>
        <w:tc>
          <w:tcPr>
            <w:tcW w:w="508" w:type="dxa"/>
            <w:tcBorders>
              <w:top w:val="nil"/>
              <w:left w:val="nil"/>
              <w:bottom w:val="nil"/>
              <w:right w:val="nil"/>
            </w:tcBorders>
            <w:shd w:val="clear" w:color="auto" w:fill="auto"/>
            <w:noWrap/>
            <w:vAlign w:val="bottom"/>
            <w:hideMark/>
          </w:tcPr>
          <w:p w14:paraId="0E9EE0A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45</w:t>
            </w:r>
          </w:p>
        </w:tc>
        <w:tc>
          <w:tcPr>
            <w:tcW w:w="543" w:type="dxa"/>
            <w:tcBorders>
              <w:top w:val="nil"/>
              <w:left w:val="nil"/>
              <w:bottom w:val="nil"/>
              <w:right w:val="nil"/>
            </w:tcBorders>
            <w:shd w:val="clear" w:color="auto" w:fill="auto"/>
            <w:noWrap/>
            <w:vAlign w:val="bottom"/>
            <w:hideMark/>
          </w:tcPr>
          <w:p w14:paraId="001D1FC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46</w:t>
            </w:r>
          </w:p>
        </w:tc>
        <w:tc>
          <w:tcPr>
            <w:tcW w:w="587" w:type="dxa"/>
            <w:tcBorders>
              <w:top w:val="nil"/>
              <w:left w:val="nil"/>
              <w:bottom w:val="nil"/>
              <w:right w:val="nil"/>
            </w:tcBorders>
            <w:shd w:val="clear" w:color="auto" w:fill="auto"/>
            <w:noWrap/>
            <w:vAlign w:val="bottom"/>
            <w:hideMark/>
          </w:tcPr>
          <w:p w14:paraId="7858656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87</w:t>
            </w:r>
          </w:p>
        </w:tc>
        <w:tc>
          <w:tcPr>
            <w:tcW w:w="536" w:type="dxa"/>
            <w:tcBorders>
              <w:top w:val="nil"/>
              <w:left w:val="nil"/>
              <w:bottom w:val="nil"/>
              <w:right w:val="nil"/>
            </w:tcBorders>
            <w:shd w:val="clear" w:color="auto" w:fill="auto"/>
            <w:noWrap/>
            <w:vAlign w:val="bottom"/>
            <w:hideMark/>
          </w:tcPr>
          <w:p w14:paraId="72376AB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97</w:t>
            </w:r>
          </w:p>
        </w:tc>
        <w:tc>
          <w:tcPr>
            <w:tcW w:w="610" w:type="dxa"/>
            <w:tcBorders>
              <w:top w:val="nil"/>
              <w:left w:val="nil"/>
              <w:bottom w:val="nil"/>
              <w:right w:val="nil"/>
            </w:tcBorders>
            <w:shd w:val="clear" w:color="auto" w:fill="auto"/>
            <w:noWrap/>
            <w:vAlign w:val="bottom"/>
            <w:hideMark/>
          </w:tcPr>
          <w:p w14:paraId="530633E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96</w:t>
            </w:r>
          </w:p>
        </w:tc>
        <w:tc>
          <w:tcPr>
            <w:tcW w:w="518" w:type="dxa"/>
            <w:tcBorders>
              <w:top w:val="nil"/>
              <w:left w:val="nil"/>
              <w:bottom w:val="nil"/>
              <w:right w:val="nil"/>
            </w:tcBorders>
            <w:shd w:val="clear" w:color="auto" w:fill="auto"/>
            <w:noWrap/>
            <w:vAlign w:val="bottom"/>
            <w:hideMark/>
          </w:tcPr>
          <w:p w14:paraId="300289D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95</w:t>
            </w:r>
          </w:p>
        </w:tc>
        <w:tc>
          <w:tcPr>
            <w:tcW w:w="453" w:type="dxa"/>
            <w:tcBorders>
              <w:top w:val="nil"/>
              <w:left w:val="nil"/>
              <w:bottom w:val="nil"/>
              <w:right w:val="nil"/>
            </w:tcBorders>
            <w:shd w:val="clear" w:color="auto" w:fill="auto"/>
            <w:noWrap/>
            <w:vAlign w:val="bottom"/>
            <w:hideMark/>
          </w:tcPr>
          <w:p w14:paraId="6C6E3A1E"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87</w:t>
            </w:r>
          </w:p>
        </w:tc>
        <w:tc>
          <w:tcPr>
            <w:tcW w:w="563" w:type="dxa"/>
            <w:tcBorders>
              <w:top w:val="nil"/>
              <w:left w:val="nil"/>
              <w:bottom w:val="nil"/>
              <w:right w:val="nil"/>
            </w:tcBorders>
            <w:shd w:val="clear" w:color="auto" w:fill="auto"/>
            <w:noWrap/>
            <w:vAlign w:val="bottom"/>
            <w:hideMark/>
          </w:tcPr>
          <w:p w14:paraId="5BB8824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28</w:t>
            </w:r>
          </w:p>
        </w:tc>
        <w:tc>
          <w:tcPr>
            <w:tcW w:w="543" w:type="dxa"/>
            <w:tcBorders>
              <w:top w:val="nil"/>
              <w:left w:val="nil"/>
              <w:bottom w:val="nil"/>
              <w:right w:val="nil"/>
            </w:tcBorders>
            <w:shd w:val="clear" w:color="auto" w:fill="auto"/>
            <w:noWrap/>
            <w:vAlign w:val="bottom"/>
            <w:hideMark/>
          </w:tcPr>
          <w:p w14:paraId="506A3DC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16</w:t>
            </w:r>
          </w:p>
        </w:tc>
        <w:tc>
          <w:tcPr>
            <w:tcW w:w="532" w:type="dxa"/>
            <w:tcBorders>
              <w:top w:val="nil"/>
              <w:left w:val="nil"/>
              <w:bottom w:val="nil"/>
              <w:right w:val="nil"/>
            </w:tcBorders>
            <w:shd w:val="clear" w:color="auto" w:fill="auto"/>
            <w:noWrap/>
            <w:vAlign w:val="bottom"/>
            <w:hideMark/>
          </w:tcPr>
          <w:p w14:paraId="16D1A5C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17</w:t>
            </w:r>
          </w:p>
        </w:tc>
      </w:tr>
      <w:tr w:rsidR="006258EE" w:rsidRPr="00FF758F" w14:paraId="3C505B8C"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4789F811"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12FE79F9"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trivialis CCC</w:t>
            </w:r>
          </w:p>
        </w:tc>
        <w:tc>
          <w:tcPr>
            <w:tcW w:w="574" w:type="dxa"/>
            <w:tcBorders>
              <w:top w:val="nil"/>
              <w:left w:val="nil"/>
              <w:bottom w:val="nil"/>
              <w:right w:val="nil"/>
            </w:tcBorders>
            <w:shd w:val="clear" w:color="auto" w:fill="auto"/>
            <w:noWrap/>
            <w:vAlign w:val="bottom"/>
            <w:hideMark/>
          </w:tcPr>
          <w:p w14:paraId="4799F81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w:t>
            </w:r>
          </w:p>
        </w:tc>
        <w:tc>
          <w:tcPr>
            <w:tcW w:w="554" w:type="dxa"/>
            <w:tcBorders>
              <w:top w:val="nil"/>
              <w:left w:val="nil"/>
              <w:bottom w:val="nil"/>
              <w:right w:val="nil"/>
            </w:tcBorders>
            <w:shd w:val="clear" w:color="auto" w:fill="auto"/>
            <w:noWrap/>
            <w:vAlign w:val="bottom"/>
            <w:hideMark/>
          </w:tcPr>
          <w:p w14:paraId="78D01BE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27</w:t>
            </w:r>
          </w:p>
        </w:tc>
        <w:tc>
          <w:tcPr>
            <w:tcW w:w="508" w:type="dxa"/>
            <w:tcBorders>
              <w:top w:val="nil"/>
              <w:left w:val="nil"/>
              <w:bottom w:val="nil"/>
              <w:right w:val="nil"/>
            </w:tcBorders>
            <w:shd w:val="clear" w:color="auto" w:fill="auto"/>
            <w:noWrap/>
            <w:vAlign w:val="bottom"/>
            <w:hideMark/>
          </w:tcPr>
          <w:p w14:paraId="62CBE6B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33</w:t>
            </w:r>
          </w:p>
        </w:tc>
        <w:tc>
          <w:tcPr>
            <w:tcW w:w="543" w:type="dxa"/>
            <w:tcBorders>
              <w:top w:val="nil"/>
              <w:left w:val="nil"/>
              <w:bottom w:val="nil"/>
              <w:right w:val="nil"/>
            </w:tcBorders>
            <w:shd w:val="clear" w:color="auto" w:fill="auto"/>
            <w:noWrap/>
            <w:vAlign w:val="bottom"/>
            <w:hideMark/>
          </w:tcPr>
          <w:p w14:paraId="435F5E3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46</w:t>
            </w:r>
          </w:p>
        </w:tc>
        <w:tc>
          <w:tcPr>
            <w:tcW w:w="587" w:type="dxa"/>
            <w:tcBorders>
              <w:top w:val="nil"/>
              <w:left w:val="nil"/>
              <w:bottom w:val="nil"/>
              <w:right w:val="nil"/>
            </w:tcBorders>
            <w:shd w:val="clear" w:color="auto" w:fill="auto"/>
            <w:noWrap/>
            <w:vAlign w:val="bottom"/>
            <w:hideMark/>
          </w:tcPr>
          <w:p w14:paraId="3CAD318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89</w:t>
            </w:r>
          </w:p>
        </w:tc>
        <w:tc>
          <w:tcPr>
            <w:tcW w:w="536" w:type="dxa"/>
            <w:tcBorders>
              <w:top w:val="nil"/>
              <w:left w:val="nil"/>
              <w:bottom w:val="nil"/>
              <w:right w:val="nil"/>
            </w:tcBorders>
            <w:shd w:val="clear" w:color="auto" w:fill="auto"/>
            <w:noWrap/>
            <w:vAlign w:val="bottom"/>
            <w:hideMark/>
          </w:tcPr>
          <w:p w14:paraId="5B50E21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62</w:t>
            </w:r>
          </w:p>
        </w:tc>
        <w:tc>
          <w:tcPr>
            <w:tcW w:w="610" w:type="dxa"/>
            <w:tcBorders>
              <w:top w:val="nil"/>
              <w:left w:val="nil"/>
              <w:bottom w:val="nil"/>
              <w:right w:val="nil"/>
            </w:tcBorders>
            <w:shd w:val="clear" w:color="auto" w:fill="auto"/>
            <w:noWrap/>
            <w:vAlign w:val="bottom"/>
            <w:hideMark/>
          </w:tcPr>
          <w:p w14:paraId="48FDE64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55</w:t>
            </w:r>
          </w:p>
        </w:tc>
        <w:tc>
          <w:tcPr>
            <w:tcW w:w="518" w:type="dxa"/>
            <w:tcBorders>
              <w:top w:val="nil"/>
              <w:left w:val="nil"/>
              <w:bottom w:val="nil"/>
              <w:right w:val="nil"/>
            </w:tcBorders>
            <w:shd w:val="clear" w:color="auto" w:fill="auto"/>
            <w:noWrap/>
            <w:vAlign w:val="bottom"/>
            <w:hideMark/>
          </w:tcPr>
          <w:p w14:paraId="4F789A9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40</w:t>
            </w:r>
          </w:p>
        </w:tc>
        <w:tc>
          <w:tcPr>
            <w:tcW w:w="453" w:type="dxa"/>
            <w:tcBorders>
              <w:top w:val="nil"/>
              <w:left w:val="nil"/>
              <w:bottom w:val="nil"/>
              <w:right w:val="nil"/>
            </w:tcBorders>
            <w:shd w:val="clear" w:color="auto" w:fill="auto"/>
            <w:noWrap/>
            <w:vAlign w:val="bottom"/>
            <w:hideMark/>
          </w:tcPr>
          <w:p w14:paraId="60CFA0C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47</w:t>
            </w:r>
          </w:p>
        </w:tc>
        <w:tc>
          <w:tcPr>
            <w:tcW w:w="563" w:type="dxa"/>
            <w:tcBorders>
              <w:top w:val="nil"/>
              <w:left w:val="nil"/>
              <w:bottom w:val="nil"/>
              <w:right w:val="nil"/>
            </w:tcBorders>
            <w:shd w:val="clear" w:color="auto" w:fill="auto"/>
            <w:noWrap/>
            <w:vAlign w:val="bottom"/>
            <w:hideMark/>
          </w:tcPr>
          <w:p w14:paraId="1857807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18</w:t>
            </w:r>
          </w:p>
        </w:tc>
        <w:tc>
          <w:tcPr>
            <w:tcW w:w="543" w:type="dxa"/>
            <w:tcBorders>
              <w:top w:val="nil"/>
              <w:left w:val="nil"/>
              <w:bottom w:val="nil"/>
              <w:right w:val="nil"/>
            </w:tcBorders>
            <w:shd w:val="clear" w:color="auto" w:fill="auto"/>
            <w:noWrap/>
            <w:vAlign w:val="bottom"/>
            <w:hideMark/>
          </w:tcPr>
          <w:p w14:paraId="6FE7C8A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w:t>
            </w:r>
          </w:p>
        </w:tc>
        <w:tc>
          <w:tcPr>
            <w:tcW w:w="532" w:type="dxa"/>
            <w:tcBorders>
              <w:top w:val="nil"/>
              <w:left w:val="nil"/>
              <w:bottom w:val="nil"/>
              <w:right w:val="nil"/>
            </w:tcBorders>
            <w:shd w:val="clear" w:color="auto" w:fill="auto"/>
            <w:noWrap/>
            <w:vAlign w:val="bottom"/>
            <w:hideMark/>
          </w:tcPr>
          <w:p w14:paraId="2A09280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15</w:t>
            </w:r>
          </w:p>
        </w:tc>
      </w:tr>
      <w:tr w:rsidR="006258EE" w:rsidRPr="00FF758F" w14:paraId="531C5A44"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71D4D1A3"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0C7B5ADF"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trivialis WS</w:t>
            </w:r>
          </w:p>
        </w:tc>
        <w:tc>
          <w:tcPr>
            <w:tcW w:w="574" w:type="dxa"/>
            <w:tcBorders>
              <w:top w:val="nil"/>
              <w:left w:val="nil"/>
              <w:bottom w:val="nil"/>
              <w:right w:val="nil"/>
            </w:tcBorders>
            <w:shd w:val="clear" w:color="auto" w:fill="auto"/>
            <w:noWrap/>
            <w:vAlign w:val="bottom"/>
            <w:hideMark/>
          </w:tcPr>
          <w:p w14:paraId="7359CBD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w:t>
            </w:r>
          </w:p>
        </w:tc>
        <w:tc>
          <w:tcPr>
            <w:tcW w:w="554" w:type="dxa"/>
            <w:tcBorders>
              <w:top w:val="nil"/>
              <w:left w:val="nil"/>
              <w:bottom w:val="nil"/>
              <w:right w:val="nil"/>
            </w:tcBorders>
            <w:shd w:val="clear" w:color="auto" w:fill="auto"/>
            <w:noWrap/>
            <w:vAlign w:val="bottom"/>
            <w:hideMark/>
          </w:tcPr>
          <w:p w14:paraId="56EDE51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27</w:t>
            </w:r>
          </w:p>
        </w:tc>
        <w:tc>
          <w:tcPr>
            <w:tcW w:w="508" w:type="dxa"/>
            <w:tcBorders>
              <w:top w:val="nil"/>
              <w:left w:val="nil"/>
              <w:bottom w:val="nil"/>
              <w:right w:val="nil"/>
            </w:tcBorders>
            <w:shd w:val="clear" w:color="auto" w:fill="auto"/>
            <w:noWrap/>
            <w:vAlign w:val="bottom"/>
            <w:hideMark/>
          </w:tcPr>
          <w:p w14:paraId="7F7AE2C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33</w:t>
            </w:r>
          </w:p>
        </w:tc>
        <w:tc>
          <w:tcPr>
            <w:tcW w:w="543" w:type="dxa"/>
            <w:tcBorders>
              <w:top w:val="nil"/>
              <w:left w:val="nil"/>
              <w:bottom w:val="nil"/>
              <w:right w:val="nil"/>
            </w:tcBorders>
            <w:shd w:val="clear" w:color="auto" w:fill="auto"/>
            <w:noWrap/>
            <w:vAlign w:val="bottom"/>
            <w:hideMark/>
          </w:tcPr>
          <w:p w14:paraId="285B897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34</w:t>
            </w:r>
          </w:p>
        </w:tc>
        <w:tc>
          <w:tcPr>
            <w:tcW w:w="587" w:type="dxa"/>
            <w:tcBorders>
              <w:top w:val="nil"/>
              <w:left w:val="nil"/>
              <w:bottom w:val="nil"/>
              <w:right w:val="nil"/>
            </w:tcBorders>
            <w:shd w:val="clear" w:color="auto" w:fill="auto"/>
            <w:noWrap/>
            <w:vAlign w:val="bottom"/>
            <w:hideMark/>
          </w:tcPr>
          <w:p w14:paraId="5AB5A70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85</w:t>
            </w:r>
          </w:p>
        </w:tc>
        <w:tc>
          <w:tcPr>
            <w:tcW w:w="536" w:type="dxa"/>
            <w:tcBorders>
              <w:top w:val="nil"/>
              <w:left w:val="nil"/>
              <w:bottom w:val="nil"/>
              <w:right w:val="nil"/>
            </w:tcBorders>
            <w:shd w:val="clear" w:color="auto" w:fill="auto"/>
            <w:noWrap/>
            <w:vAlign w:val="bottom"/>
            <w:hideMark/>
          </w:tcPr>
          <w:p w14:paraId="05D5504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89</w:t>
            </w:r>
          </w:p>
        </w:tc>
        <w:tc>
          <w:tcPr>
            <w:tcW w:w="610" w:type="dxa"/>
            <w:tcBorders>
              <w:top w:val="nil"/>
              <w:left w:val="nil"/>
              <w:bottom w:val="nil"/>
              <w:right w:val="nil"/>
            </w:tcBorders>
            <w:shd w:val="clear" w:color="auto" w:fill="auto"/>
            <w:noWrap/>
            <w:vAlign w:val="bottom"/>
            <w:hideMark/>
          </w:tcPr>
          <w:p w14:paraId="63753EA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84</w:t>
            </w:r>
          </w:p>
        </w:tc>
        <w:tc>
          <w:tcPr>
            <w:tcW w:w="518" w:type="dxa"/>
            <w:tcBorders>
              <w:top w:val="nil"/>
              <w:left w:val="nil"/>
              <w:bottom w:val="nil"/>
              <w:right w:val="nil"/>
            </w:tcBorders>
            <w:shd w:val="clear" w:color="auto" w:fill="auto"/>
            <w:noWrap/>
            <w:vAlign w:val="bottom"/>
            <w:hideMark/>
          </w:tcPr>
          <w:p w14:paraId="23F199D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83</w:t>
            </w:r>
          </w:p>
        </w:tc>
        <w:tc>
          <w:tcPr>
            <w:tcW w:w="453" w:type="dxa"/>
            <w:tcBorders>
              <w:top w:val="nil"/>
              <w:left w:val="nil"/>
              <w:bottom w:val="nil"/>
              <w:right w:val="nil"/>
            </w:tcBorders>
            <w:shd w:val="clear" w:color="auto" w:fill="auto"/>
            <w:noWrap/>
            <w:vAlign w:val="bottom"/>
            <w:hideMark/>
          </w:tcPr>
          <w:p w14:paraId="06A7625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76</w:t>
            </w:r>
          </w:p>
        </w:tc>
        <w:tc>
          <w:tcPr>
            <w:tcW w:w="563" w:type="dxa"/>
            <w:tcBorders>
              <w:top w:val="nil"/>
              <w:left w:val="nil"/>
              <w:bottom w:val="nil"/>
              <w:right w:val="nil"/>
            </w:tcBorders>
            <w:shd w:val="clear" w:color="auto" w:fill="auto"/>
            <w:noWrap/>
            <w:vAlign w:val="bottom"/>
            <w:hideMark/>
          </w:tcPr>
          <w:p w14:paraId="5E735A0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12</w:t>
            </w:r>
          </w:p>
        </w:tc>
        <w:tc>
          <w:tcPr>
            <w:tcW w:w="543" w:type="dxa"/>
            <w:tcBorders>
              <w:top w:val="nil"/>
              <w:left w:val="nil"/>
              <w:bottom w:val="nil"/>
              <w:right w:val="nil"/>
            </w:tcBorders>
            <w:shd w:val="clear" w:color="auto" w:fill="auto"/>
            <w:noWrap/>
            <w:vAlign w:val="bottom"/>
            <w:hideMark/>
          </w:tcPr>
          <w:p w14:paraId="0A52670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w:t>
            </w:r>
          </w:p>
        </w:tc>
        <w:tc>
          <w:tcPr>
            <w:tcW w:w="532" w:type="dxa"/>
            <w:tcBorders>
              <w:top w:val="nil"/>
              <w:left w:val="nil"/>
              <w:bottom w:val="nil"/>
              <w:right w:val="nil"/>
            </w:tcBorders>
            <w:shd w:val="clear" w:color="auto" w:fill="auto"/>
            <w:noWrap/>
            <w:vAlign w:val="bottom"/>
            <w:hideMark/>
          </w:tcPr>
          <w:p w14:paraId="1647949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w:t>
            </w:r>
          </w:p>
        </w:tc>
      </w:tr>
      <w:tr w:rsidR="006258EE" w:rsidRPr="00FF758F" w14:paraId="5DFC4648" w14:textId="77777777" w:rsidTr="001C516A">
        <w:trPr>
          <w:trHeight w:val="300"/>
          <w:jc w:val="center"/>
        </w:trPr>
        <w:tc>
          <w:tcPr>
            <w:tcW w:w="1530" w:type="dxa"/>
            <w:tcBorders>
              <w:top w:val="nil"/>
              <w:left w:val="nil"/>
              <w:bottom w:val="nil"/>
              <w:right w:val="nil"/>
            </w:tcBorders>
            <w:shd w:val="clear" w:color="auto" w:fill="auto"/>
            <w:noWrap/>
            <w:vAlign w:val="bottom"/>
            <w:hideMark/>
          </w:tcPr>
          <w:p w14:paraId="01BFD4C0" w14:textId="77777777" w:rsidR="001C516A" w:rsidRPr="00FF758F" w:rsidRDefault="001C516A" w:rsidP="00F368ED">
            <w:pPr>
              <w:spacing w:after="0" w:line="240" w:lineRule="auto"/>
              <w:rPr>
                <w:rFonts w:ascii="Calibri" w:eastAsia="Times New Roman" w:hAnsi="Calibri" w:cs="Times New Roman"/>
                <w:b/>
              </w:rPr>
            </w:pPr>
          </w:p>
        </w:tc>
        <w:tc>
          <w:tcPr>
            <w:tcW w:w="2360" w:type="dxa"/>
            <w:tcBorders>
              <w:top w:val="nil"/>
              <w:left w:val="nil"/>
              <w:bottom w:val="nil"/>
              <w:right w:val="nil"/>
            </w:tcBorders>
            <w:shd w:val="clear" w:color="auto" w:fill="auto"/>
            <w:noWrap/>
            <w:vAlign w:val="bottom"/>
            <w:hideMark/>
          </w:tcPr>
          <w:p w14:paraId="37516866"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trivialis CR</w:t>
            </w:r>
          </w:p>
        </w:tc>
        <w:tc>
          <w:tcPr>
            <w:tcW w:w="574" w:type="dxa"/>
            <w:tcBorders>
              <w:top w:val="nil"/>
              <w:left w:val="nil"/>
              <w:bottom w:val="nil"/>
              <w:right w:val="nil"/>
            </w:tcBorders>
            <w:shd w:val="clear" w:color="auto" w:fill="auto"/>
            <w:noWrap/>
            <w:vAlign w:val="bottom"/>
            <w:hideMark/>
          </w:tcPr>
          <w:p w14:paraId="491ECFB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25</w:t>
            </w:r>
          </w:p>
        </w:tc>
        <w:tc>
          <w:tcPr>
            <w:tcW w:w="554" w:type="dxa"/>
            <w:tcBorders>
              <w:top w:val="nil"/>
              <w:left w:val="nil"/>
              <w:bottom w:val="nil"/>
              <w:right w:val="nil"/>
            </w:tcBorders>
            <w:shd w:val="clear" w:color="auto" w:fill="auto"/>
            <w:noWrap/>
            <w:vAlign w:val="bottom"/>
            <w:hideMark/>
          </w:tcPr>
          <w:p w14:paraId="3E12CAD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58</w:t>
            </w:r>
          </w:p>
        </w:tc>
        <w:tc>
          <w:tcPr>
            <w:tcW w:w="508" w:type="dxa"/>
            <w:tcBorders>
              <w:top w:val="nil"/>
              <w:left w:val="nil"/>
              <w:bottom w:val="nil"/>
              <w:right w:val="nil"/>
            </w:tcBorders>
            <w:shd w:val="clear" w:color="auto" w:fill="auto"/>
            <w:noWrap/>
            <w:vAlign w:val="bottom"/>
            <w:hideMark/>
          </w:tcPr>
          <w:p w14:paraId="71FB5DA8"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61</w:t>
            </w:r>
          </w:p>
        </w:tc>
        <w:tc>
          <w:tcPr>
            <w:tcW w:w="543" w:type="dxa"/>
            <w:tcBorders>
              <w:top w:val="nil"/>
              <w:left w:val="nil"/>
              <w:bottom w:val="nil"/>
              <w:right w:val="nil"/>
            </w:tcBorders>
            <w:shd w:val="clear" w:color="auto" w:fill="auto"/>
            <w:noWrap/>
            <w:vAlign w:val="bottom"/>
            <w:hideMark/>
          </w:tcPr>
          <w:p w14:paraId="5344FCE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58</w:t>
            </w:r>
          </w:p>
        </w:tc>
        <w:tc>
          <w:tcPr>
            <w:tcW w:w="587" w:type="dxa"/>
            <w:tcBorders>
              <w:top w:val="nil"/>
              <w:left w:val="nil"/>
              <w:bottom w:val="nil"/>
              <w:right w:val="nil"/>
            </w:tcBorders>
            <w:shd w:val="clear" w:color="auto" w:fill="auto"/>
            <w:noWrap/>
            <w:vAlign w:val="bottom"/>
            <w:hideMark/>
          </w:tcPr>
          <w:p w14:paraId="18A701F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89</w:t>
            </w:r>
          </w:p>
        </w:tc>
        <w:tc>
          <w:tcPr>
            <w:tcW w:w="536" w:type="dxa"/>
            <w:tcBorders>
              <w:top w:val="nil"/>
              <w:left w:val="nil"/>
              <w:bottom w:val="nil"/>
              <w:right w:val="nil"/>
            </w:tcBorders>
            <w:shd w:val="clear" w:color="auto" w:fill="auto"/>
            <w:noWrap/>
            <w:vAlign w:val="bottom"/>
            <w:hideMark/>
          </w:tcPr>
          <w:p w14:paraId="5A02FE4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89</w:t>
            </w:r>
          </w:p>
        </w:tc>
        <w:tc>
          <w:tcPr>
            <w:tcW w:w="610" w:type="dxa"/>
            <w:tcBorders>
              <w:top w:val="nil"/>
              <w:left w:val="nil"/>
              <w:bottom w:val="nil"/>
              <w:right w:val="nil"/>
            </w:tcBorders>
            <w:shd w:val="clear" w:color="auto" w:fill="auto"/>
            <w:noWrap/>
            <w:vAlign w:val="bottom"/>
            <w:hideMark/>
          </w:tcPr>
          <w:p w14:paraId="3FE0CCD2"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93</w:t>
            </w:r>
          </w:p>
        </w:tc>
        <w:tc>
          <w:tcPr>
            <w:tcW w:w="518" w:type="dxa"/>
            <w:tcBorders>
              <w:top w:val="nil"/>
              <w:left w:val="nil"/>
              <w:bottom w:val="nil"/>
              <w:right w:val="nil"/>
            </w:tcBorders>
            <w:shd w:val="clear" w:color="auto" w:fill="auto"/>
            <w:noWrap/>
            <w:vAlign w:val="bottom"/>
            <w:hideMark/>
          </w:tcPr>
          <w:p w14:paraId="2E1E598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78</w:t>
            </w:r>
          </w:p>
        </w:tc>
        <w:tc>
          <w:tcPr>
            <w:tcW w:w="453" w:type="dxa"/>
            <w:tcBorders>
              <w:top w:val="nil"/>
              <w:left w:val="nil"/>
              <w:bottom w:val="nil"/>
              <w:right w:val="nil"/>
            </w:tcBorders>
            <w:shd w:val="clear" w:color="auto" w:fill="auto"/>
            <w:noWrap/>
            <w:vAlign w:val="bottom"/>
            <w:hideMark/>
          </w:tcPr>
          <w:p w14:paraId="5D5D3D39"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87</w:t>
            </w:r>
          </w:p>
        </w:tc>
        <w:tc>
          <w:tcPr>
            <w:tcW w:w="563" w:type="dxa"/>
            <w:tcBorders>
              <w:top w:val="nil"/>
              <w:left w:val="nil"/>
              <w:bottom w:val="nil"/>
              <w:right w:val="nil"/>
            </w:tcBorders>
            <w:shd w:val="clear" w:color="auto" w:fill="auto"/>
            <w:noWrap/>
            <w:vAlign w:val="bottom"/>
            <w:hideMark/>
          </w:tcPr>
          <w:p w14:paraId="5D02A1D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25</w:t>
            </w:r>
          </w:p>
        </w:tc>
        <w:tc>
          <w:tcPr>
            <w:tcW w:w="543" w:type="dxa"/>
            <w:tcBorders>
              <w:top w:val="nil"/>
              <w:left w:val="nil"/>
              <w:bottom w:val="nil"/>
              <w:right w:val="nil"/>
            </w:tcBorders>
            <w:shd w:val="clear" w:color="auto" w:fill="auto"/>
            <w:noWrap/>
            <w:vAlign w:val="bottom"/>
            <w:hideMark/>
          </w:tcPr>
          <w:p w14:paraId="4908027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16</w:t>
            </w:r>
          </w:p>
        </w:tc>
        <w:tc>
          <w:tcPr>
            <w:tcW w:w="532" w:type="dxa"/>
            <w:tcBorders>
              <w:top w:val="nil"/>
              <w:left w:val="nil"/>
              <w:bottom w:val="nil"/>
              <w:right w:val="nil"/>
            </w:tcBorders>
            <w:shd w:val="clear" w:color="auto" w:fill="auto"/>
            <w:noWrap/>
            <w:vAlign w:val="bottom"/>
            <w:hideMark/>
          </w:tcPr>
          <w:p w14:paraId="5354242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21</w:t>
            </w:r>
          </w:p>
        </w:tc>
      </w:tr>
      <w:tr w:rsidR="006258EE" w:rsidRPr="00FF758F" w14:paraId="7902B01B" w14:textId="77777777" w:rsidTr="001C516A">
        <w:trPr>
          <w:trHeight w:val="300"/>
          <w:jc w:val="center"/>
        </w:trPr>
        <w:tc>
          <w:tcPr>
            <w:tcW w:w="1530" w:type="dxa"/>
            <w:tcBorders>
              <w:top w:val="nil"/>
              <w:left w:val="nil"/>
              <w:bottom w:val="single" w:sz="4" w:space="0" w:color="auto"/>
              <w:right w:val="nil"/>
            </w:tcBorders>
            <w:shd w:val="clear" w:color="auto" w:fill="auto"/>
            <w:noWrap/>
            <w:vAlign w:val="bottom"/>
            <w:hideMark/>
          </w:tcPr>
          <w:p w14:paraId="32212EFE" w14:textId="77777777" w:rsidR="001C516A" w:rsidRPr="00FF758F" w:rsidRDefault="001C516A" w:rsidP="00F368ED">
            <w:pPr>
              <w:spacing w:after="0" w:line="240" w:lineRule="auto"/>
              <w:rPr>
                <w:rFonts w:ascii="Calibri" w:eastAsia="Times New Roman" w:hAnsi="Calibri" w:cs="Times New Roman"/>
                <w:b/>
              </w:rPr>
            </w:pPr>
            <w:r w:rsidRPr="00FF758F">
              <w:rPr>
                <w:rFonts w:ascii="Calibri" w:eastAsia="Times New Roman" w:hAnsi="Calibri" w:cs="Times New Roman"/>
                <w:b/>
              </w:rPr>
              <w:t> </w:t>
            </w:r>
          </w:p>
        </w:tc>
        <w:tc>
          <w:tcPr>
            <w:tcW w:w="2360" w:type="dxa"/>
            <w:tcBorders>
              <w:top w:val="nil"/>
              <w:left w:val="nil"/>
              <w:bottom w:val="nil"/>
              <w:right w:val="nil"/>
            </w:tcBorders>
            <w:shd w:val="clear" w:color="auto" w:fill="auto"/>
            <w:noWrap/>
            <w:vAlign w:val="bottom"/>
            <w:hideMark/>
          </w:tcPr>
          <w:p w14:paraId="3E14A343" w14:textId="77777777" w:rsidR="001C516A" w:rsidRPr="00FF758F" w:rsidRDefault="001C516A" w:rsidP="00F368ED">
            <w:pPr>
              <w:spacing w:after="0" w:line="240" w:lineRule="auto"/>
              <w:rPr>
                <w:rFonts w:ascii="Calibri" w:eastAsia="Times New Roman" w:hAnsi="Calibri" w:cs="Times New Roman"/>
                <w:b/>
                <w:i/>
              </w:rPr>
            </w:pPr>
            <w:r w:rsidRPr="00FF758F">
              <w:rPr>
                <w:rFonts w:ascii="Calibri" w:eastAsia="Times New Roman" w:hAnsi="Calibri" w:cs="Times New Roman"/>
                <w:b/>
                <w:i/>
              </w:rPr>
              <w:t>P. spp. PI 16171</w:t>
            </w:r>
          </w:p>
        </w:tc>
        <w:tc>
          <w:tcPr>
            <w:tcW w:w="574" w:type="dxa"/>
            <w:tcBorders>
              <w:top w:val="nil"/>
              <w:left w:val="nil"/>
              <w:bottom w:val="single" w:sz="4" w:space="0" w:color="auto"/>
              <w:right w:val="nil"/>
            </w:tcBorders>
            <w:shd w:val="clear" w:color="auto" w:fill="auto"/>
            <w:noWrap/>
            <w:vAlign w:val="bottom"/>
            <w:hideMark/>
          </w:tcPr>
          <w:p w14:paraId="38C804C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19</w:t>
            </w:r>
          </w:p>
        </w:tc>
        <w:tc>
          <w:tcPr>
            <w:tcW w:w="554" w:type="dxa"/>
            <w:tcBorders>
              <w:top w:val="nil"/>
              <w:left w:val="nil"/>
              <w:bottom w:val="single" w:sz="4" w:space="0" w:color="auto"/>
              <w:right w:val="nil"/>
            </w:tcBorders>
            <w:shd w:val="clear" w:color="auto" w:fill="auto"/>
            <w:noWrap/>
            <w:vAlign w:val="bottom"/>
            <w:hideMark/>
          </w:tcPr>
          <w:p w14:paraId="6C6C0C0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52</w:t>
            </w:r>
          </w:p>
        </w:tc>
        <w:tc>
          <w:tcPr>
            <w:tcW w:w="508" w:type="dxa"/>
            <w:tcBorders>
              <w:top w:val="nil"/>
              <w:left w:val="nil"/>
              <w:bottom w:val="single" w:sz="4" w:space="0" w:color="auto"/>
              <w:right w:val="nil"/>
            </w:tcBorders>
            <w:shd w:val="clear" w:color="auto" w:fill="auto"/>
            <w:noWrap/>
            <w:vAlign w:val="bottom"/>
            <w:hideMark/>
          </w:tcPr>
          <w:p w14:paraId="08172CB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59</w:t>
            </w:r>
          </w:p>
        </w:tc>
        <w:tc>
          <w:tcPr>
            <w:tcW w:w="543" w:type="dxa"/>
            <w:tcBorders>
              <w:top w:val="nil"/>
              <w:left w:val="nil"/>
              <w:bottom w:val="single" w:sz="4" w:space="0" w:color="auto"/>
              <w:right w:val="nil"/>
            </w:tcBorders>
            <w:shd w:val="clear" w:color="auto" w:fill="auto"/>
            <w:noWrap/>
            <w:vAlign w:val="bottom"/>
            <w:hideMark/>
          </w:tcPr>
          <w:p w14:paraId="7C1A070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55</w:t>
            </w:r>
          </w:p>
        </w:tc>
        <w:tc>
          <w:tcPr>
            <w:tcW w:w="587" w:type="dxa"/>
            <w:tcBorders>
              <w:top w:val="nil"/>
              <w:left w:val="nil"/>
              <w:bottom w:val="single" w:sz="4" w:space="0" w:color="auto"/>
              <w:right w:val="nil"/>
            </w:tcBorders>
            <w:shd w:val="clear" w:color="auto" w:fill="auto"/>
            <w:noWrap/>
            <w:vAlign w:val="bottom"/>
            <w:hideMark/>
          </w:tcPr>
          <w:p w14:paraId="0D8C35A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87</w:t>
            </w:r>
          </w:p>
        </w:tc>
        <w:tc>
          <w:tcPr>
            <w:tcW w:w="536" w:type="dxa"/>
            <w:tcBorders>
              <w:top w:val="nil"/>
              <w:left w:val="nil"/>
              <w:bottom w:val="single" w:sz="4" w:space="0" w:color="auto"/>
              <w:right w:val="nil"/>
            </w:tcBorders>
            <w:shd w:val="clear" w:color="auto" w:fill="auto"/>
            <w:noWrap/>
            <w:vAlign w:val="bottom"/>
            <w:hideMark/>
          </w:tcPr>
          <w:p w14:paraId="56F3957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64</w:t>
            </w:r>
          </w:p>
        </w:tc>
        <w:tc>
          <w:tcPr>
            <w:tcW w:w="610" w:type="dxa"/>
            <w:tcBorders>
              <w:top w:val="nil"/>
              <w:left w:val="nil"/>
              <w:bottom w:val="single" w:sz="4" w:space="0" w:color="auto"/>
              <w:right w:val="nil"/>
            </w:tcBorders>
            <w:shd w:val="clear" w:color="auto" w:fill="auto"/>
            <w:noWrap/>
            <w:vAlign w:val="bottom"/>
            <w:hideMark/>
          </w:tcPr>
          <w:p w14:paraId="59BB01B3"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69</w:t>
            </w:r>
          </w:p>
        </w:tc>
        <w:tc>
          <w:tcPr>
            <w:tcW w:w="518" w:type="dxa"/>
            <w:tcBorders>
              <w:top w:val="nil"/>
              <w:left w:val="nil"/>
              <w:bottom w:val="single" w:sz="4" w:space="0" w:color="auto"/>
              <w:right w:val="nil"/>
            </w:tcBorders>
            <w:shd w:val="clear" w:color="auto" w:fill="auto"/>
            <w:noWrap/>
            <w:vAlign w:val="bottom"/>
            <w:hideMark/>
          </w:tcPr>
          <w:p w14:paraId="763D24B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53</w:t>
            </w:r>
          </w:p>
        </w:tc>
        <w:tc>
          <w:tcPr>
            <w:tcW w:w="453" w:type="dxa"/>
            <w:tcBorders>
              <w:top w:val="nil"/>
              <w:left w:val="nil"/>
              <w:bottom w:val="single" w:sz="4" w:space="0" w:color="auto"/>
              <w:right w:val="nil"/>
            </w:tcBorders>
            <w:shd w:val="clear" w:color="auto" w:fill="auto"/>
            <w:noWrap/>
            <w:vAlign w:val="bottom"/>
            <w:hideMark/>
          </w:tcPr>
          <w:p w14:paraId="22B56D0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45</w:t>
            </w:r>
          </w:p>
        </w:tc>
        <w:tc>
          <w:tcPr>
            <w:tcW w:w="563" w:type="dxa"/>
            <w:tcBorders>
              <w:top w:val="nil"/>
              <w:left w:val="nil"/>
              <w:bottom w:val="single" w:sz="4" w:space="0" w:color="auto"/>
              <w:right w:val="nil"/>
            </w:tcBorders>
            <w:shd w:val="clear" w:color="auto" w:fill="auto"/>
            <w:noWrap/>
            <w:vAlign w:val="bottom"/>
            <w:hideMark/>
          </w:tcPr>
          <w:p w14:paraId="2524470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12</w:t>
            </w:r>
          </w:p>
        </w:tc>
        <w:tc>
          <w:tcPr>
            <w:tcW w:w="543" w:type="dxa"/>
            <w:tcBorders>
              <w:top w:val="nil"/>
              <w:left w:val="nil"/>
              <w:bottom w:val="single" w:sz="4" w:space="0" w:color="auto"/>
              <w:right w:val="nil"/>
            </w:tcBorders>
            <w:shd w:val="clear" w:color="auto" w:fill="auto"/>
            <w:noWrap/>
            <w:vAlign w:val="bottom"/>
            <w:hideMark/>
          </w:tcPr>
          <w:p w14:paraId="7BC60586"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w:t>
            </w:r>
          </w:p>
        </w:tc>
        <w:tc>
          <w:tcPr>
            <w:tcW w:w="532" w:type="dxa"/>
            <w:tcBorders>
              <w:top w:val="nil"/>
              <w:left w:val="nil"/>
              <w:bottom w:val="single" w:sz="4" w:space="0" w:color="auto"/>
              <w:right w:val="nil"/>
            </w:tcBorders>
            <w:shd w:val="clear" w:color="auto" w:fill="auto"/>
            <w:noWrap/>
            <w:vAlign w:val="bottom"/>
            <w:hideMark/>
          </w:tcPr>
          <w:p w14:paraId="76CEDD0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10</w:t>
            </w:r>
          </w:p>
        </w:tc>
      </w:tr>
      <w:tr w:rsidR="006258EE" w:rsidRPr="00FF758F" w14:paraId="33AF0C10" w14:textId="77777777" w:rsidTr="001C516A">
        <w:trPr>
          <w:trHeight w:val="300"/>
          <w:jc w:val="center"/>
        </w:trPr>
        <w:tc>
          <w:tcPr>
            <w:tcW w:w="1530" w:type="dxa"/>
            <w:tcBorders>
              <w:top w:val="nil"/>
              <w:left w:val="nil"/>
              <w:bottom w:val="single" w:sz="4" w:space="0" w:color="auto"/>
              <w:right w:val="nil"/>
            </w:tcBorders>
            <w:shd w:val="clear" w:color="auto" w:fill="auto"/>
            <w:noWrap/>
            <w:vAlign w:val="bottom"/>
            <w:hideMark/>
          </w:tcPr>
          <w:p w14:paraId="772AF62A" w14:textId="77777777" w:rsidR="001C516A" w:rsidRPr="00FF758F" w:rsidRDefault="001C516A" w:rsidP="00F368ED">
            <w:pPr>
              <w:spacing w:after="0" w:line="240" w:lineRule="auto"/>
              <w:rPr>
                <w:rFonts w:ascii="Calibri" w:eastAsia="Times New Roman" w:hAnsi="Calibri" w:cs="Times New Roman"/>
                <w:b/>
              </w:rPr>
            </w:pPr>
            <w:r w:rsidRPr="00FF758F">
              <w:rPr>
                <w:rFonts w:ascii="Calibri" w:eastAsia="Times New Roman" w:hAnsi="Calibri" w:cs="Times New Roman"/>
                <w:b/>
              </w:rPr>
              <w:t>LSD</w:t>
            </w:r>
          </w:p>
        </w:tc>
        <w:tc>
          <w:tcPr>
            <w:tcW w:w="2360" w:type="dxa"/>
            <w:tcBorders>
              <w:top w:val="single" w:sz="4" w:space="0" w:color="auto"/>
              <w:left w:val="nil"/>
              <w:bottom w:val="single" w:sz="4" w:space="0" w:color="auto"/>
              <w:right w:val="nil"/>
            </w:tcBorders>
            <w:shd w:val="clear" w:color="auto" w:fill="auto"/>
            <w:noWrap/>
            <w:vAlign w:val="bottom"/>
            <w:hideMark/>
          </w:tcPr>
          <w:p w14:paraId="46329AED" w14:textId="77777777" w:rsidR="001C516A" w:rsidRPr="00FF758F" w:rsidRDefault="001C516A" w:rsidP="00F368ED">
            <w:pPr>
              <w:spacing w:after="0" w:line="240" w:lineRule="auto"/>
              <w:rPr>
                <w:rFonts w:ascii="Calibri" w:eastAsia="Times New Roman" w:hAnsi="Calibri" w:cs="Times New Roman"/>
                <w:b/>
              </w:rPr>
            </w:pPr>
            <w:r w:rsidRPr="00FF758F">
              <w:rPr>
                <w:rFonts w:ascii="Calibri" w:eastAsia="Times New Roman" w:hAnsi="Calibri" w:cs="Times New Roman"/>
                <w:b/>
              </w:rPr>
              <w:t> </w:t>
            </w:r>
          </w:p>
        </w:tc>
        <w:tc>
          <w:tcPr>
            <w:tcW w:w="574" w:type="dxa"/>
            <w:tcBorders>
              <w:top w:val="nil"/>
              <w:left w:val="nil"/>
              <w:bottom w:val="single" w:sz="4" w:space="0" w:color="auto"/>
              <w:right w:val="nil"/>
            </w:tcBorders>
            <w:shd w:val="clear" w:color="auto" w:fill="auto"/>
            <w:noWrap/>
            <w:vAlign w:val="bottom"/>
            <w:hideMark/>
          </w:tcPr>
          <w:p w14:paraId="1E6E3EB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3</w:t>
            </w:r>
          </w:p>
        </w:tc>
        <w:tc>
          <w:tcPr>
            <w:tcW w:w="554" w:type="dxa"/>
            <w:tcBorders>
              <w:top w:val="nil"/>
              <w:left w:val="nil"/>
              <w:bottom w:val="single" w:sz="4" w:space="0" w:color="auto"/>
              <w:right w:val="nil"/>
            </w:tcBorders>
            <w:shd w:val="clear" w:color="auto" w:fill="auto"/>
            <w:noWrap/>
            <w:vAlign w:val="bottom"/>
            <w:hideMark/>
          </w:tcPr>
          <w:p w14:paraId="0668599C"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7</w:t>
            </w:r>
          </w:p>
        </w:tc>
        <w:tc>
          <w:tcPr>
            <w:tcW w:w="508" w:type="dxa"/>
            <w:tcBorders>
              <w:top w:val="nil"/>
              <w:left w:val="nil"/>
              <w:bottom w:val="single" w:sz="4" w:space="0" w:color="auto"/>
              <w:right w:val="nil"/>
            </w:tcBorders>
            <w:shd w:val="clear" w:color="auto" w:fill="auto"/>
            <w:noWrap/>
            <w:vAlign w:val="bottom"/>
            <w:hideMark/>
          </w:tcPr>
          <w:p w14:paraId="6C425D7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8</w:t>
            </w:r>
          </w:p>
        </w:tc>
        <w:tc>
          <w:tcPr>
            <w:tcW w:w="543" w:type="dxa"/>
            <w:tcBorders>
              <w:top w:val="nil"/>
              <w:left w:val="nil"/>
              <w:bottom w:val="single" w:sz="4" w:space="0" w:color="auto"/>
              <w:right w:val="nil"/>
            </w:tcBorders>
            <w:shd w:val="clear" w:color="auto" w:fill="auto"/>
            <w:noWrap/>
            <w:vAlign w:val="bottom"/>
            <w:hideMark/>
          </w:tcPr>
          <w:p w14:paraId="49083CA7"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10</w:t>
            </w:r>
          </w:p>
        </w:tc>
        <w:tc>
          <w:tcPr>
            <w:tcW w:w="587" w:type="dxa"/>
            <w:tcBorders>
              <w:top w:val="nil"/>
              <w:left w:val="nil"/>
              <w:bottom w:val="single" w:sz="4" w:space="0" w:color="auto"/>
              <w:right w:val="nil"/>
            </w:tcBorders>
            <w:shd w:val="clear" w:color="auto" w:fill="auto"/>
            <w:noWrap/>
            <w:vAlign w:val="bottom"/>
            <w:hideMark/>
          </w:tcPr>
          <w:p w14:paraId="5C0BA2E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11</w:t>
            </w:r>
          </w:p>
        </w:tc>
        <w:tc>
          <w:tcPr>
            <w:tcW w:w="536" w:type="dxa"/>
            <w:tcBorders>
              <w:top w:val="nil"/>
              <w:left w:val="nil"/>
              <w:bottom w:val="single" w:sz="4" w:space="0" w:color="auto"/>
              <w:right w:val="nil"/>
            </w:tcBorders>
            <w:shd w:val="clear" w:color="auto" w:fill="auto"/>
            <w:noWrap/>
            <w:vAlign w:val="bottom"/>
            <w:hideMark/>
          </w:tcPr>
          <w:p w14:paraId="4575D974"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14</w:t>
            </w:r>
          </w:p>
        </w:tc>
        <w:tc>
          <w:tcPr>
            <w:tcW w:w="610" w:type="dxa"/>
            <w:tcBorders>
              <w:top w:val="nil"/>
              <w:left w:val="nil"/>
              <w:bottom w:val="single" w:sz="4" w:space="0" w:color="auto"/>
              <w:right w:val="nil"/>
            </w:tcBorders>
            <w:shd w:val="clear" w:color="auto" w:fill="auto"/>
            <w:noWrap/>
            <w:vAlign w:val="bottom"/>
            <w:hideMark/>
          </w:tcPr>
          <w:p w14:paraId="552406F0"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19</w:t>
            </w:r>
          </w:p>
        </w:tc>
        <w:tc>
          <w:tcPr>
            <w:tcW w:w="518" w:type="dxa"/>
            <w:tcBorders>
              <w:top w:val="nil"/>
              <w:left w:val="nil"/>
              <w:bottom w:val="single" w:sz="4" w:space="0" w:color="auto"/>
              <w:right w:val="nil"/>
            </w:tcBorders>
            <w:shd w:val="clear" w:color="auto" w:fill="auto"/>
            <w:noWrap/>
            <w:vAlign w:val="bottom"/>
            <w:hideMark/>
          </w:tcPr>
          <w:p w14:paraId="622B102F"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21</w:t>
            </w:r>
          </w:p>
        </w:tc>
        <w:tc>
          <w:tcPr>
            <w:tcW w:w="453" w:type="dxa"/>
            <w:tcBorders>
              <w:top w:val="nil"/>
              <w:left w:val="nil"/>
              <w:bottom w:val="single" w:sz="4" w:space="0" w:color="auto"/>
              <w:right w:val="nil"/>
            </w:tcBorders>
            <w:shd w:val="clear" w:color="auto" w:fill="auto"/>
            <w:noWrap/>
            <w:vAlign w:val="bottom"/>
            <w:hideMark/>
          </w:tcPr>
          <w:p w14:paraId="2918C39A"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24</w:t>
            </w:r>
          </w:p>
        </w:tc>
        <w:tc>
          <w:tcPr>
            <w:tcW w:w="563" w:type="dxa"/>
            <w:tcBorders>
              <w:top w:val="nil"/>
              <w:left w:val="nil"/>
              <w:bottom w:val="single" w:sz="4" w:space="0" w:color="auto"/>
              <w:right w:val="nil"/>
            </w:tcBorders>
            <w:shd w:val="clear" w:color="auto" w:fill="auto"/>
            <w:noWrap/>
            <w:vAlign w:val="bottom"/>
            <w:hideMark/>
          </w:tcPr>
          <w:p w14:paraId="3614AD55"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29</w:t>
            </w:r>
          </w:p>
        </w:tc>
        <w:tc>
          <w:tcPr>
            <w:tcW w:w="543" w:type="dxa"/>
            <w:tcBorders>
              <w:top w:val="nil"/>
              <w:left w:val="nil"/>
              <w:bottom w:val="single" w:sz="4" w:space="0" w:color="auto"/>
              <w:right w:val="nil"/>
            </w:tcBorders>
            <w:shd w:val="clear" w:color="auto" w:fill="auto"/>
            <w:noWrap/>
            <w:vAlign w:val="bottom"/>
            <w:hideMark/>
          </w:tcPr>
          <w:p w14:paraId="524A6D2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14</w:t>
            </w:r>
          </w:p>
        </w:tc>
        <w:tc>
          <w:tcPr>
            <w:tcW w:w="532" w:type="dxa"/>
            <w:tcBorders>
              <w:top w:val="nil"/>
              <w:left w:val="nil"/>
              <w:bottom w:val="single" w:sz="4" w:space="0" w:color="auto"/>
              <w:right w:val="nil"/>
            </w:tcBorders>
            <w:shd w:val="clear" w:color="auto" w:fill="auto"/>
            <w:noWrap/>
            <w:vAlign w:val="bottom"/>
            <w:hideMark/>
          </w:tcPr>
          <w:p w14:paraId="0C4AFBEB" w14:textId="77777777" w:rsidR="001C516A" w:rsidRPr="00FF758F" w:rsidRDefault="001C516A" w:rsidP="00F368ED">
            <w:pPr>
              <w:spacing w:after="0" w:line="240" w:lineRule="auto"/>
              <w:jc w:val="center"/>
              <w:rPr>
                <w:rFonts w:ascii="Calibri" w:eastAsia="Times New Roman" w:hAnsi="Calibri" w:cs="Times New Roman"/>
                <w:b/>
              </w:rPr>
            </w:pPr>
            <w:r w:rsidRPr="00FF758F">
              <w:rPr>
                <w:rFonts w:ascii="Calibri" w:eastAsia="Times New Roman" w:hAnsi="Calibri" w:cs="Times New Roman"/>
                <w:b/>
              </w:rPr>
              <w:t>15</w:t>
            </w:r>
          </w:p>
        </w:tc>
      </w:tr>
    </w:tbl>
    <w:p w14:paraId="5D6E834C" w14:textId="77777777" w:rsidR="00FE0D9E" w:rsidRPr="00B0077C" w:rsidRDefault="00FE0D9E" w:rsidP="00B0077C"/>
    <w:p w14:paraId="73AFF15E"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3FCB9F88"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01B3EBF8"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6E70281D" w14:textId="77777777" w:rsidR="008072D0" w:rsidRDefault="008072D0" w:rsidP="00ED7955">
      <w:pPr>
        <w:spacing w:line="240" w:lineRule="auto"/>
        <w:ind w:left="720" w:hanging="720"/>
        <w:rPr>
          <w:rFonts w:ascii="Times New Roman" w:eastAsiaTheme="minorHAnsi" w:hAnsi="Times New Roman" w:cs="Times New Roman"/>
          <w:sz w:val="24"/>
          <w:szCs w:val="24"/>
        </w:rPr>
      </w:pPr>
    </w:p>
    <w:p w14:paraId="5FBFC205" w14:textId="77777777" w:rsidR="008072D0" w:rsidRPr="000E14E4" w:rsidRDefault="008072D0" w:rsidP="00ED7955">
      <w:pPr>
        <w:spacing w:line="240" w:lineRule="auto"/>
        <w:ind w:left="720" w:hanging="720"/>
        <w:rPr>
          <w:rFonts w:ascii="Times New Roman" w:eastAsiaTheme="minorHAnsi" w:hAnsi="Times New Roman" w:cs="Times New Roman"/>
          <w:sz w:val="24"/>
          <w:szCs w:val="24"/>
        </w:rPr>
      </w:pPr>
    </w:p>
    <w:tbl>
      <w:tblPr>
        <w:tblW w:w="10872" w:type="dxa"/>
        <w:jc w:val="center"/>
        <w:tblInd w:w="2623" w:type="dxa"/>
        <w:tblLook w:val="04A0" w:firstRow="1" w:lastRow="0" w:firstColumn="1" w:lastColumn="0" w:noHBand="0" w:noVBand="1"/>
      </w:tblPr>
      <w:tblGrid>
        <w:gridCol w:w="1526"/>
        <w:gridCol w:w="2362"/>
        <w:gridCol w:w="584"/>
        <w:gridCol w:w="576"/>
        <w:gridCol w:w="576"/>
        <w:gridCol w:w="576"/>
        <w:gridCol w:w="596"/>
        <w:gridCol w:w="576"/>
        <w:gridCol w:w="622"/>
        <w:gridCol w:w="576"/>
        <w:gridCol w:w="576"/>
        <w:gridCol w:w="576"/>
        <w:gridCol w:w="576"/>
        <w:gridCol w:w="576"/>
      </w:tblGrid>
      <w:tr w:rsidR="006258EE" w:rsidRPr="00053D06" w14:paraId="71176B64" w14:textId="77777777" w:rsidTr="00F368ED">
        <w:trPr>
          <w:trHeight w:val="300"/>
          <w:jc w:val="center"/>
        </w:trPr>
        <w:tc>
          <w:tcPr>
            <w:tcW w:w="10872" w:type="dxa"/>
            <w:gridSpan w:val="14"/>
            <w:tcBorders>
              <w:top w:val="nil"/>
              <w:left w:val="nil"/>
              <w:bottom w:val="single" w:sz="4" w:space="0" w:color="auto"/>
              <w:right w:val="nil"/>
            </w:tcBorders>
            <w:shd w:val="clear" w:color="auto" w:fill="auto"/>
            <w:noWrap/>
            <w:vAlign w:val="bottom"/>
            <w:hideMark/>
          </w:tcPr>
          <w:p w14:paraId="5A83105B"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lastRenderedPageBreak/>
              <w:t>Table 2.4. Effect of growth habit and entries on percent green cover over a one year period in 2011-2012 in Knoxville, TN.</w:t>
            </w:r>
          </w:p>
        </w:tc>
      </w:tr>
      <w:tr w:rsidR="006258EE" w:rsidRPr="00053D06" w14:paraId="21639148" w14:textId="77777777" w:rsidTr="00F368ED">
        <w:trPr>
          <w:trHeight w:val="300"/>
          <w:jc w:val="center"/>
        </w:trPr>
        <w:tc>
          <w:tcPr>
            <w:tcW w:w="1526" w:type="dxa"/>
            <w:tcBorders>
              <w:top w:val="nil"/>
              <w:left w:val="nil"/>
              <w:bottom w:val="single" w:sz="4" w:space="0" w:color="auto"/>
              <w:right w:val="nil"/>
            </w:tcBorders>
            <w:shd w:val="clear" w:color="auto" w:fill="auto"/>
            <w:noWrap/>
            <w:vAlign w:val="bottom"/>
            <w:hideMark/>
          </w:tcPr>
          <w:p w14:paraId="2A7FD098"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Growth</w:t>
            </w:r>
          </w:p>
        </w:tc>
        <w:tc>
          <w:tcPr>
            <w:tcW w:w="2362" w:type="dxa"/>
            <w:tcBorders>
              <w:top w:val="nil"/>
              <w:left w:val="nil"/>
              <w:bottom w:val="single" w:sz="4" w:space="0" w:color="auto"/>
              <w:right w:val="nil"/>
            </w:tcBorders>
            <w:shd w:val="clear" w:color="auto" w:fill="auto"/>
            <w:noWrap/>
            <w:vAlign w:val="bottom"/>
            <w:hideMark/>
          </w:tcPr>
          <w:p w14:paraId="0472150A"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Entry</w:t>
            </w:r>
          </w:p>
        </w:tc>
        <w:tc>
          <w:tcPr>
            <w:tcW w:w="576" w:type="dxa"/>
            <w:tcBorders>
              <w:top w:val="nil"/>
              <w:left w:val="nil"/>
              <w:bottom w:val="single" w:sz="4" w:space="0" w:color="auto"/>
              <w:right w:val="nil"/>
            </w:tcBorders>
            <w:shd w:val="clear" w:color="auto" w:fill="auto"/>
            <w:noWrap/>
            <w:vAlign w:val="bottom"/>
            <w:hideMark/>
          </w:tcPr>
          <w:p w14:paraId="279DCE7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Nov</w:t>
            </w:r>
          </w:p>
        </w:tc>
        <w:tc>
          <w:tcPr>
            <w:tcW w:w="576" w:type="dxa"/>
            <w:tcBorders>
              <w:top w:val="nil"/>
              <w:left w:val="nil"/>
              <w:bottom w:val="single" w:sz="4" w:space="0" w:color="auto"/>
              <w:right w:val="nil"/>
            </w:tcBorders>
            <w:shd w:val="clear" w:color="auto" w:fill="auto"/>
            <w:noWrap/>
            <w:vAlign w:val="bottom"/>
            <w:hideMark/>
          </w:tcPr>
          <w:p w14:paraId="6C07718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Dec</w:t>
            </w:r>
          </w:p>
        </w:tc>
        <w:tc>
          <w:tcPr>
            <w:tcW w:w="576" w:type="dxa"/>
            <w:tcBorders>
              <w:top w:val="nil"/>
              <w:left w:val="nil"/>
              <w:bottom w:val="single" w:sz="4" w:space="0" w:color="auto"/>
              <w:right w:val="nil"/>
            </w:tcBorders>
            <w:shd w:val="clear" w:color="auto" w:fill="auto"/>
            <w:noWrap/>
            <w:vAlign w:val="bottom"/>
            <w:hideMark/>
          </w:tcPr>
          <w:p w14:paraId="749BBD0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Jan</w:t>
            </w:r>
          </w:p>
        </w:tc>
        <w:tc>
          <w:tcPr>
            <w:tcW w:w="576" w:type="dxa"/>
            <w:tcBorders>
              <w:top w:val="nil"/>
              <w:left w:val="nil"/>
              <w:bottom w:val="single" w:sz="4" w:space="0" w:color="auto"/>
              <w:right w:val="nil"/>
            </w:tcBorders>
            <w:shd w:val="clear" w:color="auto" w:fill="auto"/>
            <w:noWrap/>
            <w:vAlign w:val="bottom"/>
            <w:hideMark/>
          </w:tcPr>
          <w:p w14:paraId="15B0C11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Feb</w:t>
            </w:r>
          </w:p>
        </w:tc>
        <w:tc>
          <w:tcPr>
            <w:tcW w:w="587" w:type="dxa"/>
            <w:tcBorders>
              <w:top w:val="nil"/>
              <w:left w:val="nil"/>
              <w:bottom w:val="single" w:sz="4" w:space="0" w:color="auto"/>
              <w:right w:val="nil"/>
            </w:tcBorders>
            <w:shd w:val="clear" w:color="auto" w:fill="auto"/>
            <w:noWrap/>
            <w:vAlign w:val="bottom"/>
            <w:hideMark/>
          </w:tcPr>
          <w:p w14:paraId="38EC64B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Mar</w:t>
            </w:r>
          </w:p>
        </w:tc>
        <w:tc>
          <w:tcPr>
            <w:tcW w:w="576" w:type="dxa"/>
            <w:tcBorders>
              <w:top w:val="nil"/>
              <w:left w:val="nil"/>
              <w:bottom w:val="single" w:sz="4" w:space="0" w:color="auto"/>
              <w:right w:val="nil"/>
            </w:tcBorders>
            <w:shd w:val="clear" w:color="auto" w:fill="auto"/>
            <w:noWrap/>
            <w:vAlign w:val="bottom"/>
            <w:hideMark/>
          </w:tcPr>
          <w:p w14:paraId="5FDFFC9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Apr</w:t>
            </w:r>
          </w:p>
        </w:tc>
        <w:tc>
          <w:tcPr>
            <w:tcW w:w="610" w:type="dxa"/>
            <w:tcBorders>
              <w:top w:val="nil"/>
              <w:left w:val="nil"/>
              <w:bottom w:val="single" w:sz="4" w:space="0" w:color="auto"/>
              <w:right w:val="nil"/>
            </w:tcBorders>
            <w:shd w:val="clear" w:color="auto" w:fill="auto"/>
            <w:noWrap/>
            <w:vAlign w:val="bottom"/>
            <w:hideMark/>
          </w:tcPr>
          <w:p w14:paraId="2EEA3DB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May</w:t>
            </w:r>
          </w:p>
        </w:tc>
        <w:tc>
          <w:tcPr>
            <w:tcW w:w="576" w:type="dxa"/>
            <w:tcBorders>
              <w:top w:val="nil"/>
              <w:left w:val="nil"/>
              <w:bottom w:val="single" w:sz="4" w:space="0" w:color="auto"/>
              <w:right w:val="nil"/>
            </w:tcBorders>
            <w:shd w:val="clear" w:color="auto" w:fill="auto"/>
            <w:noWrap/>
            <w:vAlign w:val="bottom"/>
            <w:hideMark/>
          </w:tcPr>
          <w:p w14:paraId="6B4D8D6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Jun</w:t>
            </w:r>
          </w:p>
        </w:tc>
        <w:tc>
          <w:tcPr>
            <w:tcW w:w="576" w:type="dxa"/>
            <w:tcBorders>
              <w:top w:val="nil"/>
              <w:left w:val="nil"/>
              <w:bottom w:val="single" w:sz="4" w:space="0" w:color="auto"/>
              <w:right w:val="nil"/>
            </w:tcBorders>
            <w:shd w:val="clear" w:color="auto" w:fill="auto"/>
            <w:noWrap/>
            <w:vAlign w:val="bottom"/>
            <w:hideMark/>
          </w:tcPr>
          <w:p w14:paraId="1936D46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Jul</w:t>
            </w:r>
          </w:p>
        </w:tc>
        <w:tc>
          <w:tcPr>
            <w:tcW w:w="576" w:type="dxa"/>
            <w:tcBorders>
              <w:top w:val="nil"/>
              <w:left w:val="nil"/>
              <w:bottom w:val="single" w:sz="4" w:space="0" w:color="auto"/>
              <w:right w:val="nil"/>
            </w:tcBorders>
            <w:shd w:val="clear" w:color="auto" w:fill="auto"/>
            <w:noWrap/>
            <w:vAlign w:val="bottom"/>
            <w:hideMark/>
          </w:tcPr>
          <w:p w14:paraId="677E61F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Aug</w:t>
            </w:r>
          </w:p>
        </w:tc>
        <w:tc>
          <w:tcPr>
            <w:tcW w:w="576" w:type="dxa"/>
            <w:tcBorders>
              <w:top w:val="nil"/>
              <w:left w:val="nil"/>
              <w:bottom w:val="single" w:sz="4" w:space="0" w:color="auto"/>
              <w:right w:val="nil"/>
            </w:tcBorders>
            <w:shd w:val="clear" w:color="auto" w:fill="auto"/>
            <w:noWrap/>
            <w:vAlign w:val="bottom"/>
            <w:hideMark/>
          </w:tcPr>
          <w:p w14:paraId="7681C4B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Sep</w:t>
            </w:r>
          </w:p>
        </w:tc>
        <w:tc>
          <w:tcPr>
            <w:tcW w:w="576" w:type="dxa"/>
            <w:tcBorders>
              <w:top w:val="nil"/>
              <w:left w:val="nil"/>
              <w:bottom w:val="single" w:sz="4" w:space="0" w:color="auto"/>
              <w:right w:val="nil"/>
            </w:tcBorders>
            <w:shd w:val="clear" w:color="auto" w:fill="auto"/>
            <w:noWrap/>
            <w:vAlign w:val="bottom"/>
            <w:hideMark/>
          </w:tcPr>
          <w:p w14:paraId="6B651F0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Oct</w:t>
            </w:r>
          </w:p>
        </w:tc>
      </w:tr>
      <w:tr w:rsidR="006258EE" w:rsidRPr="00053D06" w14:paraId="1E6792E0"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03C92CE2"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Bunch</w:t>
            </w:r>
          </w:p>
        </w:tc>
        <w:tc>
          <w:tcPr>
            <w:tcW w:w="2362" w:type="dxa"/>
            <w:tcBorders>
              <w:top w:val="nil"/>
              <w:left w:val="nil"/>
              <w:bottom w:val="nil"/>
              <w:right w:val="nil"/>
            </w:tcBorders>
            <w:shd w:val="clear" w:color="auto" w:fill="auto"/>
            <w:noWrap/>
            <w:vAlign w:val="bottom"/>
            <w:hideMark/>
          </w:tcPr>
          <w:p w14:paraId="57CB96A4"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Poa alpina</w:t>
            </w:r>
          </w:p>
        </w:tc>
        <w:tc>
          <w:tcPr>
            <w:tcW w:w="576" w:type="dxa"/>
            <w:tcBorders>
              <w:top w:val="nil"/>
              <w:left w:val="nil"/>
              <w:bottom w:val="nil"/>
              <w:right w:val="nil"/>
            </w:tcBorders>
            <w:shd w:val="clear" w:color="auto" w:fill="auto"/>
            <w:noWrap/>
            <w:vAlign w:val="bottom"/>
            <w:hideMark/>
          </w:tcPr>
          <w:p w14:paraId="385F08C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20</w:t>
            </w:r>
          </w:p>
        </w:tc>
        <w:tc>
          <w:tcPr>
            <w:tcW w:w="576" w:type="dxa"/>
            <w:tcBorders>
              <w:top w:val="nil"/>
              <w:left w:val="nil"/>
              <w:bottom w:val="nil"/>
              <w:right w:val="nil"/>
            </w:tcBorders>
            <w:shd w:val="clear" w:color="auto" w:fill="auto"/>
            <w:noWrap/>
            <w:vAlign w:val="bottom"/>
            <w:hideMark/>
          </w:tcPr>
          <w:p w14:paraId="30E106D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37</w:t>
            </w:r>
          </w:p>
        </w:tc>
        <w:tc>
          <w:tcPr>
            <w:tcW w:w="576" w:type="dxa"/>
            <w:tcBorders>
              <w:top w:val="nil"/>
              <w:left w:val="nil"/>
              <w:bottom w:val="nil"/>
              <w:right w:val="nil"/>
            </w:tcBorders>
            <w:shd w:val="clear" w:color="auto" w:fill="auto"/>
            <w:noWrap/>
            <w:vAlign w:val="bottom"/>
            <w:hideMark/>
          </w:tcPr>
          <w:p w14:paraId="43D0880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40</w:t>
            </w:r>
          </w:p>
        </w:tc>
        <w:tc>
          <w:tcPr>
            <w:tcW w:w="576" w:type="dxa"/>
            <w:tcBorders>
              <w:top w:val="nil"/>
              <w:left w:val="nil"/>
              <w:bottom w:val="nil"/>
              <w:right w:val="nil"/>
            </w:tcBorders>
            <w:shd w:val="clear" w:color="auto" w:fill="auto"/>
            <w:noWrap/>
            <w:vAlign w:val="bottom"/>
            <w:hideMark/>
          </w:tcPr>
          <w:p w14:paraId="31FF3C2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29</w:t>
            </w:r>
          </w:p>
        </w:tc>
        <w:tc>
          <w:tcPr>
            <w:tcW w:w="587" w:type="dxa"/>
            <w:tcBorders>
              <w:top w:val="nil"/>
              <w:left w:val="nil"/>
              <w:bottom w:val="nil"/>
              <w:right w:val="nil"/>
            </w:tcBorders>
            <w:shd w:val="clear" w:color="auto" w:fill="auto"/>
            <w:noWrap/>
            <w:vAlign w:val="bottom"/>
            <w:hideMark/>
          </w:tcPr>
          <w:p w14:paraId="27B456B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62</w:t>
            </w:r>
          </w:p>
        </w:tc>
        <w:tc>
          <w:tcPr>
            <w:tcW w:w="576" w:type="dxa"/>
            <w:tcBorders>
              <w:top w:val="nil"/>
              <w:left w:val="nil"/>
              <w:bottom w:val="nil"/>
              <w:right w:val="nil"/>
            </w:tcBorders>
            <w:shd w:val="clear" w:color="auto" w:fill="auto"/>
            <w:noWrap/>
            <w:vAlign w:val="bottom"/>
            <w:hideMark/>
          </w:tcPr>
          <w:p w14:paraId="4C6EEE6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75</w:t>
            </w:r>
          </w:p>
        </w:tc>
        <w:tc>
          <w:tcPr>
            <w:tcW w:w="610" w:type="dxa"/>
            <w:tcBorders>
              <w:top w:val="nil"/>
              <w:left w:val="nil"/>
              <w:bottom w:val="nil"/>
              <w:right w:val="nil"/>
            </w:tcBorders>
            <w:shd w:val="clear" w:color="auto" w:fill="auto"/>
            <w:noWrap/>
            <w:vAlign w:val="bottom"/>
            <w:hideMark/>
          </w:tcPr>
          <w:p w14:paraId="56BC323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64</w:t>
            </w:r>
          </w:p>
        </w:tc>
        <w:tc>
          <w:tcPr>
            <w:tcW w:w="576" w:type="dxa"/>
            <w:tcBorders>
              <w:top w:val="nil"/>
              <w:left w:val="nil"/>
              <w:bottom w:val="nil"/>
              <w:right w:val="nil"/>
            </w:tcBorders>
            <w:shd w:val="clear" w:color="auto" w:fill="auto"/>
            <w:noWrap/>
            <w:vAlign w:val="bottom"/>
            <w:hideMark/>
          </w:tcPr>
          <w:p w14:paraId="0CE04C0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77</w:t>
            </w:r>
          </w:p>
        </w:tc>
        <w:tc>
          <w:tcPr>
            <w:tcW w:w="576" w:type="dxa"/>
            <w:tcBorders>
              <w:top w:val="nil"/>
              <w:left w:val="nil"/>
              <w:bottom w:val="nil"/>
              <w:right w:val="nil"/>
            </w:tcBorders>
            <w:shd w:val="clear" w:color="auto" w:fill="auto"/>
            <w:noWrap/>
            <w:vAlign w:val="bottom"/>
            <w:hideMark/>
          </w:tcPr>
          <w:p w14:paraId="13D1FB7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77</w:t>
            </w:r>
          </w:p>
        </w:tc>
        <w:tc>
          <w:tcPr>
            <w:tcW w:w="576" w:type="dxa"/>
            <w:tcBorders>
              <w:top w:val="nil"/>
              <w:left w:val="nil"/>
              <w:bottom w:val="nil"/>
              <w:right w:val="nil"/>
            </w:tcBorders>
            <w:shd w:val="clear" w:color="auto" w:fill="auto"/>
            <w:noWrap/>
            <w:vAlign w:val="bottom"/>
            <w:hideMark/>
          </w:tcPr>
          <w:p w14:paraId="79A8EA4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45</w:t>
            </w:r>
          </w:p>
        </w:tc>
        <w:tc>
          <w:tcPr>
            <w:tcW w:w="576" w:type="dxa"/>
            <w:tcBorders>
              <w:top w:val="nil"/>
              <w:left w:val="nil"/>
              <w:bottom w:val="nil"/>
              <w:right w:val="nil"/>
            </w:tcBorders>
            <w:shd w:val="clear" w:color="auto" w:fill="auto"/>
            <w:noWrap/>
            <w:vAlign w:val="bottom"/>
            <w:hideMark/>
          </w:tcPr>
          <w:p w14:paraId="6030B52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54</w:t>
            </w:r>
          </w:p>
        </w:tc>
        <w:tc>
          <w:tcPr>
            <w:tcW w:w="576" w:type="dxa"/>
            <w:tcBorders>
              <w:top w:val="nil"/>
              <w:left w:val="nil"/>
              <w:bottom w:val="nil"/>
              <w:right w:val="nil"/>
            </w:tcBorders>
            <w:shd w:val="clear" w:color="auto" w:fill="auto"/>
            <w:noWrap/>
            <w:vAlign w:val="bottom"/>
            <w:hideMark/>
          </w:tcPr>
          <w:p w14:paraId="47A19F4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74</w:t>
            </w:r>
          </w:p>
        </w:tc>
      </w:tr>
      <w:tr w:rsidR="006258EE" w:rsidRPr="00053D06" w14:paraId="1CF094E1"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067A646F"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206BADA0"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alsodes</w:t>
            </w:r>
          </w:p>
        </w:tc>
        <w:tc>
          <w:tcPr>
            <w:tcW w:w="576" w:type="dxa"/>
            <w:tcBorders>
              <w:top w:val="nil"/>
              <w:left w:val="nil"/>
              <w:bottom w:val="nil"/>
              <w:right w:val="nil"/>
            </w:tcBorders>
            <w:shd w:val="clear" w:color="auto" w:fill="auto"/>
            <w:noWrap/>
            <w:vAlign w:val="bottom"/>
            <w:hideMark/>
          </w:tcPr>
          <w:p w14:paraId="5DF0888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10</w:t>
            </w:r>
          </w:p>
        </w:tc>
        <w:tc>
          <w:tcPr>
            <w:tcW w:w="576" w:type="dxa"/>
            <w:tcBorders>
              <w:top w:val="nil"/>
              <w:left w:val="nil"/>
              <w:bottom w:val="nil"/>
              <w:right w:val="nil"/>
            </w:tcBorders>
            <w:shd w:val="clear" w:color="auto" w:fill="auto"/>
            <w:noWrap/>
            <w:vAlign w:val="bottom"/>
            <w:hideMark/>
          </w:tcPr>
          <w:p w14:paraId="6FB3504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w:t>
            </w:r>
          </w:p>
        </w:tc>
        <w:tc>
          <w:tcPr>
            <w:tcW w:w="576" w:type="dxa"/>
            <w:tcBorders>
              <w:top w:val="nil"/>
              <w:left w:val="nil"/>
              <w:bottom w:val="nil"/>
              <w:right w:val="nil"/>
            </w:tcBorders>
            <w:shd w:val="clear" w:color="auto" w:fill="auto"/>
            <w:noWrap/>
            <w:vAlign w:val="bottom"/>
            <w:hideMark/>
          </w:tcPr>
          <w:p w14:paraId="4D1AAEF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16</w:t>
            </w:r>
          </w:p>
        </w:tc>
        <w:tc>
          <w:tcPr>
            <w:tcW w:w="576" w:type="dxa"/>
            <w:tcBorders>
              <w:top w:val="nil"/>
              <w:left w:val="nil"/>
              <w:bottom w:val="nil"/>
              <w:right w:val="nil"/>
            </w:tcBorders>
            <w:shd w:val="clear" w:color="auto" w:fill="auto"/>
            <w:noWrap/>
            <w:vAlign w:val="bottom"/>
            <w:hideMark/>
          </w:tcPr>
          <w:p w14:paraId="13B651F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w:t>
            </w:r>
          </w:p>
        </w:tc>
        <w:tc>
          <w:tcPr>
            <w:tcW w:w="587" w:type="dxa"/>
            <w:tcBorders>
              <w:top w:val="nil"/>
              <w:left w:val="nil"/>
              <w:bottom w:val="nil"/>
              <w:right w:val="nil"/>
            </w:tcBorders>
            <w:shd w:val="clear" w:color="auto" w:fill="auto"/>
            <w:noWrap/>
            <w:vAlign w:val="bottom"/>
            <w:hideMark/>
          </w:tcPr>
          <w:p w14:paraId="5472E7E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11</w:t>
            </w:r>
          </w:p>
        </w:tc>
        <w:tc>
          <w:tcPr>
            <w:tcW w:w="576" w:type="dxa"/>
            <w:tcBorders>
              <w:top w:val="nil"/>
              <w:left w:val="nil"/>
              <w:bottom w:val="nil"/>
              <w:right w:val="nil"/>
            </w:tcBorders>
            <w:shd w:val="clear" w:color="auto" w:fill="auto"/>
            <w:noWrap/>
            <w:vAlign w:val="bottom"/>
            <w:hideMark/>
          </w:tcPr>
          <w:p w14:paraId="5736DF0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35</w:t>
            </w:r>
          </w:p>
        </w:tc>
        <w:tc>
          <w:tcPr>
            <w:tcW w:w="610" w:type="dxa"/>
            <w:tcBorders>
              <w:top w:val="nil"/>
              <w:left w:val="nil"/>
              <w:bottom w:val="nil"/>
              <w:right w:val="nil"/>
            </w:tcBorders>
            <w:shd w:val="clear" w:color="auto" w:fill="auto"/>
            <w:noWrap/>
            <w:vAlign w:val="bottom"/>
            <w:hideMark/>
          </w:tcPr>
          <w:p w14:paraId="6F17218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43</w:t>
            </w:r>
          </w:p>
        </w:tc>
        <w:tc>
          <w:tcPr>
            <w:tcW w:w="576" w:type="dxa"/>
            <w:tcBorders>
              <w:top w:val="nil"/>
              <w:left w:val="nil"/>
              <w:bottom w:val="nil"/>
              <w:right w:val="nil"/>
            </w:tcBorders>
            <w:shd w:val="clear" w:color="auto" w:fill="auto"/>
            <w:noWrap/>
            <w:vAlign w:val="bottom"/>
            <w:hideMark/>
          </w:tcPr>
          <w:p w14:paraId="656D256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41</w:t>
            </w:r>
          </w:p>
        </w:tc>
        <w:tc>
          <w:tcPr>
            <w:tcW w:w="576" w:type="dxa"/>
            <w:tcBorders>
              <w:top w:val="nil"/>
              <w:left w:val="nil"/>
              <w:bottom w:val="nil"/>
              <w:right w:val="nil"/>
            </w:tcBorders>
            <w:shd w:val="clear" w:color="auto" w:fill="auto"/>
            <w:noWrap/>
            <w:vAlign w:val="bottom"/>
            <w:hideMark/>
          </w:tcPr>
          <w:p w14:paraId="2740F50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46</w:t>
            </w:r>
          </w:p>
        </w:tc>
        <w:tc>
          <w:tcPr>
            <w:tcW w:w="576" w:type="dxa"/>
            <w:tcBorders>
              <w:top w:val="nil"/>
              <w:left w:val="nil"/>
              <w:bottom w:val="nil"/>
              <w:right w:val="nil"/>
            </w:tcBorders>
            <w:shd w:val="clear" w:color="auto" w:fill="auto"/>
            <w:noWrap/>
            <w:vAlign w:val="bottom"/>
            <w:hideMark/>
          </w:tcPr>
          <w:p w14:paraId="0203E24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41</w:t>
            </w:r>
          </w:p>
        </w:tc>
        <w:tc>
          <w:tcPr>
            <w:tcW w:w="576" w:type="dxa"/>
            <w:tcBorders>
              <w:top w:val="nil"/>
              <w:left w:val="nil"/>
              <w:bottom w:val="nil"/>
              <w:right w:val="nil"/>
            </w:tcBorders>
            <w:shd w:val="clear" w:color="auto" w:fill="auto"/>
            <w:noWrap/>
            <w:vAlign w:val="bottom"/>
            <w:hideMark/>
          </w:tcPr>
          <w:p w14:paraId="6A0BCEF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48</w:t>
            </w:r>
          </w:p>
        </w:tc>
        <w:tc>
          <w:tcPr>
            <w:tcW w:w="576" w:type="dxa"/>
            <w:tcBorders>
              <w:top w:val="nil"/>
              <w:left w:val="nil"/>
              <w:bottom w:val="nil"/>
              <w:right w:val="nil"/>
            </w:tcBorders>
            <w:shd w:val="clear" w:color="auto" w:fill="auto"/>
            <w:noWrap/>
            <w:vAlign w:val="bottom"/>
            <w:hideMark/>
          </w:tcPr>
          <w:p w14:paraId="62100DD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66</w:t>
            </w:r>
          </w:p>
        </w:tc>
      </w:tr>
      <w:tr w:rsidR="006258EE" w:rsidRPr="00053D06" w14:paraId="64A0C299"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548C3B0D"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22C24E39"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annua</w:t>
            </w:r>
          </w:p>
        </w:tc>
        <w:tc>
          <w:tcPr>
            <w:tcW w:w="576" w:type="dxa"/>
            <w:tcBorders>
              <w:top w:val="nil"/>
              <w:left w:val="nil"/>
              <w:bottom w:val="nil"/>
              <w:right w:val="nil"/>
            </w:tcBorders>
            <w:shd w:val="clear" w:color="auto" w:fill="auto"/>
            <w:noWrap/>
            <w:vAlign w:val="bottom"/>
            <w:hideMark/>
          </w:tcPr>
          <w:p w14:paraId="133F94C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25</w:t>
            </w:r>
          </w:p>
        </w:tc>
        <w:tc>
          <w:tcPr>
            <w:tcW w:w="576" w:type="dxa"/>
            <w:tcBorders>
              <w:top w:val="nil"/>
              <w:left w:val="nil"/>
              <w:bottom w:val="nil"/>
              <w:right w:val="nil"/>
            </w:tcBorders>
            <w:shd w:val="clear" w:color="auto" w:fill="auto"/>
            <w:noWrap/>
            <w:vAlign w:val="bottom"/>
            <w:hideMark/>
          </w:tcPr>
          <w:p w14:paraId="093B9FB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43</w:t>
            </w:r>
          </w:p>
        </w:tc>
        <w:tc>
          <w:tcPr>
            <w:tcW w:w="576" w:type="dxa"/>
            <w:tcBorders>
              <w:top w:val="nil"/>
              <w:left w:val="nil"/>
              <w:bottom w:val="nil"/>
              <w:right w:val="nil"/>
            </w:tcBorders>
            <w:shd w:val="clear" w:color="auto" w:fill="auto"/>
            <w:noWrap/>
            <w:vAlign w:val="bottom"/>
            <w:hideMark/>
          </w:tcPr>
          <w:p w14:paraId="4F6AE7E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58</w:t>
            </w:r>
          </w:p>
        </w:tc>
        <w:tc>
          <w:tcPr>
            <w:tcW w:w="576" w:type="dxa"/>
            <w:tcBorders>
              <w:top w:val="nil"/>
              <w:left w:val="nil"/>
              <w:bottom w:val="nil"/>
              <w:right w:val="nil"/>
            </w:tcBorders>
            <w:shd w:val="clear" w:color="auto" w:fill="auto"/>
            <w:noWrap/>
            <w:vAlign w:val="bottom"/>
            <w:hideMark/>
          </w:tcPr>
          <w:p w14:paraId="534F5A2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65</w:t>
            </w:r>
          </w:p>
        </w:tc>
        <w:tc>
          <w:tcPr>
            <w:tcW w:w="587" w:type="dxa"/>
            <w:tcBorders>
              <w:top w:val="nil"/>
              <w:left w:val="nil"/>
              <w:bottom w:val="nil"/>
              <w:right w:val="nil"/>
            </w:tcBorders>
            <w:shd w:val="clear" w:color="auto" w:fill="auto"/>
            <w:noWrap/>
            <w:vAlign w:val="bottom"/>
            <w:hideMark/>
          </w:tcPr>
          <w:p w14:paraId="2641ED0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88</w:t>
            </w:r>
          </w:p>
        </w:tc>
        <w:tc>
          <w:tcPr>
            <w:tcW w:w="576" w:type="dxa"/>
            <w:tcBorders>
              <w:top w:val="nil"/>
              <w:left w:val="nil"/>
              <w:bottom w:val="nil"/>
              <w:right w:val="nil"/>
            </w:tcBorders>
            <w:shd w:val="clear" w:color="auto" w:fill="auto"/>
            <w:noWrap/>
            <w:vAlign w:val="bottom"/>
            <w:hideMark/>
          </w:tcPr>
          <w:p w14:paraId="4A2EBFC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92</w:t>
            </w:r>
          </w:p>
        </w:tc>
        <w:tc>
          <w:tcPr>
            <w:tcW w:w="610" w:type="dxa"/>
            <w:tcBorders>
              <w:top w:val="nil"/>
              <w:left w:val="nil"/>
              <w:bottom w:val="nil"/>
              <w:right w:val="nil"/>
            </w:tcBorders>
            <w:shd w:val="clear" w:color="auto" w:fill="auto"/>
            <w:noWrap/>
            <w:vAlign w:val="bottom"/>
            <w:hideMark/>
          </w:tcPr>
          <w:p w14:paraId="7E7FB21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87</w:t>
            </w:r>
          </w:p>
        </w:tc>
        <w:tc>
          <w:tcPr>
            <w:tcW w:w="576" w:type="dxa"/>
            <w:tcBorders>
              <w:top w:val="nil"/>
              <w:left w:val="nil"/>
              <w:bottom w:val="nil"/>
              <w:right w:val="nil"/>
            </w:tcBorders>
            <w:shd w:val="clear" w:color="auto" w:fill="auto"/>
            <w:noWrap/>
            <w:vAlign w:val="bottom"/>
            <w:hideMark/>
          </w:tcPr>
          <w:p w14:paraId="03DF3DA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78</w:t>
            </w:r>
          </w:p>
        </w:tc>
        <w:tc>
          <w:tcPr>
            <w:tcW w:w="576" w:type="dxa"/>
            <w:tcBorders>
              <w:top w:val="nil"/>
              <w:left w:val="nil"/>
              <w:bottom w:val="nil"/>
              <w:right w:val="nil"/>
            </w:tcBorders>
            <w:shd w:val="clear" w:color="auto" w:fill="auto"/>
            <w:noWrap/>
            <w:vAlign w:val="bottom"/>
            <w:hideMark/>
          </w:tcPr>
          <w:p w14:paraId="264CCC5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60</w:t>
            </w:r>
          </w:p>
        </w:tc>
        <w:tc>
          <w:tcPr>
            <w:tcW w:w="576" w:type="dxa"/>
            <w:tcBorders>
              <w:top w:val="nil"/>
              <w:left w:val="nil"/>
              <w:bottom w:val="nil"/>
              <w:right w:val="nil"/>
            </w:tcBorders>
            <w:shd w:val="clear" w:color="auto" w:fill="auto"/>
            <w:noWrap/>
            <w:vAlign w:val="bottom"/>
            <w:hideMark/>
          </w:tcPr>
          <w:p w14:paraId="6B48FB6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36</w:t>
            </w:r>
          </w:p>
        </w:tc>
        <w:tc>
          <w:tcPr>
            <w:tcW w:w="576" w:type="dxa"/>
            <w:tcBorders>
              <w:top w:val="nil"/>
              <w:left w:val="nil"/>
              <w:bottom w:val="nil"/>
              <w:right w:val="nil"/>
            </w:tcBorders>
            <w:shd w:val="clear" w:color="auto" w:fill="auto"/>
            <w:noWrap/>
            <w:vAlign w:val="bottom"/>
            <w:hideMark/>
          </w:tcPr>
          <w:p w14:paraId="69E2772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44</w:t>
            </w:r>
          </w:p>
        </w:tc>
        <w:tc>
          <w:tcPr>
            <w:tcW w:w="576" w:type="dxa"/>
            <w:tcBorders>
              <w:top w:val="nil"/>
              <w:left w:val="nil"/>
              <w:bottom w:val="nil"/>
              <w:right w:val="nil"/>
            </w:tcBorders>
            <w:shd w:val="clear" w:color="auto" w:fill="auto"/>
            <w:noWrap/>
            <w:vAlign w:val="bottom"/>
            <w:hideMark/>
          </w:tcPr>
          <w:p w14:paraId="300255C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92</w:t>
            </w:r>
          </w:p>
        </w:tc>
      </w:tr>
      <w:tr w:rsidR="006258EE" w:rsidRPr="00053D06" w14:paraId="376F637F"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06566098"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3AC4681B"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candamoana</w:t>
            </w:r>
          </w:p>
        </w:tc>
        <w:tc>
          <w:tcPr>
            <w:tcW w:w="576" w:type="dxa"/>
            <w:tcBorders>
              <w:top w:val="nil"/>
              <w:left w:val="nil"/>
              <w:bottom w:val="nil"/>
              <w:right w:val="nil"/>
            </w:tcBorders>
            <w:shd w:val="clear" w:color="auto" w:fill="auto"/>
            <w:noWrap/>
            <w:vAlign w:val="bottom"/>
            <w:hideMark/>
          </w:tcPr>
          <w:p w14:paraId="1BDAB93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11</w:t>
            </w:r>
          </w:p>
        </w:tc>
        <w:tc>
          <w:tcPr>
            <w:tcW w:w="576" w:type="dxa"/>
            <w:tcBorders>
              <w:top w:val="nil"/>
              <w:left w:val="nil"/>
              <w:bottom w:val="nil"/>
              <w:right w:val="nil"/>
            </w:tcBorders>
            <w:shd w:val="clear" w:color="auto" w:fill="auto"/>
            <w:noWrap/>
            <w:vAlign w:val="bottom"/>
            <w:hideMark/>
          </w:tcPr>
          <w:p w14:paraId="30FF371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22</w:t>
            </w:r>
          </w:p>
        </w:tc>
        <w:tc>
          <w:tcPr>
            <w:tcW w:w="576" w:type="dxa"/>
            <w:tcBorders>
              <w:top w:val="nil"/>
              <w:left w:val="nil"/>
              <w:bottom w:val="nil"/>
              <w:right w:val="nil"/>
            </w:tcBorders>
            <w:shd w:val="clear" w:color="auto" w:fill="auto"/>
            <w:noWrap/>
            <w:vAlign w:val="bottom"/>
            <w:hideMark/>
          </w:tcPr>
          <w:p w14:paraId="49F0255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37</w:t>
            </w:r>
          </w:p>
        </w:tc>
        <w:tc>
          <w:tcPr>
            <w:tcW w:w="576" w:type="dxa"/>
            <w:tcBorders>
              <w:top w:val="nil"/>
              <w:left w:val="nil"/>
              <w:bottom w:val="nil"/>
              <w:right w:val="nil"/>
            </w:tcBorders>
            <w:shd w:val="clear" w:color="auto" w:fill="auto"/>
            <w:noWrap/>
            <w:vAlign w:val="bottom"/>
            <w:hideMark/>
          </w:tcPr>
          <w:p w14:paraId="1CD68F1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33</w:t>
            </w:r>
          </w:p>
        </w:tc>
        <w:tc>
          <w:tcPr>
            <w:tcW w:w="587" w:type="dxa"/>
            <w:tcBorders>
              <w:top w:val="nil"/>
              <w:left w:val="nil"/>
              <w:bottom w:val="nil"/>
              <w:right w:val="nil"/>
            </w:tcBorders>
            <w:shd w:val="clear" w:color="auto" w:fill="auto"/>
            <w:noWrap/>
            <w:vAlign w:val="bottom"/>
            <w:hideMark/>
          </w:tcPr>
          <w:p w14:paraId="6E3B6C0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37</w:t>
            </w:r>
          </w:p>
        </w:tc>
        <w:tc>
          <w:tcPr>
            <w:tcW w:w="576" w:type="dxa"/>
            <w:tcBorders>
              <w:top w:val="nil"/>
              <w:left w:val="nil"/>
              <w:bottom w:val="nil"/>
              <w:right w:val="nil"/>
            </w:tcBorders>
            <w:shd w:val="clear" w:color="auto" w:fill="auto"/>
            <w:noWrap/>
            <w:vAlign w:val="bottom"/>
            <w:hideMark/>
          </w:tcPr>
          <w:p w14:paraId="78ACDF4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34</w:t>
            </w:r>
          </w:p>
        </w:tc>
        <w:tc>
          <w:tcPr>
            <w:tcW w:w="610" w:type="dxa"/>
            <w:tcBorders>
              <w:top w:val="nil"/>
              <w:left w:val="nil"/>
              <w:bottom w:val="nil"/>
              <w:right w:val="nil"/>
            </w:tcBorders>
            <w:shd w:val="clear" w:color="auto" w:fill="auto"/>
            <w:noWrap/>
            <w:vAlign w:val="bottom"/>
            <w:hideMark/>
          </w:tcPr>
          <w:p w14:paraId="1AFE753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32</w:t>
            </w:r>
          </w:p>
        </w:tc>
        <w:tc>
          <w:tcPr>
            <w:tcW w:w="576" w:type="dxa"/>
            <w:tcBorders>
              <w:top w:val="nil"/>
              <w:left w:val="nil"/>
              <w:bottom w:val="nil"/>
              <w:right w:val="nil"/>
            </w:tcBorders>
            <w:shd w:val="clear" w:color="auto" w:fill="auto"/>
            <w:noWrap/>
            <w:vAlign w:val="bottom"/>
            <w:hideMark/>
          </w:tcPr>
          <w:p w14:paraId="2EE4AC4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c>
          <w:tcPr>
            <w:tcW w:w="576" w:type="dxa"/>
            <w:tcBorders>
              <w:top w:val="nil"/>
              <w:left w:val="nil"/>
              <w:bottom w:val="nil"/>
              <w:right w:val="nil"/>
            </w:tcBorders>
            <w:shd w:val="clear" w:color="auto" w:fill="auto"/>
            <w:noWrap/>
            <w:vAlign w:val="bottom"/>
            <w:hideMark/>
          </w:tcPr>
          <w:p w14:paraId="15B1269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c>
          <w:tcPr>
            <w:tcW w:w="576" w:type="dxa"/>
            <w:tcBorders>
              <w:top w:val="nil"/>
              <w:left w:val="nil"/>
              <w:bottom w:val="nil"/>
              <w:right w:val="nil"/>
            </w:tcBorders>
            <w:shd w:val="clear" w:color="auto" w:fill="auto"/>
            <w:noWrap/>
            <w:vAlign w:val="bottom"/>
            <w:hideMark/>
          </w:tcPr>
          <w:p w14:paraId="482119D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w:t>
            </w:r>
          </w:p>
        </w:tc>
        <w:tc>
          <w:tcPr>
            <w:tcW w:w="576" w:type="dxa"/>
            <w:tcBorders>
              <w:top w:val="nil"/>
              <w:left w:val="nil"/>
              <w:bottom w:val="nil"/>
              <w:right w:val="nil"/>
            </w:tcBorders>
            <w:shd w:val="clear" w:color="auto" w:fill="auto"/>
            <w:noWrap/>
            <w:vAlign w:val="bottom"/>
            <w:hideMark/>
          </w:tcPr>
          <w:p w14:paraId="38E8F11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21</w:t>
            </w:r>
          </w:p>
        </w:tc>
        <w:tc>
          <w:tcPr>
            <w:tcW w:w="576" w:type="dxa"/>
            <w:tcBorders>
              <w:top w:val="nil"/>
              <w:left w:val="nil"/>
              <w:bottom w:val="nil"/>
              <w:right w:val="nil"/>
            </w:tcBorders>
            <w:shd w:val="clear" w:color="auto" w:fill="auto"/>
            <w:noWrap/>
            <w:vAlign w:val="bottom"/>
            <w:hideMark/>
          </w:tcPr>
          <w:p w14:paraId="5B75209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43</w:t>
            </w:r>
          </w:p>
        </w:tc>
      </w:tr>
      <w:tr w:rsidR="006258EE" w:rsidRPr="00053D06" w14:paraId="07945C4B"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4748CC8A"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4EDB95F6"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chaixi</w:t>
            </w:r>
          </w:p>
        </w:tc>
        <w:tc>
          <w:tcPr>
            <w:tcW w:w="576" w:type="dxa"/>
            <w:tcBorders>
              <w:top w:val="nil"/>
              <w:left w:val="nil"/>
              <w:bottom w:val="nil"/>
              <w:right w:val="nil"/>
            </w:tcBorders>
            <w:shd w:val="clear" w:color="auto" w:fill="auto"/>
            <w:noWrap/>
            <w:vAlign w:val="bottom"/>
            <w:hideMark/>
          </w:tcPr>
          <w:p w14:paraId="5914D15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c>
          <w:tcPr>
            <w:tcW w:w="576" w:type="dxa"/>
            <w:tcBorders>
              <w:top w:val="nil"/>
              <w:left w:val="nil"/>
              <w:bottom w:val="nil"/>
              <w:right w:val="nil"/>
            </w:tcBorders>
            <w:shd w:val="clear" w:color="auto" w:fill="auto"/>
            <w:noWrap/>
            <w:vAlign w:val="bottom"/>
            <w:hideMark/>
          </w:tcPr>
          <w:p w14:paraId="0EAEC6D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26</w:t>
            </w:r>
          </w:p>
        </w:tc>
        <w:tc>
          <w:tcPr>
            <w:tcW w:w="576" w:type="dxa"/>
            <w:tcBorders>
              <w:top w:val="nil"/>
              <w:left w:val="nil"/>
              <w:bottom w:val="nil"/>
              <w:right w:val="nil"/>
            </w:tcBorders>
            <w:shd w:val="clear" w:color="auto" w:fill="auto"/>
            <w:noWrap/>
            <w:vAlign w:val="bottom"/>
            <w:hideMark/>
          </w:tcPr>
          <w:p w14:paraId="620E618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32</w:t>
            </w:r>
          </w:p>
        </w:tc>
        <w:tc>
          <w:tcPr>
            <w:tcW w:w="576" w:type="dxa"/>
            <w:tcBorders>
              <w:top w:val="nil"/>
              <w:left w:val="nil"/>
              <w:bottom w:val="nil"/>
              <w:right w:val="nil"/>
            </w:tcBorders>
            <w:shd w:val="clear" w:color="auto" w:fill="auto"/>
            <w:noWrap/>
            <w:vAlign w:val="bottom"/>
            <w:hideMark/>
          </w:tcPr>
          <w:p w14:paraId="5CC109F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33</w:t>
            </w:r>
          </w:p>
        </w:tc>
        <w:tc>
          <w:tcPr>
            <w:tcW w:w="587" w:type="dxa"/>
            <w:tcBorders>
              <w:top w:val="nil"/>
              <w:left w:val="nil"/>
              <w:bottom w:val="nil"/>
              <w:right w:val="nil"/>
            </w:tcBorders>
            <w:shd w:val="clear" w:color="auto" w:fill="auto"/>
            <w:noWrap/>
            <w:vAlign w:val="bottom"/>
            <w:hideMark/>
          </w:tcPr>
          <w:p w14:paraId="74A8BF0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55</w:t>
            </w:r>
          </w:p>
        </w:tc>
        <w:tc>
          <w:tcPr>
            <w:tcW w:w="576" w:type="dxa"/>
            <w:tcBorders>
              <w:top w:val="nil"/>
              <w:left w:val="nil"/>
              <w:bottom w:val="nil"/>
              <w:right w:val="nil"/>
            </w:tcBorders>
            <w:shd w:val="clear" w:color="auto" w:fill="auto"/>
            <w:noWrap/>
            <w:vAlign w:val="bottom"/>
            <w:hideMark/>
          </w:tcPr>
          <w:p w14:paraId="08B4FEA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47</w:t>
            </w:r>
          </w:p>
        </w:tc>
        <w:tc>
          <w:tcPr>
            <w:tcW w:w="610" w:type="dxa"/>
            <w:tcBorders>
              <w:top w:val="nil"/>
              <w:left w:val="nil"/>
              <w:bottom w:val="nil"/>
              <w:right w:val="nil"/>
            </w:tcBorders>
            <w:shd w:val="clear" w:color="auto" w:fill="auto"/>
            <w:noWrap/>
            <w:vAlign w:val="bottom"/>
            <w:hideMark/>
          </w:tcPr>
          <w:p w14:paraId="229B275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36</w:t>
            </w:r>
          </w:p>
        </w:tc>
        <w:tc>
          <w:tcPr>
            <w:tcW w:w="576" w:type="dxa"/>
            <w:tcBorders>
              <w:top w:val="nil"/>
              <w:left w:val="nil"/>
              <w:bottom w:val="nil"/>
              <w:right w:val="nil"/>
            </w:tcBorders>
            <w:shd w:val="clear" w:color="auto" w:fill="auto"/>
            <w:noWrap/>
            <w:vAlign w:val="bottom"/>
            <w:hideMark/>
          </w:tcPr>
          <w:p w14:paraId="3541DF9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34</w:t>
            </w:r>
          </w:p>
        </w:tc>
        <w:tc>
          <w:tcPr>
            <w:tcW w:w="576" w:type="dxa"/>
            <w:tcBorders>
              <w:top w:val="nil"/>
              <w:left w:val="nil"/>
              <w:bottom w:val="nil"/>
              <w:right w:val="nil"/>
            </w:tcBorders>
            <w:shd w:val="clear" w:color="auto" w:fill="auto"/>
            <w:noWrap/>
            <w:vAlign w:val="bottom"/>
            <w:hideMark/>
          </w:tcPr>
          <w:p w14:paraId="3B2AB42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31</w:t>
            </w:r>
          </w:p>
        </w:tc>
        <w:tc>
          <w:tcPr>
            <w:tcW w:w="576" w:type="dxa"/>
            <w:tcBorders>
              <w:top w:val="nil"/>
              <w:left w:val="nil"/>
              <w:bottom w:val="nil"/>
              <w:right w:val="nil"/>
            </w:tcBorders>
            <w:shd w:val="clear" w:color="auto" w:fill="auto"/>
            <w:noWrap/>
            <w:vAlign w:val="bottom"/>
            <w:hideMark/>
          </w:tcPr>
          <w:p w14:paraId="704D833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22</w:t>
            </w:r>
          </w:p>
        </w:tc>
        <w:tc>
          <w:tcPr>
            <w:tcW w:w="576" w:type="dxa"/>
            <w:tcBorders>
              <w:top w:val="nil"/>
              <w:left w:val="nil"/>
              <w:bottom w:val="nil"/>
              <w:right w:val="nil"/>
            </w:tcBorders>
            <w:shd w:val="clear" w:color="auto" w:fill="auto"/>
            <w:noWrap/>
            <w:vAlign w:val="bottom"/>
            <w:hideMark/>
          </w:tcPr>
          <w:p w14:paraId="68AFF9B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34</w:t>
            </w:r>
          </w:p>
        </w:tc>
        <w:tc>
          <w:tcPr>
            <w:tcW w:w="576" w:type="dxa"/>
            <w:tcBorders>
              <w:top w:val="nil"/>
              <w:left w:val="nil"/>
              <w:bottom w:val="nil"/>
              <w:right w:val="nil"/>
            </w:tcBorders>
            <w:shd w:val="clear" w:color="auto" w:fill="auto"/>
            <w:noWrap/>
            <w:vAlign w:val="bottom"/>
            <w:hideMark/>
          </w:tcPr>
          <w:p w14:paraId="420CFEB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47</w:t>
            </w:r>
          </w:p>
        </w:tc>
      </w:tr>
      <w:tr w:rsidR="006258EE" w:rsidRPr="00053D06" w14:paraId="25D6D920"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61A56A5B"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21EE1F58"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cita</w:t>
            </w:r>
          </w:p>
        </w:tc>
        <w:tc>
          <w:tcPr>
            <w:tcW w:w="576" w:type="dxa"/>
            <w:tcBorders>
              <w:top w:val="nil"/>
              <w:left w:val="nil"/>
              <w:bottom w:val="nil"/>
              <w:right w:val="nil"/>
            </w:tcBorders>
            <w:shd w:val="clear" w:color="auto" w:fill="auto"/>
            <w:noWrap/>
            <w:vAlign w:val="bottom"/>
            <w:hideMark/>
          </w:tcPr>
          <w:p w14:paraId="4735373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15</w:t>
            </w:r>
          </w:p>
        </w:tc>
        <w:tc>
          <w:tcPr>
            <w:tcW w:w="576" w:type="dxa"/>
            <w:tcBorders>
              <w:top w:val="nil"/>
              <w:left w:val="nil"/>
              <w:bottom w:val="nil"/>
              <w:right w:val="nil"/>
            </w:tcBorders>
            <w:shd w:val="clear" w:color="auto" w:fill="auto"/>
            <w:noWrap/>
            <w:vAlign w:val="bottom"/>
            <w:hideMark/>
          </w:tcPr>
          <w:p w14:paraId="5F94981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32</w:t>
            </w:r>
          </w:p>
        </w:tc>
        <w:tc>
          <w:tcPr>
            <w:tcW w:w="576" w:type="dxa"/>
            <w:tcBorders>
              <w:top w:val="nil"/>
              <w:left w:val="nil"/>
              <w:bottom w:val="nil"/>
              <w:right w:val="nil"/>
            </w:tcBorders>
            <w:shd w:val="clear" w:color="auto" w:fill="auto"/>
            <w:noWrap/>
            <w:vAlign w:val="bottom"/>
            <w:hideMark/>
          </w:tcPr>
          <w:p w14:paraId="629C8DE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60</w:t>
            </w:r>
          </w:p>
        </w:tc>
        <w:tc>
          <w:tcPr>
            <w:tcW w:w="576" w:type="dxa"/>
            <w:tcBorders>
              <w:top w:val="nil"/>
              <w:left w:val="nil"/>
              <w:bottom w:val="nil"/>
              <w:right w:val="nil"/>
            </w:tcBorders>
            <w:shd w:val="clear" w:color="auto" w:fill="auto"/>
            <w:noWrap/>
            <w:vAlign w:val="bottom"/>
            <w:hideMark/>
          </w:tcPr>
          <w:p w14:paraId="2AFC393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67</w:t>
            </w:r>
          </w:p>
        </w:tc>
        <w:tc>
          <w:tcPr>
            <w:tcW w:w="587" w:type="dxa"/>
            <w:tcBorders>
              <w:top w:val="nil"/>
              <w:left w:val="nil"/>
              <w:bottom w:val="nil"/>
              <w:right w:val="nil"/>
            </w:tcBorders>
            <w:shd w:val="clear" w:color="auto" w:fill="auto"/>
            <w:noWrap/>
            <w:vAlign w:val="bottom"/>
            <w:hideMark/>
          </w:tcPr>
          <w:p w14:paraId="292D026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76</w:t>
            </w:r>
          </w:p>
        </w:tc>
        <w:tc>
          <w:tcPr>
            <w:tcW w:w="576" w:type="dxa"/>
            <w:tcBorders>
              <w:top w:val="nil"/>
              <w:left w:val="nil"/>
              <w:bottom w:val="nil"/>
              <w:right w:val="nil"/>
            </w:tcBorders>
            <w:shd w:val="clear" w:color="auto" w:fill="auto"/>
            <w:noWrap/>
            <w:vAlign w:val="bottom"/>
            <w:hideMark/>
          </w:tcPr>
          <w:p w14:paraId="3EC2CF9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23</w:t>
            </w:r>
          </w:p>
        </w:tc>
        <w:tc>
          <w:tcPr>
            <w:tcW w:w="610" w:type="dxa"/>
            <w:tcBorders>
              <w:top w:val="nil"/>
              <w:left w:val="nil"/>
              <w:bottom w:val="nil"/>
              <w:right w:val="nil"/>
            </w:tcBorders>
            <w:shd w:val="clear" w:color="auto" w:fill="auto"/>
            <w:noWrap/>
            <w:vAlign w:val="bottom"/>
            <w:hideMark/>
          </w:tcPr>
          <w:p w14:paraId="52A28BF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10</w:t>
            </w:r>
          </w:p>
        </w:tc>
        <w:tc>
          <w:tcPr>
            <w:tcW w:w="576" w:type="dxa"/>
            <w:tcBorders>
              <w:top w:val="nil"/>
              <w:left w:val="nil"/>
              <w:bottom w:val="nil"/>
              <w:right w:val="nil"/>
            </w:tcBorders>
            <w:shd w:val="clear" w:color="auto" w:fill="auto"/>
            <w:noWrap/>
            <w:vAlign w:val="bottom"/>
            <w:hideMark/>
          </w:tcPr>
          <w:p w14:paraId="40E0D18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w:t>
            </w:r>
          </w:p>
        </w:tc>
        <w:tc>
          <w:tcPr>
            <w:tcW w:w="576" w:type="dxa"/>
            <w:tcBorders>
              <w:top w:val="nil"/>
              <w:left w:val="nil"/>
              <w:bottom w:val="nil"/>
              <w:right w:val="nil"/>
            </w:tcBorders>
            <w:shd w:val="clear" w:color="auto" w:fill="auto"/>
            <w:noWrap/>
            <w:vAlign w:val="bottom"/>
            <w:hideMark/>
          </w:tcPr>
          <w:p w14:paraId="0BD334D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w:t>
            </w:r>
          </w:p>
        </w:tc>
        <w:tc>
          <w:tcPr>
            <w:tcW w:w="576" w:type="dxa"/>
            <w:tcBorders>
              <w:top w:val="nil"/>
              <w:left w:val="nil"/>
              <w:bottom w:val="nil"/>
              <w:right w:val="nil"/>
            </w:tcBorders>
            <w:shd w:val="clear" w:color="auto" w:fill="auto"/>
            <w:noWrap/>
            <w:vAlign w:val="bottom"/>
            <w:hideMark/>
          </w:tcPr>
          <w:p w14:paraId="409EB4D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w:t>
            </w:r>
          </w:p>
        </w:tc>
        <w:tc>
          <w:tcPr>
            <w:tcW w:w="576" w:type="dxa"/>
            <w:tcBorders>
              <w:top w:val="nil"/>
              <w:left w:val="nil"/>
              <w:bottom w:val="nil"/>
              <w:right w:val="nil"/>
            </w:tcBorders>
            <w:shd w:val="clear" w:color="auto" w:fill="auto"/>
            <w:noWrap/>
            <w:vAlign w:val="bottom"/>
            <w:hideMark/>
          </w:tcPr>
          <w:p w14:paraId="238C26F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w:t>
            </w:r>
          </w:p>
        </w:tc>
        <w:tc>
          <w:tcPr>
            <w:tcW w:w="576" w:type="dxa"/>
            <w:tcBorders>
              <w:top w:val="nil"/>
              <w:left w:val="nil"/>
              <w:bottom w:val="nil"/>
              <w:right w:val="nil"/>
            </w:tcBorders>
            <w:shd w:val="clear" w:color="auto" w:fill="auto"/>
            <w:noWrap/>
            <w:vAlign w:val="bottom"/>
            <w:hideMark/>
          </w:tcPr>
          <w:p w14:paraId="52BFDEE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22</w:t>
            </w:r>
          </w:p>
        </w:tc>
      </w:tr>
      <w:tr w:rsidR="006258EE" w:rsidRPr="00053D06" w14:paraId="703A601A"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3E54639C"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467E4059"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colensoi</w:t>
            </w:r>
          </w:p>
        </w:tc>
        <w:tc>
          <w:tcPr>
            <w:tcW w:w="576" w:type="dxa"/>
            <w:tcBorders>
              <w:top w:val="nil"/>
              <w:left w:val="nil"/>
              <w:bottom w:val="nil"/>
              <w:right w:val="nil"/>
            </w:tcBorders>
            <w:shd w:val="clear" w:color="auto" w:fill="auto"/>
            <w:noWrap/>
            <w:vAlign w:val="bottom"/>
            <w:hideMark/>
          </w:tcPr>
          <w:p w14:paraId="747766A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c>
          <w:tcPr>
            <w:tcW w:w="576" w:type="dxa"/>
            <w:tcBorders>
              <w:top w:val="nil"/>
              <w:left w:val="nil"/>
              <w:bottom w:val="nil"/>
              <w:right w:val="nil"/>
            </w:tcBorders>
            <w:shd w:val="clear" w:color="auto" w:fill="auto"/>
            <w:noWrap/>
            <w:vAlign w:val="bottom"/>
            <w:hideMark/>
          </w:tcPr>
          <w:p w14:paraId="23AA0A1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23</w:t>
            </w:r>
          </w:p>
        </w:tc>
        <w:tc>
          <w:tcPr>
            <w:tcW w:w="576" w:type="dxa"/>
            <w:tcBorders>
              <w:top w:val="nil"/>
              <w:left w:val="nil"/>
              <w:bottom w:val="nil"/>
              <w:right w:val="nil"/>
            </w:tcBorders>
            <w:shd w:val="clear" w:color="auto" w:fill="auto"/>
            <w:noWrap/>
            <w:vAlign w:val="bottom"/>
            <w:hideMark/>
          </w:tcPr>
          <w:p w14:paraId="4D51936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39</w:t>
            </w:r>
          </w:p>
        </w:tc>
        <w:tc>
          <w:tcPr>
            <w:tcW w:w="576" w:type="dxa"/>
            <w:tcBorders>
              <w:top w:val="nil"/>
              <w:left w:val="nil"/>
              <w:bottom w:val="nil"/>
              <w:right w:val="nil"/>
            </w:tcBorders>
            <w:shd w:val="clear" w:color="auto" w:fill="auto"/>
            <w:noWrap/>
            <w:vAlign w:val="bottom"/>
            <w:hideMark/>
          </w:tcPr>
          <w:p w14:paraId="4D8FE29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38</w:t>
            </w:r>
          </w:p>
        </w:tc>
        <w:tc>
          <w:tcPr>
            <w:tcW w:w="587" w:type="dxa"/>
            <w:tcBorders>
              <w:top w:val="nil"/>
              <w:left w:val="nil"/>
              <w:bottom w:val="nil"/>
              <w:right w:val="nil"/>
            </w:tcBorders>
            <w:shd w:val="clear" w:color="auto" w:fill="auto"/>
            <w:noWrap/>
            <w:vAlign w:val="bottom"/>
            <w:hideMark/>
          </w:tcPr>
          <w:p w14:paraId="23F428A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51</w:t>
            </w:r>
          </w:p>
        </w:tc>
        <w:tc>
          <w:tcPr>
            <w:tcW w:w="576" w:type="dxa"/>
            <w:tcBorders>
              <w:top w:val="nil"/>
              <w:left w:val="nil"/>
              <w:bottom w:val="nil"/>
              <w:right w:val="nil"/>
            </w:tcBorders>
            <w:shd w:val="clear" w:color="auto" w:fill="auto"/>
            <w:noWrap/>
            <w:vAlign w:val="bottom"/>
            <w:hideMark/>
          </w:tcPr>
          <w:p w14:paraId="68C83CD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23</w:t>
            </w:r>
          </w:p>
        </w:tc>
        <w:tc>
          <w:tcPr>
            <w:tcW w:w="610" w:type="dxa"/>
            <w:tcBorders>
              <w:top w:val="nil"/>
              <w:left w:val="nil"/>
              <w:bottom w:val="nil"/>
              <w:right w:val="nil"/>
            </w:tcBorders>
            <w:shd w:val="clear" w:color="auto" w:fill="auto"/>
            <w:noWrap/>
            <w:vAlign w:val="bottom"/>
            <w:hideMark/>
          </w:tcPr>
          <w:p w14:paraId="64D2404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w:t>
            </w:r>
          </w:p>
        </w:tc>
        <w:tc>
          <w:tcPr>
            <w:tcW w:w="576" w:type="dxa"/>
            <w:tcBorders>
              <w:top w:val="nil"/>
              <w:left w:val="nil"/>
              <w:bottom w:val="nil"/>
              <w:right w:val="nil"/>
            </w:tcBorders>
            <w:shd w:val="clear" w:color="auto" w:fill="auto"/>
            <w:noWrap/>
            <w:vAlign w:val="bottom"/>
            <w:hideMark/>
          </w:tcPr>
          <w:p w14:paraId="70F96EA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w:t>
            </w:r>
          </w:p>
        </w:tc>
        <w:tc>
          <w:tcPr>
            <w:tcW w:w="576" w:type="dxa"/>
            <w:tcBorders>
              <w:top w:val="nil"/>
              <w:left w:val="nil"/>
              <w:bottom w:val="nil"/>
              <w:right w:val="nil"/>
            </w:tcBorders>
            <w:shd w:val="clear" w:color="auto" w:fill="auto"/>
            <w:noWrap/>
            <w:vAlign w:val="bottom"/>
            <w:hideMark/>
          </w:tcPr>
          <w:p w14:paraId="2C182FE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w:t>
            </w:r>
          </w:p>
        </w:tc>
        <w:tc>
          <w:tcPr>
            <w:tcW w:w="576" w:type="dxa"/>
            <w:tcBorders>
              <w:top w:val="nil"/>
              <w:left w:val="nil"/>
              <w:bottom w:val="nil"/>
              <w:right w:val="nil"/>
            </w:tcBorders>
            <w:shd w:val="clear" w:color="auto" w:fill="auto"/>
            <w:noWrap/>
            <w:vAlign w:val="bottom"/>
            <w:hideMark/>
          </w:tcPr>
          <w:p w14:paraId="36F376C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w:t>
            </w:r>
          </w:p>
        </w:tc>
        <w:tc>
          <w:tcPr>
            <w:tcW w:w="576" w:type="dxa"/>
            <w:tcBorders>
              <w:top w:val="nil"/>
              <w:left w:val="nil"/>
              <w:bottom w:val="nil"/>
              <w:right w:val="nil"/>
            </w:tcBorders>
            <w:shd w:val="clear" w:color="auto" w:fill="auto"/>
            <w:noWrap/>
            <w:vAlign w:val="bottom"/>
            <w:hideMark/>
          </w:tcPr>
          <w:p w14:paraId="3520AEC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11</w:t>
            </w:r>
          </w:p>
        </w:tc>
        <w:tc>
          <w:tcPr>
            <w:tcW w:w="576" w:type="dxa"/>
            <w:tcBorders>
              <w:top w:val="nil"/>
              <w:left w:val="nil"/>
              <w:bottom w:val="nil"/>
              <w:right w:val="nil"/>
            </w:tcBorders>
            <w:shd w:val="clear" w:color="auto" w:fill="auto"/>
            <w:noWrap/>
            <w:vAlign w:val="bottom"/>
            <w:hideMark/>
          </w:tcPr>
          <w:p w14:paraId="41DDACC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32</w:t>
            </w:r>
          </w:p>
        </w:tc>
      </w:tr>
      <w:tr w:rsidR="006258EE" w:rsidRPr="00053D06" w14:paraId="4F95A1AE"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0A85B16C"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45F425F8"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dusenii</w:t>
            </w:r>
          </w:p>
        </w:tc>
        <w:tc>
          <w:tcPr>
            <w:tcW w:w="576" w:type="dxa"/>
            <w:tcBorders>
              <w:top w:val="nil"/>
              <w:left w:val="nil"/>
              <w:bottom w:val="nil"/>
              <w:right w:val="nil"/>
            </w:tcBorders>
            <w:shd w:val="clear" w:color="auto" w:fill="auto"/>
            <w:noWrap/>
            <w:vAlign w:val="bottom"/>
            <w:hideMark/>
          </w:tcPr>
          <w:p w14:paraId="42617B9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w:t>
            </w:r>
          </w:p>
        </w:tc>
        <w:tc>
          <w:tcPr>
            <w:tcW w:w="576" w:type="dxa"/>
            <w:tcBorders>
              <w:top w:val="nil"/>
              <w:left w:val="nil"/>
              <w:bottom w:val="nil"/>
              <w:right w:val="nil"/>
            </w:tcBorders>
            <w:shd w:val="clear" w:color="auto" w:fill="auto"/>
            <w:noWrap/>
            <w:vAlign w:val="bottom"/>
            <w:hideMark/>
          </w:tcPr>
          <w:p w14:paraId="30CF9AF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17</w:t>
            </w:r>
          </w:p>
        </w:tc>
        <w:tc>
          <w:tcPr>
            <w:tcW w:w="576" w:type="dxa"/>
            <w:tcBorders>
              <w:top w:val="nil"/>
              <w:left w:val="nil"/>
              <w:bottom w:val="nil"/>
              <w:right w:val="nil"/>
            </w:tcBorders>
            <w:shd w:val="clear" w:color="auto" w:fill="auto"/>
            <w:noWrap/>
            <w:vAlign w:val="bottom"/>
            <w:hideMark/>
          </w:tcPr>
          <w:p w14:paraId="27799FC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21</w:t>
            </w:r>
          </w:p>
        </w:tc>
        <w:tc>
          <w:tcPr>
            <w:tcW w:w="576" w:type="dxa"/>
            <w:tcBorders>
              <w:top w:val="nil"/>
              <w:left w:val="nil"/>
              <w:bottom w:val="nil"/>
              <w:right w:val="nil"/>
            </w:tcBorders>
            <w:shd w:val="clear" w:color="auto" w:fill="auto"/>
            <w:noWrap/>
            <w:vAlign w:val="bottom"/>
            <w:hideMark/>
          </w:tcPr>
          <w:p w14:paraId="7FF41E5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18</w:t>
            </w:r>
          </w:p>
        </w:tc>
        <w:tc>
          <w:tcPr>
            <w:tcW w:w="587" w:type="dxa"/>
            <w:tcBorders>
              <w:top w:val="nil"/>
              <w:left w:val="nil"/>
              <w:bottom w:val="nil"/>
              <w:right w:val="nil"/>
            </w:tcBorders>
            <w:shd w:val="clear" w:color="auto" w:fill="auto"/>
            <w:noWrap/>
            <w:vAlign w:val="bottom"/>
            <w:hideMark/>
          </w:tcPr>
          <w:p w14:paraId="533BCEA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26</w:t>
            </w:r>
          </w:p>
        </w:tc>
        <w:tc>
          <w:tcPr>
            <w:tcW w:w="576" w:type="dxa"/>
            <w:tcBorders>
              <w:top w:val="nil"/>
              <w:left w:val="nil"/>
              <w:bottom w:val="nil"/>
              <w:right w:val="nil"/>
            </w:tcBorders>
            <w:shd w:val="clear" w:color="auto" w:fill="auto"/>
            <w:noWrap/>
            <w:vAlign w:val="bottom"/>
            <w:hideMark/>
          </w:tcPr>
          <w:p w14:paraId="3873FCF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15</w:t>
            </w:r>
          </w:p>
        </w:tc>
        <w:tc>
          <w:tcPr>
            <w:tcW w:w="610" w:type="dxa"/>
            <w:tcBorders>
              <w:top w:val="nil"/>
              <w:left w:val="nil"/>
              <w:bottom w:val="nil"/>
              <w:right w:val="nil"/>
            </w:tcBorders>
            <w:shd w:val="clear" w:color="auto" w:fill="auto"/>
            <w:noWrap/>
            <w:vAlign w:val="bottom"/>
            <w:hideMark/>
          </w:tcPr>
          <w:p w14:paraId="54BB715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w:t>
            </w:r>
          </w:p>
        </w:tc>
        <w:tc>
          <w:tcPr>
            <w:tcW w:w="576" w:type="dxa"/>
            <w:tcBorders>
              <w:top w:val="nil"/>
              <w:left w:val="nil"/>
              <w:bottom w:val="nil"/>
              <w:right w:val="nil"/>
            </w:tcBorders>
            <w:shd w:val="clear" w:color="auto" w:fill="auto"/>
            <w:noWrap/>
            <w:vAlign w:val="bottom"/>
            <w:hideMark/>
          </w:tcPr>
          <w:p w14:paraId="35F7A42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w:t>
            </w:r>
          </w:p>
        </w:tc>
        <w:tc>
          <w:tcPr>
            <w:tcW w:w="576" w:type="dxa"/>
            <w:tcBorders>
              <w:top w:val="nil"/>
              <w:left w:val="nil"/>
              <w:bottom w:val="nil"/>
              <w:right w:val="nil"/>
            </w:tcBorders>
            <w:shd w:val="clear" w:color="auto" w:fill="auto"/>
            <w:noWrap/>
            <w:vAlign w:val="bottom"/>
            <w:hideMark/>
          </w:tcPr>
          <w:p w14:paraId="7861DAB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w:t>
            </w:r>
          </w:p>
        </w:tc>
        <w:tc>
          <w:tcPr>
            <w:tcW w:w="576" w:type="dxa"/>
            <w:tcBorders>
              <w:top w:val="nil"/>
              <w:left w:val="nil"/>
              <w:bottom w:val="nil"/>
              <w:right w:val="nil"/>
            </w:tcBorders>
            <w:shd w:val="clear" w:color="auto" w:fill="auto"/>
            <w:noWrap/>
            <w:vAlign w:val="bottom"/>
            <w:hideMark/>
          </w:tcPr>
          <w:p w14:paraId="5D116BA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w:t>
            </w:r>
          </w:p>
        </w:tc>
        <w:tc>
          <w:tcPr>
            <w:tcW w:w="576" w:type="dxa"/>
            <w:tcBorders>
              <w:top w:val="nil"/>
              <w:left w:val="nil"/>
              <w:bottom w:val="nil"/>
              <w:right w:val="nil"/>
            </w:tcBorders>
            <w:shd w:val="clear" w:color="auto" w:fill="auto"/>
            <w:noWrap/>
            <w:vAlign w:val="bottom"/>
            <w:hideMark/>
          </w:tcPr>
          <w:p w14:paraId="005D0F7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10</w:t>
            </w:r>
          </w:p>
        </w:tc>
        <w:tc>
          <w:tcPr>
            <w:tcW w:w="576" w:type="dxa"/>
            <w:tcBorders>
              <w:top w:val="nil"/>
              <w:left w:val="nil"/>
              <w:bottom w:val="nil"/>
              <w:right w:val="nil"/>
            </w:tcBorders>
            <w:shd w:val="clear" w:color="auto" w:fill="auto"/>
            <w:noWrap/>
            <w:vAlign w:val="bottom"/>
            <w:hideMark/>
          </w:tcPr>
          <w:p w14:paraId="0D27EC0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23</w:t>
            </w:r>
          </w:p>
        </w:tc>
      </w:tr>
      <w:tr w:rsidR="006258EE" w:rsidRPr="00053D06" w14:paraId="77962141"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3A6864B9"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51ECD390"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flexuosa</w:t>
            </w:r>
          </w:p>
        </w:tc>
        <w:tc>
          <w:tcPr>
            <w:tcW w:w="576" w:type="dxa"/>
            <w:tcBorders>
              <w:top w:val="nil"/>
              <w:left w:val="nil"/>
              <w:bottom w:val="nil"/>
              <w:right w:val="nil"/>
            </w:tcBorders>
            <w:shd w:val="clear" w:color="auto" w:fill="auto"/>
            <w:noWrap/>
            <w:vAlign w:val="bottom"/>
            <w:hideMark/>
          </w:tcPr>
          <w:p w14:paraId="057D2AA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18</w:t>
            </w:r>
          </w:p>
        </w:tc>
        <w:tc>
          <w:tcPr>
            <w:tcW w:w="576" w:type="dxa"/>
            <w:tcBorders>
              <w:top w:val="nil"/>
              <w:left w:val="nil"/>
              <w:bottom w:val="nil"/>
              <w:right w:val="nil"/>
            </w:tcBorders>
            <w:shd w:val="clear" w:color="auto" w:fill="auto"/>
            <w:noWrap/>
            <w:vAlign w:val="bottom"/>
            <w:hideMark/>
          </w:tcPr>
          <w:p w14:paraId="2DDA45B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36</w:t>
            </w:r>
          </w:p>
        </w:tc>
        <w:tc>
          <w:tcPr>
            <w:tcW w:w="576" w:type="dxa"/>
            <w:tcBorders>
              <w:top w:val="nil"/>
              <w:left w:val="nil"/>
              <w:bottom w:val="nil"/>
              <w:right w:val="nil"/>
            </w:tcBorders>
            <w:shd w:val="clear" w:color="auto" w:fill="auto"/>
            <w:noWrap/>
            <w:vAlign w:val="bottom"/>
            <w:hideMark/>
          </w:tcPr>
          <w:p w14:paraId="29B1AA1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47</w:t>
            </w:r>
          </w:p>
        </w:tc>
        <w:tc>
          <w:tcPr>
            <w:tcW w:w="576" w:type="dxa"/>
            <w:tcBorders>
              <w:top w:val="nil"/>
              <w:left w:val="nil"/>
              <w:bottom w:val="nil"/>
              <w:right w:val="nil"/>
            </w:tcBorders>
            <w:shd w:val="clear" w:color="auto" w:fill="auto"/>
            <w:noWrap/>
            <w:vAlign w:val="bottom"/>
            <w:hideMark/>
          </w:tcPr>
          <w:p w14:paraId="1FD8078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44</w:t>
            </w:r>
          </w:p>
        </w:tc>
        <w:tc>
          <w:tcPr>
            <w:tcW w:w="587" w:type="dxa"/>
            <w:tcBorders>
              <w:top w:val="nil"/>
              <w:left w:val="nil"/>
              <w:bottom w:val="nil"/>
              <w:right w:val="nil"/>
            </w:tcBorders>
            <w:shd w:val="clear" w:color="auto" w:fill="auto"/>
            <w:noWrap/>
            <w:vAlign w:val="bottom"/>
            <w:hideMark/>
          </w:tcPr>
          <w:p w14:paraId="3DA6B77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70</w:t>
            </w:r>
          </w:p>
        </w:tc>
        <w:tc>
          <w:tcPr>
            <w:tcW w:w="576" w:type="dxa"/>
            <w:tcBorders>
              <w:top w:val="nil"/>
              <w:left w:val="nil"/>
              <w:bottom w:val="nil"/>
              <w:right w:val="nil"/>
            </w:tcBorders>
            <w:shd w:val="clear" w:color="auto" w:fill="auto"/>
            <w:noWrap/>
            <w:vAlign w:val="bottom"/>
            <w:hideMark/>
          </w:tcPr>
          <w:p w14:paraId="3FD8304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84</w:t>
            </w:r>
          </w:p>
        </w:tc>
        <w:tc>
          <w:tcPr>
            <w:tcW w:w="610" w:type="dxa"/>
            <w:tcBorders>
              <w:top w:val="nil"/>
              <w:left w:val="nil"/>
              <w:bottom w:val="nil"/>
              <w:right w:val="nil"/>
            </w:tcBorders>
            <w:shd w:val="clear" w:color="auto" w:fill="auto"/>
            <w:noWrap/>
            <w:vAlign w:val="bottom"/>
            <w:hideMark/>
          </w:tcPr>
          <w:p w14:paraId="63C0356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47</w:t>
            </w:r>
          </w:p>
        </w:tc>
        <w:tc>
          <w:tcPr>
            <w:tcW w:w="576" w:type="dxa"/>
            <w:tcBorders>
              <w:top w:val="nil"/>
              <w:left w:val="nil"/>
              <w:bottom w:val="nil"/>
              <w:right w:val="nil"/>
            </w:tcBorders>
            <w:shd w:val="clear" w:color="auto" w:fill="auto"/>
            <w:noWrap/>
            <w:vAlign w:val="bottom"/>
            <w:hideMark/>
          </w:tcPr>
          <w:p w14:paraId="5FCCCF8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63</w:t>
            </w:r>
          </w:p>
        </w:tc>
        <w:tc>
          <w:tcPr>
            <w:tcW w:w="576" w:type="dxa"/>
            <w:tcBorders>
              <w:top w:val="nil"/>
              <w:left w:val="nil"/>
              <w:bottom w:val="nil"/>
              <w:right w:val="nil"/>
            </w:tcBorders>
            <w:shd w:val="clear" w:color="auto" w:fill="auto"/>
            <w:noWrap/>
            <w:vAlign w:val="bottom"/>
            <w:hideMark/>
          </w:tcPr>
          <w:p w14:paraId="4F4299E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74</w:t>
            </w:r>
          </w:p>
        </w:tc>
        <w:tc>
          <w:tcPr>
            <w:tcW w:w="576" w:type="dxa"/>
            <w:tcBorders>
              <w:top w:val="nil"/>
              <w:left w:val="nil"/>
              <w:bottom w:val="nil"/>
              <w:right w:val="nil"/>
            </w:tcBorders>
            <w:shd w:val="clear" w:color="auto" w:fill="auto"/>
            <w:noWrap/>
            <w:vAlign w:val="bottom"/>
            <w:hideMark/>
          </w:tcPr>
          <w:p w14:paraId="49180D2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74</w:t>
            </w:r>
          </w:p>
        </w:tc>
        <w:tc>
          <w:tcPr>
            <w:tcW w:w="576" w:type="dxa"/>
            <w:tcBorders>
              <w:top w:val="nil"/>
              <w:left w:val="nil"/>
              <w:bottom w:val="nil"/>
              <w:right w:val="nil"/>
            </w:tcBorders>
            <w:shd w:val="clear" w:color="auto" w:fill="auto"/>
            <w:noWrap/>
            <w:vAlign w:val="bottom"/>
            <w:hideMark/>
          </w:tcPr>
          <w:p w14:paraId="3ABDC59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77</w:t>
            </w:r>
          </w:p>
        </w:tc>
        <w:tc>
          <w:tcPr>
            <w:tcW w:w="576" w:type="dxa"/>
            <w:tcBorders>
              <w:top w:val="nil"/>
              <w:left w:val="nil"/>
              <w:bottom w:val="nil"/>
              <w:right w:val="nil"/>
            </w:tcBorders>
            <w:shd w:val="clear" w:color="auto" w:fill="auto"/>
            <w:noWrap/>
            <w:vAlign w:val="bottom"/>
            <w:hideMark/>
          </w:tcPr>
          <w:p w14:paraId="1D52410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92</w:t>
            </w:r>
          </w:p>
        </w:tc>
      </w:tr>
      <w:tr w:rsidR="006258EE" w:rsidRPr="00053D06" w14:paraId="6A465B12"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5586A7C8"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29DF9686"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gilgiana</w:t>
            </w:r>
          </w:p>
        </w:tc>
        <w:tc>
          <w:tcPr>
            <w:tcW w:w="576" w:type="dxa"/>
            <w:tcBorders>
              <w:top w:val="nil"/>
              <w:left w:val="nil"/>
              <w:bottom w:val="nil"/>
              <w:right w:val="nil"/>
            </w:tcBorders>
            <w:shd w:val="clear" w:color="auto" w:fill="auto"/>
            <w:noWrap/>
            <w:vAlign w:val="bottom"/>
            <w:hideMark/>
          </w:tcPr>
          <w:p w14:paraId="019E579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21</w:t>
            </w:r>
          </w:p>
        </w:tc>
        <w:tc>
          <w:tcPr>
            <w:tcW w:w="576" w:type="dxa"/>
            <w:tcBorders>
              <w:top w:val="nil"/>
              <w:left w:val="nil"/>
              <w:bottom w:val="nil"/>
              <w:right w:val="nil"/>
            </w:tcBorders>
            <w:shd w:val="clear" w:color="auto" w:fill="auto"/>
            <w:noWrap/>
            <w:vAlign w:val="bottom"/>
            <w:hideMark/>
          </w:tcPr>
          <w:p w14:paraId="3294001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33</w:t>
            </w:r>
          </w:p>
        </w:tc>
        <w:tc>
          <w:tcPr>
            <w:tcW w:w="576" w:type="dxa"/>
            <w:tcBorders>
              <w:top w:val="nil"/>
              <w:left w:val="nil"/>
              <w:bottom w:val="nil"/>
              <w:right w:val="nil"/>
            </w:tcBorders>
            <w:shd w:val="clear" w:color="auto" w:fill="auto"/>
            <w:noWrap/>
            <w:vAlign w:val="bottom"/>
            <w:hideMark/>
          </w:tcPr>
          <w:p w14:paraId="72D38AC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46</w:t>
            </w:r>
          </w:p>
        </w:tc>
        <w:tc>
          <w:tcPr>
            <w:tcW w:w="576" w:type="dxa"/>
            <w:tcBorders>
              <w:top w:val="nil"/>
              <w:left w:val="nil"/>
              <w:bottom w:val="nil"/>
              <w:right w:val="nil"/>
            </w:tcBorders>
            <w:shd w:val="clear" w:color="auto" w:fill="auto"/>
            <w:noWrap/>
            <w:vAlign w:val="bottom"/>
            <w:hideMark/>
          </w:tcPr>
          <w:p w14:paraId="3880E52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45</w:t>
            </w:r>
          </w:p>
        </w:tc>
        <w:tc>
          <w:tcPr>
            <w:tcW w:w="587" w:type="dxa"/>
            <w:tcBorders>
              <w:top w:val="nil"/>
              <w:left w:val="nil"/>
              <w:bottom w:val="nil"/>
              <w:right w:val="nil"/>
            </w:tcBorders>
            <w:shd w:val="clear" w:color="auto" w:fill="auto"/>
            <w:noWrap/>
            <w:vAlign w:val="bottom"/>
            <w:hideMark/>
          </w:tcPr>
          <w:p w14:paraId="43E2EE9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48</w:t>
            </w:r>
          </w:p>
        </w:tc>
        <w:tc>
          <w:tcPr>
            <w:tcW w:w="576" w:type="dxa"/>
            <w:tcBorders>
              <w:top w:val="nil"/>
              <w:left w:val="nil"/>
              <w:bottom w:val="nil"/>
              <w:right w:val="nil"/>
            </w:tcBorders>
            <w:shd w:val="clear" w:color="auto" w:fill="auto"/>
            <w:noWrap/>
            <w:vAlign w:val="bottom"/>
            <w:hideMark/>
          </w:tcPr>
          <w:p w14:paraId="73E7FB4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40</w:t>
            </w:r>
          </w:p>
        </w:tc>
        <w:tc>
          <w:tcPr>
            <w:tcW w:w="610" w:type="dxa"/>
            <w:tcBorders>
              <w:top w:val="nil"/>
              <w:left w:val="nil"/>
              <w:bottom w:val="nil"/>
              <w:right w:val="nil"/>
            </w:tcBorders>
            <w:shd w:val="clear" w:color="auto" w:fill="auto"/>
            <w:noWrap/>
            <w:vAlign w:val="bottom"/>
            <w:hideMark/>
          </w:tcPr>
          <w:p w14:paraId="259EFC1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53</w:t>
            </w:r>
          </w:p>
        </w:tc>
        <w:tc>
          <w:tcPr>
            <w:tcW w:w="576" w:type="dxa"/>
            <w:tcBorders>
              <w:top w:val="nil"/>
              <w:left w:val="nil"/>
              <w:bottom w:val="nil"/>
              <w:right w:val="nil"/>
            </w:tcBorders>
            <w:shd w:val="clear" w:color="auto" w:fill="auto"/>
            <w:noWrap/>
            <w:vAlign w:val="bottom"/>
            <w:hideMark/>
          </w:tcPr>
          <w:p w14:paraId="5F3A454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c>
          <w:tcPr>
            <w:tcW w:w="576" w:type="dxa"/>
            <w:tcBorders>
              <w:top w:val="nil"/>
              <w:left w:val="nil"/>
              <w:bottom w:val="nil"/>
              <w:right w:val="nil"/>
            </w:tcBorders>
            <w:shd w:val="clear" w:color="auto" w:fill="auto"/>
            <w:noWrap/>
            <w:vAlign w:val="bottom"/>
            <w:hideMark/>
          </w:tcPr>
          <w:p w14:paraId="59810B8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22</w:t>
            </w:r>
          </w:p>
        </w:tc>
        <w:tc>
          <w:tcPr>
            <w:tcW w:w="576" w:type="dxa"/>
            <w:tcBorders>
              <w:top w:val="nil"/>
              <w:left w:val="nil"/>
              <w:bottom w:val="nil"/>
              <w:right w:val="nil"/>
            </w:tcBorders>
            <w:shd w:val="clear" w:color="auto" w:fill="auto"/>
            <w:noWrap/>
            <w:vAlign w:val="bottom"/>
            <w:hideMark/>
          </w:tcPr>
          <w:p w14:paraId="46A476F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w:t>
            </w:r>
          </w:p>
        </w:tc>
        <w:tc>
          <w:tcPr>
            <w:tcW w:w="576" w:type="dxa"/>
            <w:tcBorders>
              <w:top w:val="nil"/>
              <w:left w:val="nil"/>
              <w:bottom w:val="nil"/>
              <w:right w:val="nil"/>
            </w:tcBorders>
            <w:shd w:val="clear" w:color="auto" w:fill="auto"/>
            <w:noWrap/>
            <w:vAlign w:val="bottom"/>
            <w:hideMark/>
          </w:tcPr>
          <w:p w14:paraId="2E73ABC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11</w:t>
            </w:r>
          </w:p>
        </w:tc>
        <w:tc>
          <w:tcPr>
            <w:tcW w:w="576" w:type="dxa"/>
            <w:tcBorders>
              <w:top w:val="nil"/>
              <w:left w:val="nil"/>
              <w:bottom w:val="nil"/>
              <w:right w:val="nil"/>
            </w:tcBorders>
            <w:shd w:val="clear" w:color="auto" w:fill="auto"/>
            <w:noWrap/>
            <w:vAlign w:val="bottom"/>
            <w:hideMark/>
          </w:tcPr>
          <w:p w14:paraId="2692D6C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r>
      <w:tr w:rsidR="006258EE" w:rsidRPr="00053D06" w14:paraId="67F0CF73"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2820A605"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078DD78D"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hybrida</w:t>
            </w:r>
          </w:p>
        </w:tc>
        <w:tc>
          <w:tcPr>
            <w:tcW w:w="576" w:type="dxa"/>
            <w:tcBorders>
              <w:top w:val="nil"/>
              <w:left w:val="nil"/>
              <w:bottom w:val="nil"/>
              <w:right w:val="nil"/>
            </w:tcBorders>
            <w:shd w:val="clear" w:color="auto" w:fill="auto"/>
            <w:noWrap/>
            <w:vAlign w:val="bottom"/>
            <w:hideMark/>
          </w:tcPr>
          <w:p w14:paraId="6792E58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15</w:t>
            </w:r>
          </w:p>
        </w:tc>
        <w:tc>
          <w:tcPr>
            <w:tcW w:w="576" w:type="dxa"/>
            <w:tcBorders>
              <w:top w:val="nil"/>
              <w:left w:val="nil"/>
              <w:bottom w:val="nil"/>
              <w:right w:val="nil"/>
            </w:tcBorders>
            <w:shd w:val="clear" w:color="auto" w:fill="auto"/>
            <w:noWrap/>
            <w:vAlign w:val="bottom"/>
            <w:hideMark/>
          </w:tcPr>
          <w:p w14:paraId="097B894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26</w:t>
            </w:r>
          </w:p>
        </w:tc>
        <w:tc>
          <w:tcPr>
            <w:tcW w:w="576" w:type="dxa"/>
            <w:tcBorders>
              <w:top w:val="nil"/>
              <w:left w:val="nil"/>
              <w:bottom w:val="nil"/>
              <w:right w:val="nil"/>
            </w:tcBorders>
            <w:shd w:val="clear" w:color="auto" w:fill="auto"/>
            <w:noWrap/>
            <w:vAlign w:val="bottom"/>
            <w:hideMark/>
          </w:tcPr>
          <w:p w14:paraId="634EA64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39</w:t>
            </w:r>
          </w:p>
        </w:tc>
        <w:tc>
          <w:tcPr>
            <w:tcW w:w="576" w:type="dxa"/>
            <w:tcBorders>
              <w:top w:val="nil"/>
              <w:left w:val="nil"/>
              <w:bottom w:val="nil"/>
              <w:right w:val="nil"/>
            </w:tcBorders>
            <w:shd w:val="clear" w:color="auto" w:fill="auto"/>
            <w:noWrap/>
            <w:vAlign w:val="bottom"/>
            <w:hideMark/>
          </w:tcPr>
          <w:p w14:paraId="5B4E268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48</w:t>
            </w:r>
          </w:p>
        </w:tc>
        <w:tc>
          <w:tcPr>
            <w:tcW w:w="587" w:type="dxa"/>
            <w:tcBorders>
              <w:top w:val="nil"/>
              <w:left w:val="nil"/>
              <w:bottom w:val="nil"/>
              <w:right w:val="nil"/>
            </w:tcBorders>
            <w:shd w:val="clear" w:color="auto" w:fill="auto"/>
            <w:noWrap/>
            <w:vAlign w:val="bottom"/>
            <w:hideMark/>
          </w:tcPr>
          <w:p w14:paraId="60289AA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65</w:t>
            </w:r>
          </w:p>
        </w:tc>
        <w:tc>
          <w:tcPr>
            <w:tcW w:w="576" w:type="dxa"/>
            <w:tcBorders>
              <w:top w:val="nil"/>
              <w:left w:val="nil"/>
              <w:bottom w:val="nil"/>
              <w:right w:val="nil"/>
            </w:tcBorders>
            <w:shd w:val="clear" w:color="auto" w:fill="auto"/>
            <w:noWrap/>
            <w:vAlign w:val="bottom"/>
            <w:hideMark/>
          </w:tcPr>
          <w:p w14:paraId="10C1C67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19</w:t>
            </w:r>
          </w:p>
        </w:tc>
        <w:tc>
          <w:tcPr>
            <w:tcW w:w="610" w:type="dxa"/>
            <w:tcBorders>
              <w:top w:val="nil"/>
              <w:left w:val="nil"/>
              <w:bottom w:val="nil"/>
              <w:right w:val="nil"/>
            </w:tcBorders>
            <w:shd w:val="clear" w:color="auto" w:fill="auto"/>
            <w:noWrap/>
            <w:vAlign w:val="bottom"/>
            <w:hideMark/>
          </w:tcPr>
          <w:p w14:paraId="74E6CBB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22</w:t>
            </w:r>
          </w:p>
        </w:tc>
        <w:tc>
          <w:tcPr>
            <w:tcW w:w="576" w:type="dxa"/>
            <w:tcBorders>
              <w:top w:val="nil"/>
              <w:left w:val="nil"/>
              <w:bottom w:val="nil"/>
              <w:right w:val="nil"/>
            </w:tcBorders>
            <w:shd w:val="clear" w:color="auto" w:fill="auto"/>
            <w:noWrap/>
            <w:vAlign w:val="bottom"/>
            <w:hideMark/>
          </w:tcPr>
          <w:p w14:paraId="5522368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w:t>
            </w:r>
          </w:p>
        </w:tc>
        <w:tc>
          <w:tcPr>
            <w:tcW w:w="576" w:type="dxa"/>
            <w:tcBorders>
              <w:top w:val="nil"/>
              <w:left w:val="nil"/>
              <w:bottom w:val="nil"/>
              <w:right w:val="nil"/>
            </w:tcBorders>
            <w:shd w:val="clear" w:color="auto" w:fill="auto"/>
            <w:noWrap/>
            <w:vAlign w:val="bottom"/>
            <w:hideMark/>
          </w:tcPr>
          <w:p w14:paraId="1C93777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w:t>
            </w:r>
          </w:p>
        </w:tc>
        <w:tc>
          <w:tcPr>
            <w:tcW w:w="576" w:type="dxa"/>
            <w:tcBorders>
              <w:top w:val="nil"/>
              <w:left w:val="nil"/>
              <w:bottom w:val="nil"/>
              <w:right w:val="nil"/>
            </w:tcBorders>
            <w:shd w:val="clear" w:color="auto" w:fill="auto"/>
            <w:noWrap/>
            <w:vAlign w:val="bottom"/>
            <w:hideMark/>
          </w:tcPr>
          <w:p w14:paraId="605C066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w:t>
            </w:r>
          </w:p>
        </w:tc>
        <w:tc>
          <w:tcPr>
            <w:tcW w:w="576" w:type="dxa"/>
            <w:tcBorders>
              <w:top w:val="nil"/>
              <w:left w:val="nil"/>
              <w:bottom w:val="nil"/>
              <w:right w:val="nil"/>
            </w:tcBorders>
            <w:shd w:val="clear" w:color="auto" w:fill="auto"/>
            <w:noWrap/>
            <w:vAlign w:val="bottom"/>
            <w:hideMark/>
          </w:tcPr>
          <w:p w14:paraId="456F3B6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w:t>
            </w:r>
          </w:p>
        </w:tc>
        <w:tc>
          <w:tcPr>
            <w:tcW w:w="576" w:type="dxa"/>
            <w:tcBorders>
              <w:top w:val="nil"/>
              <w:left w:val="nil"/>
              <w:bottom w:val="nil"/>
              <w:right w:val="nil"/>
            </w:tcBorders>
            <w:shd w:val="clear" w:color="auto" w:fill="auto"/>
            <w:noWrap/>
            <w:vAlign w:val="bottom"/>
            <w:hideMark/>
          </w:tcPr>
          <w:p w14:paraId="57475E1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w:t>
            </w:r>
          </w:p>
        </w:tc>
      </w:tr>
      <w:tr w:rsidR="006258EE" w:rsidRPr="00053D06" w14:paraId="5D83316D"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1C5352BC"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4399B59D"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iridifolia</w:t>
            </w:r>
          </w:p>
        </w:tc>
        <w:tc>
          <w:tcPr>
            <w:tcW w:w="576" w:type="dxa"/>
            <w:tcBorders>
              <w:top w:val="nil"/>
              <w:left w:val="nil"/>
              <w:bottom w:val="nil"/>
              <w:right w:val="nil"/>
            </w:tcBorders>
            <w:shd w:val="clear" w:color="auto" w:fill="auto"/>
            <w:noWrap/>
            <w:vAlign w:val="bottom"/>
            <w:hideMark/>
          </w:tcPr>
          <w:p w14:paraId="7AD90E2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15</w:t>
            </w:r>
          </w:p>
        </w:tc>
        <w:tc>
          <w:tcPr>
            <w:tcW w:w="576" w:type="dxa"/>
            <w:tcBorders>
              <w:top w:val="nil"/>
              <w:left w:val="nil"/>
              <w:bottom w:val="nil"/>
              <w:right w:val="nil"/>
            </w:tcBorders>
            <w:shd w:val="clear" w:color="auto" w:fill="auto"/>
            <w:noWrap/>
            <w:vAlign w:val="bottom"/>
            <w:hideMark/>
          </w:tcPr>
          <w:p w14:paraId="7401620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30</w:t>
            </w:r>
          </w:p>
        </w:tc>
        <w:tc>
          <w:tcPr>
            <w:tcW w:w="576" w:type="dxa"/>
            <w:tcBorders>
              <w:top w:val="nil"/>
              <w:left w:val="nil"/>
              <w:bottom w:val="nil"/>
              <w:right w:val="nil"/>
            </w:tcBorders>
            <w:shd w:val="clear" w:color="auto" w:fill="auto"/>
            <w:noWrap/>
            <w:vAlign w:val="bottom"/>
            <w:hideMark/>
          </w:tcPr>
          <w:p w14:paraId="741BBC9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39</w:t>
            </w:r>
          </w:p>
        </w:tc>
        <w:tc>
          <w:tcPr>
            <w:tcW w:w="576" w:type="dxa"/>
            <w:tcBorders>
              <w:top w:val="nil"/>
              <w:left w:val="nil"/>
              <w:bottom w:val="nil"/>
              <w:right w:val="nil"/>
            </w:tcBorders>
            <w:shd w:val="clear" w:color="auto" w:fill="auto"/>
            <w:noWrap/>
            <w:vAlign w:val="bottom"/>
            <w:hideMark/>
          </w:tcPr>
          <w:p w14:paraId="671E5F9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32</w:t>
            </w:r>
          </w:p>
        </w:tc>
        <w:tc>
          <w:tcPr>
            <w:tcW w:w="587" w:type="dxa"/>
            <w:tcBorders>
              <w:top w:val="nil"/>
              <w:left w:val="nil"/>
              <w:bottom w:val="nil"/>
              <w:right w:val="nil"/>
            </w:tcBorders>
            <w:shd w:val="clear" w:color="auto" w:fill="auto"/>
            <w:noWrap/>
            <w:vAlign w:val="bottom"/>
            <w:hideMark/>
          </w:tcPr>
          <w:p w14:paraId="13461E5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41</w:t>
            </w:r>
          </w:p>
        </w:tc>
        <w:tc>
          <w:tcPr>
            <w:tcW w:w="576" w:type="dxa"/>
            <w:tcBorders>
              <w:top w:val="nil"/>
              <w:left w:val="nil"/>
              <w:bottom w:val="nil"/>
              <w:right w:val="nil"/>
            </w:tcBorders>
            <w:shd w:val="clear" w:color="auto" w:fill="auto"/>
            <w:noWrap/>
            <w:vAlign w:val="bottom"/>
            <w:hideMark/>
          </w:tcPr>
          <w:p w14:paraId="0407AEF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59</w:t>
            </w:r>
          </w:p>
        </w:tc>
        <w:tc>
          <w:tcPr>
            <w:tcW w:w="610" w:type="dxa"/>
            <w:tcBorders>
              <w:top w:val="nil"/>
              <w:left w:val="nil"/>
              <w:bottom w:val="nil"/>
              <w:right w:val="nil"/>
            </w:tcBorders>
            <w:shd w:val="clear" w:color="auto" w:fill="auto"/>
            <w:noWrap/>
            <w:vAlign w:val="bottom"/>
            <w:hideMark/>
          </w:tcPr>
          <w:p w14:paraId="35CF7FF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28</w:t>
            </w:r>
          </w:p>
        </w:tc>
        <w:tc>
          <w:tcPr>
            <w:tcW w:w="576" w:type="dxa"/>
            <w:tcBorders>
              <w:top w:val="nil"/>
              <w:left w:val="nil"/>
              <w:bottom w:val="nil"/>
              <w:right w:val="nil"/>
            </w:tcBorders>
            <w:shd w:val="clear" w:color="auto" w:fill="auto"/>
            <w:noWrap/>
            <w:vAlign w:val="bottom"/>
            <w:hideMark/>
          </w:tcPr>
          <w:p w14:paraId="746CD87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48</w:t>
            </w:r>
          </w:p>
        </w:tc>
        <w:tc>
          <w:tcPr>
            <w:tcW w:w="576" w:type="dxa"/>
            <w:tcBorders>
              <w:top w:val="nil"/>
              <w:left w:val="nil"/>
              <w:bottom w:val="nil"/>
              <w:right w:val="nil"/>
            </w:tcBorders>
            <w:shd w:val="clear" w:color="auto" w:fill="auto"/>
            <w:noWrap/>
            <w:vAlign w:val="bottom"/>
            <w:hideMark/>
          </w:tcPr>
          <w:p w14:paraId="0EB9D7E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28</w:t>
            </w:r>
          </w:p>
        </w:tc>
        <w:tc>
          <w:tcPr>
            <w:tcW w:w="576" w:type="dxa"/>
            <w:tcBorders>
              <w:top w:val="nil"/>
              <w:left w:val="nil"/>
              <w:bottom w:val="nil"/>
              <w:right w:val="nil"/>
            </w:tcBorders>
            <w:shd w:val="clear" w:color="auto" w:fill="auto"/>
            <w:noWrap/>
            <w:vAlign w:val="bottom"/>
            <w:hideMark/>
          </w:tcPr>
          <w:p w14:paraId="0A9C7E1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27</w:t>
            </w:r>
          </w:p>
        </w:tc>
        <w:tc>
          <w:tcPr>
            <w:tcW w:w="576" w:type="dxa"/>
            <w:tcBorders>
              <w:top w:val="nil"/>
              <w:left w:val="nil"/>
              <w:bottom w:val="nil"/>
              <w:right w:val="nil"/>
            </w:tcBorders>
            <w:shd w:val="clear" w:color="auto" w:fill="auto"/>
            <w:noWrap/>
            <w:vAlign w:val="bottom"/>
            <w:hideMark/>
          </w:tcPr>
          <w:p w14:paraId="309D91D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29</w:t>
            </w:r>
          </w:p>
        </w:tc>
        <w:tc>
          <w:tcPr>
            <w:tcW w:w="576" w:type="dxa"/>
            <w:tcBorders>
              <w:top w:val="nil"/>
              <w:left w:val="nil"/>
              <w:bottom w:val="nil"/>
              <w:right w:val="nil"/>
            </w:tcBorders>
            <w:shd w:val="clear" w:color="auto" w:fill="auto"/>
            <w:noWrap/>
            <w:vAlign w:val="bottom"/>
            <w:hideMark/>
          </w:tcPr>
          <w:p w14:paraId="27F0D75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46</w:t>
            </w:r>
          </w:p>
        </w:tc>
      </w:tr>
      <w:tr w:rsidR="006258EE" w:rsidRPr="00053D06" w14:paraId="5F6B2BE5"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0D0BFB3E"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1FB2286E"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lanigera</w:t>
            </w:r>
          </w:p>
        </w:tc>
        <w:tc>
          <w:tcPr>
            <w:tcW w:w="576" w:type="dxa"/>
            <w:tcBorders>
              <w:top w:val="nil"/>
              <w:left w:val="nil"/>
              <w:bottom w:val="nil"/>
              <w:right w:val="nil"/>
            </w:tcBorders>
            <w:shd w:val="clear" w:color="auto" w:fill="auto"/>
            <w:noWrap/>
            <w:vAlign w:val="bottom"/>
            <w:hideMark/>
          </w:tcPr>
          <w:p w14:paraId="10C5D29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14</w:t>
            </w:r>
          </w:p>
        </w:tc>
        <w:tc>
          <w:tcPr>
            <w:tcW w:w="576" w:type="dxa"/>
            <w:tcBorders>
              <w:top w:val="nil"/>
              <w:left w:val="nil"/>
              <w:bottom w:val="nil"/>
              <w:right w:val="nil"/>
            </w:tcBorders>
            <w:shd w:val="clear" w:color="auto" w:fill="auto"/>
            <w:noWrap/>
            <w:vAlign w:val="bottom"/>
            <w:hideMark/>
          </w:tcPr>
          <w:p w14:paraId="102BA68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33</w:t>
            </w:r>
          </w:p>
        </w:tc>
        <w:tc>
          <w:tcPr>
            <w:tcW w:w="576" w:type="dxa"/>
            <w:tcBorders>
              <w:top w:val="nil"/>
              <w:left w:val="nil"/>
              <w:bottom w:val="nil"/>
              <w:right w:val="nil"/>
            </w:tcBorders>
            <w:shd w:val="clear" w:color="auto" w:fill="auto"/>
            <w:noWrap/>
            <w:vAlign w:val="bottom"/>
            <w:hideMark/>
          </w:tcPr>
          <w:p w14:paraId="75A1003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55</w:t>
            </w:r>
          </w:p>
        </w:tc>
        <w:tc>
          <w:tcPr>
            <w:tcW w:w="576" w:type="dxa"/>
            <w:tcBorders>
              <w:top w:val="nil"/>
              <w:left w:val="nil"/>
              <w:bottom w:val="nil"/>
              <w:right w:val="nil"/>
            </w:tcBorders>
            <w:shd w:val="clear" w:color="auto" w:fill="auto"/>
            <w:noWrap/>
            <w:vAlign w:val="bottom"/>
            <w:hideMark/>
          </w:tcPr>
          <w:p w14:paraId="3C92BA3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68</w:t>
            </w:r>
          </w:p>
        </w:tc>
        <w:tc>
          <w:tcPr>
            <w:tcW w:w="587" w:type="dxa"/>
            <w:tcBorders>
              <w:top w:val="nil"/>
              <w:left w:val="nil"/>
              <w:bottom w:val="nil"/>
              <w:right w:val="nil"/>
            </w:tcBorders>
            <w:shd w:val="clear" w:color="auto" w:fill="auto"/>
            <w:noWrap/>
            <w:vAlign w:val="bottom"/>
            <w:hideMark/>
          </w:tcPr>
          <w:p w14:paraId="63FDACD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77</w:t>
            </w:r>
          </w:p>
        </w:tc>
        <w:tc>
          <w:tcPr>
            <w:tcW w:w="576" w:type="dxa"/>
            <w:tcBorders>
              <w:top w:val="nil"/>
              <w:left w:val="nil"/>
              <w:bottom w:val="nil"/>
              <w:right w:val="nil"/>
            </w:tcBorders>
            <w:shd w:val="clear" w:color="auto" w:fill="auto"/>
            <w:noWrap/>
            <w:vAlign w:val="bottom"/>
            <w:hideMark/>
          </w:tcPr>
          <w:p w14:paraId="15DD639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54</w:t>
            </w:r>
          </w:p>
        </w:tc>
        <w:tc>
          <w:tcPr>
            <w:tcW w:w="610" w:type="dxa"/>
            <w:tcBorders>
              <w:top w:val="nil"/>
              <w:left w:val="nil"/>
              <w:bottom w:val="nil"/>
              <w:right w:val="nil"/>
            </w:tcBorders>
            <w:shd w:val="clear" w:color="auto" w:fill="auto"/>
            <w:noWrap/>
            <w:vAlign w:val="bottom"/>
            <w:hideMark/>
          </w:tcPr>
          <w:p w14:paraId="69417DE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19</w:t>
            </w:r>
          </w:p>
        </w:tc>
        <w:tc>
          <w:tcPr>
            <w:tcW w:w="576" w:type="dxa"/>
            <w:tcBorders>
              <w:top w:val="nil"/>
              <w:left w:val="nil"/>
              <w:bottom w:val="nil"/>
              <w:right w:val="nil"/>
            </w:tcBorders>
            <w:shd w:val="clear" w:color="auto" w:fill="auto"/>
            <w:noWrap/>
            <w:vAlign w:val="bottom"/>
            <w:hideMark/>
          </w:tcPr>
          <w:p w14:paraId="1086F02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24</w:t>
            </w:r>
          </w:p>
        </w:tc>
        <w:tc>
          <w:tcPr>
            <w:tcW w:w="576" w:type="dxa"/>
            <w:tcBorders>
              <w:top w:val="nil"/>
              <w:left w:val="nil"/>
              <w:bottom w:val="nil"/>
              <w:right w:val="nil"/>
            </w:tcBorders>
            <w:shd w:val="clear" w:color="auto" w:fill="auto"/>
            <w:noWrap/>
            <w:vAlign w:val="bottom"/>
            <w:hideMark/>
          </w:tcPr>
          <w:p w14:paraId="23B8436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36</w:t>
            </w:r>
          </w:p>
        </w:tc>
        <w:tc>
          <w:tcPr>
            <w:tcW w:w="576" w:type="dxa"/>
            <w:tcBorders>
              <w:top w:val="nil"/>
              <w:left w:val="nil"/>
              <w:bottom w:val="nil"/>
              <w:right w:val="nil"/>
            </w:tcBorders>
            <w:shd w:val="clear" w:color="auto" w:fill="auto"/>
            <w:noWrap/>
            <w:vAlign w:val="bottom"/>
            <w:hideMark/>
          </w:tcPr>
          <w:p w14:paraId="6EFF104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39</w:t>
            </w:r>
          </w:p>
        </w:tc>
        <w:tc>
          <w:tcPr>
            <w:tcW w:w="576" w:type="dxa"/>
            <w:tcBorders>
              <w:top w:val="nil"/>
              <w:left w:val="nil"/>
              <w:bottom w:val="nil"/>
              <w:right w:val="nil"/>
            </w:tcBorders>
            <w:shd w:val="clear" w:color="auto" w:fill="auto"/>
            <w:noWrap/>
            <w:vAlign w:val="bottom"/>
            <w:hideMark/>
          </w:tcPr>
          <w:p w14:paraId="4A20344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66</w:t>
            </w:r>
          </w:p>
        </w:tc>
        <w:tc>
          <w:tcPr>
            <w:tcW w:w="576" w:type="dxa"/>
            <w:tcBorders>
              <w:top w:val="nil"/>
              <w:left w:val="nil"/>
              <w:bottom w:val="nil"/>
              <w:right w:val="nil"/>
            </w:tcBorders>
            <w:shd w:val="clear" w:color="auto" w:fill="auto"/>
            <w:noWrap/>
            <w:vAlign w:val="bottom"/>
            <w:hideMark/>
          </w:tcPr>
          <w:p w14:paraId="50837D4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75</w:t>
            </w:r>
          </w:p>
        </w:tc>
      </w:tr>
      <w:tr w:rsidR="006258EE" w:rsidRPr="00053D06" w14:paraId="255520B3"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2D7FD51F"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1C1FD371"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ligulata</w:t>
            </w:r>
          </w:p>
        </w:tc>
        <w:tc>
          <w:tcPr>
            <w:tcW w:w="576" w:type="dxa"/>
            <w:tcBorders>
              <w:top w:val="nil"/>
              <w:left w:val="nil"/>
              <w:bottom w:val="nil"/>
              <w:right w:val="nil"/>
            </w:tcBorders>
            <w:shd w:val="clear" w:color="auto" w:fill="auto"/>
            <w:noWrap/>
            <w:vAlign w:val="bottom"/>
            <w:hideMark/>
          </w:tcPr>
          <w:p w14:paraId="0BFF4CF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13</w:t>
            </w:r>
          </w:p>
        </w:tc>
        <w:tc>
          <w:tcPr>
            <w:tcW w:w="576" w:type="dxa"/>
            <w:tcBorders>
              <w:top w:val="nil"/>
              <w:left w:val="nil"/>
              <w:bottom w:val="nil"/>
              <w:right w:val="nil"/>
            </w:tcBorders>
            <w:shd w:val="clear" w:color="auto" w:fill="auto"/>
            <w:noWrap/>
            <w:vAlign w:val="bottom"/>
            <w:hideMark/>
          </w:tcPr>
          <w:p w14:paraId="5C38CBC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32</w:t>
            </w:r>
          </w:p>
        </w:tc>
        <w:tc>
          <w:tcPr>
            <w:tcW w:w="576" w:type="dxa"/>
            <w:tcBorders>
              <w:top w:val="nil"/>
              <w:left w:val="nil"/>
              <w:bottom w:val="nil"/>
              <w:right w:val="nil"/>
            </w:tcBorders>
            <w:shd w:val="clear" w:color="auto" w:fill="auto"/>
            <w:noWrap/>
            <w:vAlign w:val="bottom"/>
            <w:hideMark/>
          </w:tcPr>
          <w:p w14:paraId="09EDF9D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49</w:t>
            </w:r>
          </w:p>
        </w:tc>
        <w:tc>
          <w:tcPr>
            <w:tcW w:w="576" w:type="dxa"/>
            <w:tcBorders>
              <w:top w:val="nil"/>
              <w:left w:val="nil"/>
              <w:bottom w:val="nil"/>
              <w:right w:val="nil"/>
            </w:tcBorders>
            <w:shd w:val="clear" w:color="auto" w:fill="auto"/>
            <w:noWrap/>
            <w:vAlign w:val="bottom"/>
            <w:hideMark/>
          </w:tcPr>
          <w:p w14:paraId="09968C9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54</w:t>
            </w:r>
          </w:p>
        </w:tc>
        <w:tc>
          <w:tcPr>
            <w:tcW w:w="587" w:type="dxa"/>
            <w:tcBorders>
              <w:top w:val="nil"/>
              <w:left w:val="nil"/>
              <w:bottom w:val="nil"/>
              <w:right w:val="nil"/>
            </w:tcBorders>
            <w:shd w:val="clear" w:color="auto" w:fill="auto"/>
            <w:noWrap/>
            <w:vAlign w:val="bottom"/>
            <w:hideMark/>
          </w:tcPr>
          <w:p w14:paraId="6F9B59E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56</w:t>
            </w:r>
          </w:p>
        </w:tc>
        <w:tc>
          <w:tcPr>
            <w:tcW w:w="576" w:type="dxa"/>
            <w:tcBorders>
              <w:top w:val="nil"/>
              <w:left w:val="nil"/>
              <w:bottom w:val="nil"/>
              <w:right w:val="nil"/>
            </w:tcBorders>
            <w:shd w:val="clear" w:color="auto" w:fill="auto"/>
            <w:noWrap/>
            <w:vAlign w:val="bottom"/>
            <w:hideMark/>
          </w:tcPr>
          <w:p w14:paraId="35D430A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37</w:t>
            </w:r>
          </w:p>
        </w:tc>
        <w:tc>
          <w:tcPr>
            <w:tcW w:w="610" w:type="dxa"/>
            <w:tcBorders>
              <w:top w:val="nil"/>
              <w:left w:val="nil"/>
              <w:bottom w:val="nil"/>
              <w:right w:val="nil"/>
            </w:tcBorders>
            <w:shd w:val="clear" w:color="auto" w:fill="auto"/>
            <w:noWrap/>
            <w:vAlign w:val="bottom"/>
            <w:hideMark/>
          </w:tcPr>
          <w:p w14:paraId="285C6D8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w:t>
            </w:r>
          </w:p>
        </w:tc>
        <w:tc>
          <w:tcPr>
            <w:tcW w:w="576" w:type="dxa"/>
            <w:tcBorders>
              <w:top w:val="nil"/>
              <w:left w:val="nil"/>
              <w:bottom w:val="nil"/>
              <w:right w:val="nil"/>
            </w:tcBorders>
            <w:shd w:val="clear" w:color="auto" w:fill="auto"/>
            <w:noWrap/>
            <w:vAlign w:val="bottom"/>
            <w:hideMark/>
          </w:tcPr>
          <w:p w14:paraId="7CE2F0F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w:t>
            </w:r>
          </w:p>
        </w:tc>
        <w:tc>
          <w:tcPr>
            <w:tcW w:w="576" w:type="dxa"/>
            <w:tcBorders>
              <w:top w:val="nil"/>
              <w:left w:val="nil"/>
              <w:bottom w:val="nil"/>
              <w:right w:val="nil"/>
            </w:tcBorders>
            <w:shd w:val="clear" w:color="auto" w:fill="auto"/>
            <w:noWrap/>
            <w:vAlign w:val="bottom"/>
            <w:hideMark/>
          </w:tcPr>
          <w:p w14:paraId="2942350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w:t>
            </w:r>
          </w:p>
        </w:tc>
        <w:tc>
          <w:tcPr>
            <w:tcW w:w="576" w:type="dxa"/>
            <w:tcBorders>
              <w:top w:val="nil"/>
              <w:left w:val="nil"/>
              <w:bottom w:val="nil"/>
              <w:right w:val="nil"/>
            </w:tcBorders>
            <w:shd w:val="clear" w:color="auto" w:fill="auto"/>
            <w:noWrap/>
            <w:vAlign w:val="bottom"/>
            <w:hideMark/>
          </w:tcPr>
          <w:p w14:paraId="6BF9218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w:t>
            </w:r>
          </w:p>
        </w:tc>
        <w:tc>
          <w:tcPr>
            <w:tcW w:w="576" w:type="dxa"/>
            <w:tcBorders>
              <w:top w:val="nil"/>
              <w:left w:val="nil"/>
              <w:bottom w:val="nil"/>
              <w:right w:val="nil"/>
            </w:tcBorders>
            <w:shd w:val="clear" w:color="auto" w:fill="auto"/>
            <w:noWrap/>
            <w:vAlign w:val="bottom"/>
            <w:hideMark/>
          </w:tcPr>
          <w:p w14:paraId="4F88765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w:t>
            </w:r>
          </w:p>
        </w:tc>
        <w:tc>
          <w:tcPr>
            <w:tcW w:w="576" w:type="dxa"/>
            <w:tcBorders>
              <w:top w:val="nil"/>
              <w:left w:val="nil"/>
              <w:bottom w:val="nil"/>
              <w:right w:val="nil"/>
            </w:tcBorders>
            <w:shd w:val="clear" w:color="auto" w:fill="auto"/>
            <w:noWrap/>
            <w:vAlign w:val="bottom"/>
            <w:hideMark/>
          </w:tcPr>
          <w:p w14:paraId="41318F5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r>
      <w:tr w:rsidR="006258EE" w:rsidRPr="00053D06" w14:paraId="30556C4F"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4DD444EC"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63650007"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lindsayi</w:t>
            </w:r>
          </w:p>
        </w:tc>
        <w:tc>
          <w:tcPr>
            <w:tcW w:w="576" w:type="dxa"/>
            <w:tcBorders>
              <w:top w:val="nil"/>
              <w:left w:val="nil"/>
              <w:bottom w:val="nil"/>
              <w:right w:val="nil"/>
            </w:tcBorders>
            <w:shd w:val="clear" w:color="auto" w:fill="auto"/>
            <w:noWrap/>
            <w:vAlign w:val="bottom"/>
            <w:hideMark/>
          </w:tcPr>
          <w:p w14:paraId="34BEF4C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13</w:t>
            </w:r>
          </w:p>
        </w:tc>
        <w:tc>
          <w:tcPr>
            <w:tcW w:w="576" w:type="dxa"/>
            <w:tcBorders>
              <w:top w:val="nil"/>
              <w:left w:val="nil"/>
              <w:bottom w:val="nil"/>
              <w:right w:val="nil"/>
            </w:tcBorders>
            <w:shd w:val="clear" w:color="auto" w:fill="auto"/>
            <w:noWrap/>
            <w:vAlign w:val="bottom"/>
            <w:hideMark/>
          </w:tcPr>
          <w:p w14:paraId="1CC0F67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24</w:t>
            </w:r>
          </w:p>
        </w:tc>
        <w:tc>
          <w:tcPr>
            <w:tcW w:w="576" w:type="dxa"/>
            <w:tcBorders>
              <w:top w:val="nil"/>
              <w:left w:val="nil"/>
              <w:bottom w:val="nil"/>
              <w:right w:val="nil"/>
            </w:tcBorders>
            <w:shd w:val="clear" w:color="auto" w:fill="auto"/>
            <w:noWrap/>
            <w:vAlign w:val="bottom"/>
            <w:hideMark/>
          </w:tcPr>
          <w:p w14:paraId="31BB34D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27</w:t>
            </w:r>
          </w:p>
        </w:tc>
        <w:tc>
          <w:tcPr>
            <w:tcW w:w="576" w:type="dxa"/>
            <w:tcBorders>
              <w:top w:val="nil"/>
              <w:left w:val="nil"/>
              <w:bottom w:val="nil"/>
              <w:right w:val="nil"/>
            </w:tcBorders>
            <w:shd w:val="clear" w:color="auto" w:fill="auto"/>
            <w:noWrap/>
            <w:vAlign w:val="bottom"/>
            <w:hideMark/>
          </w:tcPr>
          <w:p w14:paraId="75E6727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22</w:t>
            </w:r>
          </w:p>
        </w:tc>
        <w:tc>
          <w:tcPr>
            <w:tcW w:w="587" w:type="dxa"/>
            <w:tcBorders>
              <w:top w:val="nil"/>
              <w:left w:val="nil"/>
              <w:bottom w:val="nil"/>
              <w:right w:val="nil"/>
            </w:tcBorders>
            <w:shd w:val="clear" w:color="auto" w:fill="auto"/>
            <w:noWrap/>
            <w:vAlign w:val="bottom"/>
            <w:hideMark/>
          </w:tcPr>
          <w:p w14:paraId="24C1598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33</w:t>
            </w:r>
          </w:p>
        </w:tc>
        <w:tc>
          <w:tcPr>
            <w:tcW w:w="576" w:type="dxa"/>
            <w:tcBorders>
              <w:top w:val="nil"/>
              <w:left w:val="nil"/>
              <w:bottom w:val="nil"/>
              <w:right w:val="nil"/>
            </w:tcBorders>
            <w:shd w:val="clear" w:color="auto" w:fill="auto"/>
            <w:noWrap/>
            <w:vAlign w:val="bottom"/>
            <w:hideMark/>
          </w:tcPr>
          <w:p w14:paraId="289563D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39</w:t>
            </w:r>
          </w:p>
        </w:tc>
        <w:tc>
          <w:tcPr>
            <w:tcW w:w="610" w:type="dxa"/>
            <w:tcBorders>
              <w:top w:val="nil"/>
              <w:left w:val="nil"/>
              <w:bottom w:val="nil"/>
              <w:right w:val="nil"/>
            </w:tcBorders>
            <w:shd w:val="clear" w:color="auto" w:fill="auto"/>
            <w:noWrap/>
            <w:vAlign w:val="bottom"/>
            <w:hideMark/>
          </w:tcPr>
          <w:p w14:paraId="0624255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25</w:t>
            </w:r>
          </w:p>
        </w:tc>
        <w:tc>
          <w:tcPr>
            <w:tcW w:w="576" w:type="dxa"/>
            <w:tcBorders>
              <w:top w:val="nil"/>
              <w:left w:val="nil"/>
              <w:bottom w:val="nil"/>
              <w:right w:val="nil"/>
            </w:tcBorders>
            <w:shd w:val="clear" w:color="auto" w:fill="auto"/>
            <w:noWrap/>
            <w:vAlign w:val="bottom"/>
            <w:hideMark/>
          </w:tcPr>
          <w:p w14:paraId="33B96C9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37</w:t>
            </w:r>
          </w:p>
        </w:tc>
        <w:tc>
          <w:tcPr>
            <w:tcW w:w="576" w:type="dxa"/>
            <w:tcBorders>
              <w:top w:val="nil"/>
              <w:left w:val="nil"/>
              <w:bottom w:val="nil"/>
              <w:right w:val="nil"/>
            </w:tcBorders>
            <w:shd w:val="clear" w:color="auto" w:fill="auto"/>
            <w:noWrap/>
            <w:vAlign w:val="bottom"/>
            <w:hideMark/>
          </w:tcPr>
          <w:p w14:paraId="6B87017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14</w:t>
            </w:r>
          </w:p>
        </w:tc>
        <w:tc>
          <w:tcPr>
            <w:tcW w:w="576" w:type="dxa"/>
            <w:tcBorders>
              <w:top w:val="nil"/>
              <w:left w:val="nil"/>
              <w:bottom w:val="nil"/>
              <w:right w:val="nil"/>
            </w:tcBorders>
            <w:shd w:val="clear" w:color="auto" w:fill="auto"/>
            <w:noWrap/>
            <w:vAlign w:val="bottom"/>
            <w:hideMark/>
          </w:tcPr>
          <w:p w14:paraId="354F352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13</w:t>
            </w:r>
          </w:p>
        </w:tc>
        <w:tc>
          <w:tcPr>
            <w:tcW w:w="576" w:type="dxa"/>
            <w:tcBorders>
              <w:top w:val="nil"/>
              <w:left w:val="nil"/>
              <w:bottom w:val="nil"/>
              <w:right w:val="nil"/>
            </w:tcBorders>
            <w:shd w:val="clear" w:color="auto" w:fill="auto"/>
            <w:noWrap/>
            <w:vAlign w:val="bottom"/>
            <w:hideMark/>
          </w:tcPr>
          <w:p w14:paraId="3AB7D33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22</w:t>
            </w:r>
          </w:p>
        </w:tc>
        <w:tc>
          <w:tcPr>
            <w:tcW w:w="576" w:type="dxa"/>
            <w:tcBorders>
              <w:top w:val="nil"/>
              <w:left w:val="nil"/>
              <w:bottom w:val="nil"/>
              <w:right w:val="nil"/>
            </w:tcBorders>
            <w:shd w:val="clear" w:color="auto" w:fill="auto"/>
            <w:noWrap/>
            <w:vAlign w:val="bottom"/>
            <w:hideMark/>
          </w:tcPr>
          <w:p w14:paraId="392DE27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44</w:t>
            </w:r>
          </w:p>
        </w:tc>
      </w:tr>
      <w:tr w:rsidR="006258EE" w:rsidRPr="00053D06" w14:paraId="380F7B01"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5828E951"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348BA15E"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longifolia</w:t>
            </w:r>
          </w:p>
        </w:tc>
        <w:tc>
          <w:tcPr>
            <w:tcW w:w="576" w:type="dxa"/>
            <w:tcBorders>
              <w:top w:val="nil"/>
              <w:left w:val="nil"/>
              <w:bottom w:val="nil"/>
              <w:right w:val="nil"/>
            </w:tcBorders>
            <w:shd w:val="clear" w:color="auto" w:fill="auto"/>
            <w:noWrap/>
            <w:vAlign w:val="bottom"/>
            <w:hideMark/>
          </w:tcPr>
          <w:p w14:paraId="6BBA5DE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28</w:t>
            </w:r>
          </w:p>
        </w:tc>
        <w:tc>
          <w:tcPr>
            <w:tcW w:w="576" w:type="dxa"/>
            <w:tcBorders>
              <w:top w:val="nil"/>
              <w:left w:val="nil"/>
              <w:bottom w:val="nil"/>
              <w:right w:val="nil"/>
            </w:tcBorders>
            <w:shd w:val="clear" w:color="auto" w:fill="auto"/>
            <w:noWrap/>
            <w:vAlign w:val="bottom"/>
            <w:hideMark/>
          </w:tcPr>
          <w:p w14:paraId="67B2319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48</w:t>
            </w:r>
          </w:p>
        </w:tc>
        <w:tc>
          <w:tcPr>
            <w:tcW w:w="576" w:type="dxa"/>
            <w:tcBorders>
              <w:top w:val="nil"/>
              <w:left w:val="nil"/>
              <w:bottom w:val="nil"/>
              <w:right w:val="nil"/>
            </w:tcBorders>
            <w:shd w:val="clear" w:color="auto" w:fill="auto"/>
            <w:noWrap/>
            <w:vAlign w:val="bottom"/>
            <w:hideMark/>
          </w:tcPr>
          <w:p w14:paraId="3A24C49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83</w:t>
            </w:r>
          </w:p>
        </w:tc>
        <w:tc>
          <w:tcPr>
            <w:tcW w:w="576" w:type="dxa"/>
            <w:tcBorders>
              <w:top w:val="nil"/>
              <w:left w:val="nil"/>
              <w:bottom w:val="nil"/>
              <w:right w:val="nil"/>
            </w:tcBorders>
            <w:shd w:val="clear" w:color="auto" w:fill="auto"/>
            <w:noWrap/>
            <w:vAlign w:val="bottom"/>
            <w:hideMark/>
          </w:tcPr>
          <w:p w14:paraId="2F95EBA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90</w:t>
            </w:r>
          </w:p>
        </w:tc>
        <w:tc>
          <w:tcPr>
            <w:tcW w:w="587" w:type="dxa"/>
            <w:tcBorders>
              <w:top w:val="nil"/>
              <w:left w:val="nil"/>
              <w:bottom w:val="nil"/>
              <w:right w:val="nil"/>
            </w:tcBorders>
            <w:shd w:val="clear" w:color="auto" w:fill="auto"/>
            <w:noWrap/>
            <w:vAlign w:val="bottom"/>
            <w:hideMark/>
          </w:tcPr>
          <w:p w14:paraId="257E64F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86</w:t>
            </w:r>
          </w:p>
        </w:tc>
        <w:tc>
          <w:tcPr>
            <w:tcW w:w="576" w:type="dxa"/>
            <w:tcBorders>
              <w:top w:val="nil"/>
              <w:left w:val="nil"/>
              <w:bottom w:val="nil"/>
              <w:right w:val="nil"/>
            </w:tcBorders>
            <w:shd w:val="clear" w:color="auto" w:fill="auto"/>
            <w:noWrap/>
            <w:vAlign w:val="bottom"/>
            <w:hideMark/>
          </w:tcPr>
          <w:p w14:paraId="7CF46F3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w:t>
            </w:r>
          </w:p>
        </w:tc>
        <w:tc>
          <w:tcPr>
            <w:tcW w:w="610" w:type="dxa"/>
            <w:tcBorders>
              <w:top w:val="nil"/>
              <w:left w:val="nil"/>
              <w:bottom w:val="nil"/>
              <w:right w:val="nil"/>
            </w:tcBorders>
            <w:shd w:val="clear" w:color="auto" w:fill="auto"/>
            <w:noWrap/>
            <w:vAlign w:val="bottom"/>
            <w:hideMark/>
          </w:tcPr>
          <w:p w14:paraId="485C354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c>
          <w:tcPr>
            <w:tcW w:w="576" w:type="dxa"/>
            <w:tcBorders>
              <w:top w:val="nil"/>
              <w:left w:val="nil"/>
              <w:bottom w:val="nil"/>
              <w:right w:val="nil"/>
            </w:tcBorders>
            <w:shd w:val="clear" w:color="auto" w:fill="auto"/>
            <w:noWrap/>
            <w:vAlign w:val="bottom"/>
            <w:hideMark/>
          </w:tcPr>
          <w:p w14:paraId="1474AE9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19</w:t>
            </w:r>
          </w:p>
        </w:tc>
        <w:tc>
          <w:tcPr>
            <w:tcW w:w="576" w:type="dxa"/>
            <w:tcBorders>
              <w:top w:val="nil"/>
              <w:left w:val="nil"/>
              <w:bottom w:val="nil"/>
              <w:right w:val="nil"/>
            </w:tcBorders>
            <w:shd w:val="clear" w:color="auto" w:fill="auto"/>
            <w:noWrap/>
            <w:vAlign w:val="bottom"/>
            <w:hideMark/>
          </w:tcPr>
          <w:p w14:paraId="5B5AFA3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21</w:t>
            </w:r>
          </w:p>
        </w:tc>
        <w:tc>
          <w:tcPr>
            <w:tcW w:w="576" w:type="dxa"/>
            <w:tcBorders>
              <w:top w:val="nil"/>
              <w:left w:val="nil"/>
              <w:bottom w:val="nil"/>
              <w:right w:val="nil"/>
            </w:tcBorders>
            <w:shd w:val="clear" w:color="auto" w:fill="auto"/>
            <w:noWrap/>
            <w:vAlign w:val="bottom"/>
            <w:hideMark/>
          </w:tcPr>
          <w:p w14:paraId="4C3D4F7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36</w:t>
            </w:r>
          </w:p>
        </w:tc>
        <w:tc>
          <w:tcPr>
            <w:tcW w:w="576" w:type="dxa"/>
            <w:tcBorders>
              <w:top w:val="nil"/>
              <w:left w:val="nil"/>
              <w:bottom w:val="nil"/>
              <w:right w:val="nil"/>
            </w:tcBorders>
            <w:shd w:val="clear" w:color="auto" w:fill="auto"/>
            <w:noWrap/>
            <w:vAlign w:val="bottom"/>
            <w:hideMark/>
          </w:tcPr>
          <w:p w14:paraId="671E795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47</w:t>
            </w:r>
          </w:p>
        </w:tc>
        <w:tc>
          <w:tcPr>
            <w:tcW w:w="576" w:type="dxa"/>
            <w:tcBorders>
              <w:top w:val="nil"/>
              <w:left w:val="nil"/>
              <w:bottom w:val="nil"/>
              <w:right w:val="nil"/>
            </w:tcBorders>
            <w:shd w:val="clear" w:color="auto" w:fill="auto"/>
            <w:noWrap/>
            <w:vAlign w:val="bottom"/>
            <w:hideMark/>
          </w:tcPr>
          <w:p w14:paraId="172315F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72</w:t>
            </w:r>
          </w:p>
        </w:tc>
      </w:tr>
      <w:tr w:rsidR="006258EE" w:rsidRPr="00053D06" w14:paraId="3EDE1F71"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44EEA503"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123D4127"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nemoralis</w:t>
            </w:r>
          </w:p>
        </w:tc>
        <w:tc>
          <w:tcPr>
            <w:tcW w:w="576" w:type="dxa"/>
            <w:tcBorders>
              <w:top w:val="nil"/>
              <w:left w:val="nil"/>
              <w:bottom w:val="nil"/>
              <w:right w:val="nil"/>
            </w:tcBorders>
            <w:shd w:val="clear" w:color="auto" w:fill="auto"/>
            <w:noWrap/>
            <w:vAlign w:val="bottom"/>
            <w:hideMark/>
          </w:tcPr>
          <w:p w14:paraId="52F93F9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14</w:t>
            </w:r>
          </w:p>
        </w:tc>
        <w:tc>
          <w:tcPr>
            <w:tcW w:w="576" w:type="dxa"/>
            <w:tcBorders>
              <w:top w:val="nil"/>
              <w:left w:val="nil"/>
              <w:bottom w:val="nil"/>
              <w:right w:val="nil"/>
            </w:tcBorders>
            <w:shd w:val="clear" w:color="auto" w:fill="auto"/>
            <w:noWrap/>
            <w:vAlign w:val="bottom"/>
            <w:hideMark/>
          </w:tcPr>
          <w:p w14:paraId="3F08AC0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35</w:t>
            </w:r>
          </w:p>
        </w:tc>
        <w:tc>
          <w:tcPr>
            <w:tcW w:w="576" w:type="dxa"/>
            <w:tcBorders>
              <w:top w:val="nil"/>
              <w:left w:val="nil"/>
              <w:bottom w:val="nil"/>
              <w:right w:val="nil"/>
            </w:tcBorders>
            <w:shd w:val="clear" w:color="auto" w:fill="auto"/>
            <w:noWrap/>
            <w:vAlign w:val="bottom"/>
            <w:hideMark/>
          </w:tcPr>
          <w:p w14:paraId="4ABCD9F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57</w:t>
            </w:r>
          </w:p>
        </w:tc>
        <w:tc>
          <w:tcPr>
            <w:tcW w:w="576" w:type="dxa"/>
            <w:tcBorders>
              <w:top w:val="nil"/>
              <w:left w:val="nil"/>
              <w:bottom w:val="nil"/>
              <w:right w:val="nil"/>
            </w:tcBorders>
            <w:shd w:val="clear" w:color="auto" w:fill="auto"/>
            <w:noWrap/>
            <w:vAlign w:val="bottom"/>
            <w:hideMark/>
          </w:tcPr>
          <w:p w14:paraId="4A02CCD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61</w:t>
            </w:r>
          </w:p>
        </w:tc>
        <w:tc>
          <w:tcPr>
            <w:tcW w:w="587" w:type="dxa"/>
            <w:tcBorders>
              <w:top w:val="nil"/>
              <w:left w:val="nil"/>
              <w:bottom w:val="nil"/>
              <w:right w:val="nil"/>
            </w:tcBorders>
            <w:shd w:val="clear" w:color="auto" w:fill="auto"/>
            <w:noWrap/>
            <w:vAlign w:val="bottom"/>
            <w:hideMark/>
          </w:tcPr>
          <w:p w14:paraId="687A4F5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75</w:t>
            </w:r>
          </w:p>
        </w:tc>
        <w:tc>
          <w:tcPr>
            <w:tcW w:w="576" w:type="dxa"/>
            <w:tcBorders>
              <w:top w:val="nil"/>
              <w:left w:val="nil"/>
              <w:bottom w:val="nil"/>
              <w:right w:val="nil"/>
            </w:tcBorders>
            <w:shd w:val="clear" w:color="auto" w:fill="auto"/>
            <w:noWrap/>
            <w:vAlign w:val="bottom"/>
            <w:hideMark/>
          </w:tcPr>
          <w:p w14:paraId="3741BB2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66</w:t>
            </w:r>
          </w:p>
        </w:tc>
        <w:tc>
          <w:tcPr>
            <w:tcW w:w="610" w:type="dxa"/>
            <w:tcBorders>
              <w:top w:val="nil"/>
              <w:left w:val="nil"/>
              <w:bottom w:val="nil"/>
              <w:right w:val="nil"/>
            </w:tcBorders>
            <w:shd w:val="clear" w:color="auto" w:fill="auto"/>
            <w:noWrap/>
            <w:vAlign w:val="bottom"/>
            <w:hideMark/>
          </w:tcPr>
          <w:p w14:paraId="6FB4BF9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20</w:t>
            </w:r>
          </w:p>
        </w:tc>
        <w:tc>
          <w:tcPr>
            <w:tcW w:w="576" w:type="dxa"/>
            <w:tcBorders>
              <w:top w:val="nil"/>
              <w:left w:val="nil"/>
              <w:bottom w:val="nil"/>
              <w:right w:val="nil"/>
            </w:tcBorders>
            <w:shd w:val="clear" w:color="auto" w:fill="auto"/>
            <w:noWrap/>
            <w:vAlign w:val="bottom"/>
            <w:hideMark/>
          </w:tcPr>
          <w:p w14:paraId="0428206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w:t>
            </w:r>
          </w:p>
        </w:tc>
        <w:tc>
          <w:tcPr>
            <w:tcW w:w="576" w:type="dxa"/>
            <w:tcBorders>
              <w:top w:val="nil"/>
              <w:left w:val="nil"/>
              <w:bottom w:val="nil"/>
              <w:right w:val="nil"/>
            </w:tcBorders>
            <w:shd w:val="clear" w:color="auto" w:fill="auto"/>
            <w:noWrap/>
            <w:vAlign w:val="bottom"/>
            <w:hideMark/>
          </w:tcPr>
          <w:p w14:paraId="12703A7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w:t>
            </w:r>
          </w:p>
        </w:tc>
        <w:tc>
          <w:tcPr>
            <w:tcW w:w="576" w:type="dxa"/>
            <w:tcBorders>
              <w:top w:val="nil"/>
              <w:left w:val="nil"/>
              <w:bottom w:val="nil"/>
              <w:right w:val="nil"/>
            </w:tcBorders>
            <w:shd w:val="clear" w:color="auto" w:fill="auto"/>
            <w:noWrap/>
            <w:vAlign w:val="bottom"/>
            <w:hideMark/>
          </w:tcPr>
          <w:p w14:paraId="76804E7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w:t>
            </w:r>
          </w:p>
        </w:tc>
        <w:tc>
          <w:tcPr>
            <w:tcW w:w="576" w:type="dxa"/>
            <w:tcBorders>
              <w:top w:val="nil"/>
              <w:left w:val="nil"/>
              <w:bottom w:val="nil"/>
              <w:right w:val="nil"/>
            </w:tcBorders>
            <w:shd w:val="clear" w:color="auto" w:fill="auto"/>
            <w:noWrap/>
            <w:vAlign w:val="bottom"/>
            <w:hideMark/>
          </w:tcPr>
          <w:p w14:paraId="334ECD2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c>
          <w:tcPr>
            <w:tcW w:w="576" w:type="dxa"/>
            <w:tcBorders>
              <w:top w:val="nil"/>
              <w:left w:val="nil"/>
              <w:bottom w:val="nil"/>
              <w:right w:val="nil"/>
            </w:tcBorders>
            <w:shd w:val="clear" w:color="auto" w:fill="auto"/>
            <w:noWrap/>
            <w:vAlign w:val="bottom"/>
            <w:hideMark/>
          </w:tcPr>
          <w:p w14:paraId="7121F5C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20</w:t>
            </w:r>
          </w:p>
        </w:tc>
      </w:tr>
      <w:tr w:rsidR="006258EE" w:rsidRPr="00053D06" w14:paraId="1B89C4AA"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6A691794"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5CBA6753"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ochroleuca</w:t>
            </w:r>
          </w:p>
        </w:tc>
        <w:tc>
          <w:tcPr>
            <w:tcW w:w="576" w:type="dxa"/>
            <w:tcBorders>
              <w:top w:val="nil"/>
              <w:left w:val="nil"/>
              <w:bottom w:val="nil"/>
              <w:right w:val="nil"/>
            </w:tcBorders>
            <w:shd w:val="clear" w:color="auto" w:fill="auto"/>
            <w:noWrap/>
            <w:vAlign w:val="bottom"/>
            <w:hideMark/>
          </w:tcPr>
          <w:p w14:paraId="761ABDD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13</w:t>
            </w:r>
          </w:p>
        </w:tc>
        <w:tc>
          <w:tcPr>
            <w:tcW w:w="576" w:type="dxa"/>
            <w:tcBorders>
              <w:top w:val="nil"/>
              <w:left w:val="nil"/>
              <w:bottom w:val="nil"/>
              <w:right w:val="nil"/>
            </w:tcBorders>
            <w:shd w:val="clear" w:color="auto" w:fill="auto"/>
            <w:noWrap/>
            <w:vAlign w:val="bottom"/>
            <w:hideMark/>
          </w:tcPr>
          <w:p w14:paraId="7AF176A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34</w:t>
            </w:r>
          </w:p>
        </w:tc>
        <w:tc>
          <w:tcPr>
            <w:tcW w:w="576" w:type="dxa"/>
            <w:tcBorders>
              <w:top w:val="nil"/>
              <w:left w:val="nil"/>
              <w:bottom w:val="nil"/>
              <w:right w:val="nil"/>
            </w:tcBorders>
            <w:shd w:val="clear" w:color="auto" w:fill="auto"/>
            <w:noWrap/>
            <w:vAlign w:val="bottom"/>
            <w:hideMark/>
          </w:tcPr>
          <w:p w14:paraId="1C62FD6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60</w:t>
            </w:r>
          </w:p>
        </w:tc>
        <w:tc>
          <w:tcPr>
            <w:tcW w:w="576" w:type="dxa"/>
            <w:tcBorders>
              <w:top w:val="nil"/>
              <w:left w:val="nil"/>
              <w:bottom w:val="nil"/>
              <w:right w:val="nil"/>
            </w:tcBorders>
            <w:shd w:val="clear" w:color="auto" w:fill="auto"/>
            <w:noWrap/>
            <w:vAlign w:val="bottom"/>
            <w:hideMark/>
          </w:tcPr>
          <w:p w14:paraId="1CA02C9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63</w:t>
            </w:r>
          </w:p>
        </w:tc>
        <w:tc>
          <w:tcPr>
            <w:tcW w:w="587" w:type="dxa"/>
            <w:tcBorders>
              <w:top w:val="nil"/>
              <w:left w:val="nil"/>
              <w:bottom w:val="nil"/>
              <w:right w:val="nil"/>
            </w:tcBorders>
            <w:shd w:val="clear" w:color="auto" w:fill="auto"/>
            <w:noWrap/>
            <w:vAlign w:val="bottom"/>
            <w:hideMark/>
          </w:tcPr>
          <w:p w14:paraId="47DA697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79</w:t>
            </w:r>
          </w:p>
        </w:tc>
        <w:tc>
          <w:tcPr>
            <w:tcW w:w="576" w:type="dxa"/>
            <w:tcBorders>
              <w:top w:val="nil"/>
              <w:left w:val="nil"/>
              <w:bottom w:val="nil"/>
              <w:right w:val="nil"/>
            </w:tcBorders>
            <w:shd w:val="clear" w:color="auto" w:fill="auto"/>
            <w:noWrap/>
            <w:vAlign w:val="bottom"/>
            <w:hideMark/>
          </w:tcPr>
          <w:p w14:paraId="210D4D0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69</w:t>
            </w:r>
          </w:p>
        </w:tc>
        <w:tc>
          <w:tcPr>
            <w:tcW w:w="610" w:type="dxa"/>
            <w:tcBorders>
              <w:top w:val="nil"/>
              <w:left w:val="nil"/>
              <w:bottom w:val="nil"/>
              <w:right w:val="nil"/>
            </w:tcBorders>
            <w:shd w:val="clear" w:color="auto" w:fill="auto"/>
            <w:noWrap/>
            <w:vAlign w:val="bottom"/>
            <w:hideMark/>
          </w:tcPr>
          <w:p w14:paraId="164FF77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13</w:t>
            </w:r>
          </w:p>
        </w:tc>
        <w:tc>
          <w:tcPr>
            <w:tcW w:w="576" w:type="dxa"/>
            <w:tcBorders>
              <w:top w:val="nil"/>
              <w:left w:val="nil"/>
              <w:bottom w:val="nil"/>
              <w:right w:val="nil"/>
            </w:tcBorders>
            <w:shd w:val="clear" w:color="auto" w:fill="auto"/>
            <w:noWrap/>
            <w:vAlign w:val="bottom"/>
            <w:hideMark/>
          </w:tcPr>
          <w:p w14:paraId="14D5F48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10</w:t>
            </w:r>
          </w:p>
        </w:tc>
        <w:tc>
          <w:tcPr>
            <w:tcW w:w="576" w:type="dxa"/>
            <w:tcBorders>
              <w:top w:val="nil"/>
              <w:left w:val="nil"/>
              <w:bottom w:val="nil"/>
              <w:right w:val="nil"/>
            </w:tcBorders>
            <w:shd w:val="clear" w:color="auto" w:fill="auto"/>
            <w:noWrap/>
            <w:vAlign w:val="bottom"/>
            <w:hideMark/>
          </w:tcPr>
          <w:p w14:paraId="6F13173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w:t>
            </w:r>
          </w:p>
        </w:tc>
        <w:tc>
          <w:tcPr>
            <w:tcW w:w="576" w:type="dxa"/>
            <w:tcBorders>
              <w:top w:val="nil"/>
              <w:left w:val="nil"/>
              <w:bottom w:val="nil"/>
              <w:right w:val="nil"/>
            </w:tcBorders>
            <w:shd w:val="clear" w:color="auto" w:fill="auto"/>
            <w:noWrap/>
            <w:vAlign w:val="bottom"/>
            <w:hideMark/>
          </w:tcPr>
          <w:p w14:paraId="4A6E84F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w:t>
            </w:r>
          </w:p>
        </w:tc>
        <w:tc>
          <w:tcPr>
            <w:tcW w:w="576" w:type="dxa"/>
            <w:tcBorders>
              <w:top w:val="nil"/>
              <w:left w:val="nil"/>
              <w:bottom w:val="nil"/>
              <w:right w:val="nil"/>
            </w:tcBorders>
            <w:shd w:val="clear" w:color="auto" w:fill="auto"/>
            <w:noWrap/>
            <w:vAlign w:val="bottom"/>
            <w:hideMark/>
          </w:tcPr>
          <w:p w14:paraId="0CEF54B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21</w:t>
            </w:r>
          </w:p>
        </w:tc>
        <w:tc>
          <w:tcPr>
            <w:tcW w:w="576" w:type="dxa"/>
            <w:tcBorders>
              <w:top w:val="nil"/>
              <w:left w:val="nil"/>
              <w:bottom w:val="nil"/>
              <w:right w:val="nil"/>
            </w:tcBorders>
            <w:shd w:val="clear" w:color="auto" w:fill="auto"/>
            <w:noWrap/>
            <w:vAlign w:val="bottom"/>
            <w:hideMark/>
          </w:tcPr>
          <w:p w14:paraId="5492B72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44</w:t>
            </w:r>
          </w:p>
        </w:tc>
      </w:tr>
      <w:tr w:rsidR="006258EE" w:rsidRPr="00053D06" w14:paraId="73777B67"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0F4A71A5"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35F69026"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palustris</w:t>
            </w:r>
          </w:p>
        </w:tc>
        <w:tc>
          <w:tcPr>
            <w:tcW w:w="576" w:type="dxa"/>
            <w:tcBorders>
              <w:top w:val="nil"/>
              <w:left w:val="nil"/>
              <w:bottom w:val="nil"/>
              <w:right w:val="nil"/>
            </w:tcBorders>
            <w:shd w:val="clear" w:color="auto" w:fill="auto"/>
            <w:noWrap/>
            <w:vAlign w:val="bottom"/>
            <w:hideMark/>
          </w:tcPr>
          <w:p w14:paraId="4F04C70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21</w:t>
            </w:r>
          </w:p>
        </w:tc>
        <w:tc>
          <w:tcPr>
            <w:tcW w:w="576" w:type="dxa"/>
            <w:tcBorders>
              <w:top w:val="nil"/>
              <w:left w:val="nil"/>
              <w:bottom w:val="nil"/>
              <w:right w:val="nil"/>
            </w:tcBorders>
            <w:shd w:val="clear" w:color="auto" w:fill="auto"/>
            <w:noWrap/>
            <w:vAlign w:val="bottom"/>
            <w:hideMark/>
          </w:tcPr>
          <w:p w14:paraId="05549E2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45</w:t>
            </w:r>
          </w:p>
        </w:tc>
        <w:tc>
          <w:tcPr>
            <w:tcW w:w="576" w:type="dxa"/>
            <w:tcBorders>
              <w:top w:val="nil"/>
              <w:left w:val="nil"/>
              <w:bottom w:val="nil"/>
              <w:right w:val="nil"/>
            </w:tcBorders>
            <w:shd w:val="clear" w:color="auto" w:fill="auto"/>
            <w:noWrap/>
            <w:vAlign w:val="bottom"/>
            <w:hideMark/>
          </w:tcPr>
          <w:p w14:paraId="1A45127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60</w:t>
            </w:r>
          </w:p>
        </w:tc>
        <w:tc>
          <w:tcPr>
            <w:tcW w:w="576" w:type="dxa"/>
            <w:tcBorders>
              <w:top w:val="nil"/>
              <w:left w:val="nil"/>
              <w:bottom w:val="nil"/>
              <w:right w:val="nil"/>
            </w:tcBorders>
            <w:shd w:val="clear" w:color="auto" w:fill="auto"/>
            <w:noWrap/>
            <w:vAlign w:val="bottom"/>
            <w:hideMark/>
          </w:tcPr>
          <w:p w14:paraId="66E3460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60</w:t>
            </w:r>
          </w:p>
        </w:tc>
        <w:tc>
          <w:tcPr>
            <w:tcW w:w="587" w:type="dxa"/>
            <w:tcBorders>
              <w:top w:val="nil"/>
              <w:left w:val="nil"/>
              <w:bottom w:val="nil"/>
              <w:right w:val="nil"/>
            </w:tcBorders>
            <w:shd w:val="clear" w:color="auto" w:fill="auto"/>
            <w:noWrap/>
            <w:vAlign w:val="bottom"/>
            <w:hideMark/>
          </w:tcPr>
          <w:p w14:paraId="3803A8E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77</w:t>
            </w:r>
          </w:p>
        </w:tc>
        <w:tc>
          <w:tcPr>
            <w:tcW w:w="576" w:type="dxa"/>
            <w:tcBorders>
              <w:top w:val="nil"/>
              <w:left w:val="nil"/>
              <w:bottom w:val="nil"/>
              <w:right w:val="nil"/>
            </w:tcBorders>
            <w:shd w:val="clear" w:color="auto" w:fill="auto"/>
            <w:noWrap/>
            <w:vAlign w:val="bottom"/>
            <w:hideMark/>
          </w:tcPr>
          <w:p w14:paraId="7F74997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55</w:t>
            </w:r>
          </w:p>
        </w:tc>
        <w:tc>
          <w:tcPr>
            <w:tcW w:w="610" w:type="dxa"/>
            <w:tcBorders>
              <w:top w:val="nil"/>
              <w:left w:val="nil"/>
              <w:bottom w:val="nil"/>
              <w:right w:val="nil"/>
            </w:tcBorders>
            <w:shd w:val="clear" w:color="auto" w:fill="auto"/>
            <w:noWrap/>
            <w:vAlign w:val="bottom"/>
            <w:hideMark/>
          </w:tcPr>
          <w:p w14:paraId="373120E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53</w:t>
            </w:r>
          </w:p>
        </w:tc>
        <w:tc>
          <w:tcPr>
            <w:tcW w:w="576" w:type="dxa"/>
            <w:tcBorders>
              <w:top w:val="nil"/>
              <w:left w:val="nil"/>
              <w:bottom w:val="nil"/>
              <w:right w:val="nil"/>
            </w:tcBorders>
            <w:shd w:val="clear" w:color="auto" w:fill="auto"/>
            <w:noWrap/>
            <w:vAlign w:val="bottom"/>
            <w:hideMark/>
          </w:tcPr>
          <w:p w14:paraId="72C75B3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52</w:t>
            </w:r>
          </w:p>
        </w:tc>
        <w:tc>
          <w:tcPr>
            <w:tcW w:w="576" w:type="dxa"/>
            <w:tcBorders>
              <w:top w:val="nil"/>
              <w:left w:val="nil"/>
              <w:bottom w:val="nil"/>
              <w:right w:val="nil"/>
            </w:tcBorders>
            <w:shd w:val="clear" w:color="auto" w:fill="auto"/>
            <w:noWrap/>
            <w:vAlign w:val="bottom"/>
            <w:hideMark/>
          </w:tcPr>
          <w:p w14:paraId="6504048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59</w:t>
            </w:r>
          </w:p>
        </w:tc>
        <w:tc>
          <w:tcPr>
            <w:tcW w:w="576" w:type="dxa"/>
            <w:tcBorders>
              <w:top w:val="nil"/>
              <w:left w:val="nil"/>
              <w:bottom w:val="nil"/>
              <w:right w:val="nil"/>
            </w:tcBorders>
            <w:shd w:val="clear" w:color="auto" w:fill="auto"/>
            <w:noWrap/>
            <w:vAlign w:val="bottom"/>
            <w:hideMark/>
          </w:tcPr>
          <w:p w14:paraId="662EB96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60</w:t>
            </w:r>
          </w:p>
        </w:tc>
        <w:tc>
          <w:tcPr>
            <w:tcW w:w="576" w:type="dxa"/>
            <w:tcBorders>
              <w:top w:val="nil"/>
              <w:left w:val="nil"/>
              <w:bottom w:val="nil"/>
              <w:right w:val="nil"/>
            </w:tcBorders>
            <w:shd w:val="clear" w:color="auto" w:fill="auto"/>
            <w:noWrap/>
            <w:vAlign w:val="bottom"/>
            <w:hideMark/>
          </w:tcPr>
          <w:p w14:paraId="298CC3F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68</w:t>
            </w:r>
          </w:p>
        </w:tc>
        <w:tc>
          <w:tcPr>
            <w:tcW w:w="576" w:type="dxa"/>
            <w:tcBorders>
              <w:top w:val="nil"/>
              <w:left w:val="nil"/>
              <w:bottom w:val="nil"/>
              <w:right w:val="nil"/>
            </w:tcBorders>
            <w:shd w:val="clear" w:color="auto" w:fill="auto"/>
            <w:noWrap/>
            <w:vAlign w:val="bottom"/>
            <w:hideMark/>
          </w:tcPr>
          <w:p w14:paraId="1846E97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80</w:t>
            </w:r>
          </w:p>
        </w:tc>
      </w:tr>
      <w:tr w:rsidR="006258EE" w:rsidRPr="00053D06" w14:paraId="3F6A6942"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49C62451"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516C01AE"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secunda</w:t>
            </w:r>
          </w:p>
        </w:tc>
        <w:tc>
          <w:tcPr>
            <w:tcW w:w="576" w:type="dxa"/>
            <w:tcBorders>
              <w:top w:val="nil"/>
              <w:left w:val="nil"/>
              <w:bottom w:val="nil"/>
              <w:right w:val="nil"/>
            </w:tcBorders>
            <w:shd w:val="clear" w:color="auto" w:fill="auto"/>
            <w:noWrap/>
            <w:vAlign w:val="bottom"/>
            <w:hideMark/>
          </w:tcPr>
          <w:p w14:paraId="37894A4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17</w:t>
            </w:r>
          </w:p>
        </w:tc>
        <w:tc>
          <w:tcPr>
            <w:tcW w:w="576" w:type="dxa"/>
            <w:tcBorders>
              <w:top w:val="nil"/>
              <w:left w:val="nil"/>
              <w:bottom w:val="nil"/>
              <w:right w:val="nil"/>
            </w:tcBorders>
            <w:shd w:val="clear" w:color="auto" w:fill="auto"/>
            <w:noWrap/>
            <w:vAlign w:val="bottom"/>
            <w:hideMark/>
          </w:tcPr>
          <w:p w14:paraId="28F3460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33</w:t>
            </w:r>
          </w:p>
        </w:tc>
        <w:tc>
          <w:tcPr>
            <w:tcW w:w="576" w:type="dxa"/>
            <w:tcBorders>
              <w:top w:val="nil"/>
              <w:left w:val="nil"/>
              <w:bottom w:val="nil"/>
              <w:right w:val="nil"/>
            </w:tcBorders>
            <w:shd w:val="clear" w:color="auto" w:fill="auto"/>
            <w:noWrap/>
            <w:vAlign w:val="bottom"/>
            <w:hideMark/>
          </w:tcPr>
          <w:p w14:paraId="17D187C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62</w:t>
            </w:r>
          </w:p>
        </w:tc>
        <w:tc>
          <w:tcPr>
            <w:tcW w:w="576" w:type="dxa"/>
            <w:tcBorders>
              <w:top w:val="nil"/>
              <w:left w:val="nil"/>
              <w:bottom w:val="nil"/>
              <w:right w:val="nil"/>
            </w:tcBorders>
            <w:shd w:val="clear" w:color="auto" w:fill="auto"/>
            <w:noWrap/>
            <w:vAlign w:val="bottom"/>
            <w:hideMark/>
          </w:tcPr>
          <w:p w14:paraId="5C51C67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72</w:t>
            </w:r>
          </w:p>
        </w:tc>
        <w:tc>
          <w:tcPr>
            <w:tcW w:w="587" w:type="dxa"/>
            <w:tcBorders>
              <w:top w:val="nil"/>
              <w:left w:val="nil"/>
              <w:bottom w:val="nil"/>
              <w:right w:val="nil"/>
            </w:tcBorders>
            <w:shd w:val="clear" w:color="auto" w:fill="auto"/>
            <w:noWrap/>
            <w:vAlign w:val="bottom"/>
            <w:hideMark/>
          </w:tcPr>
          <w:p w14:paraId="4837846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78</w:t>
            </w:r>
          </w:p>
        </w:tc>
        <w:tc>
          <w:tcPr>
            <w:tcW w:w="576" w:type="dxa"/>
            <w:tcBorders>
              <w:top w:val="nil"/>
              <w:left w:val="nil"/>
              <w:bottom w:val="nil"/>
              <w:right w:val="nil"/>
            </w:tcBorders>
            <w:shd w:val="clear" w:color="auto" w:fill="auto"/>
            <w:noWrap/>
            <w:vAlign w:val="bottom"/>
            <w:hideMark/>
          </w:tcPr>
          <w:p w14:paraId="14DFD7C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20</w:t>
            </w:r>
          </w:p>
        </w:tc>
        <w:tc>
          <w:tcPr>
            <w:tcW w:w="610" w:type="dxa"/>
            <w:tcBorders>
              <w:top w:val="nil"/>
              <w:left w:val="nil"/>
              <w:bottom w:val="nil"/>
              <w:right w:val="nil"/>
            </w:tcBorders>
            <w:shd w:val="clear" w:color="auto" w:fill="auto"/>
            <w:noWrap/>
            <w:vAlign w:val="bottom"/>
            <w:hideMark/>
          </w:tcPr>
          <w:p w14:paraId="6A6513F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11</w:t>
            </w:r>
          </w:p>
        </w:tc>
        <w:tc>
          <w:tcPr>
            <w:tcW w:w="576" w:type="dxa"/>
            <w:tcBorders>
              <w:top w:val="nil"/>
              <w:left w:val="nil"/>
              <w:bottom w:val="nil"/>
              <w:right w:val="nil"/>
            </w:tcBorders>
            <w:shd w:val="clear" w:color="auto" w:fill="auto"/>
            <w:noWrap/>
            <w:vAlign w:val="bottom"/>
            <w:hideMark/>
          </w:tcPr>
          <w:p w14:paraId="42BC4A3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w:t>
            </w:r>
          </w:p>
        </w:tc>
        <w:tc>
          <w:tcPr>
            <w:tcW w:w="576" w:type="dxa"/>
            <w:tcBorders>
              <w:top w:val="nil"/>
              <w:left w:val="nil"/>
              <w:bottom w:val="nil"/>
              <w:right w:val="nil"/>
            </w:tcBorders>
            <w:shd w:val="clear" w:color="auto" w:fill="auto"/>
            <w:noWrap/>
            <w:vAlign w:val="bottom"/>
            <w:hideMark/>
          </w:tcPr>
          <w:p w14:paraId="4C78FFF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w:t>
            </w:r>
          </w:p>
        </w:tc>
        <w:tc>
          <w:tcPr>
            <w:tcW w:w="576" w:type="dxa"/>
            <w:tcBorders>
              <w:top w:val="nil"/>
              <w:left w:val="nil"/>
              <w:bottom w:val="nil"/>
              <w:right w:val="nil"/>
            </w:tcBorders>
            <w:shd w:val="clear" w:color="auto" w:fill="auto"/>
            <w:noWrap/>
            <w:vAlign w:val="bottom"/>
            <w:hideMark/>
          </w:tcPr>
          <w:p w14:paraId="59019A7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w:t>
            </w:r>
          </w:p>
        </w:tc>
        <w:tc>
          <w:tcPr>
            <w:tcW w:w="576" w:type="dxa"/>
            <w:tcBorders>
              <w:top w:val="nil"/>
              <w:left w:val="nil"/>
              <w:bottom w:val="nil"/>
              <w:right w:val="nil"/>
            </w:tcBorders>
            <w:shd w:val="clear" w:color="auto" w:fill="auto"/>
            <w:noWrap/>
            <w:vAlign w:val="bottom"/>
            <w:hideMark/>
          </w:tcPr>
          <w:p w14:paraId="2D8F0C3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w:t>
            </w:r>
          </w:p>
        </w:tc>
        <w:tc>
          <w:tcPr>
            <w:tcW w:w="576" w:type="dxa"/>
            <w:tcBorders>
              <w:top w:val="nil"/>
              <w:left w:val="nil"/>
              <w:bottom w:val="nil"/>
              <w:right w:val="nil"/>
            </w:tcBorders>
            <w:shd w:val="clear" w:color="auto" w:fill="auto"/>
            <w:noWrap/>
            <w:vAlign w:val="bottom"/>
            <w:hideMark/>
          </w:tcPr>
          <w:p w14:paraId="63D3622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17</w:t>
            </w:r>
          </w:p>
        </w:tc>
      </w:tr>
      <w:tr w:rsidR="006258EE" w:rsidRPr="00053D06" w14:paraId="46EC6134"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7054EE0D"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053D6A34"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sierbiana</w:t>
            </w:r>
          </w:p>
        </w:tc>
        <w:tc>
          <w:tcPr>
            <w:tcW w:w="576" w:type="dxa"/>
            <w:tcBorders>
              <w:top w:val="nil"/>
              <w:left w:val="nil"/>
              <w:bottom w:val="nil"/>
              <w:right w:val="nil"/>
            </w:tcBorders>
            <w:shd w:val="clear" w:color="auto" w:fill="auto"/>
            <w:noWrap/>
            <w:vAlign w:val="bottom"/>
            <w:hideMark/>
          </w:tcPr>
          <w:p w14:paraId="201FFB9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17</w:t>
            </w:r>
          </w:p>
        </w:tc>
        <w:tc>
          <w:tcPr>
            <w:tcW w:w="576" w:type="dxa"/>
            <w:tcBorders>
              <w:top w:val="nil"/>
              <w:left w:val="nil"/>
              <w:bottom w:val="nil"/>
              <w:right w:val="nil"/>
            </w:tcBorders>
            <w:shd w:val="clear" w:color="auto" w:fill="auto"/>
            <w:noWrap/>
            <w:vAlign w:val="bottom"/>
            <w:hideMark/>
          </w:tcPr>
          <w:p w14:paraId="0602F01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35</w:t>
            </w:r>
          </w:p>
        </w:tc>
        <w:tc>
          <w:tcPr>
            <w:tcW w:w="576" w:type="dxa"/>
            <w:tcBorders>
              <w:top w:val="nil"/>
              <w:left w:val="nil"/>
              <w:bottom w:val="nil"/>
              <w:right w:val="nil"/>
            </w:tcBorders>
            <w:shd w:val="clear" w:color="auto" w:fill="auto"/>
            <w:noWrap/>
            <w:vAlign w:val="bottom"/>
            <w:hideMark/>
          </w:tcPr>
          <w:p w14:paraId="39C1C3A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61</w:t>
            </w:r>
          </w:p>
        </w:tc>
        <w:tc>
          <w:tcPr>
            <w:tcW w:w="576" w:type="dxa"/>
            <w:tcBorders>
              <w:top w:val="nil"/>
              <w:left w:val="nil"/>
              <w:bottom w:val="nil"/>
              <w:right w:val="nil"/>
            </w:tcBorders>
            <w:shd w:val="clear" w:color="auto" w:fill="auto"/>
            <w:noWrap/>
            <w:vAlign w:val="bottom"/>
            <w:hideMark/>
          </w:tcPr>
          <w:p w14:paraId="597CA07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69</w:t>
            </w:r>
          </w:p>
        </w:tc>
        <w:tc>
          <w:tcPr>
            <w:tcW w:w="587" w:type="dxa"/>
            <w:tcBorders>
              <w:top w:val="nil"/>
              <w:left w:val="nil"/>
              <w:bottom w:val="nil"/>
              <w:right w:val="nil"/>
            </w:tcBorders>
            <w:shd w:val="clear" w:color="auto" w:fill="auto"/>
            <w:noWrap/>
            <w:vAlign w:val="bottom"/>
            <w:hideMark/>
          </w:tcPr>
          <w:p w14:paraId="1D2495D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63</w:t>
            </w:r>
          </w:p>
        </w:tc>
        <w:tc>
          <w:tcPr>
            <w:tcW w:w="576" w:type="dxa"/>
            <w:tcBorders>
              <w:top w:val="nil"/>
              <w:left w:val="nil"/>
              <w:bottom w:val="nil"/>
              <w:right w:val="nil"/>
            </w:tcBorders>
            <w:shd w:val="clear" w:color="auto" w:fill="auto"/>
            <w:noWrap/>
            <w:vAlign w:val="bottom"/>
            <w:hideMark/>
          </w:tcPr>
          <w:p w14:paraId="1F949A0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16</w:t>
            </w:r>
          </w:p>
        </w:tc>
        <w:tc>
          <w:tcPr>
            <w:tcW w:w="610" w:type="dxa"/>
            <w:tcBorders>
              <w:top w:val="nil"/>
              <w:left w:val="nil"/>
              <w:bottom w:val="nil"/>
              <w:right w:val="nil"/>
            </w:tcBorders>
            <w:shd w:val="clear" w:color="auto" w:fill="auto"/>
            <w:noWrap/>
            <w:vAlign w:val="bottom"/>
            <w:hideMark/>
          </w:tcPr>
          <w:p w14:paraId="22E5678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11</w:t>
            </w:r>
          </w:p>
        </w:tc>
        <w:tc>
          <w:tcPr>
            <w:tcW w:w="576" w:type="dxa"/>
            <w:tcBorders>
              <w:top w:val="nil"/>
              <w:left w:val="nil"/>
              <w:bottom w:val="nil"/>
              <w:right w:val="nil"/>
            </w:tcBorders>
            <w:shd w:val="clear" w:color="auto" w:fill="auto"/>
            <w:noWrap/>
            <w:vAlign w:val="bottom"/>
            <w:hideMark/>
          </w:tcPr>
          <w:p w14:paraId="55C1FC0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w:t>
            </w:r>
          </w:p>
        </w:tc>
        <w:tc>
          <w:tcPr>
            <w:tcW w:w="576" w:type="dxa"/>
            <w:tcBorders>
              <w:top w:val="nil"/>
              <w:left w:val="nil"/>
              <w:bottom w:val="nil"/>
              <w:right w:val="nil"/>
            </w:tcBorders>
            <w:shd w:val="clear" w:color="auto" w:fill="auto"/>
            <w:noWrap/>
            <w:vAlign w:val="bottom"/>
            <w:hideMark/>
          </w:tcPr>
          <w:p w14:paraId="0DEEDC7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11</w:t>
            </w:r>
          </w:p>
        </w:tc>
        <w:tc>
          <w:tcPr>
            <w:tcW w:w="576" w:type="dxa"/>
            <w:tcBorders>
              <w:top w:val="nil"/>
              <w:left w:val="nil"/>
              <w:bottom w:val="nil"/>
              <w:right w:val="nil"/>
            </w:tcBorders>
            <w:shd w:val="clear" w:color="auto" w:fill="auto"/>
            <w:noWrap/>
            <w:vAlign w:val="bottom"/>
            <w:hideMark/>
          </w:tcPr>
          <w:p w14:paraId="1F8D342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16</w:t>
            </w:r>
          </w:p>
        </w:tc>
        <w:tc>
          <w:tcPr>
            <w:tcW w:w="576" w:type="dxa"/>
            <w:tcBorders>
              <w:top w:val="nil"/>
              <w:left w:val="nil"/>
              <w:bottom w:val="nil"/>
              <w:right w:val="nil"/>
            </w:tcBorders>
            <w:shd w:val="clear" w:color="auto" w:fill="auto"/>
            <w:noWrap/>
            <w:vAlign w:val="bottom"/>
            <w:hideMark/>
          </w:tcPr>
          <w:p w14:paraId="07166B0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41</w:t>
            </w:r>
          </w:p>
        </w:tc>
        <w:tc>
          <w:tcPr>
            <w:tcW w:w="576" w:type="dxa"/>
            <w:tcBorders>
              <w:top w:val="nil"/>
              <w:left w:val="nil"/>
              <w:bottom w:val="nil"/>
              <w:right w:val="nil"/>
            </w:tcBorders>
            <w:shd w:val="clear" w:color="auto" w:fill="auto"/>
            <w:noWrap/>
            <w:vAlign w:val="bottom"/>
            <w:hideMark/>
          </w:tcPr>
          <w:p w14:paraId="0213A6A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56</w:t>
            </w:r>
          </w:p>
        </w:tc>
      </w:tr>
      <w:tr w:rsidR="006258EE" w:rsidRPr="00053D06" w14:paraId="7A6C32F6"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7559E540"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14BCC588"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sterilis</w:t>
            </w:r>
          </w:p>
        </w:tc>
        <w:tc>
          <w:tcPr>
            <w:tcW w:w="576" w:type="dxa"/>
            <w:tcBorders>
              <w:top w:val="nil"/>
              <w:left w:val="nil"/>
              <w:bottom w:val="nil"/>
              <w:right w:val="nil"/>
            </w:tcBorders>
            <w:shd w:val="clear" w:color="auto" w:fill="auto"/>
            <w:noWrap/>
            <w:vAlign w:val="bottom"/>
            <w:hideMark/>
          </w:tcPr>
          <w:p w14:paraId="28F2C0D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18</w:t>
            </w:r>
          </w:p>
        </w:tc>
        <w:tc>
          <w:tcPr>
            <w:tcW w:w="576" w:type="dxa"/>
            <w:tcBorders>
              <w:top w:val="nil"/>
              <w:left w:val="nil"/>
              <w:bottom w:val="nil"/>
              <w:right w:val="nil"/>
            </w:tcBorders>
            <w:shd w:val="clear" w:color="auto" w:fill="auto"/>
            <w:noWrap/>
            <w:vAlign w:val="bottom"/>
            <w:hideMark/>
          </w:tcPr>
          <w:p w14:paraId="03DD723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40</w:t>
            </w:r>
          </w:p>
        </w:tc>
        <w:tc>
          <w:tcPr>
            <w:tcW w:w="576" w:type="dxa"/>
            <w:tcBorders>
              <w:top w:val="nil"/>
              <w:left w:val="nil"/>
              <w:bottom w:val="nil"/>
              <w:right w:val="nil"/>
            </w:tcBorders>
            <w:shd w:val="clear" w:color="auto" w:fill="auto"/>
            <w:noWrap/>
            <w:vAlign w:val="bottom"/>
            <w:hideMark/>
          </w:tcPr>
          <w:p w14:paraId="61738DF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63</w:t>
            </w:r>
          </w:p>
        </w:tc>
        <w:tc>
          <w:tcPr>
            <w:tcW w:w="576" w:type="dxa"/>
            <w:tcBorders>
              <w:top w:val="nil"/>
              <w:left w:val="nil"/>
              <w:bottom w:val="nil"/>
              <w:right w:val="nil"/>
            </w:tcBorders>
            <w:shd w:val="clear" w:color="auto" w:fill="auto"/>
            <w:noWrap/>
            <w:vAlign w:val="bottom"/>
            <w:hideMark/>
          </w:tcPr>
          <w:p w14:paraId="2919D20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68</w:t>
            </w:r>
          </w:p>
        </w:tc>
        <w:tc>
          <w:tcPr>
            <w:tcW w:w="587" w:type="dxa"/>
            <w:tcBorders>
              <w:top w:val="nil"/>
              <w:left w:val="nil"/>
              <w:bottom w:val="nil"/>
              <w:right w:val="nil"/>
            </w:tcBorders>
            <w:shd w:val="clear" w:color="auto" w:fill="auto"/>
            <w:noWrap/>
            <w:vAlign w:val="bottom"/>
            <w:hideMark/>
          </w:tcPr>
          <w:p w14:paraId="5E9A870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70</w:t>
            </w:r>
          </w:p>
        </w:tc>
        <w:tc>
          <w:tcPr>
            <w:tcW w:w="576" w:type="dxa"/>
            <w:tcBorders>
              <w:top w:val="nil"/>
              <w:left w:val="nil"/>
              <w:bottom w:val="nil"/>
              <w:right w:val="nil"/>
            </w:tcBorders>
            <w:shd w:val="clear" w:color="auto" w:fill="auto"/>
            <w:noWrap/>
            <w:vAlign w:val="bottom"/>
            <w:hideMark/>
          </w:tcPr>
          <w:p w14:paraId="693B958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64</w:t>
            </w:r>
          </w:p>
        </w:tc>
        <w:tc>
          <w:tcPr>
            <w:tcW w:w="610" w:type="dxa"/>
            <w:tcBorders>
              <w:top w:val="nil"/>
              <w:left w:val="nil"/>
              <w:bottom w:val="nil"/>
              <w:right w:val="nil"/>
            </w:tcBorders>
            <w:shd w:val="clear" w:color="auto" w:fill="auto"/>
            <w:noWrap/>
            <w:vAlign w:val="bottom"/>
            <w:hideMark/>
          </w:tcPr>
          <w:p w14:paraId="2DE512E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13</w:t>
            </w:r>
          </w:p>
        </w:tc>
        <w:tc>
          <w:tcPr>
            <w:tcW w:w="576" w:type="dxa"/>
            <w:tcBorders>
              <w:top w:val="nil"/>
              <w:left w:val="nil"/>
              <w:bottom w:val="nil"/>
              <w:right w:val="nil"/>
            </w:tcBorders>
            <w:shd w:val="clear" w:color="auto" w:fill="auto"/>
            <w:noWrap/>
            <w:vAlign w:val="bottom"/>
            <w:hideMark/>
          </w:tcPr>
          <w:p w14:paraId="4813B34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20</w:t>
            </w:r>
          </w:p>
        </w:tc>
        <w:tc>
          <w:tcPr>
            <w:tcW w:w="576" w:type="dxa"/>
            <w:tcBorders>
              <w:top w:val="nil"/>
              <w:left w:val="nil"/>
              <w:bottom w:val="nil"/>
              <w:right w:val="nil"/>
            </w:tcBorders>
            <w:shd w:val="clear" w:color="auto" w:fill="auto"/>
            <w:noWrap/>
            <w:vAlign w:val="bottom"/>
            <w:hideMark/>
          </w:tcPr>
          <w:p w14:paraId="36D0EEC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26</w:t>
            </w:r>
          </w:p>
        </w:tc>
        <w:tc>
          <w:tcPr>
            <w:tcW w:w="576" w:type="dxa"/>
            <w:tcBorders>
              <w:top w:val="nil"/>
              <w:left w:val="nil"/>
              <w:bottom w:val="nil"/>
              <w:right w:val="nil"/>
            </w:tcBorders>
            <w:shd w:val="clear" w:color="auto" w:fill="auto"/>
            <w:noWrap/>
            <w:vAlign w:val="bottom"/>
            <w:hideMark/>
          </w:tcPr>
          <w:p w14:paraId="08650F2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37</w:t>
            </w:r>
          </w:p>
        </w:tc>
        <w:tc>
          <w:tcPr>
            <w:tcW w:w="576" w:type="dxa"/>
            <w:tcBorders>
              <w:top w:val="nil"/>
              <w:left w:val="nil"/>
              <w:bottom w:val="nil"/>
              <w:right w:val="nil"/>
            </w:tcBorders>
            <w:shd w:val="clear" w:color="auto" w:fill="auto"/>
            <w:noWrap/>
            <w:vAlign w:val="bottom"/>
            <w:hideMark/>
          </w:tcPr>
          <w:p w14:paraId="280404B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51</w:t>
            </w:r>
          </w:p>
        </w:tc>
        <w:tc>
          <w:tcPr>
            <w:tcW w:w="576" w:type="dxa"/>
            <w:tcBorders>
              <w:top w:val="nil"/>
              <w:left w:val="nil"/>
              <w:bottom w:val="nil"/>
              <w:right w:val="nil"/>
            </w:tcBorders>
            <w:shd w:val="clear" w:color="auto" w:fill="auto"/>
            <w:noWrap/>
            <w:vAlign w:val="bottom"/>
            <w:hideMark/>
          </w:tcPr>
          <w:p w14:paraId="3D36CD3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78</w:t>
            </w:r>
          </w:p>
        </w:tc>
      </w:tr>
      <w:tr w:rsidR="006258EE" w:rsidRPr="00053D06" w14:paraId="554284B3"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23EC021A"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3019674E"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spp. PI 13033</w:t>
            </w:r>
          </w:p>
        </w:tc>
        <w:tc>
          <w:tcPr>
            <w:tcW w:w="576" w:type="dxa"/>
            <w:tcBorders>
              <w:top w:val="nil"/>
              <w:left w:val="nil"/>
              <w:bottom w:val="nil"/>
              <w:right w:val="nil"/>
            </w:tcBorders>
            <w:shd w:val="clear" w:color="auto" w:fill="auto"/>
            <w:noWrap/>
            <w:vAlign w:val="bottom"/>
            <w:hideMark/>
          </w:tcPr>
          <w:p w14:paraId="599CD63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w:t>
            </w:r>
          </w:p>
        </w:tc>
        <w:tc>
          <w:tcPr>
            <w:tcW w:w="576" w:type="dxa"/>
            <w:tcBorders>
              <w:top w:val="nil"/>
              <w:left w:val="nil"/>
              <w:bottom w:val="nil"/>
              <w:right w:val="nil"/>
            </w:tcBorders>
            <w:shd w:val="clear" w:color="auto" w:fill="auto"/>
            <w:noWrap/>
            <w:vAlign w:val="bottom"/>
            <w:hideMark/>
          </w:tcPr>
          <w:p w14:paraId="70D3666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20</w:t>
            </w:r>
          </w:p>
        </w:tc>
        <w:tc>
          <w:tcPr>
            <w:tcW w:w="576" w:type="dxa"/>
            <w:tcBorders>
              <w:top w:val="nil"/>
              <w:left w:val="nil"/>
              <w:bottom w:val="nil"/>
              <w:right w:val="nil"/>
            </w:tcBorders>
            <w:shd w:val="clear" w:color="auto" w:fill="auto"/>
            <w:noWrap/>
            <w:vAlign w:val="bottom"/>
            <w:hideMark/>
          </w:tcPr>
          <w:p w14:paraId="790D715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24</w:t>
            </w:r>
          </w:p>
        </w:tc>
        <w:tc>
          <w:tcPr>
            <w:tcW w:w="576" w:type="dxa"/>
            <w:tcBorders>
              <w:top w:val="nil"/>
              <w:left w:val="nil"/>
              <w:bottom w:val="nil"/>
              <w:right w:val="nil"/>
            </w:tcBorders>
            <w:shd w:val="clear" w:color="auto" w:fill="auto"/>
            <w:noWrap/>
            <w:vAlign w:val="bottom"/>
            <w:hideMark/>
          </w:tcPr>
          <w:p w14:paraId="13C2C9B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18</w:t>
            </w:r>
          </w:p>
        </w:tc>
        <w:tc>
          <w:tcPr>
            <w:tcW w:w="587" w:type="dxa"/>
            <w:tcBorders>
              <w:top w:val="nil"/>
              <w:left w:val="nil"/>
              <w:bottom w:val="nil"/>
              <w:right w:val="nil"/>
            </w:tcBorders>
            <w:shd w:val="clear" w:color="auto" w:fill="auto"/>
            <w:noWrap/>
            <w:vAlign w:val="bottom"/>
            <w:hideMark/>
          </w:tcPr>
          <w:p w14:paraId="32C2201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33</w:t>
            </w:r>
          </w:p>
        </w:tc>
        <w:tc>
          <w:tcPr>
            <w:tcW w:w="576" w:type="dxa"/>
            <w:tcBorders>
              <w:top w:val="nil"/>
              <w:left w:val="nil"/>
              <w:bottom w:val="nil"/>
              <w:right w:val="nil"/>
            </w:tcBorders>
            <w:shd w:val="clear" w:color="auto" w:fill="auto"/>
            <w:noWrap/>
            <w:vAlign w:val="bottom"/>
            <w:hideMark/>
          </w:tcPr>
          <w:p w14:paraId="5C56EB2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45</w:t>
            </w:r>
          </w:p>
        </w:tc>
        <w:tc>
          <w:tcPr>
            <w:tcW w:w="610" w:type="dxa"/>
            <w:tcBorders>
              <w:top w:val="nil"/>
              <w:left w:val="nil"/>
              <w:bottom w:val="nil"/>
              <w:right w:val="nil"/>
            </w:tcBorders>
            <w:shd w:val="clear" w:color="auto" w:fill="auto"/>
            <w:noWrap/>
            <w:vAlign w:val="bottom"/>
            <w:hideMark/>
          </w:tcPr>
          <w:p w14:paraId="0D88F3B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42</w:t>
            </w:r>
          </w:p>
        </w:tc>
        <w:tc>
          <w:tcPr>
            <w:tcW w:w="576" w:type="dxa"/>
            <w:tcBorders>
              <w:top w:val="nil"/>
              <w:left w:val="nil"/>
              <w:bottom w:val="nil"/>
              <w:right w:val="nil"/>
            </w:tcBorders>
            <w:shd w:val="clear" w:color="auto" w:fill="auto"/>
            <w:noWrap/>
            <w:vAlign w:val="bottom"/>
            <w:hideMark/>
          </w:tcPr>
          <w:p w14:paraId="59FB840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45</w:t>
            </w:r>
          </w:p>
        </w:tc>
        <w:tc>
          <w:tcPr>
            <w:tcW w:w="576" w:type="dxa"/>
            <w:tcBorders>
              <w:top w:val="nil"/>
              <w:left w:val="nil"/>
              <w:bottom w:val="nil"/>
              <w:right w:val="nil"/>
            </w:tcBorders>
            <w:shd w:val="clear" w:color="auto" w:fill="auto"/>
            <w:noWrap/>
            <w:vAlign w:val="bottom"/>
            <w:hideMark/>
          </w:tcPr>
          <w:p w14:paraId="21060A9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46</w:t>
            </w:r>
          </w:p>
        </w:tc>
        <w:tc>
          <w:tcPr>
            <w:tcW w:w="576" w:type="dxa"/>
            <w:tcBorders>
              <w:top w:val="nil"/>
              <w:left w:val="nil"/>
              <w:bottom w:val="nil"/>
              <w:right w:val="nil"/>
            </w:tcBorders>
            <w:shd w:val="clear" w:color="auto" w:fill="auto"/>
            <w:noWrap/>
            <w:vAlign w:val="bottom"/>
            <w:hideMark/>
          </w:tcPr>
          <w:p w14:paraId="7FD1263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36</w:t>
            </w:r>
          </w:p>
        </w:tc>
        <w:tc>
          <w:tcPr>
            <w:tcW w:w="576" w:type="dxa"/>
            <w:tcBorders>
              <w:top w:val="nil"/>
              <w:left w:val="nil"/>
              <w:bottom w:val="nil"/>
              <w:right w:val="nil"/>
            </w:tcBorders>
            <w:shd w:val="clear" w:color="auto" w:fill="auto"/>
            <w:noWrap/>
            <w:vAlign w:val="bottom"/>
            <w:hideMark/>
          </w:tcPr>
          <w:p w14:paraId="15B3B9E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51</w:t>
            </w:r>
          </w:p>
        </w:tc>
        <w:tc>
          <w:tcPr>
            <w:tcW w:w="576" w:type="dxa"/>
            <w:tcBorders>
              <w:top w:val="nil"/>
              <w:left w:val="nil"/>
              <w:bottom w:val="nil"/>
              <w:right w:val="nil"/>
            </w:tcBorders>
            <w:shd w:val="clear" w:color="auto" w:fill="auto"/>
            <w:noWrap/>
            <w:vAlign w:val="bottom"/>
            <w:hideMark/>
          </w:tcPr>
          <w:p w14:paraId="2AF006D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71</w:t>
            </w:r>
          </w:p>
        </w:tc>
      </w:tr>
      <w:tr w:rsidR="006258EE" w:rsidRPr="00053D06" w14:paraId="1F216BE8"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73E99BC5"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6409BF1D"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sp.p PI 204265</w:t>
            </w:r>
          </w:p>
        </w:tc>
        <w:tc>
          <w:tcPr>
            <w:tcW w:w="576" w:type="dxa"/>
            <w:tcBorders>
              <w:top w:val="nil"/>
              <w:left w:val="nil"/>
              <w:bottom w:val="nil"/>
              <w:right w:val="nil"/>
            </w:tcBorders>
            <w:shd w:val="clear" w:color="auto" w:fill="auto"/>
            <w:noWrap/>
            <w:vAlign w:val="bottom"/>
            <w:hideMark/>
          </w:tcPr>
          <w:p w14:paraId="64F5A0C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w:t>
            </w:r>
          </w:p>
        </w:tc>
        <w:tc>
          <w:tcPr>
            <w:tcW w:w="576" w:type="dxa"/>
            <w:tcBorders>
              <w:top w:val="nil"/>
              <w:left w:val="nil"/>
              <w:bottom w:val="nil"/>
              <w:right w:val="nil"/>
            </w:tcBorders>
            <w:shd w:val="clear" w:color="auto" w:fill="auto"/>
            <w:noWrap/>
            <w:vAlign w:val="bottom"/>
            <w:hideMark/>
          </w:tcPr>
          <w:p w14:paraId="3E2541E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22</w:t>
            </w:r>
          </w:p>
        </w:tc>
        <w:tc>
          <w:tcPr>
            <w:tcW w:w="576" w:type="dxa"/>
            <w:tcBorders>
              <w:top w:val="nil"/>
              <w:left w:val="nil"/>
              <w:bottom w:val="nil"/>
              <w:right w:val="nil"/>
            </w:tcBorders>
            <w:shd w:val="clear" w:color="auto" w:fill="auto"/>
            <w:noWrap/>
            <w:vAlign w:val="bottom"/>
            <w:hideMark/>
          </w:tcPr>
          <w:p w14:paraId="365D94A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33</w:t>
            </w:r>
          </w:p>
        </w:tc>
        <w:tc>
          <w:tcPr>
            <w:tcW w:w="576" w:type="dxa"/>
            <w:tcBorders>
              <w:top w:val="nil"/>
              <w:left w:val="nil"/>
              <w:bottom w:val="nil"/>
              <w:right w:val="nil"/>
            </w:tcBorders>
            <w:shd w:val="clear" w:color="auto" w:fill="auto"/>
            <w:noWrap/>
            <w:vAlign w:val="bottom"/>
            <w:hideMark/>
          </w:tcPr>
          <w:p w14:paraId="3F1BC54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36</w:t>
            </w:r>
          </w:p>
        </w:tc>
        <w:tc>
          <w:tcPr>
            <w:tcW w:w="587" w:type="dxa"/>
            <w:tcBorders>
              <w:top w:val="nil"/>
              <w:left w:val="nil"/>
              <w:bottom w:val="nil"/>
              <w:right w:val="nil"/>
            </w:tcBorders>
            <w:shd w:val="clear" w:color="auto" w:fill="auto"/>
            <w:noWrap/>
            <w:vAlign w:val="bottom"/>
            <w:hideMark/>
          </w:tcPr>
          <w:p w14:paraId="276CC22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44</w:t>
            </w:r>
          </w:p>
        </w:tc>
        <w:tc>
          <w:tcPr>
            <w:tcW w:w="576" w:type="dxa"/>
            <w:tcBorders>
              <w:top w:val="nil"/>
              <w:left w:val="nil"/>
              <w:bottom w:val="nil"/>
              <w:right w:val="nil"/>
            </w:tcBorders>
            <w:shd w:val="clear" w:color="auto" w:fill="auto"/>
            <w:noWrap/>
            <w:vAlign w:val="bottom"/>
            <w:hideMark/>
          </w:tcPr>
          <w:p w14:paraId="126178A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15</w:t>
            </w:r>
          </w:p>
        </w:tc>
        <w:tc>
          <w:tcPr>
            <w:tcW w:w="610" w:type="dxa"/>
            <w:tcBorders>
              <w:top w:val="nil"/>
              <w:left w:val="nil"/>
              <w:bottom w:val="nil"/>
              <w:right w:val="nil"/>
            </w:tcBorders>
            <w:shd w:val="clear" w:color="auto" w:fill="auto"/>
            <w:noWrap/>
            <w:vAlign w:val="bottom"/>
            <w:hideMark/>
          </w:tcPr>
          <w:p w14:paraId="405EB61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c>
          <w:tcPr>
            <w:tcW w:w="576" w:type="dxa"/>
            <w:tcBorders>
              <w:top w:val="nil"/>
              <w:left w:val="nil"/>
              <w:bottom w:val="nil"/>
              <w:right w:val="nil"/>
            </w:tcBorders>
            <w:shd w:val="clear" w:color="auto" w:fill="auto"/>
            <w:noWrap/>
            <w:vAlign w:val="bottom"/>
            <w:hideMark/>
          </w:tcPr>
          <w:p w14:paraId="0C7CBA9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10</w:t>
            </w:r>
          </w:p>
        </w:tc>
        <w:tc>
          <w:tcPr>
            <w:tcW w:w="576" w:type="dxa"/>
            <w:tcBorders>
              <w:top w:val="nil"/>
              <w:left w:val="nil"/>
              <w:bottom w:val="nil"/>
              <w:right w:val="nil"/>
            </w:tcBorders>
            <w:shd w:val="clear" w:color="auto" w:fill="auto"/>
            <w:noWrap/>
            <w:vAlign w:val="bottom"/>
            <w:hideMark/>
          </w:tcPr>
          <w:p w14:paraId="280F271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c>
          <w:tcPr>
            <w:tcW w:w="576" w:type="dxa"/>
            <w:tcBorders>
              <w:top w:val="nil"/>
              <w:left w:val="nil"/>
              <w:bottom w:val="nil"/>
              <w:right w:val="nil"/>
            </w:tcBorders>
            <w:shd w:val="clear" w:color="auto" w:fill="auto"/>
            <w:noWrap/>
            <w:vAlign w:val="bottom"/>
            <w:hideMark/>
          </w:tcPr>
          <w:p w14:paraId="685AACD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w:t>
            </w:r>
          </w:p>
        </w:tc>
        <w:tc>
          <w:tcPr>
            <w:tcW w:w="576" w:type="dxa"/>
            <w:tcBorders>
              <w:top w:val="nil"/>
              <w:left w:val="nil"/>
              <w:bottom w:val="nil"/>
              <w:right w:val="nil"/>
            </w:tcBorders>
            <w:shd w:val="clear" w:color="auto" w:fill="auto"/>
            <w:noWrap/>
            <w:vAlign w:val="bottom"/>
            <w:hideMark/>
          </w:tcPr>
          <w:p w14:paraId="79A4882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15</w:t>
            </w:r>
          </w:p>
        </w:tc>
        <w:tc>
          <w:tcPr>
            <w:tcW w:w="576" w:type="dxa"/>
            <w:tcBorders>
              <w:top w:val="nil"/>
              <w:left w:val="nil"/>
              <w:bottom w:val="nil"/>
              <w:right w:val="nil"/>
            </w:tcBorders>
            <w:shd w:val="clear" w:color="auto" w:fill="auto"/>
            <w:noWrap/>
            <w:vAlign w:val="bottom"/>
            <w:hideMark/>
          </w:tcPr>
          <w:p w14:paraId="3807D27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42</w:t>
            </w:r>
          </w:p>
        </w:tc>
      </w:tr>
      <w:tr w:rsidR="006258EE" w:rsidRPr="00053D06" w14:paraId="11E96E47"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60356CDC"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7C9E1BFE"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spp. PI 598605</w:t>
            </w:r>
          </w:p>
        </w:tc>
        <w:tc>
          <w:tcPr>
            <w:tcW w:w="576" w:type="dxa"/>
            <w:tcBorders>
              <w:top w:val="nil"/>
              <w:left w:val="nil"/>
              <w:bottom w:val="nil"/>
              <w:right w:val="nil"/>
            </w:tcBorders>
            <w:shd w:val="clear" w:color="auto" w:fill="auto"/>
            <w:noWrap/>
            <w:vAlign w:val="bottom"/>
            <w:hideMark/>
          </w:tcPr>
          <w:p w14:paraId="58A4EAF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17</w:t>
            </w:r>
          </w:p>
        </w:tc>
        <w:tc>
          <w:tcPr>
            <w:tcW w:w="576" w:type="dxa"/>
            <w:tcBorders>
              <w:top w:val="nil"/>
              <w:left w:val="nil"/>
              <w:bottom w:val="nil"/>
              <w:right w:val="nil"/>
            </w:tcBorders>
            <w:shd w:val="clear" w:color="auto" w:fill="auto"/>
            <w:noWrap/>
            <w:vAlign w:val="bottom"/>
            <w:hideMark/>
          </w:tcPr>
          <w:p w14:paraId="49D5E93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33</w:t>
            </w:r>
          </w:p>
        </w:tc>
        <w:tc>
          <w:tcPr>
            <w:tcW w:w="576" w:type="dxa"/>
            <w:tcBorders>
              <w:top w:val="nil"/>
              <w:left w:val="nil"/>
              <w:bottom w:val="nil"/>
              <w:right w:val="nil"/>
            </w:tcBorders>
            <w:shd w:val="clear" w:color="auto" w:fill="auto"/>
            <w:noWrap/>
            <w:vAlign w:val="bottom"/>
            <w:hideMark/>
          </w:tcPr>
          <w:p w14:paraId="2E605EF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40</w:t>
            </w:r>
          </w:p>
        </w:tc>
        <w:tc>
          <w:tcPr>
            <w:tcW w:w="576" w:type="dxa"/>
            <w:tcBorders>
              <w:top w:val="nil"/>
              <w:left w:val="nil"/>
              <w:bottom w:val="nil"/>
              <w:right w:val="nil"/>
            </w:tcBorders>
            <w:shd w:val="clear" w:color="auto" w:fill="auto"/>
            <w:noWrap/>
            <w:vAlign w:val="bottom"/>
            <w:hideMark/>
          </w:tcPr>
          <w:p w14:paraId="4226D80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28</w:t>
            </w:r>
          </w:p>
        </w:tc>
        <w:tc>
          <w:tcPr>
            <w:tcW w:w="587" w:type="dxa"/>
            <w:tcBorders>
              <w:top w:val="nil"/>
              <w:left w:val="nil"/>
              <w:bottom w:val="nil"/>
              <w:right w:val="nil"/>
            </w:tcBorders>
            <w:shd w:val="clear" w:color="auto" w:fill="auto"/>
            <w:noWrap/>
            <w:vAlign w:val="bottom"/>
            <w:hideMark/>
          </w:tcPr>
          <w:p w14:paraId="67398EC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48</w:t>
            </w:r>
          </w:p>
        </w:tc>
        <w:tc>
          <w:tcPr>
            <w:tcW w:w="576" w:type="dxa"/>
            <w:tcBorders>
              <w:top w:val="nil"/>
              <w:left w:val="nil"/>
              <w:bottom w:val="nil"/>
              <w:right w:val="nil"/>
            </w:tcBorders>
            <w:shd w:val="clear" w:color="auto" w:fill="auto"/>
            <w:noWrap/>
            <w:vAlign w:val="bottom"/>
            <w:hideMark/>
          </w:tcPr>
          <w:p w14:paraId="26266DA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53</w:t>
            </w:r>
          </w:p>
        </w:tc>
        <w:tc>
          <w:tcPr>
            <w:tcW w:w="610" w:type="dxa"/>
            <w:tcBorders>
              <w:top w:val="nil"/>
              <w:left w:val="nil"/>
              <w:bottom w:val="nil"/>
              <w:right w:val="nil"/>
            </w:tcBorders>
            <w:shd w:val="clear" w:color="auto" w:fill="auto"/>
            <w:noWrap/>
            <w:vAlign w:val="bottom"/>
            <w:hideMark/>
          </w:tcPr>
          <w:p w14:paraId="2B48D2C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23</w:t>
            </w:r>
          </w:p>
        </w:tc>
        <w:tc>
          <w:tcPr>
            <w:tcW w:w="576" w:type="dxa"/>
            <w:tcBorders>
              <w:top w:val="nil"/>
              <w:left w:val="nil"/>
              <w:bottom w:val="nil"/>
              <w:right w:val="nil"/>
            </w:tcBorders>
            <w:shd w:val="clear" w:color="auto" w:fill="auto"/>
            <w:noWrap/>
            <w:vAlign w:val="bottom"/>
            <w:hideMark/>
          </w:tcPr>
          <w:p w14:paraId="23CB81A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28</w:t>
            </w:r>
          </w:p>
        </w:tc>
        <w:tc>
          <w:tcPr>
            <w:tcW w:w="576" w:type="dxa"/>
            <w:tcBorders>
              <w:top w:val="nil"/>
              <w:left w:val="nil"/>
              <w:bottom w:val="nil"/>
              <w:right w:val="nil"/>
            </w:tcBorders>
            <w:shd w:val="clear" w:color="auto" w:fill="auto"/>
            <w:noWrap/>
            <w:vAlign w:val="bottom"/>
            <w:hideMark/>
          </w:tcPr>
          <w:p w14:paraId="5139973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11</w:t>
            </w:r>
          </w:p>
        </w:tc>
        <w:tc>
          <w:tcPr>
            <w:tcW w:w="576" w:type="dxa"/>
            <w:tcBorders>
              <w:top w:val="nil"/>
              <w:left w:val="nil"/>
              <w:bottom w:val="nil"/>
              <w:right w:val="nil"/>
            </w:tcBorders>
            <w:shd w:val="clear" w:color="auto" w:fill="auto"/>
            <w:noWrap/>
            <w:vAlign w:val="bottom"/>
            <w:hideMark/>
          </w:tcPr>
          <w:p w14:paraId="296B17F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w:t>
            </w:r>
          </w:p>
        </w:tc>
        <w:tc>
          <w:tcPr>
            <w:tcW w:w="576" w:type="dxa"/>
            <w:tcBorders>
              <w:top w:val="nil"/>
              <w:left w:val="nil"/>
              <w:bottom w:val="nil"/>
              <w:right w:val="nil"/>
            </w:tcBorders>
            <w:shd w:val="clear" w:color="auto" w:fill="auto"/>
            <w:noWrap/>
            <w:vAlign w:val="bottom"/>
            <w:hideMark/>
          </w:tcPr>
          <w:p w14:paraId="0C83F3D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21</w:t>
            </w:r>
          </w:p>
        </w:tc>
        <w:tc>
          <w:tcPr>
            <w:tcW w:w="576" w:type="dxa"/>
            <w:tcBorders>
              <w:top w:val="nil"/>
              <w:left w:val="nil"/>
              <w:bottom w:val="nil"/>
              <w:right w:val="nil"/>
            </w:tcBorders>
            <w:shd w:val="clear" w:color="auto" w:fill="auto"/>
            <w:noWrap/>
            <w:vAlign w:val="bottom"/>
            <w:hideMark/>
          </w:tcPr>
          <w:p w14:paraId="3D2D678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32</w:t>
            </w:r>
          </w:p>
        </w:tc>
      </w:tr>
      <w:tr w:rsidR="006258EE" w:rsidRPr="00053D06" w14:paraId="03E8CCAA"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4338512A"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628E9B03"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spp. PI 619511</w:t>
            </w:r>
          </w:p>
        </w:tc>
        <w:tc>
          <w:tcPr>
            <w:tcW w:w="576" w:type="dxa"/>
            <w:tcBorders>
              <w:top w:val="nil"/>
              <w:left w:val="nil"/>
              <w:bottom w:val="nil"/>
              <w:right w:val="nil"/>
            </w:tcBorders>
            <w:shd w:val="clear" w:color="auto" w:fill="auto"/>
            <w:noWrap/>
            <w:vAlign w:val="bottom"/>
            <w:hideMark/>
          </w:tcPr>
          <w:p w14:paraId="13DDAB5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w:t>
            </w:r>
          </w:p>
        </w:tc>
        <w:tc>
          <w:tcPr>
            <w:tcW w:w="576" w:type="dxa"/>
            <w:tcBorders>
              <w:top w:val="nil"/>
              <w:left w:val="nil"/>
              <w:bottom w:val="nil"/>
              <w:right w:val="nil"/>
            </w:tcBorders>
            <w:shd w:val="clear" w:color="auto" w:fill="auto"/>
            <w:noWrap/>
            <w:vAlign w:val="bottom"/>
            <w:hideMark/>
          </w:tcPr>
          <w:p w14:paraId="3A03F07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26</w:t>
            </w:r>
          </w:p>
        </w:tc>
        <w:tc>
          <w:tcPr>
            <w:tcW w:w="576" w:type="dxa"/>
            <w:tcBorders>
              <w:top w:val="nil"/>
              <w:left w:val="nil"/>
              <w:bottom w:val="nil"/>
              <w:right w:val="nil"/>
            </w:tcBorders>
            <w:shd w:val="clear" w:color="auto" w:fill="auto"/>
            <w:noWrap/>
            <w:vAlign w:val="bottom"/>
            <w:hideMark/>
          </w:tcPr>
          <w:p w14:paraId="442DE63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37</w:t>
            </w:r>
          </w:p>
        </w:tc>
        <w:tc>
          <w:tcPr>
            <w:tcW w:w="576" w:type="dxa"/>
            <w:tcBorders>
              <w:top w:val="nil"/>
              <w:left w:val="nil"/>
              <w:bottom w:val="nil"/>
              <w:right w:val="nil"/>
            </w:tcBorders>
            <w:shd w:val="clear" w:color="auto" w:fill="auto"/>
            <w:noWrap/>
            <w:vAlign w:val="bottom"/>
            <w:hideMark/>
          </w:tcPr>
          <w:p w14:paraId="2FE5C10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47</w:t>
            </w:r>
          </w:p>
        </w:tc>
        <w:tc>
          <w:tcPr>
            <w:tcW w:w="587" w:type="dxa"/>
            <w:tcBorders>
              <w:top w:val="nil"/>
              <w:left w:val="nil"/>
              <w:bottom w:val="nil"/>
              <w:right w:val="nil"/>
            </w:tcBorders>
            <w:shd w:val="clear" w:color="auto" w:fill="auto"/>
            <w:noWrap/>
            <w:vAlign w:val="bottom"/>
            <w:hideMark/>
          </w:tcPr>
          <w:p w14:paraId="1C2AAC0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72</w:t>
            </w:r>
          </w:p>
        </w:tc>
        <w:tc>
          <w:tcPr>
            <w:tcW w:w="576" w:type="dxa"/>
            <w:tcBorders>
              <w:top w:val="nil"/>
              <w:left w:val="nil"/>
              <w:bottom w:val="nil"/>
              <w:right w:val="nil"/>
            </w:tcBorders>
            <w:shd w:val="clear" w:color="auto" w:fill="auto"/>
            <w:noWrap/>
            <w:vAlign w:val="bottom"/>
            <w:hideMark/>
          </w:tcPr>
          <w:p w14:paraId="2C15EF1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w:t>
            </w:r>
          </w:p>
        </w:tc>
        <w:tc>
          <w:tcPr>
            <w:tcW w:w="610" w:type="dxa"/>
            <w:tcBorders>
              <w:top w:val="nil"/>
              <w:left w:val="nil"/>
              <w:bottom w:val="nil"/>
              <w:right w:val="nil"/>
            </w:tcBorders>
            <w:shd w:val="clear" w:color="auto" w:fill="auto"/>
            <w:noWrap/>
            <w:vAlign w:val="bottom"/>
            <w:hideMark/>
          </w:tcPr>
          <w:p w14:paraId="6081424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w:t>
            </w:r>
          </w:p>
        </w:tc>
        <w:tc>
          <w:tcPr>
            <w:tcW w:w="576" w:type="dxa"/>
            <w:tcBorders>
              <w:top w:val="nil"/>
              <w:left w:val="nil"/>
              <w:bottom w:val="nil"/>
              <w:right w:val="nil"/>
            </w:tcBorders>
            <w:shd w:val="clear" w:color="auto" w:fill="auto"/>
            <w:noWrap/>
            <w:vAlign w:val="bottom"/>
            <w:hideMark/>
          </w:tcPr>
          <w:p w14:paraId="59D9901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0</w:t>
            </w:r>
          </w:p>
        </w:tc>
        <w:tc>
          <w:tcPr>
            <w:tcW w:w="576" w:type="dxa"/>
            <w:tcBorders>
              <w:top w:val="nil"/>
              <w:left w:val="nil"/>
              <w:bottom w:val="nil"/>
              <w:right w:val="nil"/>
            </w:tcBorders>
            <w:shd w:val="clear" w:color="auto" w:fill="auto"/>
            <w:noWrap/>
            <w:vAlign w:val="bottom"/>
            <w:hideMark/>
          </w:tcPr>
          <w:p w14:paraId="0A798F7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0</w:t>
            </w:r>
          </w:p>
        </w:tc>
        <w:tc>
          <w:tcPr>
            <w:tcW w:w="576" w:type="dxa"/>
            <w:tcBorders>
              <w:top w:val="nil"/>
              <w:left w:val="nil"/>
              <w:bottom w:val="nil"/>
              <w:right w:val="nil"/>
            </w:tcBorders>
            <w:shd w:val="clear" w:color="auto" w:fill="auto"/>
            <w:noWrap/>
            <w:vAlign w:val="bottom"/>
            <w:hideMark/>
          </w:tcPr>
          <w:p w14:paraId="748151D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w:t>
            </w:r>
          </w:p>
        </w:tc>
        <w:tc>
          <w:tcPr>
            <w:tcW w:w="576" w:type="dxa"/>
            <w:tcBorders>
              <w:top w:val="nil"/>
              <w:left w:val="nil"/>
              <w:bottom w:val="nil"/>
              <w:right w:val="nil"/>
            </w:tcBorders>
            <w:shd w:val="clear" w:color="auto" w:fill="auto"/>
            <w:noWrap/>
            <w:vAlign w:val="bottom"/>
            <w:hideMark/>
          </w:tcPr>
          <w:p w14:paraId="202CC8B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w:t>
            </w:r>
          </w:p>
        </w:tc>
        <w:tc>
          <w:tcPr>
            <w:tcW w:w="576" w:type="dxa"/>
            <w:tcBorders>
              <w:top w:val="nil"/>
              <w:left w:val="nil"/>
              <w:bottom w:val="nil"/>
              <w:right w:val="nil"/>
            </w:tcBorders>
            <w:shd w:val="clear" w:color="auto" w:fill="auto"/>
            <w:noWrap/>
            <w:vAlign w:val="bottom"/>
            <w:hideMark/>
          </w:tcPr>
          <w:p w14:paraId="711D162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w:t>
            </w:r>
          </w:p>
        </w:tc>
      </w:tr>
      <w:tr w:rsidR="006258EE" w:rsidRPr="00053D06" w14:paraId="0D7EDF9B"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1500433E"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46205ED1"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spp. PI 632504</w:t>
            </w:r>
          </w:p>
        </w:tc>
        <w:tc>
          <w:tcPr>
            <w:tcW w:w="576" w:type="dxa"/>
            <w:tcBorders>
              <w:top w:val="nil"/>
              <w:left w:val="nil"/>
              <w:bottom w:val="nil"/>
              <w:right w:val="nil"/>
            </w:tcBorders>
            <w:shd w:val="clear" w:color="auto" w:fill="auto"/>
            <w:noWrap/>
            <w:vAlign w:val="bottom"/>
            <w:hideMark/>
          </w:tcPr>
          <w:p w14:paraId="62E241B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15</w:t>
            </w:r>
          </w:p>
        </w:tc>
        <w:tc>
          <w:tcPr>
            <w:tcW w:w="576" w:type="dxa"/>
            <w:tcBorders>
              <w:top w:val="nil"/>
              <w:left w:val="nil"/>
              <w:bottom w:val="nil"/>
              <w:right w:val="nil"/>
            </w:tcBorders>
            <w:shd w:val="clear" w:color="auto" w:fill="auto"/>
            <w:noWrap/>
            <w:vAlign w:val="bottom"/>
            <w:hideMark/>
          </w:tcPr>
          <w:p w14:paraId="1D00798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37</w:t>
            </w:r>
          </w:p>
        </w:tc>
        <w:tc>
          <w:tcPr>
            <w:tcW w:w="576" w:type="dxa"/>
            <w:tcBorders>
              <w:top w:val="nil"/>
              <w:left w:val="nil"/>
              <w:bottom w:val="nil"/>
              <w:right w:val="nil"/>
            </w:tcBorders>
            <w:shd w:val="clear" w:color="auto" w:fill="auto"/>
            <w:noWrap/>
            <w:vAlign w:val="bottom"/>
            <w:hideMark/>
          </w:tcPr>
          <w:p w14:paraId="3643EF2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58</w:t>
            </w:r>
          </w:p>
        </w:tc>
        <w:tc>
          <w:tcPr>
            <w:tcW w:w="576" w:type="dxa"/>
            <w:tcBorders>
              <w:top w:val="nil"/>
              <w:left w:val="nil"/>
              <w:bottom w:val="nil"/>
              <w:right w:val="nil"/>
            </w:tcBorders>
            <w:shd w:val="clear" w:color="auto" w:fill="auto"/>
            <w:noWrap/>
            <w:vAlign w:val="bottom"/>
            <w:hideMark/>
          </w:tcPr>
          <w:p w14:paraId="673AE90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66</w:t>
            </w:r>
          </w:p>
        </w:tc>
        <w:tc>
          <w:tcPr>
            <w:tcW w:w="587" w:type="dxa"/>
            <w:tcBorders>
              <w:top w:val="nil"/>
              <w:left w:val="nil"/>
              <w:bottom w:val="nil"/>
              <w:right w:val="nil"/>
            </w:tcBorders>
            <w:shd w:val="clear" w:color="auto" w:fill="auto"/>
            <w:noWrap/>
            <w:vAlign w:val="bottom"/>
            <w:hideMark/>
          </w:tcPr>
          <w:p w14:paraId="5A0AE2B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84</w:t>
            </w:r>
          </w:p>
        </w:tc>
        <w:tc>
          <w:tcPr>
            <w:tcW w:w="576" w:type="dxa"/>
            <w:tcBorders>
              <w:top w:val="nil"/>
              <w:left w:val="nil"/>
              <w:bottom w:val="nil"/>
              <w:right w:val="nil"/>
            </w:tcBorders>
            <w:shd w:val="clear" w:color="auto" w:fill="auto"/>
            <w:noWrap/>
            <w:vAlign w:val="bottom"/>
            <w:hideMark/>
          </w:tcPr>
          <w:p w14:paraId="6EA9A97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47</w:t>
            </w:r>
          </w:p>
        </w:tc>
        <w:tc>
          <w:tcPr>
            <w:tcW w:w="610" w:type="dxa"/>
            <w:tcBorders>
              <w:top w:val="nil"/>
              <w:left w:val="nil"/>
              <w:bottom w:val="nil"/>
              <w:right w:val="nil"/>
            </w:tcBorders>
            <w:shd w:val="clear" w:color="auto" w:fill="auto"/>
            <w:noWrap/>
            <w:vAlign w:val="bottom"/>
            <w:hideMark/>
          </w:tcPr>
          <w:p w14:paraId="7DD7A35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w:t>
            </w:r>
          </w:p>
        </w:tc>
        <w:tc>
          <w:tcPr>
            <w:tcW w:w="576" w:type="dxa"/>
            <w:tcBorders>
              <w:top w:val="nil"/>
              <w:left w:val="nil"/>
              <w:bottom w:val="nil"/>
              <w:right w:val="nil"/>
            </w:tcBorders>
            <w:shd w:val="clear" w:color="auto" w:fill="auto"/>
            <w:noWrap/>
            <w:vAlign w:val="bottom"/>
            <w:hideMark/>
          </w:tcPr>
          <w:p w14:paraId="54A1D10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21</w:t>
            </w:r>
          </w:p>
        </w:tc>
        <w:tc>
          <w:tcPr>
            <w:tcW w:w="576" w:type="dxa"/>
            <w:tcBorders>
              <w:top w:val="nil"/>
              <w:left w:val="nil"/>
              <w:bottom w:val="nil"/>
              <w:right w:val="nil"/>
            </w:tcBorders>
            <w:shd w:val="clear" w:color="auto" w:fill="auto"/>
            <w:noWrap/>
            <w:vAlign w:val="bottom"/>
            <w:hideMark/>
          </w:tcPr>
          <w:p w14:paraId="5EDC57E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14</w:t>
            </w:r>
          </w:p>
        </w:tc>
        <w:tc>
          <w:tcPr>
            <w:tcW w:w="576" w:type="dxa"/>
            <w:tcBorders>
              <w:top w:val="nil"/>
              <w:left w:val="nil"/>
              <w:bottom w:val="nil"/>
              <w:right w:val="nil"/>
            </w:tcBorders>
            <w:shd w:val="clear" w:color="auto" w:fill="auto"/>
            <w:noWrap/>
            <w:vAlign w:val="bottom"/>
            <w:hideMark/>
          </w:tcPr>
          <w:p w14:paraId="4624FD6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33</w:t>
            </w:r>
          </w:p>
        </w:tc>
        <w:tc>
          <w:tcPr>
            <w:tcW w:w="576" w:type="dxa"/>
            <w:tcBorders>
              <w:top w:val="nil"/>
              <w:left w:val="nil"/>
              <w:bottom w:val="nil"/>
              <w:right w:val="nil"/>
            </w:tcBorders>
            <w:shd w:val="clear" w:color="auto" w:fill="auto"/>
            <w:noWrap/>
            <w:vAlign w:val="bottom"/>
            <w:hideMark/>
          </w:tcPr>
          <w:p w14:paraId="141A330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56</w:t>
            </w:r>
          </w:p>
        </w:tc>
        <w:tc>
          <w:tcPr>
            <w:tcW w:w="576" w:type="dxa"/>
            <w:tcBorders>
              <w:top w:val="nil"/>
              <w:left w:val="nil"/>
              <w:bottom w:val="nil"/>
              <w:right w:val="nil"/>
            </w:tcBorders>
            <w:shd w:val="clear" w:color="auto" w:fill="auto"/>
            <w:noWrap/>
            <w:vAlign w:val="bottom"/>
            <w:hideMark/>
          </w:tcPr>
          <w:p w14:paraId="4C239E5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76</w:t>
            </w:r>
          </w:p>
        </w:tc>
      </w:tr>
      <w:tr w:rsidR="006258EE" w:rsidRPr="00053D06" w14:paraId="02698C18" w14:textId="77777777" w:rsidTr="006258EE">
        <w:trPr>
          <w:trHeight w:val="300"/>
          <w:jc w:val="center"/>
        </w:trPr>
        <w:tc>
          <w:tcPr>
            <w:tcW w:w="1526" w:type="dxa"/>
            <w:tcBorders>
              <w:top w:val="nil"/>
              <w:left w:val="nil"/>
              <w:right w:val="nil"/>
            </w:tcBorders>
            <w:shd w:val="clear" w:color="auto" w:fill="auto"/>
            <w:noWrap/>
            <w:vAlign w:val="bottom"/>
            <w:hideMark/>
          </w:tcPr>
          <w:p w14:paraId="5754E8EA"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 </w:t>
            </w:r>
          </w:p>
        </w:tc>
        <w:tc>
          <w:tcPr>
            <w:tcW w:w="2362" w:type="dxa"/>
            <w:tcBorders>
              <w:top w:val="nil"/>
              <w:left w:val="nil"/>
              <w:right w:val="nil"/>
            </w:tcBorders>
            <w:shd w:val="clear" w:color="auto" w:fill="auto"/>
            <w:noWrap/>
            <w:vAlign w:val="bottom"/>
            <w:hideMark/>
          </w:tcPr>
          <w:p w14:paraId="6F784E45"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spp. PI 655177</w:t>
            </w:r>
          </w:p>
        </w:tc>
        <w:tc>
          <w:tcPr>
            <w:tcW w:w="576" w:type="dxa"/>
            <w:tcBorders>
              <w:top w:val="nil"/>
              <w:left w:val="nil"/>
              <w:right w:val="nil"/>
            </w:tcBorders>
            <w:shd w:val="clear" w:color="auto" w:fill="auto"/>
            <w:noWrap/>
            <w:vAlign w:val="bottom"/>
            <w:hideMark/>
          </w:tcPr>
          <w:p w14:paraId="755F912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w:t>
            </w:r>
          </w:p>
        </w:tc>
        <w:tc>
          <w:tcPr>
            <w:tcW w:w="576" w:type="dxa"/>
            <w:tcBorders>
              <w:top w:val="nil"/>
              <w:left w:val="nil"/>
              <w:right w:val="nil"/>
            </w:tcBorders>
            <w:shd w:val="clear" w:color="auto" w:fill="auto"/>
            <w:noWrap/>
            <w:vAlign w:val="bottom"/>
            <w:hideMark/>
          </w:tcPr>
          <w:p w14:paraId="6E51123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20</w:t>
            </w:r>
          </w:p>
        </w:tc>
        <w:tc>
          <w:tcPr>
            <w:tcW w:w="576" w:type="dxa"/>
            <w:tcBorders>
              <w:top w:val="nil"/>
              <w:left w:val="nil"/>
              <w:right w:val="nil"/>
            </w:tcBorders>
            <w:shd w:val="clear" w:color="auto" w:fill="auto"/>
            <w:noWrap/>
            <w:vAlign w:val="bottom"/>
            <w:hideMark/>
          </w:tcPr>
          <w:p w14:paraId="37356C2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33</w:t>
            </w:r>
          </w:p>
        </w:tc>
        <w:tc>
          <w:tcPr>
            <w:tcW w:w="576" w:type="dxa"/>
            <w:tcBorders>
              <w:top w:val="nil"/>
              <w:left w:val="nil"/>
              <w:right w:val="nil"/>
            </w:tcBorders>
            <w:shd w:val="clear" w:color="auto" w:fill="auto"/>
            <w:noWrap/>
            <w:vAlign w:val="bottom"/>
            <w:hideMark/>
          </w:tcPr>
          <w:p w14:paraId="1781E9D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21</w:t>
            </w:r>
          </w:p>
        </w:tc>
        <w:tc>
          <w:tcPr>
            <w:tcW w:w="587" w:type="dxa"/>
            <w:tcBorders>
              <w:top w:val="nil"/>
              <w:left w:val="nil"/>
              <w:right w:val="nil"/>
            </w:tcBorders>
            <w:shd w:val="clear" w:color="auto" w:fill="auto"/>
            <w:noWrap/>
            <w:vAlign w:val="bottom"/>
            <w:hideMark/>
          </w:tcPr>
          <w:p w14:paraId="6DF5556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36</w:t>
            </w:r>
          </w:p>
        </w:tc>
        <w:tc>
          <w:tcPr>
            <w:tcW w:w="576" w:type="dxa"/>
            <w:tcBorders>
              <w:top w:val="nil"/>
              <w:left w:val="nil"/>
              <w:right w:val="nil"/>
            </w:tcBorders>
            <w:shd w:val="clear" w:color="auto" w:fill="auto"/>
            <w:noWrap/>
            <w:vAlign w:val="bottom"/>
            <w:hideMark/>
          </w:tcPr>
          <w:p w14:paraId="77DAC20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55</w:t>
            </w:r>
          </w:p>
        </w:tc>
        <w:tc>
          <w:tcPr>
            <w:tcW w:w="610" w:type="dxa"/>
            <w:tcBorders>
              <w:top w:val="nil"/>
              <w:left w:val="nil"/>
              <w:right w:val="nil"/>
            </w:tcBorders>
            <w:shd w:val="clear" w:color="auto" w:fill="auto"/>
            <w:noWrap/>
            <w:vAlign w:val="bottom"/>
            <w:hideMark/>
          </w:tcPr>
          <w:p w14:paraId="1E53B1B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28</w:t>
            </w:r>
          </w:p>
        </w:tc>
        <w:tc>
          <w:tcPr>
            <w:tcW w:w="576" w:type="dxa"/>
            <w:tcBorders>
              <w:top w:val="nil"/>
              <w:left w:val="nil"/>
              <w:right w:val="nil"/>
            </w:tcBorders>
            <w:shd w:val="clear" w:color="auto" w:fill="auto"/>
            <w:noWrap/>
            <w:vAlign w:val="bottom"/>
            <w:hideMark/>
          </w:tcPr>
          <w:p w14:paraId="0BD55B2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34</w:t>
            </w:r>
          </w:p>
        </w:tc>
        <w:tc>
          <w:tcPr>
            <w:tcW w:w="576" w:type="dxa"/>
            <w:tcBorders>
              <w:top w:val="nil"/>
              <w:left w:val="nil"/>
              <w:right w:val="nil"/>
            </w:tcBorders>
            <w:shd w:val="clear" w:color="auto" w:fill="auto"/>
            <w:noWrap/>
            <w:vAlign w:val="bottom"/>
            <w:hideMark/>
          </w:tcPr>
          <w:p w14:paraId="1315A37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30</w:t>
            </w:r>
          </w:p>
        </w:tc>
        <w:tc>
          <w:tcPr>
            <w:tcW w:w="576" w:type="dxa"/>
            <w:tcBorders>
              <w:top w:val="nil"/>
              <w:left w:val="nil"/>
              <w:right w:val="nil"/>
            </w:tcBorders>
            <w:shd w:val="clear" w:color="auto" w:fill="auto"/>
            <w:noWrap/>
            <w:vAlign w:val="bottom"/>
            <w:hideMark/>
          </w:tcPr>
          <w:p w14:paraId="402C884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32</w:t>
            </w:r>
          </w:p>
        </w:tc>
        <w:tc>
          <w:tcPr>
            <w:tcW w:w="576" w:type="dxa"/>
            <w:tcBorders>
              <w:top w:val="nil"/>
              <w:left w:val="nil"/>
              <w:right w:val="nil"/>
            </w:tcBorders>
            <w:shd w:val="clear" w:color="auto" w:fill="auto"/>
            <w:noWrap/>
            <w:vAlign w:val="bottom"/>
            <w:hideMark/>
          </w:tcPr>
          <w:p w14:paraId="0774342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38</w:t>
            </w:r>
          </w:p>
        </w:tc>
        <w:tc>
          <w:tcPr>
            <w:tcW w:w="576" w:type="dxa"/>
            <w:tcBorders>
              <w:top w:val="nil"/>
              <w:left w:val="nil"/>
              <w:right w:val="nil"/>
            </w:tcBorders>
            <w:shd w:val="clear" w:color="auto" w:fill="auto"/>
            <w:noWrap/>
            <w:vAlign w:val="bottom"/>
            <w:hideMark/>
          </w:tcPr>
          <w:p w14:paraId="10009BE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68</w:t>
            </w:r>
          </w:p>
        </w:tc>
      </w:tr>
      <w:tr w:rsidR="006258EE" w:rsidRPr="00053D06" w14:paraId="1DFEF4CF" w14:textId="77777777" w:rsidTr="006258EE">
        <w:trPr>
          <w:trHeight w:val="300"/>
          <w:jc w:val="center"/>
        </w:trPr>
        <w:tc>
          <w:tcPr>
            <w:tcW w:w="10845" w:type="dxa"/>
            <w:gridSpan w:val="14"/>
            <w:tcBorders>
              <w:top w:val="nil"/>
              <w:left w:val="nil"/>
              <w:bottom w:val="single" w:sz="4" w:space="0" w:color="auto"/>
              <w:right w:val="nil"/>
            </w:tcBorders>
            <w:shd w:val="clear" w:color="auto" w:fill="auto"/>
            <w:noWrap/>
            <w:vAlign w:val="bottom"/>
          </w:tcPr>
          <w:p w14:paraId="2630176A"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lastRenderedPageBreak/>
              <w:t>T</w:t>
            </w:r>
            <w:r w:rsidR="00D04371" w:rsidRPr="00053D06">
              <w:rPr>
                <w:rFonts w:ascii="Calibri" w:eastAsia="Times New Roman" w:hAnsi="Calibri" w:cs="Times New Roman"/>
                <w:b/>
              </w:rPr>
              <w:t>able 2.4. Continued</w:t>
            </w:r>
          </w:p>
        </w:tc>
      </w:tr>
      <w:tr w:rsidR="006258EE" w:rsidRPr="00053D06" w14:paraId="7663DB1E" w14:textId="77777777" w:rsidTr="006258EE">
        <w:trPr>
          <w:trHeight w:val="300"/>
          <w:jc w:val="center"/>
        </w:trPr>
        <w:tc>
          <w:tcPr>
            <w:tcW w:w="1526" w:type="dxa"/>
            <w:tcBorders>
              <w:top w:val="single" w:sz="4" w:space="0" w:color="auto"/>
              <w:left w:val="nil"/>
              <w:bottom w:val="single" w:sz="4" w:space="0" w:color="auto"/>
              <w:right w:val="nil"/>
            </w:tcBorders>
            <w:shd w:val="clear" w:color="auto" w:fill="auto"/>
            <w:noWrap/>
            <w:vAlign w:val="bottom"/>
          </w:tcPr>
          <w:p w14:paraId="590275A0"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Growth</w:t>
            </w:r>
          </w:p>
        </w:tc>
        <w:tc>
          <w:tcPr>
            <w:tcW w:w="2362" w:type="dxa"/>
            <w:tcBorders>
              <w:top w:val="single" w:sz="4" w:space="0" w:color="auto"/>
              <w:left w:val="nil"/>
              <w:bottom w:val="single" w:sz="4" w:space="0" w:color="auto"/>
              <w:right w:val="nil"/>
            </w:tcBorders>
            <w:shd w:val="clear" w:color="auto" w:fill="auto"/>
            <w:noWrap/>
            <w:vAlign w:val="bottom"/>
          </w:tcPr>
          <w:p w14:paraId="4E675F74"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Entry</w:t>
            </w:r>
          </w:p>
        </w:tc>
        <w:tc>
          <w:tcPr>
            <w:tcW w:w="576" w:type="dxa"/>
            <w:tcBorders>
              <w:top w:val="single" w:sz="4" w:space="0" w:color="auto"/>
              <w:left w:val="nil"/>
              <w:bottom w:val="single" w:sz="4" w:space="0" w:color="auto"/>
              <w:right w:val="nil"/>
            </w:tcBorders>
            <w:shd w:val="clear" w:color="auto" w:fill="auto"/>
            <w:noWrap/>
            <w:vAlign w:val="bottom"/>
          </w:tcPr>
          <w:p w14:paraId="6EC5C74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Nov</w:t>
            </w:r>
          </w:p>
        </w:tc>
        <w:tc>
          <w:tcPr>
            <w:tcW w:w="576" w:type="dxa"/>
            <w:tcBorders>
              <w:top w:val="single" w:sz="4" w:space="0" w:color="auto"/>
              <w:left w:val="nil"/>
              <w:bottom w:val="single" w:sz="4" w:space="0" w:color="auto"/>
              <w:right w:val="nil"/>
            </w:tcBorders>
            <w:shd w:val="clear" w:color="auto" w:fill="auto"/>
            <w:noWrap/>
            <w:vAlign w:val="bottom"/>
          </w:tcPr>
          <w:p w14:paraId="347B868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Dec</w:t>
            </w:r>
          </w:p>
        </w:tc>
        <w:tc>
          <w:tcPr>
            <w:tcW w:w="576" w:type="dxa"/>
            <w:tcBorders>
              <w:top w:val="single" w:sz="4" w:space="0" w:color="auto"/>
              <w:left w:val="nil"/>
              <w:bottom w:val="single" w:sz="4" w:space="0" w:color="auto"/>
              <w:right w:val="nil"/>
            </w:tcBorders>
            <w:shd w:val="clear" w:color="auto" w:fill="auto"/>
            <w:noWrap/>
            <w:vAlign w:val="bottom"/>
          </w:tcPr>
          <w:p w14:paraId="01E3B8E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Jan</w:t>
            </w:r>
          </w:p>
        </w:tc>
        <w:tc>
          <w:tcPr>
            <w:tcW w:w="576" w:type="dxa"/>
            <w:tcBorders>
              <w:top w:val="single" w:sz="4" w:space="0" w:color="auto"/>
              <w:left w:val="nil"/>
              <w:bottom w:val="single" w:sz="4" w:space="0" w:color="auto"/>
              <w:right w:val="nil"/>
            </w:tcBorders>
            <w:shd w:val="clear" w:color="auto" w:fill="auto"/>
            <w:noWrap/>
            <w:vAlign w:val="bottom"/>
          </w:tcPr>
          <w:p w14:paraId="1838B4E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Feb</w:t>
            </w:r>
          </w:p>
        </w:tc>
        <w:tc>
          <w:tcPr>
            <w:tcW w:w="587" w:type="dxa"/>
            <w:tcBorders>
              <w:top w:val="single" w:sz="4" w:space="0" w:color="auto"/>
              <w:left w:val="nil"/>
              <w:bottom w:val="single" w:sz="4" w:space="0" w:color="auto"/>
              <w:right w:val="nil"/>
            </w:tcBorders>
            <w:shd w:val="clear" w:color="auto" w:fill="auto"/>
            <w:noWrap/>
            <w:vAlign w:val="bottom"/>
          </w:tcPr>
          <w:p w14:paraId="5280027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Mar</w:t>
            </w:r>
          </w:p>
        </w:tc>
        <w:tc>
          <w:tcPr>
            <w:tcW w:w="576" w:type="dxa"/>
            <w:tcBorders>
              <w:top w:val="single" w:sz="4" w:space="0" w:color="auto"/>
              <w:left w:val="nil"/>
              <w:bottom w:val="single" w:sz="4" w:space="0" w:color="auto"/>
              <w:right w:val="nil"/>
            </w:tcBorders>
            <w:shd w:val="clear" w:color="auto" w:fill="auto"/>
            <w:noWrap/>
            <w:vAlign w:val="bottom"/>
          </w:tcPr>
          <w:p w14:paraId="13EB813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Apr</w:t>
            </w:r>
          </w:p>
        </w:tc>
        <w:tc>
          <w:tcPr>
            <w:tcW w:w="610" w:type="dxa"/>
            <w:tcBorders>
              <w:top w:val="single" w:sz="4" w:space="0" w:color="auto"/>
              <w:left w:val="nil"/>
              <w:bottom w:val="single" w:sz="4" w:space="0" w:color="auto"/>
              <w:right w:val="nil"/>
            </w:tcBorders>
            <w:shd w:val="clear" w:color="auto" w:fill="auto"/>
            <w:noWrap/>
            <w:vAlign w:val="bottom"/>
          </w:tcPr>
          <w:p w14:paraId="4CC83F9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May</w:t>
            </w:r>
          </w:p>
        </w:tc>
        <w:tc>
          <w:tcPr>
            <w:tcW w:w="576" w:type="dxa"/>
            <w:tcBorders>
              <w:top w:val="single" w:sz="4" w:space="0" w:color="auto"/>
              <w:left w:val="nil"/>
              <w:bottom w:val="single" w:sz="4" w:space="0" w:color="auto"/>
              <w:right w:val="nil"/>
            </w:tcBorders>
            <w:shd w:val="clear" w:color="auto" w:fill="auto"/>
            <w:noWrap/>
            <w:vAlign w:val="bottom"/>
          </w:tcPr>
          <w:p w14:paraId="393B86C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Jun</w:t>
            </w:r>
          </w:p>
        </w:tc>
        <w:tc>
          <w:tcPr>
            <w:tcW w:w="576" w:type="dxa"/>
            <w:tcBorders>
              <w:top w:val="single" w:sz="4" w:space="0" w:color="auto"/>
              <w:left w:val="nil"/>
              <w:bottom w:val="single" w:sz="4" w:space="0" w:color="auto"/>
              <w:right w:val="nil"/>
            </w:tcBorders>
            <w:shd w:val="clear" w:color="auto" w:fill="auto"/>
            <w:noWrap/>
            <w:vAlign w:val="bottom"/>
          </w:tcPr>
          <w:p w14:paraId="3BAF3A3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Jul</w:t>
            </w:r>
          </w:p>
        </w:tc>
        <w:tc>
          <w:tcPr>
            <w:tcW w:w="576" w:type="dxa"/>
            <w:tcBorders>
              <w:top w:val="single" w:sz="4" w:space="0" w:color="auto"/>
              <w:left w:val="nil"/>
              <w:bottom w:val="single" w:sz="4" w:space="0" w:color="auto"/>
              <w:right w:val="nil"/>
            </w:tcBorders>
            <w:shd w:val="clear" w:color="auto" w:fill="auto"/>
            <w:noWrap/>
            <w:vAlign w:val="bottom"/>
          </w:tcPr>
          <w:p w14:paraId="4C5A393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Aug</w:t>
            </w:r>
          </w:p>
        </w:tc>
        <w:tc>
          <w:tcPr>
            <w:tcW w:w="576" w:type="dxa"/>
            <w:tcBorders>
              <w:top w:val="single" w:sz="4" w:space="0" w:color="auto"/>
              <w:left w:val="nil"/>
              <w:bottom w:val="single" w:sz="4" w:space="0" w:color="auto"/>
              <w:right w:val="nil"/>
            </w:tcBorders>
            <w:shd w:val="clear" w:color="auto" w:fill="auto"/>
            <w:noWrap/>
            <w:vAlign w:val="bottom"/>
          </w:tcPr>
          <w:p w14:paraId="3C519A8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Sep</w:t>
            </w:r>
          </w:p>
        </w:tc>
        <w:tc>
          <w:tcPr>
            <w:tcW w:w="576" w:type="dxa"/>
            <w:tcBorders>
              <w:top w:val="single" w:sz="4" w:space="0" w:color="auto"/>
              <w:left w:val="nil"/>
              <w:bottom w:val="single" w:sz="4" w:space="0" w:color="auto"/>
              <w:right w:val="nil"/>
            </w:tcBorders>
            <w:shd w:val="clear" w:color="auto" w:fill="auto"/>
            <w:noWrap/>
            <w:vAlign w:val="bottom"/>
          </w:tcPr>
          <w:p w14:paraId="21A29CB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Oct</w:t>
            </w:r>
          </w:p>
        </w:tc>
      </w:tr>
      <w:tr w:rsidR="006258EE" w:rsidRPr="00053D06" w14:paraId="11EFE9A4" w14:textId="77777777" w:rsidTr="006258EE">
        <w:trPr>
          <w:trHeight w:val="300"/>
          <w:jc w:val="center"/>
        </w:trPr>
        <w:tc>
          <w:tcPr>
            <w:tcW w:w="1526" w:type="dxa"/>
            <w:tcBorders>
              <w:top w:val="single" w:sz="4" w:space="0" w:color="auto"/>
              <w:left w:val="nil"/>
              <w:bottom w:val="nil"/>
              <w:right w:val="nil"/>
            </w:tcBorders>
            <w:shd w:val="clear" w:color="auto" w:fill="auto"/>
            <w:noWrap/>
            <w:vAlign w:val="bottom"/>
            <w:hideMark/>
          </w:tcPr>
          <w:p w14:paraId="6FDA13A5"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Rhizomatous</w:t>
            </w:r>
          </w:p>
        </w:tc>
        <w:tc>
          <w:tcPr>
            <w:tcW w:w="2362" w:type="dxa"/>
            <w:tcBorders>
              <w:top w:val="single" w:sz="4" w:space="0" w:color="auto"/>
              <w:left w:val="nil"/>
              <w:bottom w:val="nil"/>
              <w:right w:val="nil"/>
            </w:tcBorders>
            <w:shd w:val="clear" w:color="auto" w:fill="auto"/>
            <w:noWrap/>
            <w:vAlign w:val="bottom"/>
            <w:hideMark/>
          </w:tcPr>
          <w:p w14:paraId="1C3083A0"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arachnifera×dusenii</w:t>
            </w:r>
          </w:p>
        </w:tc>
        <w:tc>
          <w:tcPr>
            <w:tcW w:w="576" w:type="dxa"/>
            <w:tcBorders>
              <w:top w:val="single" w:sz="4" w:space="0" w:color="auto"/>
              <w:left w:val="nil"/>
              <w:bottom w:val="nil"/>
              <w:right w:val="nil"/>
            </w:tcBorders>
            <w:shd w:val="clear" w:color="auto" w:fill="auto"/>
            <w:noWrap/>
            <w:vAlign w:val="bottom"/>
            <w:hideMark/>
          </w:tcPr>
          <w:p w14:paraId="0C364D2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c>
          <w:tcPr>
            <w:tcW w:w="576" w:type="dxa"/>
            <w:tcBorders>
              <w:top w:val="single" w:sz="4" w:space="0" w:color="auto"/>
              <w:left w:val="nil"/>
              <w:bottom w:val="nil"/>
              <w:right w:val="nil"/>
            </w:tcBorders>
            <w:shd w:val="clear" w:color="auto" w:fill="auto"/>
            <w:noWrap/>
            <w:vAlign w:val="bottom"/>
            <w:hideMark/>
          </w:tcPr>
          <w:p w14:paraId="1A3A4AE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22</w:t>
            </w:r>
          </w:p>
        </w:tc>
        <w:tc>
          <w:tcPr>
            <w:tcW w:w="576" w:type="dxa"/>
            <w:tcBorders>
              <w:top w:val="single" w:sz="4" w:space="0" w:color="auto"/>
              <w:left w:val="nil"/>
              <w:bottom w:val="nil"/>
              <w:right w:val="nil"/>
            </w:tcBorders>
            <w:shd w:val="clear" w:color="auto" w:fill="auto"/>
            <w:noWrap/>
            <w:vAlign w:val="bottom"/>
            <w:hideMark/>
          </w:tcPr>
          <w:p w14:paraId="4957435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32</w:t>
            </w:r>
          </w:p>
        </w:tc>
        <w:tc>
          <w:tcPr>
            <w:tcW w:w="576" w:type="dxa"/>
            <w:tcBorders>
              <w:top w:val="single" w:sz="4" w:space="0" w:color="auto"/>
              <w:left w:val="nil"/>
              <w:bottom w:val="nil"/>
              <w:right w:val="nil"/>
            </w:tcBorders>
            <w:shd w:val="clear" w:color="auto" w:fill="auto"/>
            <w:noWrap/>
            <w:vAlign w:val="bottom"/>
            <w:hideMark/>
          </w:tcPr>
          <w:p w14:paraId="33BE99B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31</w:t>
            </w:r>
          </w:p>
        </w:tc>
        <w:tc>
          <w:tcPr>
            <w:tcW w:w="587" w:type="dxa"/>
            <w:tcBorders>
              <w:top w:val="single" w:sz="4" w:space="0" w:color="auto"/>
              <w:left w:val="nil"/>
              <w:bottom w:val="nil"/>
              <w:right w:val="nil"/>
            </w:tcBorders>
            <w:shd w:val="clear" w:color="auto" w:fill="auto"/>
            <w:noWrap/>
            <w:vAlign w:val="bottom"/>
            <w:hideMark/>
          </w:tcPr>
          <w:p w14:paraId="321C2E7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48</w:t>
            </w:r>
          </w:p>
        </w:tc>
        <w:tc>
          <w:tcPr>
            <w:tcW w:w="576" w:type="dxa"/>
            <w:tcBorders>
              <w:top w:val="single" w:sz="4" w:space="0" w:color="auto"/>
              <w:left w:val="nil"/>
              <w:bottom w:val="nil"/>
              <w:right w:val="nil"/>
            </w:tcBorders>
            <w:shd w:val="clear" w:color="auto" w:fill="auto"/>
            <w:noWrap/>
            <w:vAlign w:val="bottom"/>
            <w:hideMark/>
          </w:tcPr>
          <w:p w14:paraId="7E305AE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33</w:t>
            </w:r>
          </w:p>
        </w:tc>
        <w:tc>
          <w:tcPr>
            <w:tcW w:w="610" w:type="dxa"/>
            <w:tcBorders>
              <w:top w:val="single" w:sz="4" w:space="0" w:color="auto"/>
              <w:left w:val="nil"/>
              <w:bottom w:val="nil"/>
              <w:right w:val="nil"/>
            </w:tcBorders>
            <w:shd w:val="clear" w:color="auto" w:fill="auto"/>
            <w:noWrap/>
            <w:vAlign w:val="bottom"/>
            <w:hideMark/>
          </w:tcPr>
          <w:p w14:paraId="201C6CE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22</w:t>
            </w:r>
          </w:p>
        </w:tc>
        <w:tc>
          <w:tcPr>
            <w:tcW w:w="576" w:type="dxa"/>
            <w:tcBorders>
              <w:top w:val="single" w:sz="4" w:space="0" w:color="auto"/>
              <w:left w:val="nil"/>
              <w:bottom w:val="nil"/>
              <w:right w:val="nil"/>
            </w:tcBorders>
            <w:shd w:val="clear" w:color="auto" w:fill="auto"/>
            <w:noWrap/>
            <w:vAlign w:val="bottom"/>
            <w:hideMark/>
          </w:tcPr>
          <w:p w14:paraId="7D8A555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14</w:t>
            </w:r>
          </w:p>
        </w:tc>
        <w:tc>
          <w:tcPr>
            <w:tcW w:w="576" w:type="dxa"/>
            <w:tcBorders>
              <w:top w:val="single" w:sz="4" w:space="0" w:color="auto"/>
              <w:left w:val="nil"/>
              <w:bottom w:val="nil"/>
              <w:right w:val="nil"/>
            </w:tcBorders>
            <w:shd w:val="clear" w:color="auto" w:fill="auto"/>
            <w:noWrap/>
            <w:vAlign w:val="bottom"/>
            <w:hideMark/>
          </w:tcPr>
          <w:p w14:paraId="3EF90E1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19</w:t>
            </w:r>
          </w:p>
        </w:tc>
        <w:tc>
          <w:tcPr>
            <w:tcW w:w="576" w:type="dxa"/>
            <w:tcBorders>
              <w:top w:val="single" w:sz="4" w:space="0" w:color="auto"/>
              <w:left w:val="nil"/>
              <w:bottom w:val="nil"/>
              <w:right w:val="nil"/>
            </w:tcBorders>
            <w:shd w:val="clear" w:color="auto" w:fill="auto"/>
            <w:noWrap/>
            <w:vAlign w:val="bottom"/>
            <w:hideMark/>
          </w:tcPr>
          <w:p w14:paraId="739EBC1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25</w:t>
            </w:r>
          </w:p>
        </w:tc>
        <w:tc>
          <w:tcPr>
            <w:tcW w:w="576" w:type="dxa"/>
            <w:tcBorders>
              <w:top w:val="single" w:sz="4" w:space="0" w:color="auto"/>
              <w:left w:val="nil"/>
              <w:bottom w:val="nil"/>
              <w:right w:val="nil"/>
            </w:tcBorders>
            <w:shd w:val="clear" w:color="auto" w:fill="auto"/>
            <w:noWrap/>
            <w:vAlign w:val="bottom"/>
            <w:hideMark/>
          </w:tcPr>
          <w:p w14:paraId="2BA34EA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42</w:t>
            </w:r>
          </w:p>
        </w:tc>
        <w:tc>
          <w:tcPr>
            <w:tcW w:w="576" w:type="dxa"/>
            <w:tcBorders>
              <w:top w:val="single" w:sz="4" w:space="0" w:color="auto"/>
              <w:left w:val="nil"/>
              <w:bottom w:val="nil"/>
              <w:right w:val="nil"/>
            </w:tcBorders>
            <w:shd w:val="clear" w:color="auto" w:fill="auto"/>
            <w:noWrap/>
            <w:vAlign w:val="bottom"/>
            <w:hideMark/>
          </w:tcPr>
          <w:p w14:paraId="330CED1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63</w:t>
            </w:r>
          </w:p>
        </w:tc>
      </w:tr>
      <w:tr w:rsidR="006258EE" w:rsidRPr="00053D06" w14:paraId="48A35A64"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3BE2F618"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0D07D56E"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P.arachnifera</w:t>
            </w:r>
          </w:p>
        </w:tc>
        <w:tc>
          <w:tcPr>
            <w:tcW w:w="576" w:type="dxa"/>
            <w:tcBorders>
              <w:top w:val="nil"/>
              <w:left w:val="nil"/>
              <w:bottom w:val="nil"/>
              <w:right w:val="nil"/>
            </w:tcBorders>
            <w:shd w:val="clear" w:color="auto" w:fill="auto"/>
            <w:noWrap/>
            <w:vAlign w:val="bottom"/>
            <w:hideMark/>
          </w:tcPr>
          <w:p w14:paraId="0093A73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14</w:t>
            </w:r>
          </w:p>
        </w:tc>
        <w:tc>
          <w:tcPr>
            <w:tcW w:w="576" w:type="dxa"/>
            <w:tcBorders>
              <w:top w:val="nil"/>
              <w:left w:val="nil"/>
              <w:bottom w:val="nil"/>
              <w:right w:val="nil"/>
            </w:tcBorders>
            <w:shd w:val="clear" w:color="auto" w:fill="auto"/>
            <w:noWrap/>
            <w:vAlign w:val="bottom"/>
            <w:hideMark/>
          </w:tcPr>
          <w:p w14:paraId="3B82C30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29</w:t>
            </w:r>
          </w:p>
        </w:tc>
        <w:tc>
          <w:tcPr>
            <w:tcW w:w="576" w:type="dxa"/>
            <w:tcBorders>
              <w:top w:val="nil"/>
              <w:left w:val="nil"/>
              <w:bottom w:val="nil"/>
              <w:right w:val="nil"/>
            </w:tcBorders>
            <w:shd w:val="clear" w:color="auto" w:fill="auto"/>
            <w:noWrap/>
            <w:vAlign w:val="bottom"/>
            <w:hideMark/>
          </w:tcPr>
          <w:p w14:paraId="2281639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48</w:t>
            </w:r>
          </w:p>
        </w:tc>
        <w:tc>
          <w:tcPr>
            <w:tcW w:w="576" w:type="dxa"/>
            <w:tcBorders>
              <w:top w:val="nil"/>
              <w:left w:val="nil"/>
              <w:bottom w:val="nil"/>
              <w:right w:val="nil"/>
            </w:tcBorders>
            <w:shd w:val="clear" w:color="auto" w:fill="auto"/>
            <w:noWrap/>
            <w:vAlign w:val="bottom"/>
            <w:hideMark/>
          </w:tcPr>
          <w:p w14:paraId="58D5D6E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57</w:t>
            </w:r>
          </w:p>
        </w:tc>
        <w:tc>
          <w:tcPr>
            <w:tcW w:w="587" w:type="dxa"/>
            <w:tcBorders>
              <w:top w:val="nil"/>
              <w:left w:val="nil"/>
              <w:bottom w:val="nil"/>
              <w:right w:val="nil"/>
            </w:tcBorders>
            <w:shd w:val="clear" w:color="auto" w:fill="auto"/>
            <w:noWrap/>
            <w:vAlign w:val="bottom"/>
            <w:hideMark/>
          </w:tcPr>
          <w:p w14:paraId="1EA1D68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69</w:t>
            </w:r>
          </w:p>
        </w:tc>
        <w:tc>
          <w:tcPr>
            <w:tcW w:w="576" w:type="dxa"/>
            <w:tcBorders>
              <w:top w:val="nil"/>
              <w:left w:val="nil"/>
              <w:bottom w:val="nil"/>
              <w:right w:val="nil"/>
            </w:tcBorders>
            <w:shd w:val="clear" w:color="auto" w:fill="auto"/>
            <w:noWrap/>
            <w:vAlign w:val="bottom"/>
            <w:hideMark/>
          </w:tcPr>
          <w:p w14:paraId="41AFA98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44</w:t>
            </w:r>
          </w:p>
        </w:tc>
        <w:tc>
          <w:tcPr>
            <w:tcW w:w="610" w:type="dxa"/>
            <w:tcBorders>
              <w:top w:val="nil"/>
              <w:left w:val="nil"/>
              <w:bottom w:val="nil"/>
              <w:right w:val="nil"/>
            </w:tcBorders>
            <w:shd w:val="clear" w:color="auto" w:fill="auto"/>
            <w:noWrap/>
            <w:vAlign w:val="bottom"/>
            <w:hideMark/>
          </w:tcPr>
          <w:p w14:paraId="0B07412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30</w:t>
            </w:r>
          </w:p>
        </w:tc>
        <w:tc>
          <w:tcPr>
            <w:tcW w:w="576" w:type="dxa"/>
            <w:tcBorders>
              <w:top w:val="nil"/>
              <w:left w:val="nil"/>
              <w:bottom w:val="nil"/>
              <w:right w:val="nil"/>
            </w:tcBorders>
            <w:shd w:val="clear" w:color="auto" w:fill="auto"/>
            <w:noWrap/>
            <w:vAlign w:val="bottom"/>
            <w:hideMark/>
          </w:tcPr>
          <w:p w14:paraId="305BA6A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30</w:t>
            </w:r>
          </w:p>
        </w:tc>
        <w:tc>
          <w:tcPr>
            <w:tcW w:w="576" w:type="dxa"/>
            <w:tcBorders>
              <w:top w:val="nil"/>
              <w:left w:val="nil"/>
              <w:bottom w:val="nil"/>
              <w:right w:val="nil"/>
            </w:tcBorders>
            <w:shd w:val="clear" w:color="auto" w:fill="auto"/>
            <w:noWrap/>
            <w:vAlign w:val="bottom"/>
            <w:hideMark/>
          </w:tcPr>
          <w:p w14:paraId="4715FA1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41</w:t>
            </w:r>
          </w:p>
        </w:tc>
        <w:tc>
          <w:tcPr>
            <w:tcW w:w="576" w:type="dxa"/>
            <w:tcBorders>
              <w:top w:val="nil"/>
              <w:left w:val="nil"/>
              <w:bottom w:val="nil"/>
              <w:right w:val="nil"/>
            </w:tcBorders>
            <w:shd w:val="clear" w:color="auto" w:fill="auto"/>
            <w:noWrap/>
            <w:vAlign w:val="bottom"/>
            <w:hideMark/>
          </w:tcPr>
          <w:p w14:paraId="3128038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34</w:t>
            </w:r>
          </w:p>
        </w:tc>
        <w:tc>
          <w:tcPr>
            <w:tcW w:w="576" w:type="dxa"/>
            <w:tcBorders>
              <w:top w:val="nil"/>
              <w:left w:val="nil"/>
              <w:bottom w:val="nil"/>
              <w:right w:val="nil"/>
            </w:tcBorders>
            <w:shd w:val="clear" w:color="auto" w:fill="auto"/>
            <w:noWrap/>
            <w:vAlign w:val="bottom"/>
            <w:hideMark/>
          </w:tcPr>
          <w:p w14:paraId="671BE3E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67</w:t>
            </w:r>
          </w:p>
        </w:tc>
        <w:tc>
          <w:tcPr>
            <w:tcW w:w="576" w:type="dxa"/>
            <w:tcBorders>
              <w:top w:val="nil"/>
              <w:left w:val="nil"/>
              <w:bottom w:val="nil"/>
              <w:right w:val="nil"/>
            </w:tcBorders>
            <w:shd w:val="clear" w:color="auto" w:fill="auto"/>
            <w:noWrap/>
            <w:vAlign w:val="bottom"/>
            <w:hideMark/>
          </w:tcPr>
          <w:p w14:paraId="3401EB0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88</w:t>
            </w:r>
          </w:p>
        </w:tc>
      </w:tr>
      <w:tr w:rsidR="006258EE" w:rsidRPr="00053D06" w14:paraId="72421BFC"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3DCF9428"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5F739699"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arida</w:t>
            </w:r>
          </w:p>
        </w:tc>
        <w:tc>
          <w:tcPr>
            <w:tcW w:w="576" w:type="dxa"/>
            <w:tcBorders>
              <w:top w:val="nil"/>
              <w:left w:val="nil"/>
              <w:bottom w:val="nil"/>
              <w:right w:val="nil"/>
            </w:tcBorders>
            <w:shd w:val="clear" w:color="auto" w:fill="auto"/>
            <w:noWrap/>
            <w:vAlign w:val="bottom"/>
            <w:hideMark/>
          </w:tcPr>
          <w:p w14:paraId="7065642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13</w:t>
            </w:r>
          </w:p>
        </w:tc>
        <w:tc>
          <w:tcPr>
            <w:tcW w:w="576" w:type="dxa"/>
            <w:tcBorders>
              <w:top w:val="nil"/>
              <w:left w:val="nil"/>
              <w:bottom w:val="nil"/>
              <w:right w:val="nil"/>
            </w:tcBorders>
            <w:shd w:val="clear" w:color="auto" w:fill="auto"/>
            <w:noWrap/>
            <w:vAlign w:val="bottom"/>
            <w:hideMark/>
          </w:tcPr>
          <w:p w14:paraId="7CBF9CE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27</w:t>
            </w:r>
          </w:p>
        </w:tc>
        <w:tc>
          <w:tcPr>
            <w:tcW w:w="576" w:type="dxa"/>
            <w:tcBorders>
              <w:top w:val="nil"/>
              <w:left w:val="nil"/>
              <w:bottom w:val="nil"/>
              <w:right w:val="nil"/>
            </w:tcBorders>
            <w:shd w:val="clear" w:color="auto" w:fill="auto"/>
            <w:noWrap/>
            <w:vAlign w:val="bottom"/>
            <w:hideMark/>
          </w:tcPr>
          <w:p w14:paraId="5DF261D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39</w:t>
            </w:r>
          </w:p>
        </w:tc>
        <w:tc>
          <w:tcPr>
            <w:tcW w:w="576" w:type="dxa"/>
            <w:tcBorders>
              <w:top w:val="nil"/>
              <w:left w:val="nil"/>
              <w:bottom w:val="nil"/>
              <w:right w:val="nil"/>
            </w:tcBorders>
            <w:shd w:val="clear" w:color="auto" w:fill="auto"/>
            <w:noWrap/>
            <w:vAlign w:val="bottom"/>
            <w:hideMark/>
          </w:tcPr>
          <w:p w14:paraId="36A069E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41</w:t>
            </w:r>
          </w:p>
        </w:tc>
        <w:tc>
          <w:tcPr>
            <w:tcW w:w="587" w:type="dxa"/>
            <w:tcBorders>
              <w:top w:val="nil"/>
              <w:left w:val="nil"/>
              <w:bottom w:val="nil"/>
              <w:right w:val="nil"/>
            </w:tcBorders>
            <w:shd w:val="clear" w:color="auto" w:fill="auto"/>
            <w:noWrap/>
            <w:vAlign w:val="bottom"/>
            <w:hideMark/>
          </w:tcPr>
          <w:p w14:paraId="430C3D0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65</w:t>
            </w:r>
          </w:p>
        </w:tc>
        <w:tc>
          <w:tcPr>
            <w:tcW w:w="576" w:type="dxa"/>
            <w:tcBorders>
              <w:top w:val="nil"/>
              <w:left w:val="nil"/>
              <w:bottom w:val="nil"/>
              <w:right w:val="nil"/>
            </w:tcBorders>
            <w:shd w:val="clear" w:color="auto" w:fill="auto"/>
            <w:noWrap/>
            <w:vAlign w:val="bottom"/>
            <w:hideMark/>
          </w:tcPr>
          <w:p w14:paraId="478E1B8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43</w:t>
            </w:r>
          </w:p>
        </w:tc>
        <w:tc>
          <w:tcPr>
            <w:tcW w:w="610" w:type="dxa"/>
            <w:tcBorders>
              <w:top w:val="nil"/>
              <w:left w:val="nil"/>
              <w:bottom w:val="nil"/>
              <w:right w:val="nil"/>
            </w:tcBorders>
            <w:shd w:val="clear" w:color="auto" w:fill="auto"/>
            <w:noWrap/>
            <w:vAlign w:val="bottom"/>
            <w:hideMark/>
          </w:tcPr>
          <w:p w14:paraId="31C29F5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35</w:t>
            </w:r>
          </w:p>
        </w:tc>
        <w:tc>
          <w:tcPr>
            <w:tcW w:w="576" w:type="dxa"/>
            <w:tcBorders>
              <w:top w:val="nil"/>
              <w:left w:val="nil"/>
              <w:bottom w:val="nil"/>
              <w:right w:val="nil"/>
            </w:tcBorders>
            <w:shd w:val="clear" w:color="auto" w:fill="auto"/>
            <w:noWrap/>
            <w:vAlign w:val="bottom"/>
            <w:hideMark/>
          </w:tcPr>
          <w:p w14:paraId="1266FD1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35</w:t>
            </w:r>
          </w:p>
        </w:tc>
        <w:tc>
          <w:tcPr>
            <w:tcW w:w="576" w:type="dxa"/>
            <w:tcBorders>
              <w:top w:val="nil"/>
              <w:left w:val="nil"/>
              <w:bottom w:val="nil"/>
              <w:right w:val="nil"/>
            </w:tcBorders>
            <w:shd w:val="clear" w:color="auto" w:fill="auto"/>
            <w:noWrap/>
            <w:vAlign w:val="bottom"/>
            <w:hideMark/>
          </w:tcPr>
          <w:p w14:paraId="1408D95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43</w:t>
            </w:r>
          </w:p>
        </w:tc>
        <w:tc>
          <w:tcPr>
            <w:tcW w:w="576" w:type="dxa"/>
            <w:tcBorders>
              <w:top w:val="nil"/>
              <w:left w:val="nil"/>
              <w:bottom w:val="nil"/>
              <w:right w:val="nil"/>
            </w:tcBorders>
            <w:shd w:val="clear" w:color="auto" w:fill="auto"/>
            <w:noWrap/>
            <w:vAlign w:val="bottom"/>
            <w:hideMark/>
          </w:tcPr>
          <w:p w14:paraId="3287957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43</w:t>
            </w:r>
          </w:p>
        </w:tc>
        <w:tc>
          <w:tcPr>
            <w:tcW w:w="576" w:type="dxa"/>
            <w:tcBorders>
              <w:top w:val="nil"/>
              <w:left w:val="nil"/>
              <w:bottom w:val="nil"/>
              <w:right w:val="nil"/>
            </w:tcBorders>
            <w:shd w:val="clear" w:color="auto" w:fill="auto"/>
            <w:noWrap/>
            <w:vAlign w:val="bottom"/>
            <w:hideMark/>
          </w:tcPr>
          <w:p w14:paraId="167E819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70</w:t>
            </w:r>
          </w:p>
        </w:tc>
        <w:tc>
          <w:tcPr>
            <w:tcW w:w="576" w:type="dxa"/>
            <w:tcBorders>
              <w:top w:val="nil"/>
              <w:left w:val="nil"/>
              <w:bottom w:val="nil"/>
              <w:right w:val="nil"/>
            </w:tcBorders>
            <w:shd w:val="clear" w:color="auto" w:fill="auto"/>
            <w:noWrap/>
            <w:vAlign w:val="bottom"/>
            <w:hideMark/>
          </w:tcPr>
          <w:p w14:paraId="0E3DC1D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87</w:t>
            </w:r>
          </w:p>
        </w:tc>
      </w:tr>
      <w:tr w:rsidR="006258EE" w:rsidRPr="00053D06" w14:paraId="64705730"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6D388C4E"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2D6B6C9F"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compressa</w:t>
            </w:r>
          </w:p>
        </w:tc>
        <w:tc>
          <w:tcPr>
            <w:tcW w:w="576" w:type="dxa"/>
            <w:tcBorders>
              <w:top w:val="nil"/>
              <w:left w:val="nil"/>
              <w:bottom w:val="nil"/>
              <w:right w:val="nil"/>
            </w:tcBorders>
            <w:shd w:val="clear" w:color="auto" w:fill="auto"/>
            <w:noWrap/>
            <w:vAlign w:val="bottom"/>
            <w:hideMark/>
          </w:tcPr>
          <w:p w14:paraId="0D32D2F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19</w:t>
            </w:r>
          </w:p>
        </w:tc>
        <w:tc>
          <w:tcPr>
            <w:tcW w:w="576" w:type="dxa"/>
            <w:tcBorders>
              <w:top w:val="nil"/>
              <w:left w:val="nil"/>
              <w:bottom w:val="nil"/>
              <w:right w:val="nil"/>
            </w:tcBorders>
            <w:shd w:val="clear" w:color="auto" w:fill="auto"/>
            <w:noWrap/>
            <w:vAlign w:val="bottom"/>
            <w:hideMark/>
          </w:tcPr>
          <w:p w14:paraId="71D471A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40</w:t>
            </w:r>
          </w:p>
        </w:tc>
        <w:tc>
          <w:tcPr>
            <w:tcW w:w="576" w:type="dxa"/>
            <w:tcBorders>
              <w:top w:val="nil"/>
              <w:left w:val="nil"/>
              <w:bottom w:val="nil"/>
              <w:right w:val="nil"/>
            </w:tcBorders>
            <w:shd w:val="clear" w:color="auto" w:fill="auto"/>
            <w:noWrap/>
            <w:vAlign w:val="bottom"/>
            <w:hideMark/>
          </w:tcPr>
          <w:p w14:paraId="7E19BDC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60</w:t>
            </w:r>
          </w:p>
        </w:tc>
        <w:tc>
          <w:tcPr>
            <w:tcW w:w="576" w:type="dxa"/>
            <w:tcBorders>
              <w:top w:val="nil"/>
              <w:left w:val="nil"/>
              <w:bottom w:val="nil"/>
              <w:right w:val="nil"/>
            </w:tcBorders>
            <w:shd w:val="clear" w:color="auto" w:fill="auto"/>
            <w:noWrap/>
            <w:vAlign w:val="bottom"/>
            <w:hideMark/>
          </w:tcPr>
          <w:p w14:paraId="3C937E7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68</w:t>
            </w:r>
          </w:p>
        </w:tc>
        <w:tc>
          <w:tcPr>
            <w:tcW w:w="587" w:type="dxa"/>
            <w:tcBorders>
              <w:top w:val="nil"/>
              <w:left w:val="nil"/>
              <w:bottom w:val="nil"/>
              <w:right w:val="nil"/>
            </w:tcBorders>
            <w:shd w:val="clear" w:color="auto" w:fill="auto"/>
            <w:noWrap/>
            <w:vAlign w:val="bottom"/>
            <w:hideMark/>
          </w:tcPr>
          <w:p w14:paraId="0166C9F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86</w:t>
            </w:r>
          </w:p>
        </w:tc>
        <w:tc>
          <w:tcPr>
            <w:tcW w:w="576" w:type="dxa"/>
            <w:tcBorders>
              <w:top w:val="nil"/>
              <w:left w:val="nil"/>
              <w:bottom w:val="nil"/>
              <w:right w:val="nil"/>
            </w:tcBorders>
            <w:shd w:val="clear" w:color="auto" w:fill="auto"/>
            <w:noWrap/>
            <w:vAlign w:val="bottom"/>
            <w:hideMark/>
          </w:tcPr>
          <w:p w14:paraId="5F5DAC9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95</w:t>
            </w:r>
          </w:p>
        </w:tc>
        <w:tc>
          <w:tcPr>
            <w:tcW w:w="610" w:type="dxa"/>
            <w:tcBorders>
              <w:top w:val="nil"/>
              <w:left w:val="nil"/>
              <w:bottom w:val="nil"/>
              <w:right w:val="nil"/>
            </w:tcBorders>
            <w:shd w:val="clear" w:color="auto" w:fill="auto"/>
            <w:noWrap/>
            <w:vAlign w:val="bottom"/>
            <w:hideMark/>
          </w:tcPr>
          <w:p w14:paraId="27B303B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60</w:t>
            </w:r>
          </w:p>
        </w:tc>
        <w:tc>
          <w:tcPr>
            <w:tcW w:w="576" w:type="dxa"/>
            <w:tcBorders>
              <w:top w:val="nil"/>
              <w:left w:val="nil"/>
              <w:bottom w:val="nil"/>
              <w:right w:val="nil"/>
            </w:tcBorders>
            <w:shd w:val="clear" w:color="auto" w:fill="auto"/>
            <w:noWrap/>
            <w:vAlign w:val="bottom"/>
            <w:hideMark/>
          </w:tcPr>
          <w:p w14:paraId="19A3114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51</w:t>
            </w:r>
          </w:p>
        </w:tc>
        <w:tc>
          <w:tcPr>
            <w:tcW w:w="576" w:type="dxa"/>
            <w:tcBorders>
              <w:top w:val="nil"/>
              <w:left w:val="nil"/>
              <w:bottom w:val="nil"/>
              <w:right w:val="nil"/>
            </w:tcBorders>
            <w:shd w:val="clear" w:color="auto" w:fill="auto"/>
            <w:noWrap/>
            <w:vAlign w:val="bottom"/>
            <w:hideMark/>
          </w:tcPr>
          <w:p w14:paraId="1FDB6DD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54</w:t>
            </w:r>
          </w:p>
        </w:tc>
        <w:tc>
          <w:tcPr>
            <w:tcW w:w="576" w:type="dxa"/>
            <w:tcBorders>
              <w:top w:val="nil"/>
              <w:left w:val="nil"/>
              <w:bottom w:val="nil"/>
              <w:right w:val="nil"/>
            </w:tcBorders>
            <w:shd w:val="clear" w:color="auto" w:fill="auto"/>
            <w:noWrap/>
            <w:vAlign w:val="bottom"/>
            <w:hideMark/>
          </w:tcPr>
          <w:p w14:paraId="4010E9A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71</w:t>
            </w:r>
          </w:p>
        </w:tc>
        <w:tc>
          <w:tcPr>
            <w:tcW w:w="576" w:type="dxa"/>
            <w:tcBorders>
              <w:top w:val="nil"/>
              <w:left w:val="nil"/>
              <w:bottom w:val="nil"/>
              <w:right w:val="nil"/>
            </w:tcBorders>
            <w:shd w:val="clear" w:color="auto" w:fill="auto"/>
            <w:noWrap/>
            <w:vAlign w:val="bottom"/>
            <w:hideMark/>
          </w:tcPr>
          <w:p w14:paraId="63DFA53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54</w:t>
            </w:r>
          </w:p>
        </w:tc>
        <w:tc>
          <w:tcPr>
            <w:tcW w:w="576" w:type="dxa"/>
            <w:tcBorders>
              <w:top w:val="nil"/>
              <w:left w:val="nil"/>
              <w:bottom w:val="nil"/>
              <w:right w:val="nil"/>
            </w:tcBorders>
            <w:shd w:val="clear" w:color="auto" w:fill="auto"/>
            <w:noWrap/>
            <w:vAlign w:val="bottom"/>
            <w:hideMark/>
          </w:tcPr>
          <w:p w14:paraId="15D340F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96</w:t>
            </w:r>
          </w:p>
        </w:tc>
      </w:tr>
      <w:tr w:rsidR="006258EE" w:rsidRPr="00053D06" w14:paraId="7626A439"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44CDB842"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2322A46E"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maniototo</w:t>
            </w:r>
          </w:p>
        </w:tc>
        <w:tc>
          <w:tcPr>
            <w:tcW w:w="576" w:type="dxa"/>
            <w:tcBorders>
              <w:top w:val="nil"/>
              <w:left w:val="nil"/>
              <w:bottom w:val="nil"/>
              <w:right w:val="nil"/>
            </w:tcBorders>
            <w:shd w:val="clear" w:color="auto" w:fill="auto"/>
            <w:noWrap/>
            <w:vAlign w:val="bottom"/>
            <w:hideMark/>
          </w:tcPr>
          <w:p w14:paraId="030ACB6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19</w:t>
            </w:r>
          </w:p>
        </w:tc>
        <w:tc>
          <w:tcPr>
            <w:tcW w:w="576" w:type="dxa"/>
            <w:tcBorders>
              <w:top w:val="nil"/>
              <w:left w:val="nil"/>
              <w:bottom w:val="nil"/>
              <w:right w:val="nil"/>
            </w:tcBorders>
            <w:shd w:val="clear" w:color="auto" w:fill="auto"/>
            <w:noWrap/>
            <w:vAlign w:val="bottom"/>
            <w:hideMark/>
          </w:tcPr>
          <w:p w14:paraId="502923A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38</w:t>
            </w:r>
          </w:p>
        </w:tc>
        <w:tc>
          <w:tcPr>
            <w:tcW w:w="576" w:type="dxa"/>
            <w:tcBorders>
              <w:top w:val="nil"/>
              <w:left w:val="nil"/>
              <w:bottom w:val="nil"/>
              <w:right w:val="nil"/>
            </w:tcBorders>
            <w:shd w:val="clear" w:color="auto" w:fill="auto"/>
            <w:noWrap/>
            <w:vAlign w:val="bottom"/>
            <w:hideMark/>
          </w:tcPr>
          <w:p w14:paraId="5549883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43</w:t>
            </w:r>
          </w:p>
        </w:tc>
        <w:tc>
          <w:tcPr>
            <w:tcW w:w="576" w:type="dxa"/>
            <w:tcBorders>
              <w:top w:val="nil"/>
              <w:left w:val="nil"/>
              <w:bottom w:val="nil"/>
              <w:right w:val="nil"/>
            </w:tcBorders>
            <w:shd w:val="clear" w:color="auto" w:fill="auto"/>
            <w:noWrap/>
            <w:vAlign w:val="bottom"/>
            <w:hideMark/>
          </w:tcPr>
          <w:p w14:paraId="00FBD94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44</w:t>
            </w:r>
          </w:p>
        </w:tc>
        <w:tc>
          <w:tcPr>
            <w:tcW w:w="587" w:type="dxa"/>
            <w:tcBorders>
              <w:top w:val="nil"/>
              <w:left w:val="nil"/>
              <w:bottom w:val="nil"/>
              <w:right w:val="nil"/>
            </w:tcBorders>
            <w:shd w:val="clear" w:color="auto" w:fill="auto"/>
            <w:noWrap/>
            <w:vAlign w:val="bottom"/>
            <w:hideMark/>
          </w:tcPr>
          <w:p w14:paraId="58CB928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73</w:t>
            </w:r>
          </w:p>
        </w:tc>
        <w:tc>
          <w:tcPr>
            <w:tcW w:w="576" w:type="dxa"/>
            <w:tcBorders>
              <w:top w:val="nil"/>
              <w:left w:val="nil"/>
              <w:bottom w:val="nil"/>
              <w:right w:val="nil"/>
            </w:tcBorders>
            <w:shd w:val="clear" w:color="auto" w:fill="auto"/>
            <w:noWrap/>
            <w:vAlign w:val="bottom"/>
            <w:hideMark/>
          </w:tcPr>
          <w:p w14:paraId="14C1D43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89</w:t>
            </w:r>
          </w:p>
        </w:tc>
        <w:tc>
          <w:tcPr>
            <w:tcW w:w="610" w:type="dxa"/>
            <w:tcBorders>
              <w:top w:val="nil"/>
              <w:left w:val="nil"/>
              <w:bottom w:val="nil"/>
              <w:right w:val="nil"/>
            </w:tcBorders>
            <w:shd w:val="clear" w:color="auto" w:fill="auto"/>
            <w:noWrap/>
            <w:vAlign w:val="bottom"/>
            <w:hideMark/>
          </w:tcPr>
          <w:p w14:paraId="6AF6E84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89</w:t>
            </w:r>
          </w:p>
        </w:tc>
        <w:tc>
          <w:tcPr>
            <w:tcW w:w="576" w:type="dxa"/>
            <w:tcBorders>
              <w:top w:val="nil"/>
              <w:left w:val="nil"/>
              <w:bottom w:val="nil"/>
              <w:right w:val="nil"/>
            </w:tcBorders>
            <w:shd w:val="clear" w:color="auto" w:fill="auto"/>
            <w:noWrap/>
            <w:vAlign w:val="bottom"/>
            <w:hideMark/>
          </w:tcPr>
          <w:p w14:paraId="1D3971F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95</w:t>
            </w:r>
          </w:p>
        </w:tc>
        <w:tc>
          <w:tcPr>
            <w:tcW w:w="576" w:type="dxa"/>
            <w:tcBorders>
              <w:top w:val="nil"/>
              <w:left w:val="nil"/>
              <w:bottom w:val="nil"/>
              <w:right w:val="nil"/>
            </w:tcBorders>
            <w:shd w:val="clear" w:color="auto" w:fill="auto"/>
            <w:noWrap/>
            <w:vAlign w:val="bottom"/>
            <w:hideMark/>
          </w:tcPr>
          <w:p w14:paraId="3FD4DA2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99</w:t>
            </w:r>
          </w:p>
        </w:tc>
        <w:tc>
          <w:tcPr>
            <w:tcW w:w="576" w:type="dxa"/>
            <w:tcBorders>
              <w:top w:val="nil"/>
              <w:left w:val="nil"/>
              <w:bottom w:val="nil"/>
              <w:right w:val="nil"/>
            </w:tcBorders>
            <w:shd w:val="clear" w:color="auto" w:fill="auto"/>
            <w:noWrap/>
            <w:vAlign w:val="bottom"/>
            <w:hideMark/>
          </w:tcPr>
          <w:p w14:paraId="63C10AF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95</w:t>
            </w:r>
          </w:p>
        </w:tc>
        <w:tc>
          <w:tcPr>
            <w:tcW w:w="576" w:type="dxa"/>
            <w:tcBorders>
              <w:top w:val="nil"/>
              <w:left w:val="nil"/>
              <w:bottom w:val="nil"/>
              <w:right w:val="nil"/>
            </w:tcBorders>
            <w:shd w:val="clear" w:color="auto" w:fill="auto"/>
            <w:noWrap/>
            <w:vAlign w:val="bottom"/>
            <w:hideMark/>
          </w:tcPr>
          <w:p w14:paraId="7FCD890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92</w:t>
            </w:r>
          </w:p>
        </w:tc>
        <w:tc>
          <w:tcPr>
            <w:tcW w:w="576" w:type="dxa"/>
            <w:tcBorders>
              <w:top w:val="nil"/>
              <w:left w:val="nil"/>
              <w:bottom w:val="nil"/>
              <w:right w:val="nil"/>
            </w:tcBorders>
            <w:shd w:val="clear" w:color="auto" w:fill="auto"/>
            <w:noWrap/>
            <w:vAlign w:val="bottom"/>
            <w:hideMark/>
          </w:tcPr>
          <w:p w14:paraId="0B0FBF3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98</w:t>
            </w:r>
          </w:p>
        </w:tc>
      </w:tr>
      <w:tr w:rsidR="006258EE" w:rsidRPr="00053D06" w14:paraId="1A6E469C"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43770E5A"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496E5F0C"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nervosa</w:t>
            </w:r>
          </w:p>
        </w:tc>
        <w:tc>
          <w:tcPr>
            <w:tcW w:w="576" w:type="dxa"/>
            <w:tcBorders>
              <w:top w:val="nil"/>
              <w:left w:val="nil"/>
              <w:bottom w:val="nil"/>
              <w:right w:val="nil"/>
            </w:tcBorders>
            <w:shd w:val="clear" w:color="auto" w:fill="auto"/>
            <w:noWrap/>
            <w:vAlign w:val="bottom"/>
            <w:hideMark/>
          </w:tcPr>
          <w:p w14:paraId="2A412CB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14</w:t>
            </w:r>
          </w:p>
        </w:tc>
        <w:tc>
          <w:tcPr>
            <w:tcW w:w="576" w:type="dxa"/>
            <w:tcBorders>
              <w:top w:val="nil"/>
              <w:left w:val="nil"/>
              <w:bottom w:val="nil"/>
              <w:right w:val="nil"/>
            </w:tcBorders>
            <w:shd w:val="clear" w:color="auto" w:fill="auto"/>
            <w:noWrap/>
            <w:vAlign w:val="bottom"/>
            <w:hideMark/>
          </w:tcPr>
          <w:p w14:paraId="215D752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28</w:t>
            </w:r>
          </w:p>
        </w:tc>
        <w:tc>
          <w:tcPr>
            <w:tcW w:w="576" w:type="dxa"/>
            <w:tcBorders>
              <w:top w:val="nil"/>
              <w:left w:val="nil"/>
              <w:bottom w:val="nil"/>
              <w:right w:val="nil"/>
            </w:tcBorders>
            <w:shd w:val="clear" w:color="auto" w:fill="auto"/>
            <w:noWrap/>
            <w:vAlign w:val="bottom"/>
            <w:hideMark/>
          </w:tcPr>
          <w:p w14:paraId="1962FDC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44</w:t>
            </w:r>
          </w:p>
        </w:tc>
        <w:tc>
          <w:tcPr>
            <w:tcW w:w="576" w:type="dxa"/>
            <w:tcBorders>
              <w:top w:val="nil"/>
              <w:left w:val="nil"/>
              <w:bottom w:val="nil"/>
              <w:right w:val="nil"/>
            </w:tcBorders>
            <w:shd w:val="clear" w:color="auto" w:fill="auto"/>
            <w:noWrap/>
            <w:vAlign w:val="bottom"/>
            <w:hideMark/>
          </w:tcPr>
          <w:p w14:paraId="05AE9B2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40</w:t>
            </w:r>
          </w:p>
        </w:tc>
        <w:tc>
          <w:tcPr>
            <w:tcW w:w="587" w:type="dxa"/>
            <w:tcBorders>
              <w:top w:val="nil"/>
              <w:left w:val="nil"/>
              <w:bottom w:val="nil"/>
              <w:right w:val="nil"/>
            </w:tcBorders>
            <w:shd w:val="clear" w:color="auto" w:fill="auto"/>
            <w:noWrap/>
            <w:vAlign w:val="bottom"/>
            <w:hideMark/>
          </w:tcPr>
          <w:p w14:paraId="168200A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55</w:t>
            </w:r>
          </w:p>
        </w:tc>
        <w:tc>
          <w:tcPr>
            <w:tcW w:w="576" w:type="dxa"/>
            <w:tcBorders>
              <w:top w:val="nil"/>
              <w:left w:val="nil"/>
              <w:bottom w:val="nil"/>
              <w:right w:val="nil"/>
            </w:tcBorders>
            <w:shd w:val="clear" w:color="auto" w:fill="auto"/>
            <w:noWrap/>
            <w:vAlign w:val="bottom"/>
            <w:hideMark/>
          </w:tcPr>
          <w:p w14:paraId="1460D5D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w:t>
            </w:r>
          </w:p>
        </w:tc>
        <w:tc>
          <w:tcPr>
            <w:tcW w:w="610" w:type="dxa"/>
            <w:tcBorders>
              <w:top w:val="nil"/>
              <w:left w:val="nil"/>
              <w:bottom w:val="nil"/>
              <w:right w:val="nil"/>
            </w:tcBorders>
            <w:shd w:val="clear" w:color="auto" w:fill="auto"/>
            <w:noWrap/>
            <w:vAlign w:val="bottom"/>
            <w:hideMark/>
          </w:tcPr>
          <w:p w14:paraId="61F7C57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c>
          <w:tcPr>
            <w:tcW w:w="576" w:type="dxa"/>
            <w:tcBorders>
              <w:top w:val="nil"/>
              <w:left w:val="nil"/>
              <w:bottom w:val="nil"/>
              <w:right w:val="nil"/>
            </w:tcBorders>
            <w:shd w:val="clear" w:color="auto" w:fill="auto"/>
            <w:noWrap/>
            <w:vAlign w:val="bottom"/>
            <w:hideMark/>
          </w:tcPr>
          <w:p w14:paraId="79600AF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w:t>
            </w:r>
          </w:p>
        </w:tc>
        <w:tc>
          <w:tcPr>
            <w:tcW w:w="576" w:type="dxa"/>
            <w:tcBorders>
              <w:top w:val="nil"/>
              <w:left w:val="nil"/>
              <w:bottom w:val="nil"/>
              <w:right w:val="nil"/>
            </w:tcBorders>
            <w:shd w:val="clear" w:color="auto" w:fill="auto"/>
            <w:noWrap/>
            <w:vAlign w:val="bottom"/>
            <w:hideMark/>
          </w:tcPr>
          <w:p w14:paraId="7491E5F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w:t>
            </w:r>
          </w:p>
        </w:tc>
        <w:tc>
          <w:tcPr>
            <w:tcW w:w="576" w:type="dxa"/>
            <w:tcBorders>
              <w:top w:val="nil"/>
              <w:left w:val="nil"/>
              <w:bottom w:val="nil"/>
              <w:right w:val="nil"/>
            </w:tcBorders>
            <w:shd w:val="clear" w:color="auto" w:fill="auto"/>
            <w:noWrap/>
            <w:vAlign w:val="bottom"/>
            <w:hideMark/>
          </w:tcPr>
          <w:p w14:paraId="1C31451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w:t>
            </w:r>
          </w:p>
        </w:tc>
        <w:tc>
          <w:tcPr>
            <w:tcW w:w="576" w:type="dxa"/>
            <w:tcBorders>
              <w:top w:val="nil"/>
              <w:left w:val="nil"/>
              <w:bottom w:val="nil"/>
              <w:right w:val="nil"/>
            </w:tcBorders>
            <w:shd w:val="clear" w:color="auto" w:fill="auto"/>
            <w:noWrap/>
            <w:vAlign w:val="bottom"/>
            <w:hideMark/>
          </w:tcPr>
          <w:p w14:paraId="2933B0D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11</w:t>
            </w:r>
          </w:p>
        </w:tc>
        <w:tc>
          <w:tcPr>
            <w:tcW w:w="576" w:type="dxa"/>
            <w:tcBorders>
              <w:top w:val="nil"/>
              <w:left w:val="nil"/>
              <w:bottom w:val="nil"/>
              <w:right w:val="nil"/>
            </w:tcBorders>
            <w:shd w:val="clear" w:color="auto" w:fill="auto"/>
            <w:noWrap/>
            <w:vAlign w:val="bottom"/>
            <w:hideMark/>
          </w:tcPr>
          <w:p w14:paraId="3F14C24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24</w:t>
            </w:r>
          </w:p>
        </w:tc>
      </w:tr>
      <w:tr w:rsidR="006258EE" w:rsidRPr="00053D06" w14:paraId="7E5B6D6A"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13978B38"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37C48DD4"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prat GC</w:t>
            </w:r>
          </w:p>
        </w:tc>
        <w:tc>
          <w:tcPr>
            <w:tcW w:w="576" w:type="dxa"/>
            <w:tcBorders>
              <w:top w:val="nil"/>
              <w:left w:val="nil"/>
              <w:bottom w:val="nil"/>
              <w:right w:val="nil"/>
            </w:tcBorders>
            <w:shd w:val="clear" w:color="auto" w:fill="auto"/>
            <w:noWrap/>
            <w:vAlign w:val="bottom"/>
            <w:hideMark/>
          </w:tcPr>
          <w:p w14:paraId="0A81D77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21</w:t>
            </w:r>
          </w:p>
        </w:tc>
        <w:tc>
          <w:tcPr>
            <w:tcW w:w="576" w:type="dxa"/>
            <w:tcBorders>
              <w:top w:val="nil"/>
              <w:left w:val="nil"/>
              <w:bottom w:val="nil"/>
              <w:right w:val="nil"/>
            </w:tcBorders>
            <w:shd w:val="clear" w:color="auto" w:fill="auto"/>
            <w:noWrap/>
            <w:vAlign w:val="bottom"/>
            <w:hideMark/>
          </w:tcPr>
          <w:p w14:paraId="32345EE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38</w:t>
            </w:r>
          </w:p>
        </w:tc>
        <w:tc>
          <w:tcPr>
            <w:tcW w:w="576" w:type="dxa"/>
            <w:tcBorders>
              <w:top w:val="nil"/>
              <w:left w:val="nil"/>
              <w:bottom w:val="nil"/>
              <w:right w:val="nil"/>
            </w:tcBorders>
            <w:shd w:val="clear" w:color="auto" w:fill="auto"/>
            <w:noWrap/>
            <w:vAlign w:val="bottom"/>
            <w:hideMark/>
          </w:tcPr>
          <w:p w14:paraId="1E28A55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60</w:t>
            </w:r>
          </w:p>
        </w:tc>
        <w:tc>
          <w:tcPr>
            <w:tcW w:w="576" w:type="dxa"/>
            <w:tcBorders>
              <w:top w:val="nil"/>
              <w:left w:val="nil"/>
              <w:bottom w:val="nil"/>
              <w:right w:val="nil"/>
            </w:tcBorders>
            <w:shd w:val="clear" w:color="auto" w:fill="auto"/>
            <w:noWrap/>
            <w:vAlign w:val="bottom"/>
            <w:hideMark/>
          </w:tcPr>
          <w:p w14:paraId="185CF9D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66</w:t>
            </w:r>
          </w:p>
        </w:tc>
        <w:tc>
          <w:tcPr>
            <w:tcW w:w="587" w:type="dxa"/>
            <w:tcBorders>
              <w:top w:val="nil"/>
              <w:left w:val="nil"/>
              <w:bottom w:val="nil"/>
              <w:right w:val="nil"/>
            </w:tcBorders>
            <w:shd w:val="clear" w:color="auto" w:fill="auto"/>
            <w:noWrap/>
            <w:vAlign w:val="bottom"/>
            <w:hideMark/>
          </w:tcPr>
          <w:p w14:paraId="41EA70A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78</w:t>
            </w:r>
          </w:p>
        </w:tc>
        <w:tc>
          <w:tcPr>
            <w:tcW w:w="576" w:type="dxa"/>
            <w:tcBorders>
              <w:top w:val="nil"/>
              <w:left w:val="nil"/>
              <w:bottom w:val="nil"/>
              <w:right w:val="nil"/>
            </w:tcBorders>
            <w:shd w:val="clear" w:color="auto" w:fill="auto"/>
            <w:noWrap/>
            <w:vAlign w:val="bottom"/>
            <w:hideMark/>
          </w:tcPr>
          <w:p w14:paraId="59F0503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55</w:t>
            </w:r>
          </w:p>
        </w:tc>
        <w:tc>
          <w:tcPr>
            <w:tcW w:w="610" w:type="dxa"/>
            <w:tcBorders>
              <w:top w:val="nil"/>
              <w:left w:val="nil"/>
              <w:bottom w:val="nil"/>
              <w:right w:val="nil"/>
            </w:tcBorders>
            <w:shd w:val="clear" w:color="auto" w:fill="auto"/>
            <w:noWrap/>
            <w:vAlign w:val="bottom"/>
            <w:hideMark/>
          </w:tcPr>
          <w:p w14:paraId="73424BD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58</w:t>
            </w:r>
          </w:p>
        </w:tc>
        <w:tc>
          <w:tcPr>
            <w:tcW w:w="576" w:type="dxa"/>
            <w:tcBorders>
              <w:top w:val="nil"/>
              <w:left w:val="nil"/>
              <w:bottom w:val="nil"/>
              <w:right w:val="nil"/>
            </w:tcBorders>
            <w:shd w:val="clear" w:color="auto" w:fill="auto"/>
            <w:noWrap/>
            <w:vAlign w:val="bottom"/>
            <w:hideMark/>
          </w:tcPr>
          <w:p w14:paraId="516516C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77</w:t>
            </w:r>
          </w:p>
        </w:tc>
        <w:tc>
          <w:tcPr>
            <w:tcW w:w="576" w:type="dxa"/>
            <w:tcBorders>
              <w:top w:val="nil"/>
              <w:left w:val="nil"/>
              <w:bottom w:val="nil"/>
              <w:right w:val="nil"/>
            </w:tcBorders>
            <w:shd w:val="clear" w:color="auto" w:fill="auto"/>
            <w:noWrap/>
            <w:vAlign w:val="bottom"/>
            <w:hideMark/>
          </w:tcPr>
          <w:p w14:paraId="2E26D03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96</w:t>
            </w:r>
          </w:p>
        </w:tc>
        <w:tc>
          <w:tcPr>
            <w:tcW w:w="576" w:type="dxa"/>
            <w:tcBorders>
              <w:top w:val="nil"/>
              <w:left w:val="nil"/>
              <w:bottom w:val="nil"/>
              <w:right w:val="nil"/>
            </w:tcBorders>
            <w:shd w:val="clear" w:color="auto" w:fill="auto"/>
            <w:noWrap/>
            <w:vAlign w:val="bottom"/>
            <w:hideMark/>
          </w:tcPr>
          <w:p w14:paraId="220FA41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92</w:t>
            </w:r>
          </w:p>
        </w:tc>
        <w:tc>
          <w:tcPr>
            <w:tcW w:w="576" w:type="dxa"/>
            <w:tcBorders>
              <w:top w:val="nil"/>
              <w:left w:val="nil"/>
              <w:bottom w:val="nil"/>
              <w:right w:val="nil"/>
            </w:tcBorders>
            <w:shd w:val="clear" w:color="auto" w:fill="auto"/>
            <w:noWrap/>
            <w:vAlign w:val="bottom"/>
            <w:hideMark/>
          </w:tcPr>
          <w:p w14:paraId="4D17618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89</w:t>
            </w:r>
          </w:p>
        </w:tc>
        <w:tc>
          <w:tcPr>
            <w:tcW w:w="576" w:type="dxa"/>
            <w:tcBorders>
              <w:top w:val="nil"/>
              <w:left w:val="nil"/>
              <w:bottom w:val="nil"/>
              <w:right w:val="nil"/>
            </w:tcBorders>
            <w:shd w:val="clear" w:color="auto" w:fill="auto"/>
            <w:noWrap/>
            <w:vAlign w:val="bottom"/>
            <w:hideMark/>
          </w:tcPr>
          <w:p w14:paraId="1505109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94</w:t>
            </w:r>
          </w:p>
        </w:tc>
      </w:tr>
      <w:tr w:rsidR="006258EE" w:rsidRPr="00053D06" w14:paraId="6331EF37"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14816A8E"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43E1848E"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P.prat KB</w:t>
            </w:r>
          </w:p>
        </w:tc>
        <w:tc>
          <w:tcPr>
            <w:tcW w:w="576" w:type="dxa"/>
            <w:tcBorders>
              <w:top w:val="nil"/>
              <w:left w:val="nil"/>
              <w:bottom w:val="nil"/>
              <w:right w:val="nil"/>
            </w:tcBorders>
            <w:shd w:val="clear" w:color="auto" w:fill="auto"/>
            <w:noWrap/>
            <w:vAlign w:val="bottom"/>
            <w:hideMark/>
          </w:tcPr>
          <w:p w14:paraId="3DA7138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c>
          <w:tcPr>
            <w:tcW w:w="576" w:type="dxa"/>
            <w:tcBorders>
              <w:top w:val="nil"/>
              <w:left w:val="nil"/>
              <w:bottom w:val="nil"/>
              <w:right w:val="nil"/>
            </w:tcBorders>
            <w:shd w:val="clear" w:color="auto" w:fill="auto"/>
            <w:noWrap/>
            <w:vAlign w:val="bottom"/>
            <w:hideMark/>
          </w:tcPr>
          <w:p w14:paraId="4DA5EB8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29</w:t>
            </w:r>
          </w:p>
        </w:tc>
        <w:tc>
          <w:tcPr>
            <w:tcW w:w="576" w:type="dxa"/>
            <w:tcBorders>
              <w:top w:val="nil"/>
              <w:left w:val="nil"/>
              <w:bottom w:val="nil"/>
              <w:right w:val="nil"/>
            </w:tcBorders>
            <w:shd w:val="clear" w:color="auto" w:fill="auto"/>
            <w:noWrap/>
            <w:vAlign w:val="bottom"/>
            <w:hideMark/>
          </w:tcPr>
          <w:p w14:paraId="7148813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49</w:t>
            </w:r>
          </w:p>
        </w:tc>
        <w:tc>
          <w:tcPr>
            <w:tcW w:w="576" w:type="dxa"/>
            <w:tcBorders>
              <w:top w:val="nil"/>
              <w:left w:val="nil"/>
              <w:bottom w:val="nil"/>
              <w:right w:val="nil"/>
            </w:tcBorders>
            <w:shd w:val="clear" w:color="auto" w:fill="auto"/>
            <w:noWrap/>
            <w:vAlign w:val="bottom"/>
            <w:hideMark/>
          </w:tcPr>
          <w:p w14:paraId="0590F9A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46</w:t>
            </w:r>
          </w:p>
        </w:tc>
        <w:tc>
          <w:tcPr>
            <w:tcW w:w="587" w:type="dxa"/>
            <w:tcBorders>
              <w:top w:val="nil"/>
              <w:left w:val="nil"/>
              <w:bottom w:val="nil"/>
              <w:right w:val="nil"/>
            </w:tcBorders>
            <w:shd w:val="clear" w:color="auto" w:fill="auto"/>
            <w:noWrap/>
            <w:vAlign w:val="bottom"/>
            <w:hideMark/>
          </w:tcPr>
          <w:p w14:paraId="25C69F8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68</w:t>
            </w:r>
          </w:p>
        </w:tc>
        <w:tc>
          <w:tcPr>
            <w:tcW w:w="576" w:type="dxa"/>
            <w:tcBorders>
              <w:top w:val="nil"/>
              <w:left w:val="nil"/>
              <w:bottom w:val="nil"/>
              <w:right w:val="nil"/>
            </w:tcBorders>
            <w:shd w:val="clear" w:color="auto" w:fill="auto"/>
            <w:noWrap/>
            <w:vAlign w:val="bottom"/>
            <w:hideMark/>
          </w:tcPr>
          <w:p w14:paraId="4FE32E2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53</w:t>
            </w:r>
          </w:p>
        </w:tc>
        <w:tc>
          <w:tcPr>
            <w:tcW w:w="610" w:type="dxa"/>
            <w:tcBorders>
              <w:top w:val="nil"/>
              <w:left w:val="nil"/>
              <w:bottom w:val="nil"/>
              <w:right w:val="nil"/>
            </w:tcBorders>
            <w:shd w:val="clear" w:color="auto" w:fill="auto"/>
            <w:noWrap/>
            <w:vAlign w:val="bottom"/>
            <w:hideMark/>
          </w:tcPr>
          <w:p w14:paraId="596D55E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50</w:t>
            </w:r>
          </w:p>
        </w:tc>
        <w:tc>
          <w:tcPr>
            <w:tcW w:w="576" w:type="dxa"/>
            <w:tcBorders>
              <w:top w:val="nil"/>
              <w:left w:val="nil"/>
              <w:bottom w:val="nil"/>
              <w:right w:val="nil"/>
            </w:tcBorders>
            <w:shd w:val="clear" w:color="auto" w:fill="auto"/>
            <w:noWrap/>
            <w:vAlign w:val="bottom"/>
            <w:hideMark/>
          </w:tcPr>
          <w:p w14:paraId="5285FF7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78</w:t>
            </w:r>
          </w:p>
        </w:tc>
        <w:tc>
          <w:tcPr>
            <w:tcW w:w="576" w:type="dxa"/>
            <w:tcBorders>
              <w:top w:val="nil"/>
              <w:left w:val="nil"/>
              <w:bottom w:val="nil"/>
              <w:right w:val="nil"/>
            </w:tcBorders>
            <w:shd w:val="clear" w:color="auto" w:fill="auto"/>
            <w:noWrap/>
            <w:vAlign w:val="bottom"/>
            <w:hideMark/>
          </w:tcPr>
          <w:p w14:paraId="79A69C6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95</w:t>
            </w:r>
          </w:p>
        </w:tc>
        <w:tc>
          <w:tcPr>
            <w:tcW w:w="576" w:type="dxa"/>
            <w:tcBorders>
              <w:top w:val="nil"/>
              <w:left w:val="nil"/>
              <w:bottom w:val="nil"/>
              <w:right w:val="nil"/>
            </w:tcBorders>
            <w:shd w:val="clear" w:color="auto" w:fill="auto"/>
            <w:noWrap/>
            <w:vAlign w:val="bottom"/>
            <w:hideMark/>
          </w:tcPr>
          <w:p w14:paraId="07CACDE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90</w:t>
            </w:r>
          </w:p>
        </w:tc>
        <w:tc>
          <w:tcPr>
            <w:tcW w:w="576" w:type="dxa"/>
            <w:tcBorders>
              <w:top w:val="nil"/>
              <w:left w:val="nil"/>
              <w:bottom w:val="nil"/>
              <w:right w:val="nil"/>
            </w:tcBorders>
            <w:shd w:val="clear" w:color="auto" w:fill="auto"/>
            <w:noWrap/>
            <w:vAlign w:val="bottom"/>
            <w:hideMark/>
          </w:tcPr>
          <w:p w14:paraId="0A4A9AB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92</w:t>
            </w:r>
          </w:p>
        </w:tc>
        <w:tc>
          <w:tcPr>
            <w:tcW w:w="576" w:type="dxa"/>
            <w:tcBorders>
              <w:top w:val="nil"/>
              <w:left w:val="nil"/>
              <w:bottom w:val="nil"/>
              <w:right w:val="nil"/>
            </w:tcBorders>
            <w:shd w:val="clear" w:color="auto" w:fill="auto"/>
            <w:noWrap/>
            <w:vAlign w:val="bottom"/>
            <w:hideMark/>
          </w:tcPr>
          <w:p w14:paraId="6B1D6ED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94</w:t>
            </w:r>
          </w:p>
        </w:tc>
      </w:tr>
      <w:tr w:rsidR="006258EE" w:rsidRPr="00053D06" w14:paraId="280DD5AF"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0DB30B57"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28C6D3D6"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P. prat MS</w:t>
            </w:r>
          </w:p>
        </w:tc>
        <w:tc>
          <w:tcPr>
            <w:tcW w:w="576" w:type="dxa"/>
            <w:tcBorders>
              <w:top w:val="nil"/>
              <w:left w:val="nil"/>
              <w:bottom w:val="nil"/>
              <w:right w:val="nil"/>
            </w:tcBorders>
            <w:shd w:val="clear" w:color="auto" w:fill="auto"/>
            <w:noWrap/>
            <w:vAlign w:val="bottom"/>
            <w:hideMark/>
          </w:tcPr>
          <w:p w14:paraId="6EB97A4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10</w:t>
            </w:r>
          </w:p>
        </w:tc>
        <w:tc>
          <w:tcPr>
            <w:tcW w:w="576" w:type="dxa"/>
            <w:tcBorders>
              <w:top w:val="nil"/>
              <w:left w:val="nil"/>
              <w:bottom w:val="nil"/>
              <w:right w:val="nil"/>
            </w:tcBorders>
            <w:shd w:val="clear" w:color="auto" w:fill="auto"/>
            <w:noWrap/>
            <w:vAlign w:val="bottom"/>
            <w:hideMark/>
          </w:tcPr>
          <w:p w14:paraId="5C95D9B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25</w:t>
            </w:r>
          </w:p>
        </w:tc>
        <w:tc>
          <w:tcPr>
            <w:tcW w:w="576" w:type="dxa"/>
            <w:tcBorders>
              <w:top w:val="nil"/>
              <w:left w:val="nil"/>
              <w:bottom w:val="nil"/>
              <w:right w:val="nil"/>
            </w:tcBorders>
            <w:shd w:val="clear" w:color="auto" w:fill="auto"/>
            <w:noWrap/>
            <w:vAlign w:val="bottom"/>
            <w:hideMark/>
          </w:tcPr>
          <w:p w14:paraId="7BCDA06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47</w:t>
            </w:r>
          </w:p>
        </w:tc>
        <w:tc>
          <w:tcPr>
            <w:tcW w:w="576" w:type="dxa"/>
            <w:tcBorders>
              <w:top w:val="nil"/>
              <w:left w:val="nil"/>
              <w:bottom w:val="nil"/>
              <w:right w:val="nil"/>
            </w:tcBorders>
            <w:shd w:val="clear" w:color="auto" w:fill="auto"/>
            <w:noWrap/>
            <w:vAlign w:val="bottom"/>
            <w:hideMark/>
          </w:tcPr>
          <w:p w14:paraId="1A90BE8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42</w:t>
            </w:r>
          </w:p>
        </w:tc>
        <w:tc>
          <w:tcPr>
            <w:tcW w:w="587" w:type="dxa"/>
            <w:tcBorders>
              <w:top w:val="nil"/>
              <w:left w:val="nil"/>
              <w:bottom w:val="nil"/>
              <w:right w:val="nil"/>
            </w:tcBorders>
            <w:shd w:val="clear" w:color="auto" w:fill="auto"/>
            <w:noWrap/>
            <w:vAlign w:val="bottom"/>
            <w:hideMark/>
          </w:tcPr>
          <w:p w14:paraId="3DEB2DB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63</w:t>
            </w:r>
          </w:p>
        </w:tc>
        <w:tc>
          <w:tcPr>
            <w:tcW w:w="576" w:type="dxa"/>
            <w:tcBorders>
              <w:top w:val="nil"/>
              <w:left w:val="nil"/>
              <w:bottom w:val="nil"/>
              <w:right w:val="nil"/>
            </w:tcBorders>
            <w:shd w:val="clear" w:color="auto" w:fill="auto"/>
            <w:noWrap/>
            <w:vAlign w:val="bottom"/>
            <w:hideMark/>
          </w:tcPr>
          <w:p w14:paraId="0245C76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80</w:t>
            </w:r>
          </w:p>
        </w:tc>
        <w:tc>
          <w:tcPr>
            <w:tcW w:w="610" w:type="dxa"/>
            <w:tcBorders>
              <w:top w:val="nil"/>
              <w:left w:val="nil"/>
              <w:bottom w:val="nil"/>
              <w:right w:val="nil"/>
            </w:tcBorders>
            <w:shd w:val="clear" w:color="auto" w:fill="auto"/>
            <w:noWrap/>
            <w:vAlign w:val="bottom"/>
            <w:hideMark/>
          </w:tcPr>
          <w:p w14:paraId="49FFB94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66</w:t>
            </w:r>
          </w:p>
        </w:tc>
        <w:tc>
          <w:tcPr>
            <w:tcW w:w="576" w:type="dxa"/>
            <w:tcBorders>
              <w:top w:val="nil"/>
              <w:left w:val="nil"/>
              <w:bottom w:val="nil"/>
              <w:right w:val="nil"/>
            </w:tcBorders>
            <w:shd w:val="clear" w:color="auto" w:fill="auto"/>
            <w:noWrap/>
            <w:vAlign w:val="bottom"/>
            <w:hideMark/>
          </w:tcPr>
          <w:p w14:paraId="727379C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89</w:t>
            </w:r>
          </w:p>
        </w:tc>
        <w:tc>
          <w:tcPr>
            <w:tcW w:w="576" w:type="dxa"/>
            <w:tcBorders>
              <w:top w:val="nil"/>
              <w:left w:val="nil"/>
              <w:bottom w:val="nil"/>
              <w:right w:val="nil"/>
            </w:tcBorders>
            <w:shd w:val="clear" w:color="auto" w:fill="auto"/>
            <w:noWrap/>
            <w:vAlign w:val="bottom"/>
            <w:hideMark/>
          </w:tcPr>
          <w:p w14:paraId="53131BA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97</w:t>
            </w:r>
          </w:p>
        </w:tc>
        <w:tc>
          <w:tcPr>
            <w:tcW w:w="576" w:type="dxa"/>
            <w:tcBorders>
              <w:top w:val="nil"/>
              <w:left w:val="nil"/>
              <w:bottom w:val="nil"/>
              <w:right w:val="nil"/>
            </w:tcBorders>
            <w:shd w:val="clear" w:color="auto" w:fill="auto"/>
            <w:noWrap/>
            <w:vAlign w:val="bottom"/>
            <w:hideMark/>
          </w:tcPr>
          <w:p w14:paraId="1F19ED8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95</w:t>
            </w:r>
          </w:p>
        </w:tc>
        <w:tc>
          <w:tcPr>
            <w:tcW w:w="576" w:type="dxa"/>
            <w:tcBorders>
              <w:top w:val="nil"/>
              <w:left w:val="nil"/>
              <w:bottom w:val="nil"/>
              <w:right w:val="nil"/>
            </w:tcBorders>
            <w:shd w:val="clear" w:color="auto" w:fill="auto"/>
            <w:noWrap/>
            <w:vAlign w:val="bottom"/>
            <w:hideMark/>
          </w:tcPr>
          <w:p w14:paraId="40B93B0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91</w:t>
            </w:r>
          </w:p>
        </w:tc>
        <w:tc>
          <w:tcPr>
            <w:tcW w:w="576" w:type="dxa"/>
            <w:tcBorders>
              <w:top w:val="nil"/>
              <w:left w:val="nil"/>
              <w:bottom w:val="nil"/>
              <w:right w:val="nil"/>
            </w:tcBorders>
            <w:shd w:val="clear" w:color="auto" w:fill="auto"/>
            <w:noWrap/>
            <w:vAlign w:val="bottom"/>
            <w:hideMark/>
          </w:tcPr>
          <w:p w14:paraId="1D1ACBE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96</w:t>
            </w:r>
          </w:p>
        </w:tc>
      </w:tr>
      <w:tr w:rsidR="006258EE" w:rsidRPr="00053D06" w14:paraId="3BB3113D"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35CB4FD9"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53C3174A"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i/>
              </w:rPr>
              <w:t>P. arachnifera</w:t>
            </w:r>
            <w:r w:rsidRPr="00053D06">
              <w:rPr>
                <w:rFonts w:ascii="Calibri" w:eastAsia="Times New Roman" w:hAnsi="Calibri" w:cs="Times New Roman"/>
                <w:b/>
              </w:rPr>
              <w:t xml:space="preserve"> x </w:t>
            </w:r>
            <w:r w:rsidRPr="00053D06">
              <w:rPr>
                <w:rFonts w:ascii="Calibri" w:eastAsia="Times New Roman" w:hAnsi="Calibri" w:cs="Times New Roman"/>
                <w:b/>
                <w:i/>
              </w:rPr>
              <w:t>pratensis</w:t>
            </w:r>
          </w:p>
        </w:tc>
        <w:tc>
          <w:tcPr>
            <w:tcW w:w="576" w:type="dxa"/>
            <w:tcBorders>
              <w:top w:val="nil"/>
              <w:left w:val="nil"/>
              <w:bottom w:val="nil"/>
              <w:right w:val="nil"/>
            </w:tcBorders>
            <w:shd w:val="clear" w:color="auto" w:fill="auto"/>
            <w:noWrap/>
            <w:vAlign w:val="bottom"/>
            <w:hideMark/>
          </w:tcPr>
          <w:p w14:paraId="7E615B7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15</w:t>
            </w:r>
          </w:p>
        </w:tc>
        <w:tc>
          <w:tcPr>
            <w:tcW w:w="576" w:type="dxa"/>
            <w:tcBorders>
              <w:top w:val="nil"/>
              <w:left w:val="nil"/>
              <w:bottom w:val="nil"/>
              <w:right w:val="nil"/>
            </w:tcBorders>
            <w:shd w:val="clear" w:color="auto" w:fill="auto"/>
            <w:noWrap/>
            <w:vAlign w:val="bottom"/>
            <w:hideMark/>
          </w:tcPr>
          <w:p w14:paraId="77FE6EB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37</w:t>
            </w:r>
          </w:p>
        </w:tc>
        <w:tc>
          <w:tcPr>
            <w:tcW w:w="576" w:type="dxa"/>
            <w:tcBorders>
              <w:top w:val="nil"/>
              <w:left w:val="nil"/>
              <w:bottom w:val="nil"/>
              <w:right w:val="nil"/>
            </w:tcBorders>
            <w:shd w:val="clear" w:color="auto" w:fill="auto"/>
            <w:noWrap/>
            <w:vAlign w:val="bottom"/>
            <w:hideMark/>
          </w:tcPr>
          <w:p w14:paraId="76EA732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61</w:t>
            </w:r>
          </w:p>
        </w:tc>
        <w:tc>
          <w:tcPr>
            <w:tcW w:w="576" w:type="dxa"/>
            <w:tcBorders>
              <w:top w:val="nil"/>
              <w:left w:val="nil"/>
              <w:bottom w:val="nil"/>
              <w:right w:val="nil"/>
            </w:tcBorders>
            <w:shd w:val="clear" w:color="auto" w:fill="auto"/>
            <w:noWrap/>
            <w:vAlign w:val="bottom"/>
            <w:hideMark/>
          </w:tcPr>
          <w:p w14:paraId="1B5108D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66</w:t>
            </w:r>
          </w:p>
        </w:tc>
        <w:tc>
          <w:tcPr>
            <w:tcW w:w="587" w:type="dxa"/>
            <w:tcBorders>
              <w:top w:val="nil"/>
              <w:left w:val="nil"/>
              <w:bottom w:val="nil"/>
              <w:right w:val="nil"/>
            </w:tcBorders>
            <w:shd w:val="clear" w:color="auto" w:fill="auto"/>
            <w:noWrap/>
            <w:vAlign w:val="bottom"/>
            <w:hideMark/>
          </w:tcPr>
          <w:p w14:paraId="0ECE1B2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83</w:t>
            </w:r>
          </w:p>
        </w:tc>
        <w:tc>
          <w:tcPr>
            <w:tcW w:w="576" w:type="dxa"/>
            <w:tcBorders>
              <w:top w:val="nil"/>
              <w:left w:val="nil"/>
              <w:bottom w:val="nil"/>
              <w:right w:val="nil"/>
            </w:tcBorders>
            <w:shd w:val="clear" w:color="auto" w:fill="auto"/>
            <w:noWrap/>
            <w:vAlign w:val="bottom"/>
            <w:hideMark/>
          </w:tcPr>
          <w:p w14:paraId="13F5176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67</w:t>
            </w:r>
          </w:p>
        </w:tc>
        <w:tc>
          <w:tcPr>
            <w:tcW w:w="610" w:type="dxa"/>
            <w:tcBorders>
              <w:top w:val="nil"/>
              <w:left w:val="nil"/>
              <w:bottom w:val="nil"/>
              <w:right w:val="nil"/>
            </w:tcBorders>
            <w:shd w:val="clear" w:color="auto" w:fill="auto"/>
            <w:noWrap/>
            <w:vAlign w:val="bottom"/>
            <w:hideMark/>
          </w:tcPr>
          <w:p w14:paraId="3C8F17D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63</w:t>
            </w:r>
          </w:p>
        </w:tc>
        <w:tc>
          <w:tcPr>
            <w:tcW w:w="576" w:type="dxa"/>
            <w:tcBorders>
              <w:top w:val="nil"/>
              <w:left w:val="nil"/>
              <w:bottom w:val="nil"/>
              <w:right w:val="nil"/>
            </w:tcBorders>
            <w:shd w:val="clear" w:color="auto" w:fill="auto"/>
            <w:noWrap/>
            <w:vAlign w:val="bottom"/>
            <w:hideMark/>
          </w:tcPr>
          <w:p w14:paraId="58927C0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85</w:t>
            </w:r>
          </w:p>
        </w:tc>
        <w:tc>
          <w:tcPr>
            <w:tcW w:w="576" w:type="dxa"/>
            <w:tcBorders>
              <w:top w:val="nil"/>
              <w:left w:val="nil"/>
              <w:bottom w:val="nil"/>
              <w:right w:val="nil"/>
            </w:tcBorders>
            <w:shd w:val="clear" w:color="auto" w:fill="auto"/>
            <w:noWrap/>
            <w:vAlign w:val="bottom"/>
            <w:hideMark/>
          </w:tcPr>
          <w:p w14:paraId="06AC179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97</w:t>
            </w:r>
          </w:p>
        </w:tc>
        <w:tc>
          <w:tcPr>
            <w:tcW w:w="576" w:type="dxa"/>
            <w:tcBorders>
              <w:top w:val="nil"/>
              <w:left w:val="nil"/>
              <w:bottom w:val="nil"/>
              <w:right w:val="nil"/>
            </w:tcBorders>
            <w:shd w:val="clear" w:color="auto" w:fill="auto"/>
            <w:noWrap/>
            <w:vAlign w:val="bottom"/>
            <w:hideMark/>
          </w:tcPr>
          <w:p w14:paraId="1311E4E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88</w:t>
            </w:r>
          </w:p>
        </w:tc>
        <w:tc>
          <w:tcPr>
            <w:tcW w:w="576" w:type="dxa"/>
            <w:tcBorders>
              <w:top w:val="nil"/>
              <w:left w:val="nil"/>
              <w:bottom w:val="nil"/>
              <w:right w:val="nil"/>
            </w:tcBorders>
            <w:shd w:val="clear" w:color="auto" w:fill="auto"/>
            <w:noWrap/>
            <w:vAlign w:val="bottom"/>
            <w:hideMark/>
          </w:tcPr>
          <w:p w14:paraId="3087651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89</w:t>
            </w:r>
          </w:p>
        </w:tc>
        <w:tc>
          <w:tcPr>
            <w:tcW w:w="576" w:type="dxa"/>
            <w:tcBorders>
              <w:top w:val="nil"/>
              <w:left w:val="nil"/>
              <w:bottom w:val="nil"/>
              <w:right w:val="nil"/>
            </w:tcBorders>
            <w:shd w:val="clear" w:color="auto" w:fill="auto"/>
            <w:noWrap/>
            <w:vAlign w:val="bottom"/>
            <w:hideMark/>
          </w:tcPr>
          <w:p w14:paraId="553DB76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95</w:t>
            </w:r>
          </w:p>
        </w:tc>
      </w:tr>
      <w:tr w:rsidR="006258EE" w:rsidRPr="00053D06" w14:paraId="573056E7"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5FA92AEC"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77E090CC" w14:textId="77777777" w:rsidR="006258EE" w:rsidRPr="00053D06" w:rsidRDefault="006258EE" w:rsidP="00F368ED">
            <w:pPr>
              <w:spacing w:after="0" w:line="240" w:lineRule="auto"/>
              <w:rPr>
                <w:rFonts w:ascii="Calibri" w:eastAsia="Times New Roman" w:hAnsi="Calibri" w:cs="Times New Roman"/>
                <w:b/>
                <w:i/>
              </w:rPr>
            </w:pPr>
            <w:r w:rsidRPr="00053D06">
              <w:rPr>
                <w:rFonts w:ascii="Calibri" w:eastAsia="Times New Roman" w:hAnsi="Calibri" w:cs="Times New Roman"/>
                <w:b/>
                <w:i/>
              </w:rPr>
              <w:t>P. stiriaca</w:t>
            </w:r>
          </w:p>
        </w:tc>
        <w:tc>
          <w:tcPr>
            <w:tcW w:w="576" w:type="dxa"/>
            <w:tcBorders>
              <w:top w:val="nil"/>
              <w:left w:val="nil"/>
              <w:bottom w:val="nil"/>
              <w:right w:val="nil"/>
            </w:tcBorders>
            <w:shd w:val="clear" w:color="auto" w:fill="auto"/>
            <w:noWrap/>
            <w:vAlign w:val="bottom"/>
            <w:hideMark/>
          </w:tcPr>
          <w:p w14:paraId="7D1FE5F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15</w:t>
            </w:r>
          </w:p>
        </w:tc>
        <w:tc>
          <w:tcPr>
            <w:tcW w:w="576" w:type="dxa"/>
            <w:tcBorders>
              <w:top w:val="nil"/>
              <w:left w:val="nil"/>
              <w:bottom w:val="nil"/>
              <w:right w:val="nil"/>
            </w:tcBorders>
            <w:shd w:val="clear" w:color="auto" w:fill="auto"/>
            <w:noWrap/>
            <w:vAlign w:val="bottom"/>
            <w:hideMark/>
          </w:tcPr>
          <w:p w14:paraId="4BC6C26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38</w:t>
            </w:r>
          </w:p>
        </w:tc>
        <w:tc>
          <w:tcPr>
            <w:tcW w:w="576" w:type="dxa"/>
            <w:tcBorders>
              <w:top w:val="nil"/>
              <w:left w:val="nil"/>
              <w:bottom w:val="nil"/>
              <w:right w:val="nil"/>
            </w:tcBorders>
            <w:shd w:val="clear" w:color="auto" w:fill="auto"/>
            <w:noWrap/>
            <w:vAlign w:val="bottom"/>
            <w:hideMark/>
          </w:tcPr>
          <w:p w14:paraId="231C926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61</w:t>
            </w:r>
          </w:p>
        </w:tc>
        <w:tc>
          <w:tcPr>
            <w:tcW w:w="576" w:type="dxa"/>
            <w:tcBorders>
              <w:top w:val="nil"/>
              <w:left w:val="nil"/>
              <w:bottom w:val="nil"/>
              <w:right w:val="nil"/>
            </w:tcBorders>
            <w:shd w:val="clear" w:color="auto" w:fill="auto"/>
            <w:noWrap/>
            <w:vAlign w:val="bottom"/>
            <w:hideMark/>
          </w:tcPr>
          <w:p w14:paraId="1A2960F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72</w:t>
            </w:r>
          </w:p>
        </w:tc>
        <w:tc>
          <w:tcPr>
            <w:tcW w:w="587" w:type="dxa"/>
            <w:tcBorders>
              <w:top w:val="nil"/>
              <w:left w:val="nil"/>
              <w:bottom w:val="nil"/>
              <w:right w:val="nil"/>
            </w:tcBorders>
            <w:shd w:val="clear" w:color="auto" w:fill="auto"/>
            <w:noWrap/>
            <w:vAlign w:val="bottom"/>
            <w:hideMark/>
          </w:tcPr>
          <w:p w14:paraId="4079E4F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91</w:t>
            </w:r>
          </w:p>
        </w:tc>
        <w:tc>
          <w:tcPr>
            <w:tcW w:w="576" w:type="dxa"/>
            <w:tcBorders>
              <w:top w:val="nil"/>
              <w:left w:val="nil"/>
              <w:bottom w:val="nil"/>
              <w:right w:val="nil"/>
            </w:tcBorders>
            <w:shd w:val="clear" w:color="auto" w:fill="auto"/>
            <w:noWrap/>
            <w:vAlign w:val="bottom"/>
            <w:hideMark/>
          </w:tcPr>
          <w:p w14:paraId="1F5257B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94</w:t>
            </w:r>
          </w:p>
        </w:tc>
        <w:tc>
          <w:tcPr>
            <w:tcW w:w="610" w:type="dxa"/>
            <w:tcBorders>
              <w:top w:val="nil"/>
              <w:left w:val="nil"/>
              <w:bottom w:val="nil"/>
              <w:right w:val="nil"/>
            </w:tcBorders>
            <w:shd w:val="clear" w:color="auto" w:fill="auto"/>
            <w:noWrap/>
            <w:vAlign w:val="bottom"/>
            <w:hideMark/>
          </w:tcPr>
          <w:p w14:paraId="34FAC0F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85</w:t>
            </w:r>
          </w:p>
        </w:tc>
        <w:tc>
          <w:tcPr>
            <w:tcW w:w="576" w:type="dxa"/>
            <w:tcBorders>
              <w:top w:val="nil"/>
              <w:left w:val="nil"/>
              <w:bottom w:val="nil"/>
              <w:right w:val="nil"/>
            </w:tcBorders>
            <w:shd w:val="clear" w:color="auto" w:fill="auto"/>
            <w:noWrap/>
            <w:vAlign w:val="bottom"/>
            <w:hideMark/>
          </w:tcPr>
          <w:p w14:paraId="12CACA1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82</w:t>
            </w:r>
          </w:p>
        </w:tc>
        <w:tc>
          <w:tcPr>
            <w:tcW w:w="576" w:type="dxa"/>
            <w:tcBorders>
              <w:top w:val="nil"/>
              <w:left w:val="nil"/>
              <w:bottom w:val="nil"/>
              <w:right w:val="nil"/>
            </w:tcBorders>
            <w:shd w:val="clear" w:color="auto" w:fill="auto"/>
            <w:noWrap/>
            <w:vAlign w:val="bottom"/>
            <w:hideMark/>
          </w:tcPr>
          <w:p w14:paraId="08B854F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91</w:t>
            </w:r>
          </w:p>
        </w:tc>
        <w:tc>
          <w:tcPr>
            <w:tcW w:w="576" w:type="dxa"/>
            <w:tcBorders>
              <w:top w:val="nil"/>
              <w:left w:val="nil"/>
              <w:bottom w:val="nil"/>
              <w:right w:val="nil"/>
            </w:tcBorders>
            <w:shd w:val="clear" w:color="auto" w:fill="auto"/>
            <w:noWrap/>
            <w:vAlign w:val="bottom"/>
            <w:hideMark/>
          </w:tcPr>
          <w:p w14:paraId="22A125F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93</w:t>
            </w:r>
          </w:p>
        </w:tc>
        <w:tc>
          <w:tcPr>
            <w:tcW w:w="576" w:type="dxa"/>
            <w:tcBorders>
              <w:top w:val="nil"/>
              <w:left w:val="nil"/>
              <w:bottom w:val="nil"/>
              <w:right w:val="nil"/>
            </w:tcBorders>
            <w:shd w:val="clear" w:color="auto" w:fill="auto"/>
            <w:noWrap/>
            <w:vAlign w:val="bottom"/>
            <w:hideMark/>
          </w:tcPr>
          <w:p w14:paraId="1B39FCC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93</w:t>
            </w:r>
          </w:p>
        </w:tc>
        <w:tc>
          <w:tcPr>
            <w:tcW w:w="576" w:type="dxa"/>
            <w:tcBorders>
              <w:top w:val="nil"/>
              <w:left w:val="nil"/>
              <w:bottom w:val="nil"/>
              <w:right w:val="nil"/>
            </w:tcBorders>
            <w:shd w:val="clear" w:color="auto" w:fill="auto"/>
            <w:noWrap/>
            <w:vAlign w:val="bottom"/>
            <w:hideMark/>
          </w:tcPr>
          <w:p w14:paraId="1AA215F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98</w:t>
            </w:r>
          </w:p>
        </w:tc>
      </w:tr>
      <w:tr w:rsidR="006258EE" w:rsidRPr="00053D06" w14:paraId="03E08A5D" w14:textId="77777777" w:rsidTr="00F368ED">
        <w:trPr>
          <w:trHeight w:val="300"/>
          <w:jc w:val="center"/>
        </w:trPr>
        <w:tc>
          <w:tcPr>
            <w:tcW w:w="1526" w:type="dxa"/>
            <w:tcBorders>
              <w:top w:val="nil"/>
              <w:left w:val="nil"/>
              <w:bottom w:val="single" w:sz="4" w:space="0" w:color="auto"/>
              <w:right w:val="nil"/>
            </w:tcBorders>
            <w:shd w:val="clear" w:color="auto" w:fill="auto"/>
            <w:noWrap/>
            <w:vAlign w:val="bottom"/>
            <w:hideMark/>
          </w:tcPr>
          <w:p w14:paraId="7482B707"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 </w:t>
            </w:r>
          </w:p>
        </w:tc>
        <w:tc>
          <w:tcPr>
            <w:tcW w:w="2362" w:type="dxa"/>
            <w:tcBorders>
              <w:top w:val="nil"/>
              <w:left w:val="nil"/>
              <w:bottom w:val="single" w:sz="4" w:space="0" w:color="auto"/>
              <w:right w:val="nil"/>
            </w:tcBorders>
            <w:shd w:val="clear" w:color="auto" w:fill="auto"/>
            <w:noWrap/>
            <w:vAlign w:val="bottom"/>
            <w:hideMark/>
          </w:tcPr>
          <w:p w14:paraId="55B482F3"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i/>
              </w:rPr>
              <w:t>P. spp</w:t>
            </w:r>
            <w:r w:rsidRPr="00053D06">
              <w:rPr>
                <w:rFonts w:ascii="Calibri" w:eastAsia="Times New Roman" w:hAnsi="Calibri" w:cs="Times New Roman"/>
                <w:b/>
              </w:rPr>
              <w:t>. PI 368993</w:t>
            </w:r>
          </w:p>
        </w:tc>
        <w:tc>
          <w:tcPr>
            <w:tcW w:w="576" w:type="dxa"/>
            <w:tcBorders>
              <w:top w:val="nil"/>
              <w:left w:val="nil"/>
              <w:bottom w:val="single" w:sz="4" w:space="0" w:color="auto"/>
              <w:right w:val="nil"/>
            </w:tcBorders>
            <w:shd w:val="clear" w:color="auto" w:fill="auto"/>
            <w:noWrap/>
            <w:vAlign w:val="bottom"/>
            <w:hideMark/>
          </w:tcPr>
          <w:p w14:paraId="0910846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w:t>
            </w:r>
          </w:p>
        </w:tc>
        <w:tc>
          <w:tcPr>
            <w:tcW w:w="576" w:type="dxa"/>
            <w:tcBorders>
              <w:top w:val="nil"/>
              <w:left w:val="nil"/>
              <w:bottom w:val="single" w:sz="4" w:space="0" w:color="auto"/>
              <w:right w:val="nil"/>
            </w:tcBorders>
            <w:shd w:val="clear" w:color="auto" w:fill="auto"/>
            <w:noWrap/>
            <w:vAlign w:val="bottom"/>
            <w:hideMark/>
          </w:tcPr>
          <w:p w14:paraId="59B48BB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23</w:t>
            </w:r>
          </w:p>
        </w:tc>
        <w:tc>
          <w:tcPr>
            <w:tcW w:w="576" w:type="dxa"/>
            <w:tcBorders>
              <w:top w:val="nil"/>
              <w:left w:val="nil"/>
              <w:bottom w:val="single" w:sz="4" w:space="0" w:color="auto"/>
              <w:right w:val="nil"/>
            </w:tcBorders>
            <w:shd w:val="clear" w:color="auto" w:fill="auto"/>
            <w:noWrap/>
            <w:vAlign w:val="bottom"/>
            <w:hideMark/>
          </w:tcPr>
          <w:p w14:paraId="7E60773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37</w:t>
            </w:r>
          </w:p>
        </w:tc>
        <w:tc>
          <w:tcPr>
            <w:tcW w:w="576" w:type="dxa"/>
            <w:tcBorders>
              <w:top w:val="nil"/>
              <w:left w:val="nil"/>
              <w:bottom w:val="single" w:sz="4" w:space="0" w:color="auto"/>
              <w:right w:val="nil"/>
            </w:tcBorders>
            <w:shd w:val="clear" w:color="auto" w:fill="auto"/>
            <w:noWrap/>
            <w:vAlign w:val="bottom"/>
            <w:hideMark/>
          </w:tcPr>
          <w:p w14:paraId="55CB733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50</w:t>
            </w:r>
          </w:p>
        </w:tc>
        <w:tc>
          <w:tcPr>
            <w:tcW w:w="587" w:type="dxa"/>
            <w:tcBorders>
              <w:top w:val="nil"/>
              <w:left w:val="nil"/>
              <w:bottom w:val="single" w:sz="4" w:space="0" w:color="auto"/>
              <w:right w:val="nil"/>
            </w:tcBorders>
            <w:shd w:val="clear" w:color="auto" w:fill="auto"/>
            <w:noWrap/>
            <w:vAlign w:val="bottom"/>
            <w:hideMark/>
          </w:tcPr>
          <w:p w14:paraId="7910022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58</w:t>
            </w:r>
          </w:p>
        </w:tc>
        <w:tc>
          <w:tcPr>
            <w:tcW w:w="576" w:type="dxa"/>
            <w:tcBorders>
              <w:top w:val="nil"/>
              <w:left w:val="nil"/>
              <w:bottom w:val="single" w:sz="4" w:space="0" w:color="auto"/>
              <w:right w:val="nil"/>
            </w:tcBorders>
            <w:shd w:val="clear" w:color="auto" w:fill="auto"/>
            <w:noWrap/>
            <w:vAlign w:val="bottom"/>
            <w:hideMark/>
          </w:tcPr>
          <w:p w14:paraId="7630B2E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13</w:t>
            </w:r>
          </w:p>
        </w:tc>
        <w:tc>
          <w:tcPr>
            <w:tcW w:w="610" w:type="dxa"/>
            <w:tcBorders>
              <w:top w:val="nil"/>
              <w:left w:val="nil"/>
              <w:bottom w:val="single" w:sz="4" w:space="0" w:color="auto"/>
              <w:right w:val="nil"/>
            </w:tcBorders>
            <w:shd w:val="clear" w:color="auto" w:fill="auto"/>
            <w:noWrap/>
            <w:vAlign w:val="bottom"/>
            <w:hideMark/>
          </w:tcPr>
          <w:p w14:paraId="454CC64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10</w:t>
            </w:r>
          </w:p>
        </w:tc>
        <w:tc>
          <w:tcPr>
            <w:tcW w:w="576" w:type="dxa"/>
            <w:tcBorders>
              <w:top w:val="nil"/>
              <w:left w:val="nil"/>
              <w:bottom w:val="single" w:sz="4" w:space="0" w:color="auto"/>
              <w:right w:val="nil"/>
            </w:tcBorders>
            <w:shd w:val="clear" w:color="auto" w:fill="auto"/>
            <w:noWrap/>
            <w:vAlign w:val="bottom"/>
            <w:hideMark/>
          </w:tcPr>
          <w:p w14:paraId="2D60453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w:t>
            </w:r>
          </w:p>
        </w:tc>
        <w:tc>
          <w:tcPr>
            <w:tcW w:w="576" w:type="dxa"/>
            <w:tcBorders>
              <w:top w:val="nil"/>
              <w:left w:val="nil"/>
              <w:bottom w:val="single" w:sz="4" w:space="0" w:color="auto"/>
              <w:right w:val="nil"/>
            </w:tcBorders>
            <w:shd w:val="clear" w:color="auto" w:fill="auto"/>
            <w:noWrap/>
            <w:vAlign w:val="bottom"/>
            <w:hideMark/>
          </w:tcPr>
          <w:p w14:paraId="614C7FF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w:t>
            </w:r>
          </w:p>
        </w:tc>
        <w:tc>
          <w:tcPr>
            <w:tcW w:w="576" w:type="dxa"/>
            <w:tcBorders>
              <w:top w:val="nil"/>
              <w:left w:val="nil"/>
              <w:bottom w:val="single" w:sz="4" w:space="0" w:color="auto"/>
              <w:right w:val="nil"/>
            </w:tcBorders>
            <w:shd w:val="clear" w:color="auto" w:fill="auto"/>
            <w:noWrap/>
            <w:vAlign w:val="bottom"/>
            <w:hideMark/>
          </w:tcPr>
          <w:p w14:paraId="4ED5DB8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c>
          <w:tcPr>
            <w:tcW w:w="576" w:type="dxa"/>
            <w:tcBorders>
              <w:top w:val="nil"/>
              <w:left w:val="nil"/>
              <w:bottom w:val="single" w:sz="4" w:space="0" w:color="auto"/>
              <w:right w:val="nil"/>
            </w:tcBorders>
            <w:shd w:val="clear" w:color="auto" w:fill="auto"/>
            <w:noWrap/>
            <w:vAlign w:val="bottom"/>
            <w:hideMark/>
          </w:tcPr>
          <w:p w14:paraId="7D54B29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28</w:t>
            </w:r>
          </w:p>
        </w:tc>
        <w:tc>
          <w:tcPr>
            <w:tcW w:w="576" w:type="dxa"/>
            <w:tcBorders>
              <w:top w:val="nil"/>
              <w:left w:val="nil"/>
              <w:bottom w:val="single" w:sz="4" w:space="0" w:color="auto"/>
              <w:right w:val="nil"/>
            </w:tcBorders>
            <w:shd w:val="clear" w:color="auto" w:fill="auto"/>
            <w:noWrap/>
            <w:vAlign w:val="bottom"/>
            <w:hideMark/>
          </w:tcPr>
          <w:p w14:paraId="3554738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50</w:t>
            </w:r>
          </w:p>
        </w:tc>
      </w:tr>
      <w:tr w:rsidR="006258EE" w:rsidRPr="00053D06" w14:paraId="4E87CA45"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5828CB7B"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Stoloniferous</w:t>
            </w:r>
          </w:p>
        </w:tc>
        <w:tc>
          <w:tcPr>
            <w:tcW w:w="2362" w:type="dxa"/>
            <w:tcBorders>
              <w:top w:val="nil"/>
              <w:left w:val="nil"/>
              <w:bottom w:val="nil"/>
              <w:right w:val="nil"/>
            </w:tcBorders>
            <w:shd w:val="clear" w:color="auto" w:fill="auto"/>
            <w:noWrap/>
            <w:vAlign w:val="bottom"/>
            <w:hideMark/>
          </w:tcPr>
          <w:p w14:paraId="30130247" w14:textId="77777777" w:rsidR="006258EE" w:rsidRPr="00053D06" w:rsidRDefault="006258EE" w:rsidP="00F368ED">
            <w:pPr>
              <w:spacing w:after="0" w:line="240" w:lineRule="auto"/>
              <w:rPr>
                <w:rFonts w:ascii="Calibri" w:eastAsia="Times New Roman" w:hAnsi="Calibri" w:cs="Times New Roman"/>
                <w:b/>
                <w:i/>
              </w:rPr>
            </w:pPr>
            <w:r w:rsidRPr="00053D06">
              <w:rPr>
                <w:rFonts w:ascii="Calibri" w:eastAsia="Times New Roman" w:hAnsi="Calibri" w:cs="Times New Roman"/>
                <w:b/>
                <w:i/>
              </w:rPr>
              <w:t>P. supina</w:t>
            </w:r>
          </w:p>
        </w:tc>
        <w:tc>
          <w:tcPr>
            <w:tcW w:w="576" w:type="dxa"/>
            <w:tcBorders>
              <w:top w:val="nil"/>
              <w:left w:val="nil"/>
              <w:bottom w:val="nil"/>
              <w:right w:val="nil"/>
            </w:tcBorders>
            <w:shd w:val="clear" w:color="auto" w:fill="auto"/>
            <w:noWrap/>
            <w:vAlign w:val="bottom"/>
            <w:hideMark/>
          </w:tcPr>
          <w:p w14:paraId="644B3A6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20</w:t>
            </w:r>
          </w:p>
        </w:tc>
        <w:tc>
          <w:tcPr>
            <w:tcW w:w="576" w:type="dxa"/>
            <w:tcBorders>
              <w:top w:val="nil"/>
              <w:left w:val="nil"/>
              <w:bottom w:val="nil"/>
              <w:right w:val="nil"/>
            </w:tcBorders>
            <w:shd w:val="clear" w:color="auto" w:fill="auto"/>
            <w:noWrap/>
            <w:vAlign w:val="bottom"/>
            <w:hideMark/>
          </w:tcPr>
          <w:p w14:paraId="350C6EB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36</w:t>
            </w:r>
          </w:p>
        </w:tc>
        <w:tc>
          <w:tcPr>
            <w:tcW w:w="576" w:type="dxa"/>
            <w:tcBorders>
              <w:top w:val="nil"/>
              <w:left w:val="nil"/>
              <w:bottom w:val="nil"/>
              <w:right w:val="nil"/>
            </w:tcBorders>
            <w:shd w:val="clear" w:color="auto" w:fill="auto"/>
            <w:noWrap/>
            <w:vAlign w:val="bottom"/>
            <w:hideMark/>
          </w:tcPr>
          <w:p w14:paraId="3901230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47</w:t>
            </w:r>
          </w:p>
        </w:tc>
        <w:tc>
          <w:tcPr>
            <w:tcW w:w="576" w:type="dxa"/>
            <w:tcBorders>
              <w:top w:val="nil"/>
              <w:left w:val="nil"/>
              <w:bottom w:val="nil"/>
              <w:right w:val="nil"/>
            </w:tcBorders>
            <w:shd w:val="clear" w:color="auto" w:fill="auto"/>
            <w:noWrap/>
            <w:vAlign w:val="bottom"/>
            <w:hideMark/>
          </w:tcPr>
          <w:p w14:paraId="7BA9794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50</w:t>
            </w:r>
          </w:p>
        </w:tc>
        <w:tc>
          <w:tcPr>
            <w:tcW w:w="587" w:type="dxa"/>
            <w:tcBorders>
              <w:top w:val="nil"/>
              <w:left w:val="nil"/>
              <w:bottom w:val="nil"/>
              <w:right w:val="nil"/>
            </w:tcBorders>
            <w:shd w:val="clear" w:color="auto" w:fill="auto"/>
            <w:noWrap/>
            <w:vAlign w:val="bottom"/>
            <w:hideMark/>
          </w:tcPr>
          <w:p w14:paraId="2F9E089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86</w:t>
            </w:r>
          </w:p>
        </w:tc>
        <w:tc>
          <w:tcPr>
            <w:tcW w:w="576" w:type="dxa"/>
            <w:tcBorders>
              <w:top w:val="nil"/>
              <w:left w:val="nil"/>
              <w:bottom w:val="nil"/>
              <w:right w:val="nil"/>
            </w:tcBorders>
            <w:shd w:val="clear" w:color="auto" w:fill="auto"/>
            <w:noWrap/>
            <w:vAlign w:val="bottom"/>
            <w:hideMark/>
          </w:tcPr>
          <w:p w14:paraId="5CBD198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98</w:t>
            </w:r>
          </w:p>
        </w:tc>
        <w:tc>
          <w:tcPr>
            <w:tcW w:w="610" w:type="dxa"/>
            <w:tcBorders>
              <w:top w:val="nil"/>
              <w:left w:val="nil"/>
              <w:bottom w:val="nil"/>
              <w:right w:val="nil"/>
            </w:tcBorders>
            <w:shd w:val="clear" w:color="auto" w:fill="auto"/>
            <w:noWrap/>
            <w:vAlign w:val="bottom"/>
            <w:hideMark/>
          </w:tcPr>
          <w:p w14:paraId="5D88DCC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91</w:t>
            </w:r>
          </w:p>
        </w:tc>
        <w:tc>
          <w:tcPr>
            <w:tcW w:w="576" w:type="dxa"/>
            <w:tcBorders>
              <w:top w:val="nil"/>
              <w:left w:val="nil"/>
              <w:bottom w:val="nil"/>
              <w:right w:val="nil"/>
            </w:tcBorders>
            <w:shd w:val="clear" w:color="auto" w:fill="auto"/>
            <w:noWrap/>
            <w:vAlign w:val="bottom"/>
            <w:hideMark/>
          </w:tcPr>
          <w:p w14:paraId="668AB9D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91</w:t>
            </w:r>
          </w:p>
        </w:tc>
        <w:tc>
          <w:tcPr>
            <w:tcW w:w="576" w:type="dxa"/>
            <w:tcBorders>
              <w:top w:val="nil"/>
              <w:left w:val="nil"/>
              <w:bottom w:val="nil"/>
              <w:right w:val="nil"/>
            </w:tcBorders>
            <w:shd w:val="clear" w:color="auto" w:fill="auto"/>
            <w:noWrap/>
            <w:vAlign w:val="bottom"/>
            <w:hideMark/>
          </w:tcPr>
          <w:p w14:paraId="7308A7D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98</w:t>
            </w:r>
          </w:p>
        </w:tc>
        <w:tc>
          <w:tcPr>
            <w:tcW w:w="576" w:type="dxa"/>
            <w:tcBorders>
              <w:top w:val="nil"/>
              <w:left w:val="nil"/>
              <w:bottom w:val="nil"/>
              <w:right w:val="nil"/>
            </w:tcBorders>
            <w:shd w:val="clear" w:color="auto" w:fill="auto"/>
            <w:noWrap/>
            <w:vAlign w:val="bottom"/>
            <w:hideMark/>
          </w:tcPr>
          <w:p w14:paraId="2E1B3C5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96</w:t>
            </w:r>
          </w:p>
        </w:tc>
        <w:tc>
          <w:tcPr>
            <w:tcW w:w="576" w:type="dxa"/>
            <w:tcBorders>
              <w:top w:val="nil"/>
              <w:left w:val="nil"/>
              <w:bottom w:val="nil"/>
              <w:right w:val="nil"/>
            </w:tcBorders>
            <w:shd w:val="clear" w:color="auto" w:fill="auto"/>
            <w:noWrap/>
            <w:vAlign w:val="bottom"/>
            <w:hideMark/>
          </w:tcPr>
          <w:p w14:paraId="65E7BF9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89</w:t>
            </w:r>
          </w:p>
        </w:tc>
        <w:tc>
          <w:tcPr>
            <w:tcW w:w="576" w:type="dxa"/>
            <w:tcBorders>
              <w:top w:val="nil"/>
              <w:left w:val="nil"/>
              <w:bottom w:val="nil"/>
              <w:right w:val="nil"/>
            </w:tcBorders>
            <w:shd w:val="clear" w:color="auto" w:fill="auto"/>
            <w:noWrap/>
            <w:vAlign w:val="bottom"/>
            <w:hideMark/>
          </w:tcPr>
          <w:p w14:paraId="06ADA46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99</w:t>
            </w:r>
          </w:p>
        </w:tc>
      </w:tr>
      <w:tr w:rsidR="006258EE" w:rsidRPr="00053D06" w14:paraId="3B4E83FC"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4A679946"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036FF4F7"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i/>
              </w:rPr>
              <w:t>P. trivialis</w:t>
            </w:r>
            <w:r w:rsidRPr="00053D06">
              <w:rPr>
                <w:rFonts w:ascii="Calibri" w:eastAsia="Times New Roman" w:hAnsi="Calibri" w:cs="Times New Roman"/>
                <w:b/>
              </w:rPr>
              <w:t xml:space="preserve"> CCC</w:t>
            </w:r>
          </w:p>
        </w:tc>
        <w:tc>
          <w:tcPr>
            <w:tcW w:w="576" w:type="dxa"/>
            <w:tcBorders>
              <w:top w:val="nil"/>
              <w:left w:val="nil"/>
              <w:bottom w:val="nil"/>
              <w:right w:val="nil"/>
            </w:tcBorders>
            <w:shd w:val="clear" w:color="auto" w:fill="auto"/>
            <w:noWrap/>
            <w:vAlign w:val="bottom"/>
            <w:hideMark/>
          </w:tcPr>
          <w:p w14:paraId="791555B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22</w:t>
            </w:r>
          </w:p>
        </w:tc>
        <w:tc>
          <w:tcPr>
            <w:tcW w:w="576" w:type="dxa"/>
            <w:tcBorders>
              <w:top w:val="nil"/>
              <w:left w:val="nil"/>
              <w:bottom w:val="nil"/>
              <w:right w:val="nil"/>
            </w:tcBorders>
            <w:shd w:val="clear" w:color="auto" w:fill="auto"/>
            <w:noWrap/>
            <w:vAlign w:val="bottom"/>
            <w:hideMark/>
          </w:tcPr>
          <w:p w14:paraId="4286FB5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48</w:t>
            </w:r>
          </w:p>
        </w:tc>
        <w:tc>
          <w:tcPr>
            <w:tcW w:w="576" w:type="dxa"/>
            <w:tcBorders>
              <w:top w:val="nil"/>
              <w:left w:val="nil"/>
              <w:bottom w:val="nil"/>
              <w:right w:val="nil"/>
            </w:tcBorders>
            <w:shd w:val="clear" w:color="auto" w:fill="auto"/>
            <w:noWrap/>
            <w:vAlign w:val="bottom"/>
            <w:hideMark/>
          </w:tcPr>
          <w:p w14:paraId="4F66188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84</w:t>
            </w:r>
          </w:p>
        </w:tc>
        <w:tc>
          <w:tcPr>
            <w:tcW w:w="576" w:type="dxa"/>
            <w:tcBorders>
              <w:top w:val="nil"/>
              <w:left w:val="nil"/>
              <w:bottom w:val="nil"/>
              <w:right w:val="nil"/>
            </w:tcBorders>
            <w:shd w:val="clear" w:color="auto" w:fill="auto"/>
            <w:noWrap/>
            <w:vAlign w:val="bottom"/>
            <w:hideMark/>
          </w:tcPr>
          <w:p w14:paraId="1AC86CB5"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95</w:t>
            </w:r>
          </w:p>
        </w:tc>
        <w:tc>
          <w:tcPr>
            <w:tcW w:w="587" w:type="dxa"/>
            <w:tcBorders>
              <w:top w:val="nil"/>
              <w:left w:val="nil"/>
              <w:bottom w:val="nil"/>
              <w:right w:val="nil"/>
            </w:tcBorders>
            <w:shd w:val="clear" w:color="auto" w:fill="auto"/>
            <w:noWrap/>
            <w:vAlign w:val="bottom"/>
            <w:hideMark/>
          </w:tcPr>
          <w:p w14:paraId="15FF17E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98</w:t>
            </w:r>
          </w:p>
        </w:tc>
        <w:tc>
          <w:tcPr>
            <w:tcW w:w="576" w:type="dxa"/>
            <w:tcBorders>
              <w:top w:val="nil"/>
              <w:left w:val="nil"/>
              <w:bottom w:val="nil"/>
              <w:right w:val="nil"/>
            </w:tcBorders>
            <w:shd w:val="clear" w:color="auto" w:fill="auto"/>
            <w:noWrap/>
            <w:vAlign w:val="bottom"/>
            <w:hideMark/>
          </w:tcPr>
          <w:p w14:paraId="76458D1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42</w:t>
            </w:r>
          </w:p>
        </w:tc>
        <w:tc>
          <w:tcPr>
            <w:tcW w:w="610" w:type="dxa"/>
            <w:tcBorders>
              <w:top w:val="nil"/>
              <w:left w:val="nil"/>
              <w:bottom w:val="nil"/>
              <w:right w:val="nil"/>
            </w:tcBorders>
            <w:shd w:val="clear" w:color="auto" w:fill="auto"/>
            <w:noWrap/>
            <w:vAlign w:val="bottom"/>
            <w:hideMark/>
          </w:tcPr>
          <w:p w14:paraId="65430C8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45</w:t>
            </w:r>
          </w:p>
        </w:tc>
        <w:tc>
          <w:tcPr>
            <w:tcW w:w="576" w:type="dxa"/>
            <w:tcBorders>
              <w:top w:val="nil"/>
              <w:left w:val="nil"/>
              <w:bottom w:val="nil"/>
              <w:right w:val="nil"/>
            </w:tcBorders>
            <w:shd w:val="clear" w:color="auto" w:fill="auto"/>
            <w:noWrap/>
            <w:vAlign w:val="bottom"/>
            <w:hideMark/>
          </w:tcPr>
          <w:p w14:paraId="5843F75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70</w:t>
            </w:r>
          </w:p>
        </w:tc>
        <w:tc>
          <w:tcPr>
            <w:tcW w:w="576" w:type="dxa"/>
            <w:tcBorders>
              <w:top w:val="nil"/>
              <w:left w:val="nil"/>
              <w:bottom w:val="nil"/>
              <w:right w:val="nil"/>
            </w:tcBorders>
            <w:shd w:val="clear" w:color="auto" w:fill="auto"/>
            <w:noWrap/>
            <w:vAlign w:val="bottom"/>
            <w:hideMark/>
          </w:tcPr>
          <w:p w14:paraId="4274F18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83</w:t>
            </w:r>
          </w:p>
        </w:tc>
        <w:tc>
          <w:tcPr>
            <w:tcW w:w="576" w:type="dxa"/>
            <w:tcBorders>
              <w:top w:val="nil"/>
              <w:left w:val="nil"/>
              <w:bottom w:val="nil"/>
              <w:right w:val="nil"/>
            </w:tcBorders>
            <w:shd w:val="clear" w:color="auto" w:fill="auto"/>
            <w:noWrap/>
            <w:vAlign w:val="bottom"/>
            <w:hideMark/>
          </w:tcPr>
          <w:p w14:paraId="1B631DA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90</w:t>
            </w:r>
          </w:p>
        </w:tc>
        <w:tc>
          <w:tcPr>
            <w:tcW w:w="576" w:type="dxa"/>
            <w:tcBorders>
              <w:top w:val="nil"/>
              <w:left w:val="nil"/>
              <w:bottom w:val="nil"/>
              <w:right w:val="nil"/>
            </w:tcBorders>
            <w:shd w:val="clear" w:color="auto" w:fill="auto"/>
            <w:noWrap/>
            <w:vAlign w:val="bottom"/>
            <w:hideMark/>
          </w:tcPr>
          <w:p w14:paraId="4475D72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88</w:t>
            </w:r>
          </w:p>
        </w:tc>
        <w:tc>
          <w:tcPr>
            <w:tcW w:w="576" w:type="dxa"/>
            <w:tcBorders>
              <w:top w:val="nil"/>
              <w:left w:val="nil"/>
              <w:bottom w:val="nil"/>
              <w:right w:val="nil"/>
            </w:tcBorders>
            <w:shd w:val="clear" w:color="auto" w:fill="auto"/>
            <w:noWrap/>
            <w:vAlign w:val="bottom"/>
            <w:hideMark/>
          </w:tcPr>
          <w:p w14:paraId="77CAD4B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98</w:t>
            </w:r>
          </w:p>
        </w:tc>
      </w:tr>
      <w:tr w:rsidR="006258EE" w:rsidRPr="00053D06" w14:paraId="0AF488C3"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4E2A33C9"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44118CAC"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i/>
              </w:rPr>
              <w:t>P. trivialis</w:t>
            </w:r>
            <w:r w:rsidRPr="00053D06">
              <w:rPr>
                <w:rFonts w:ascii="Calibri" w:eastAsia="Times New Roman" w:hAnsi="Calibri" w:cs="Times New Roman"/>
                <w:b/>
              </w:rPr>
              <w:t xml:space="preserve"> WS</w:t>
            </w:r>
          </w:p>
        </w:tc>
        <w:tc>
          <w:tcPr>
            <w:tcW w:w="576" w:type="dxa"/>
            <w:tcBorders>
              <w:top w:val="nil"/>
              <w:left w:val="nil"/>
              <w:bottom w:val="nil"/>
              <w:right w:val="nil"/>
            </w:tcBorders>
            <w:shd w:val="clear" w:color="auto" w:fill="auto"/>
            <w:noWrap/>
            <w:vAlign w:val="bottom"/>
            <w:hideMark/>
          </w:tcPr>
          <w:p w14:paraId="704E767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w:t>
            </w:r>
          </w:p>
        </w:tc>
        <w:tc>
          <w:tcPr>
            <w:tcW w:w="576" w:type="dxa"/>
            <w:tcBorders>
              <w:top w:val="nil"/>
              <w:left w:val="nil"/>
              <w:bottom w:val="nil"/>
              <w:right w:val="nil"/>
            </w:tcBorders>
            <w:shd w:val="clear" w:color="auto" w:fill="auto"/>
            <w:noWrap/>
            <w:vAlign w:val="bottom"/>
            <w:hideMark/>
          </w:tcPr>
          <w:p w14:paraId="0D2417E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17</w:t>
            </w:r>
          </w:p>
        </w:tc>
        <w:tc>
          <w:tcPr>
            <w:tcW w:w="576" w:type="dxa"/>
            <w:tcBorders>
              <w:top w:val="nil"/>
              <w:left w:val="nil"/>
              <w:bottom w:val="nil"/>
              <w:right w:val="nil"/>
            </w:tcBorders>
            <w:shd w:val="clear" w:color="auto" w:fill="auto"/>
            <w:noWrap/>
            <w:vAlign w:val="bottom"/>
            <w:hideMark/>
          </w:tcPr>
          <w:p w14:paraId="3CB62D9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33</w:t>
            </w:r>
          </w:p>
        </w:tc>
        <w:tc>
          <w:tcPr>
            <w:tcW w:w="576" w:type="dxa"/>
            <w:tcBorders>
              <w:top w:val="nil"/>
              <w:left w:val="nil"/>
              <w:bottom w:val="nil"/>
              <w:right w:val="nil"/>
            </w:tcBorders>
            <w:shd w:val="clear" w:color="auto" w:fill="auto"/>
            <w:noWrap/>
            <w:vAlign w:val="bottom"/>
            <w:hideMark/>
          </w:tcPr>
          <w:p w14:paraId="33FF116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48</w:t>
            </w:r>
          </w:p>
        </w:tc>
        <w:tc>
          <w:tcPr>
            <w:tcW w:w="587" w:type="dxa"/>
            <w:tcBorders>
              <w:top w:val="nil"/>
              <w:left w:val="nil"/>
              <w:bottom w:val="nil"/>
              <w:right w:val="nil"/>
            </w:tcBorders>
            <w:shd w:val="clear" w:color="auto" w:fill="auto"/>
            <w:noWrap/>
            <w:vAlign w:val="bottom"/>
            <w:hideMark/>
          </w:tcPr>
          <w:p w14:paraId="5B4B94A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79</w:t>
            </w:r>
          </w:p>
        </w:tc>
        <w:tc>
          <w:tcPr>
            <w:tcW w:w="576" w:type="dxa"/>
            <w:tcBorders>
              <w:top w:val="nil"/>
              <w:left w:val="nil"/>
              <w:bottom w:val="nil"/>
              <w:right w:val="nil"/>
            </w:tcBorders>
            <w:shd w:val="clear" w:color="auto" w:fill="auto"/>
            <w:noWrap/>
            <w:vAlign w:val="bottom"/>
            <w:hideMark/>
          </w:tcPr>
          <w:p w14:paraId="7D939F2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88</w:t>
            </w:r>
          </w:p>
        </w:tc>
        <w:tc>
          <w:tcPr>
            <w:tcW w:w="610" w:type="dxa"/>
            <w:tcBorders>
              <w:top w:val="nil"/>
              <w:left w:val="nil"/>
              <w:bottom w:val="nil"/>
              <w:right w:val="nil"/>
            </w:tcBorders>
            <w:shd w:val="clear" w:color="auto" w:fill="auto"/>
            <w:noWrap/>
            <w:vAlign w:val="bottom"/>
            <w:hideMark/>
          </w:tcPr>
          <w:p w14:paraId="234D104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76</w:t>
            </w:r>
          </w:p>
        </w:tc>
        <w:tc>
          <w:tcPr>
            <w:tcW w:w="576" w:type="dxa"/>
            <w:tcBorders>
              <w:top w:val="nil"/>
              <w:left w:val="nil"/>
              <w:bottom w:val="nil"/>
              <w:right w:val="nil"/>
            </w:tcBorders>
            <w:shd w:val="clear" w:color="auto" w:fill="auto"/>
            <w:noWrap/>
            <w:vAlign w:val="bottom"/>
            <w:hideMark/>
          </w:tcPr>
          <w:p w14:paraId="5E774D4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78</w:t>
            </w:r>
          </w:p>
        </w:tc>
        <w:tc>
          <w:tcPr>
            <w:tcW w:w="576" w:type="dxa"/>
            <w:tcBorders>
              <w:top w:val="nil"/>
              <w:left w:val="nil"/>
              <w:bottom w:val="nil"/>
              <w:right w:val="nil"/>
            </w:tcBorders>
            <w:shd w:val="clear" w:color="auto" w:fill="auto"/>
            <w:noWrap/>
            <w:vAlign w:val="bottom"/>
            <w:hideMark/>
          </w:tcPr>
          <w:p w14:paraId="21DCD84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73</w:t>
            </w:r>
          </w:p>
        </w:tc>
        <w:tc>
          <w:tcPr>
            <w:tcW w:w="576" w:type="dxa"/>
            <w:tcBorders>
              <w:top w:val="nil"/>
              <w:left w:val="nil"/>
              <w:bottom w:val="nil"/>
              <w:right w:val="nil"/>
            </w:tcBorders>
            <w:shd w:val="clear" w:color="auto" w:fill="auto"/>
            <w:noWrap/>
            <w:vAlign w:val="bottom"/>
            <w:hideMark/>
          </w:tcPr>
          <w:p w14:paraId="30616E0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68</w:t>
            </w:r>
          </w:p>
        </w:tc>
        <w:tc>
          <w:tcPr>
            <w:tcW w:w="576" w:type="dxa"/>
            <w:tcBorders>
              <w:top w:val="nil"/>
              <w:left w:val="nil"/>
              <w:bottom w:val="nil"/>
              <w:right w:val="nil"/>
            </w:tcBorders>
            <w:shd w:val="clear" w:color="auto" w:fill="auto"/>
            <w:noWrap/>
            <w:vAlign w:val="bottom"/>
            <w:hideMark/>
          </w:tcPr>
          <w:p w14:paraId="24C6439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63</w:t>
            </w:r>
          </w:p>
        </w:tc>
        <w:tc>
          <w:tcPr>
            <w:tcW w:w="576" w:type="dxa"/>
            <w:tcBorders>
              <w:top w:val="nil"/>
              <w:left w:val="nil"/>
              <w:bottom w:val="nil"/>
              <w:right w:val="nil"/>
            </w:tcBorders>
            <w:shd w:val="clear" w:color="auto" w:fill="auto"/>
            <w:noWrap/>
            <w:vAlign w:val="bottom"/>
            <w:hideMark/>
          </w:tcPr>
          <w:p w14:paraId="651C54F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92</w:t>
            </w:r>
          </w:p>
        </w:tc>
      </w:tr>
      <w:tr w:rsidR="006258EE" w:rsidRPr="00053D06" w14:paraId="1D89EDB5" w14:textId="77777777" w:rsidTr="00F368ED">
        <w:trPr>
          <w:trHeight w:val="300"/>
          <w:jc w:val="center"/>
        </w:trPr>
        <w:tc>
          <w:tcPr>
            <w:tcW w:w="1526" w:type="dxa"/>
            <w:tcBorders>
              <w:top w:val="nil"/>
              <w:left w:val="nil"/>
              <w:bottom w:val="nil"/>
              <w:right w:val="nil"/>
            </w:tcBorders>
            <w:shd w:val="clear" w:color="auto" w:fill="auto"/>
            <w:noWrap/>
            <w:vAlign w:val="bottom"/>
            <w:hideMark/>
          </w:tcPr>
          <w:p w14:paraId="622F4C12" w14:textId="77777777" w:rsidR="006258EE" w:rsidRPr="00053D06" w:rsidRDefault="006258EE" w:rsidP="00F368ED">
            <w:pPr>
              <w:spacing w:after="0" w:line="240" w:lineRule="auto"/>
              <w:rPr>
                <w:rFonts w:ascii="Calibri" w:eastAsia="Times New Roman" w:hAnsi="Calibri" w:cs="Times New Roman"/>
                <w:b/>
              </w:rPr>
            </w:pPr>
          </w:p>
        </w:tc>
        <w:tc>
          <w:tcPr>
            <w:tcW w:w="2362" w:type="dxa"/>
            <w:tcBorders>
              <w:top w:val="nil"/>
              <w:left w:val="nil"/>
              <w:bottom w:val="nil"/>
              <w:right w:val="nil"/>
            </w:tcBorders>
            <w:shd w:val="clear" w:color="auto" w:fill="auto"/>
            <w:noWrap/>
            <w:vAlign w:val="bottom"/>
            <w:hideMark/>
          </w:tcPr>
          <w:p w14:paraId="4B864753"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i/>
              </w:rPr>
              <w:t>P. trivialis</w:t>
            </w:r>
            <w:r w:rsidRPr="00053D06">
              <w:rPr>
                <w:rFonts w:ascii="Calibri" w:eastAsia="Times New Roman" w:hAnsi="Calibri" w:cs="Times New Roman"/>
                <w:b/>
              </w:rPr>
              <w:t xml:space="preserve"> CR</w:t>
            </w:r>
          </w:p>
        </w:tc>
        <w:tc>
          <w:tcPr>
            <w:tcW w:w="576" w:type="dxa"/>
            <w:tcBorders>
              <w:top w:val="nil"/>
              <w:left w:val="nil"/>
              <w:bottom w:val="nil"/>
              <w:right w:val="nil"/>
            </w:tcBorders>
            <w:shd w:val="clear" w:color="auto" w:fill="auto"/>
            <w:noWrap/>
            <w:vAlign w:val="bottom"/>
            <w:hideMark/>
          </w:tcPr>
          <w:p w14:paraId="796B0D7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21</w:t>
            </w:r>
          </w:p>
        </w:tc>
        <w:tc>
          <w:tcPr>
            <w:tcW w:w="576" w:type="dxa"/>
            <w:tcBorders>
              <w:top w:val="nil"/>
              <w:left w:val="nil"/>
              <w:bottom w:val="nil"/>
              <w:right w:val="nil"/>
            </w:tcBorders>
            <w:shd w:val="clear" w:color="auto" w:fill="auto"/>
            <w:noWrap/>
            <w:vAlign w:val="bottom"/>
            <w:hideMark/>
          </w:tcPr>
          <w:p w14:paraId="1AF1B2E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44</w:t>
            </w:r>
          </w:p>
        </w:tc>
        <w:tc>
          <w:tcPr>
            <w:tcW w:w="576" w:type="dxa"/>
            <w:tcBorders>
              <w:top w:val="nil"/>
              <w:left w:val="nil"/>
              <w:bottom w:val="nil"/>
              <w:right w:val="nil"/>
            </w:tcBorders>
            <w:shd w:val="clear" w:color="auto" w:fill="auto"/>
            <w:noWrap/>
            <w:vAlign w:val="bottom"/>
            <w:hideMark/>
          </w:tcPr>
          <w:p w14:paraId="4568316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74</w:t>
            </w:r>
          </w:p>
        </w:tc>
        <w:tc>
          <w:tcPr>
            <w:tcW w:w="576" w:type="dxa"/>
            <w:tcBorders>
              <w:top w:val="nil"/>
              <w:left w:val="nil"/>
              <w:bottom w:val="nil"/>
              <w:right w:val="nil"/>
            </w:tcBorders>
            <w:shd w:val="clear" w:color="auto" w:fill="auto"/>
            <w:noWrap/>
            <w:vAlign w:val="bottom"/>
            <w:hideMark/>
          </w:tcPr>
          <w:p w14:paraId="493B800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83</w:t>
            </w:r>
          </w:p>
        </w:tc>
        <w:tc>
          <w:tcPr>
            <w:tcW w:w="587" w:type="dxa"/>
            <w:tcBorders>
              <w:top w:val="nil"/>
              <w:left w:val="nil"/>
              <w:bottom w:val="nil"/>
              <w:right w:val="nil"/>
            </w:tcBorders>
            <w:shd w:val="clear" w:color="auto" w:fill="auto"/>
            <w:noWrap/>
            <w:vAlign w:val="bottom"/>
            <w:hideMark/>
          </w:tcPr>
          <w:p w14:paraId="0AAB56F3"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92</w:t>
            </w:r>
          </w:p>
        </w:tc>
        <w:tc>
          <w:tcPr>
            <w:tcW w:w="576" w:type="dxa"/>
            <w:tcBorders>
              <w:top w:val="nil"/>
              <w:left w:val="nil"/>
              <w:bottom w:val="nil"/>
              <w:right w:val="nil"/>
            </w:tcBorders>
            <w:shd w:val="clear" w:color="auto" w:fill="auto"/>
            <w:noWrap/>
            <w:vAlign w:val="bottom"/>
            <w:hideMark/>
          </w:tcPr>
          <w:p w14:paraId="6A3369E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93</w:t>
            </w:r>
          </w:p>
        </w:tc>
        <w:tc>
          <w:tcPr>
            <w:tcW w:w="610" w:type="dxa"/>
            <w:tcBorders>
              <w:top w:val="nil"/>
              <w:left w:val="nil"/>
              <w:bottom w:val="nil"/>
              <w:right w:val="nil"/>
            </w:tcBorders>
            <w:shd w:val="clear" w:color="auto" w:fill="auto"/>
            <w:noWrap/>
            <w:vAlign w:val="bottom"/>
            <w:hideMark/>
          </w:tcPr>
          <w:p w14:paraId="51731457"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78</w:t>
            </w:r>
          </w:p>
        </w:tc>
        <w:tc>
          <w:tcPr>
            <w:tcW w:w="576" w:type="dxa"/>
            <w:tcBorders>
              <w:top w:val="nil"/>
              <w:left w:val="nil"/>
              <w:bottom w:val="nil"/>
              <w:right w:val="nil"/>
            </w:tcBorders>
            <w:shd w:val="clear" w:color="auto" w:fill="auto"/>
            <w:noWrap/>
            <w:vAlign w:val="bottom"/>
            <w:hideMark/>
          </w:tcPr>
          <w:p w14:paraId="46E041B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92</w:t>
            </w:r>
          </w:p>
        </w:tc>
        <w:tc>
          <w:tcPr>
            <w:tcW w:w="576" w:type="dxa"/>
            <w:tcBorders>
              <w:top w:val="nil"/>
              <w:left w:val="nil"/>
              <w:bottom w:val="nil"/>
              <w:right w:val="nil"/>
            </w:tcBorders>
            <w:shd w:val="clear" w:color="auto" w:fill="auto"/>
            <w:noWrap/>
            <w:vAlign w:val="bottom"/>
            <w:hideMark/>
          </w:tcPr>
          <w:p w14:paraId="244704B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81</w:t>
            </w:r>
          </w:p>
        </w:tc>
        <w:tc>
          <w:tcPr>
            <w:tcW w:w="576" w:type="dxa"/>
            <w:tcBorders>
              <w:top w:val="nil"/>
              <w:left w:val="nil"/>
              <w:bottom w:val="nil"/>
              <w:right w:val="nil"/>
            </w:tcBorders>
            <w:shd w:val="clear" w:color="auto" w:fill="auto"/>
            <w:noWrap/>
            <w:vAlign w:val="bottom"/>
            <w:hideMark/>
          </w:tcPr>
          <w:p w14:paraId="538BDF0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86</w:t>
            </w:r>
          </w:p>
        </w:tc>
        <w:tc>
          <w:tcPr>
            <w:tcW w:w="576" w:type="dxa"/>
            <w:tcBorders>
              <w:top w:val="nil"/>
              <w:left w:val="nil"/>
              <w:bottom w:val="nil"/>
              <w:right w:val="nil"/>
            </w:tcBorders>
            <w:shd w:val="clear" w:color="auto" w:fill="auto"/>
            <w:noWrap/>
            <w:vAlign w:val="bottom"/>
            <w:hideMark/>
          </w:tcPr>
          <w:p w14:paraId="37F7080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69</w:t>
            </w:r>
          </w:p>
        </w:tc>
        <w:tc>
          <w:tcPr>
            <w:tcW w:w="576" w:type="dxa"/>
            <w:tcBorders>
              <w:top w:val="nil"/>
              <w:left w:val="nil"/>
              <w:bottom w:val="nil"/>
              <w:right w:val="nil"/>
            </w:tcBorders>
            <w:shd w:val="clear" w:color="auto" w:fill="auto"/>
            <w:noWrap/>
            <w:vAlign w:val="bottom"/>
            <w:hideMark/>
          </w:tcPr>
          <w:p w14:paraId="1AFAAB4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93</w:t>
            </w:r>
          </w:p>
        </w:tc>
      </w:tr>
      <w:tr w:rsidR="006258EE" w:rsidRPr="00053D06" w14:paraId="19E15C36" w14:textId="77777777" w:rsidTr="00F368ED">
        <w:trPr>
          <w:trHeight w:val="300"/>
          <w:jc w:val="center"/>
        </w:trPr>
        <w:tc>
          <w:tcPr>
            <w:tcW w:w="1526" w:type="dxa"/>
            <w:tcBorders>
              <w:top w:val="nil"/>
              <w:left w:val="nil"/>
              <w:bottom w:val="single" w:sz="4" w:space="0" w:color="auto"/>
              <w:right w:val="nil"/>
            </w:tcBorders>
            <w:shd w:val="clear" w:color="auto" w:fill="auto"/>
            <w:noWrap/>
            <w:vAlign w:val="bottom"/>
            <w:hideMark/>
          </w:tcPr>
          <w:p w14:paraId="4F70F898"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 </w:t>
            </w:r>
          </w:p>
        </w:tc>
        <w:tc>
          <w:tcPr>
            <w:tcW w:w="2362" w:type="dxa"/>
            <w:tcBorders>
              <w:top w:val="nil"/>
              <w:left w:val="nil"/>
              <w:bottom w:val="nil"/>
              <w:right w:val="nil"/>
            </w:tcBorders>
            <w:shd w:val="clear" w:color="auto" w:fill="auto"/>
            <w:noWrap/>
            <w:vAlign w:val="bottom"/>
            <w:hideMark/>
          </w:tcPr>
          <w:p w14:paraId="3BFDAFC4"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i/>
              </w:rPr>
              <w:t>P. spp</w:t>
            </w:r>
            <w:r w:rsidRPr="00053D06">
              <w:rPr>
                <w:rFonts w:ascii="Calibri" w:eastAsia="Times New Roman" w:hAnsi="Calibri" w:cs="Times New Roman"/>
                <w:b/>
              </w:rPr>
              <w:t>. PI 16171</w:t>
            </w:r>
          </w:p>
        </w:tc>
        <w:tc>
          <w:tcPr>
            <w:tcW w:w="576" w:type="dxa"/>
            <w:tcBorders>
              <w:top w:val="nil"/>
              <w:left w:val="nil"/>
              <w:bottom w:val="single" w:sz="4" w:space="0" w:color="auto"/>
              <w:right w:val="nil"/>
            </w:tcBorders>
            <w:shd w:val="clear" w:color="auto" w:fill="auto"/>
            <w:noWrap/>
            <w:vAlign w:val="bottom"/>
            <w:hideMark/>
          </w:tcPr>
          <w:p w14:paraId="0E4CD62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20</w:t>
            </w:r>
          </w:p>
        </w:tc>
        <w:tc>
          <w:tcPr>
            <w:tcW w:w="576" w:type="dxa"/>
            <w:tcBorders>
              <w:top w:val="nil"/>
              <w:left w:val="nil"/>
              <w:bottom w:val="single" w:sz="4" w:space="0" w:color="auto"/>
              <w:right w:val="nil"/>
            </w:tcBorders>
            <w:shd w:val="clear" w:color="auto" w:fill="auto"/>
            <w:noWrap/>
            <w:vAlign w:val="bottom"/>
            <w:hideMark/>
          </w:tcPr>
          <w:p w14:paraId="34C0A23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41</w:t>
            </w:r>
          </w:p>
        </w:tc>
        <w:tc>
          <w:tcPr>
            <w:tcW w:w="576" w:type="dxa"/>
            <w:tcBorders>
              <w:top w:val="nil"/>
              <w:left w:val="nil"/>
              <w:bottom w:val="single" w:sz="4" w:space="0" w:color="auto"/>
              <w:right w:val="nil"/>
            </w:tcBorders>
            <w:shd w:val="clear" w:color="auto" w:fill="auto"/>
            <w:noWrap/>
            <w:vAlign w:val="bottom"/>
            <w:hideMark/>
          </w:tcPr>
          <w:p w14:paraId="5D1BB7C0"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72</w:t>
            </w:r>
          </w:p>
        </w:tc>
        <w:tc>
          <w:tcPr>
            <w:tcW w:w="576" w:type="dxa"/>
            <w:tcBorders>
              <w:top w:val="nil"/>
              <w:left w:val="nil"/>
              <w:bottom w:val="single" w:sz="4" w:space="0" w:color="auto"/>
              <w:right w:val="nil"/>
            </w:tcBorders>
            <w:shd w:val="clear" w:color="auto" w:fill="auto"/>
            <w:noWrap/>
            <w:vAlign w:val="bottom"/>
            <w:hideMark/>
          </w:tcPr>
          <w:p w14:paraId="0B651B31"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79</w:t>
            </w:r>
          </w:p>
        </w:tc>
        <w:tc>
          <w:tcPr>
            <w:tcW w:w="587" w:type="dxa"/>
            <w:tcBorders>
              <w:top w:val="nil"/>
              <w:left w:val="nil"/>
              <w:bottom w:val="single" w:sz="4" w:space="0" w:color="auto"/>
              <w:right w:val="nil"/>
            </w:tcBorders>
            <w:shd w:val="clear" w:color="auto" w:fill="auto"/>
            <w:noWrap/>
            <w:vAlign w:val="bottom"/>
            <w:hideMark/>
          </w:tcPr>
          <w:p w14:paraId="40D0E37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90</w:t>
            </w:r>
          </w:p>
        </w:tc>
        <w:tc>
          <w:tcPr>
            <w:tcW w:w="576" w:type="dxa"/>
            <w:tcBorders>
              <w:top w:val="nil"/>
              <w:left w:val="nil"/>
              <w:bottom w:val="single" w:sz="4" w:space="0" w:color="auto"/>
              <w:right w:val="nil"/>
            </w:tcBorders>
            <w:shd w:val="clear" w:color="auto" w:fill="auto"/>
            <w:noWrap/>
            <w:vAlign w:val="bottom"/>
            <w:hideMark/>
          </w:tcPr>
          <w:p w14:paraId="28B4378F"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58</w:t>
            </w:r>
          </w:p>
        </w:tc>
        <w:tc>
          <w:tcPr>
            <w:tcW w:w="610" w:type="dxa"/>
            <w:tcBorders>
              <w:top w:val="nil"/>
              <w:left w:val="nil"/>
              <w:bottom w:val="single" w:sz="4" w:space="0" w:color="auto"/>
              <w:right w:val="nil"/>
            </w:tcBorders>
            <w:shd w:val="clear" w:color="auto" w:fill="auto"/>
            <w:noWrap/>
            <w:vAlign w:val="bottom"/>
            <w:hideMark/>
          </w:tcPr>
          <w:p w14:paraId="24C43A2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46</w:t>
            </w:r>
          </w:p>
        </w:tc>
        <w:tc>
          <w:tcPr>
            <w:tcW w:w="576" w:type="dxa"/>
            <w:tcBorders>
              <w:top w:val="nil"/>
              <w:left w:val="nil"/>
              <w:bottom w:val="single" w:sz="4" w:space="0" w:color="auto"/>
              <w:right w:val="nil"/>
            </w:tcBorders>
            <w:shd w:val="clear" w:color="auto" w:fill="auto"/>
            <w:noWrap/>
            <w:vAlign w:val="bottom"/>
            <w:hideMark/>
          </w:tcPr>
          <w:p w14:paraId="16F87FE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78</w:t>
            </w:r>
          </w:p>
        </w:tc>
        <w:tc>
          <w:tcPr>
            <w:tcW w:w="576" w:type="dxa"/>
            <w:tcBorders>
              <w:top w:val="nil"/>
              <w:left w:val="nil"/>
              <w:bottom w:val="single" w:sz="4" w:space="0" w:color="auto"/>
              <w:right w:val="nil"/>
            </w:tcBorders>
            <w:shd w:val="clear" w:color="auto" w:fill="auto"/>
            <w:noWrap/>
            <w:vAlign w:val="bottom"/>
            <w:hideMark/>
          </w:tcPr>
          <w:p w14:paraId="56508E0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78</w:t>
            </w:r>
          </w:p>
        </w:tc>
        <w:tc>
          <w:tcPr>
            <w:tcW w:w="576" w:type="dxa"/>
            <w:tcBorders>
              <w:top w:val="nil"/>
              <w:left w:val="nil"/>
              <w:bottom w:val="single" w:sz="4" w:space="0" w:color="auto"/>
              <w:right w:val="nil"/>
            </w:tcBorders>
            <w:shd w:val="clear" w:color="auto" w:fill="auto"/>
            <w:noWrap/>
            <w:vAlign w:val="bottom"/>
            <w:hideMark/>
          </w:tcPr>
          <w:p w14:paraId="6B66523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72</w:t>
            </w:r>
          </w:p>
        </w:tc>
        <w:tc>
          <w:tcPr>
            <w:tcW w:w="576" w:type="dxa"/>
            <w:tcBorders>
              <w:top w:val="nil"/>
              <w:left w:val="nil"/>
              <w:bottom w:val="single" w:sz="4" w:space="0" w:color="auto"/>
              <w:right w:val="nil"/>
            </w:tcBorders>
            <w:shd w:val="clear" w:color="auto" w:fill="auto"/>
            <w:noWrap/>
            <w:vAlign w:val="bottom"/>
            <w:hideMark/>
          </w:tcPr>
          <w:p w14:paraId="4F6D5C2D"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68</w:t>
            </w:r>
          </w:p>
        </w:tc>
        <w:tc>
          <w:tcPr>
            <w:tcW w:w="576" w:type="dxa"/>
            <w:tcBorders>
              <w:top w:val="nil"/>
              <w:left w:val="nil"/>
              <w:bottom w:val="single" w:sz="4" w:space="0" w:color="auto"/>
              <w:right w:val="nil"/>
            </w:tcBorders>
            <w:shd w:val="clear" w:color="auto" w:fill="auto"/>
            <w:noWrap/>
            <w:vAlign w:val="bottom"/>
            <w:hideMark/>
          </w:tcPr>
          <w:p w14:paraId="317613C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83</w:t>
            </w:r>
          </w:p>
        </w:tc>
      </w:tr>
      <w:tr w:rsidR="006258EE" w:rsidRPr="00053D06" w14:paraId="51773440" w14:textId="77777777" w:rsidTr="00F368ED">
        <w:trPr>
          <w:trHeight w:val="300"/>
          <w:jc w:val="center"/>
        </w:trPr>
        <w:tc>
          <w:tcPr>
            <w:tcW w:w="1526" w:type="dxa"/>
            <w:tcBorders>
              <w:top w:val="nil"/>
              <w:left w:val="nil"/>
              <w:bottom w:val="single" w:sz="4" w:space="0" w:color="auto"/>
              <w:right w:val="nil"/>
            </w:tcBorders>
            <w:shd w:val="clear" w:color="auto" w:fill="auto"/>
            <w:noWrap/>
            <w:vAlign w:val="bottom"/>
            <w:hideMark/>
          </w:tcPr>
          <w:p w14:paraId="759B4FD1"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LSD</w:t>
            </w:r>
          </w:p>
        </w:tc>
        <w:tc>
          <w:tcPr>
            <w:tcW w:w="2362" w:type="dxa"/>
            <w:tcBorders>
              <w:top w:val="single" w:sz="4" w:space="0" w:color="auto"/>
              <w:left w:val="nil"/>
              <w:bottom w:val="single" w:sz="4" w:space="0" w:color="auto"/>
              <w:right w:val="nil"/>
            </w:tcBorders>
            <w:shd w:val="clear" w:color="auto" w:fill="auto"/>
            <w:noWrap/>
            <w:vAlign w:val="bottom"/>
            <w:hideMark/>
          </w:tcPr>
          <w:p w14:paraId="6251FAB6" w14:textId="77777777" w:rsidR="006258EE" w:rsidRPr="00053D06" w:rsidRDefault="006258EE" w:rsidP="00F368ED">
            <w:pPr>
              <w:spacing w:after="0" w:line="240" w:lineRule="auto"/>
              <w:rPr>
                <w:rFonts w:ascii="Calibri" w:eastAsia="Times New Roman" w:hAnsi="Calibri" w:cs="Times New Roman"/>
                <w:b/>
              </w:rPr>
            </w:pPr>
            <w:r w:rsidRPr="00053D06">
              <w:rPr>
                <w:rFonts w:ascii="Calibri" w:eastAsia="Times New Roman" w:hAnsi="Calibri" w:cs="Times New Roman"/>
                <w:b/>
              </w:rPr>
              <w:t> </w:t>
            </w:r>
          </w:p>
        </w:tc>
        <w:tc>
          <w:tcPr>
            <w:tcW w:w="576" w:type="dxa"/>
            <w:tcBorders>
              <w:top w:val="nil"/>
              <w:left w:val="nil"/>
              <w:bottom w:val="single" w:sz="4" w:space="0" w:color="auto"/>
              <w:right w:val="nil"/>
            </w:tcBorders>
            <w:shd w:val="clear" w:color="auto" w:fill="auto"/>
            <w:noWrap/>
            <w:vAlign w:val="bottom"/>
            <w:hideMark/>
          </w:tcPr>
          <w:p w14:paraId="7E0C06A2"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3</w:t>
            </w:r>
          </w:p>
        </w:tc>
        <w:tc>
          <w:tcPr>
            <w:tcW w:w="576" w:type="dxa"/>
            <w:tcBorders>
              <w:top w:val="nil"/>
              <w:left w:val="nil"/>
              <w:bottom w:val="single" w:sz="4" w:space="0" w:color="auto"/>
              <w:right w:val="nil"/>
            </w:tcBorders>
            <w:shd w:val="clear" w:color="auto" w:fill="auto"/>
            <w:noWrap/>
            <w:vAlign w:val="bottom"/>
            <w:hideMark/>
          </w:tcPr>
          <w:p w14:paraId="2E6771F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5</w:t>
            </w:r>
          </w:p>
        </w:tc>
        <w:tc>
          <w:tcPr>
            <w:tcW w:w="576" w:type="dxa"/>
            <w:tcBorders>
              <w:top w:val="nil"/>
              <w:left w:val="nil"/>
              <w:bottom w:val="single" w:sz="4" w:space="0" w:color="auto"/>
              <w:right w:val="nil"/>
            </w:tcBorders>
            <w:shd w:val="clear" w:color="auto" w:fill="auto"/>
            <w:noWrap/>
            <w:vAlign w:val="bottom"/>
            <w:hideMark/>
          </w:tcPr>
          <w:p w14:paraId="518C9136"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w:t>
            </w:r>
          </w:p>
        </w:tc>
        <w:tc>
          <w:tcPr>
            <w:tcW w:w="576" w:type="dxa"/>
            <w:tcBorders>
              <w:top w:val="nil"/>
              <w:left w:val="nil"/>
              <w:bottom w:val="single" w:sz="4" w:space="0" w:color="auto"/>
              <w:right w:val="nil"/>
            </w:tcBorders>
            <w:shd w:val="clear" w:color="auto" w:fill="auto"/>
            <w:noWrap/>
            <w:vAlign w:val="bottom"/>
            <w:hideMark/>
          </w:tcPr>
          <w:p w14:paraId="18AB951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8</w:t>
            </w:r>
          </w:p>
        </w:tc>
        <w:tc>
          <w:tcPr>
            <w:tcW w:w="587" w:type="dxa"/>
            <w:tcBorders>
              <w:top w:val="nil"/>
              <w:left w:val="nil"/>
              <w:bottom w:val="single" w:sz="4" w:space="0" w:color="auto"/>
              <w:right w:val="nil"/>
            </w:tcBorders>
            <w:shd w:val="clear" w:color="auto" w:fill="auto"/>
            <w:noWrap/>
            <w:vAlign w:val="bottom"/>
            <w:hideMark/>
          </w:tcPr>
          <w:p w14:paraId="0983705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w:t>
            </w:r>
          </w:p>
        </w:tc>
        <w:tc>
          <w:tcPr>
            <w:tcW w:w="576" w:type="dxa"/>
            <w:tcBorders>
              <w:top w:val="nil"/>
              <w:left w:val="nil"/>
              <w:bottom w:val="single" w:sz="4" w:space="0" w:color="auto"/>
              <w:right w:val="nil"/>
            </w:tcBorders>
            <w:shd w:val="clear" w:color="auto" w:fill="auto"/>
            <w:noWrap/>
            <w:vAlign w:val="bottom"/>
            <w:hideMark/>
          </w:tcPr>
          <w:p w14:paraId="1279A368"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w:t>
            </w:r>
          </w:p>
        </w:tc>
        <w:tc>
          <w:tcPr>
            <w:tcW w:w="610" w:type="dxa"/>
            <w:tcBorders>
              <w:top w:val="nil"/>
              <w:left w:val="nil"/>
              <w:bottom w:val="single" w:sz="4" w:space="0" w:color="auto"/>
              <w:right w:val="nil"/>
            </w:tcBorders>
            <w:shd w:val="clear" w:color="auto" w:fill="auto"/>
            <w:noWrap/>
            <w:vAlign w:val="bottom"/>
            <w:hideMark/>
          </w:tcPr>
          <w:p w14:paraId="5F7E928A"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w:t>
            </w:r>
          </w:p>
        </w:tc>
        <w:tc>
          <w:tcPr>
            <w:tcW w:w="576" w:type="dxa"/>
            <w:tcBorders>
              <w:top w:val="nil"/>
              <w:left w:val="nil"/>
              <w:bottom w:val="single" w:sz="4" w:space="0" w:color="auto"/>
              <w:right w:val="nil"/>
            </w:tcBorders>
            <w:shd w:val="clear" w:color="auto" w:fill="auto"/>
            <w:noWrap/>
            <w:vAlign w:val="bottom"/>
            <w:hideMark/>
          </w:tcPr>
          <w:p w14:paraId="15C89619"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9</w:t>
            </w:r>
          </w:p>
        </w:tc>
        <w:tc>
          <w:tcPr>
            <w:tcW w:w="576" w:type="dxa"/>
            <w:tcBorders>
              <w:top w:val="nil"/>
              <w:left w:val="nil"/>
              <w:bottom w:val="single" w:sz="4" w:space="0" w:color="auto"/>
              <w:right w:val="nil"/>
            </w:tcBorders>
            <w:shd w:val="clear" w:color="auto" w:fill="auto"/>
            <w:noWrap/>
            <w:vAlign w:val="bottom"/>
            <w:hideMark/>
          </w:tcPr>
          <w:p w14:paraId="4B32E804"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c>
          <w:tcPr>
            <w:tcW w:w="576" w:type="dxa"/>
            <w:tcBorders>
              <w:top w:val="nil"/>
              <w:left w:val="nil"/>
              <w:bottom w:val="single" w:sz="4" w:space="0" w:color="auto"/>
              <w:right w:val="nil"/>
            </w:tcBorders>
            <w:shd w:val="clear" w:color="auto" w:fill="auto"/>
            <w:noWrap/>
            <w:vAlign w:val="bottom"/>
            <w:hideMark/>
          </w:tcPr>
          <w:p w14:paraId="7AFBBE5C"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12</w:t>
            </w:r>
          </w:p>
        </w:tc>
        <w:tc>
          <w:tcPr>
            <w:tcW w:w="576" w:type="dxa"/>
            <w:tcBorders>
              <w:top w:val="nil"/>
              <w:left w:val="nil"/>
              <w:bottom w:val="single" w:sz="4" w:space="0" w:color="auto"/>
              <w:right w:val="nil"/>
            </w:tcBorders>
            <w:shd w:val="clear" w:color="auto" w:fill="auto"/>
            <w:noWrap/>
            <w:vAlign w:val="bottom"/>
            <w:hideMark/>
          </w:tcPr>
          <w:p w14:paraId="26C2D89E"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14</w:t>
            </w:r>
          </w:p>
        </w:tc>
        <w:tc>
          <w:tcPr>
            <w:tcW w:w="576" w:type="dxa"/>
            <w:tcBorders>
              <w:top w:val="nil"/>
              <w:left w:val="nil"/>
              <w:bottom w:val="single" w:sz="4" w:space="0" w:color="auto"/>
              <w:right w:val="nil"/>
            </w:tcBorders>
            <w:shd w:val="clear" w:color="auto" w:fill="auto"/>
            <w:noWrap/>
            <w:vAlign w:val="bottom"/>
            <w:hideMark/>
          </w:tcPr>
          <w:p w14:paraId="1BFCEF5B" w14:textId="77777777" w:rsidR="006258EE" w:rsidRPr="00053D06" w:rsidRDefault="006258EE" w:rsidP="00F368ED">
            <w:pPr>
              <w:spacing w:after="0" w:line="240" w:lineRule="auto"/>
              <w:jc w:val="center"/>
              <w:rPr>
                <w:rFonts w:ascii="Calibri" w:eastAsia="Times New Roman" w:hAnsi="Calibri" w:cs="Times New Roman"/>
                <w:b/>
              </w:rPr>
            </w:pPr>
            <w:r w:rsidRPr="00053D06">
              <w:rPr>
                <w:rFonts w:ascii="Calibri" w:eastAsia="Times New Roman" w:hAnsi="Calibri" w:cs="Times New Roman"/>
                <w:b/>
              </w:rPr>
              <w:t>16</w:t>
            </w:r>
          </w:p>
        </w:tc>
      </w:tr>
    </w:tbl>
    <w:p w14:paraId="651C4BF2" w14:textId="77777777" w:rsidR="00ED7955" w:rsidRPr="00ED7955" w:rsidRDefault="00ED7955" w:rsidP="00ED7955"/>
    <w:p w14:paraId="099A74CF" w14:textId="77777777" w:rsidR="00686236" w:rsidRDefault="00686236">
      <w:pPr>
        <w:sectPr w:rsidR="00686236" w:rsidSect="00B0077C">
          <w:pgSz w:w="15840" w:h="12240" w:orient="landscape"/>
          <w:pgMar w:top="1440" w:right="1440" w:bottom="1440" w:left="1440" w:header="720" w:footer="720" w:gutter="0"/>
          <w:cols w:space="720"/>
          <w:docGrid w:linePitch="360"/>
        </w:sectPr>
      </w:pPr>
      <w:r>
        <w:br w:type="page"/>
      </w:r>
    </w:p>
    <w:p w14:paraId="057FE047" w14:textId="77777777" w:rsidR="00686236" w:rsidRDefault="00686236"/>
    <w:p w14:paraId="15CBA451" w14:textId="77777777" w:rsidR="00686236" w:rsidRDefault="00686236"/>
    <w:p w14:paraId="406B6475" w14:textId="77777777" w:rsidR="00686236" w:rsidRDefault="00686236"/>
    <w:p w14:paraId="72F9BCB6" w14:textId="77777777" w:rsidR="00686236" w:rsidRDefault="00686236"/>
    <w:p w14:paraId="71C974A5" w14:textId="77777777" w:rsidR="00686236" w:rsidRDefault="00686236"/>
    <w:p w14:paraId="588CD8BF" w14:textId="77777777" w:rsidR="00686236" w:rsidRDefault="00686236"/>
    <w:p w14:paraId="2E640C80" w14:textId="77777777" w:rsidR="00686236" w:rsidRDefault="00686236"/>
    <w:p w14:paraId="4F4060AB" w14:textId="77777777" w:rsidR="00686236" w:rsidRDefault="00686236"/>
    <w:p w14:paraId="73C9559D" w14:textId="77777777" w:rsidR="00686236" w:rsidRDefault="00686236"/>
    <w:p w14:paraId="0DE64B8B" w14:textId="77777777" w:rsidR="00686236" w:rsidRDefault="00686236"/>
    <w:p w14:paraId="56ECCF5D" w14:textId="77777777" w:rsidR="00686236" w:rsidRDefault="00686236"/>
    <w:p w14:paraId="55DC01A5" w14:textId="77777777" w:rsidR="00686236" w:rsidRDefault="00686236"/>
    <w:p w14:paraId="7437EF21" w14:textId="77777777" w:rsidR="0001663B" w:rsidRDefault="007C54EB" w:rsidP="0001663B">
      <w:pPr>
        <w:pStyle w:val="Heading2"/>
      </w:pPr>
      <w:bookmarkStart w:id="17" w:name="_Toc354003323"/>
      <w:r>
        <w:t xml:space="preserve">Appendix </w:t>
      </w:r>
      <w:r w:rsidR="00686236">
        <w:t>B</w:t>
      </w:r>
      <w:bookmarkEnd w:id="17"/>
    </w:p>
    <w:p w14:paraId="20DDBD2D" w14:textId="77777777" w:rsidR="00686236" w:rsidRDefault="00686236" w:rsidP="00686236"/>
    <w:p w14:paraId="75AF284F" w14:textId="77777777" w:rsidR="00686236" w:rsidRDefault="00686236" w:rsidP="00686236">
      <w:pPr>
        <w:pStyle w:val="Heading2"/>
      </w:pPr>
      <w:bookmarkStart w:id="18" w:name="_Toc354003324"/>
      <w:r>
        <w:t>Figures</w:t>
      </w:r>
      <w:bookmarkEnd w:id="18"/>
    </w:p>
    <w:p w14:paraId="5BAA4B0B" w14:textId="77777777" w:rsidR="00686236" w:rsidRDefault="00686236">
      <w:r>
        <w:br w:type="page"/>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661"/>
      </w:tblGrid>
      <w:tr w:rsidR="00686236" w:rsidRPr="00681745" w14:paraId="39985C29" w14:textId="77777777" w:rsidTr="00686236">
        <w:trPr>
          <w:trHeight w:val="4212"/>
        </w:trPr>
        <w:tc>
          <w:tcPr>
            <w:tcW w:w="540" w:type="dxa"/>
          </w:tcPr>
          <w:p w14:paraId="2F0DD803" w14:textId="77777777" w:rsidR="00686236" w:rsidRPr="00681745" w:rsidRDefault="00686236" w:rsidP="00F368ED">
            <w:pPr>
              <w:spacing w:line="480" w:lineRule="auto"/>
              <w:rPr>
                <w:rFonts w:ascii="Times New Roman" w:eastAsiaTheme="minorHAnsi" w:hAnsi="Times New Roman" w:cs="Times New Roman"/>
                <w:b/>
                <w:sz w:val="32"/>
              </w:rPr>
            </w:pPr>
            <w:r w:rsidRPr="00681745">
              <w:rPr>
                <w:rFonts w:ascii="Times New Roman" w:eastAsiaTheme="minorHAnsi" w:hAnsi="Times New Roman" w:cs="Times New Roman"/>
                <w:b/>
                <w:sz w:val="32"/>
              </w:rPr>
              <w:lastRenderedPageBreak/>
              <w:t>A</w:t>
            </w:r>
          </w:p>
        </w:tc>
        <w:tc>
          <w:tcPr>
            <w:tcW w:w="8661" w:type="dxa"/>
          </w:tcPr>
          <w:p w14:paraId="4124BDF6" w14:textId="77777777" w:rsidR="00686236" w:rsidRPr="00681745" w:rsidRDefault="00686236" w:rsidP="00F368ED">
            <w:pPr>
              <w:spacing w:line="480" w:lineRule="auto"/>
              <w:rPr>
                <w:rFonts w:ascii="Times New Roman" w:eastAsiaTheme="minorHAnsi" w:hAnsi="Times New Roman" w:cs="Times New Roman"/>
                <w:sz w:val="24"/>
              </w:rPr>
            </w:pPr>
            <w:r w:rsidRPr="00681745">
              <w:rPr>
                <w:rFonts w:eastAsiaTheme="minorHAnsi"/>
                <w:noProof/>
              </w:rPr>
              <w:drawing>
                <wp:inline distT="0" distB="0" distL="0" distR="0" wp14:anchorId="578F7BF2" wp14:editId="3692DA3E">
                  <wp:extent cx="5305425" cy="27146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686236" w:rsidRPr="00681745" w14:paraId="16E699B0" w14:textId="77777777" w:rsidTr="00686236">
        <w:tc>
          <w:tcPr>
            <w:tcW w:w="540" w:type="dxa"/>
          </w:tcPr>
          <w:p w14:paraId="251469E9" w14:textId="77777777" w:rsidR="00686236" w:rsidRPr="00681745" w:rsidRDefault="00686236" w:rsidP="00F368ED">
            <w:pPr>
              <w:spacing w:line="480" w:lineRule="auto"/>
              <w:rPr>
                <w:rFonts w:ascii="Times New Roman" w:eastAsiaTheme="minorHAnsi" w:hAnsi="Times New Roman" w:cs="Times New Roman"/>
                <w:b/>
                <w:sz w:val="32"/>
              </w:rPr>
            </w:pPr>
            <w:r w:rsidRPr="00681745">
              <w:rPr>
                <w:rFonts w:ascii="Times New Roman" w:eastAsiaTheme="minorHAnsi" w:hAnsi="Times New Roman" w:cs="Times New Roman"/>
                <w:b/>
                <w:sz w:val="32"/>
              </w:rPr>
              <w:t>B</w:t>
            </w:r>
          </w:p>
        </w:tc>
        <w:tc>
          <w:tcPr>
            <w:tcW w:w="8661" w:type="dxa"/>
          </w:tcPr>
          <w:p w14:paraId="1B2FE165" w14:textId="77777777" w:rsidR="00686236" w:rsidRPr="00681745" w:rsidRDefault="00686236" w:rsidP="00F368ED">
            <w:pPr>
              <w:spacing w:line="480" w:lineRule="auto"/>
              <w:rPr>
                <w:rFonts w:ascii="Times New Roman" w:eastAsiaTheme="minorHAnsi" w:hAnsi="Times New Roman" w:cs="Times New Roman"/>
                <w:sz w:val="24"/>
              </w:rPr>
            </w:pPr>
            <w:r w:rsidRPr="00681745">
              <w:rPr>
                <w:rFonts w:eastAsiaTheme="minorHAnsi"/>
                <w:noProof/>
              </w:rPr>
              <w:drawing>
                <wp:inline distT="0" distB="0" distL="0" distR="0" wp14:anchorId="3ACB4282" wp14:editId="22C341BB">
                  <wp:extent cx="5362575" cy="2926080"/>
                  <wp:effectExtent l="0" t="0" r="0"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686236" w:rsidRPr="00681745" w14:paraId="5B51F2E8" w14:textId="77777777" w:rsidTr="00686236">
        <w:tc>
          <w:tcPr>
            <w:tcW w:w="540" w:type="dxa"/>
          </w:tcPr>
          <w:p w14:paraId="27A2BF0B" w14:textId="77777777" w:rsidR="00686236" w:rsidRPr="00681745" w:rsidRDefault="00686236" w:rsidP="00F368ED">
            <w:pPr>
              <w:spacing w:line="480" w:lineRule="auto"/>
              <w:rPr>
                <w:rFonts w:ascii="Times New Roman" w:eastAsiaTheme="minorHAnsi" w:hAnsi="Times New Roman" w:cs="Times New Roman"/>
                <w:sz w:val="24"/>
              </w:rPr>
            </w:pPr>
          </w:p>
        </w:tc>
        <w:tc>
          <w:tcPr>
            <w:tcW w:w="8661" w:type="dxa"/>
          </w:tcPr>
          <w:p w14:paraId="2987D520" w14:textId="77777777" w:rsidR="00686236" w:rsidRPr="00681745" w:rsidRDefault="00686236" w:rsidP="00F368ED">
            <w:pPr>
              <w:rPr>
                <w:rFonts w:ascii="Times New Roman" w:eastAsiaTheme="minorHAnsi" w:hAnsi="Times New Roman" w:cs="Times New Roman"/>
                <w:b/>
                <w:sz w:val="24"/>
              </w:rPr>
            </w:pPr>
            <w:r w:rsidRPr="00681745">
              <w:rPr>
                <w:rFonts w:ascii="Times New Roman" w:eastAsiaTheme="minorHAnsi" w:hAnsi="Times New Roman" w:cs="Times New Roman"/>
                <w:b/>
                <w:sz w:val="24"/>
              </w:rPr>
              <w:t>Figure 2.1. Percent green cover of growth habit groups over a one year period during 2010-2010 (A) and 2011-2012</w:t>
            </w:r>
            <w:r>
              <w:rPr>
                <w:rFonts w:ascii="Times New Roman" w:eastAsiaTheme="minorHAnsi" w:hAnsi="Times New Roman" w:cs="Times New Roman"/>
                <w:b/>
                <w:sz w:val="24"/>
              </w:rPr>
              <w:t xml:space="preserve"> </w:t>
            </w:r>
            <w:r w:rsidRPr="00681745">
              <w:rPr>
                <w:rFonts w:ascii="Times New Roman" w:eastAsiaTheme="minorHAnsi" w:hAnsi="Times New Roman" w:cs="Times New Roman"/>
                <w:b/>
                <w:sz w:val="24"/>
              </w:rPr>
              <w:t>(B) in Knoxville, TN.</w:t>
            </w:r>
          </w:p>
          <w:p w14:paraId="5B07F514" w14:textId="77777777" w:rsidR="00686236" w:rsidRPr="00681745" w:rsidRDefault="00686236" w:rsidP="00F368ED">
            <w:pPr>
              <w:rPr>
                <w:rFonts w:ascii="Times New Roman" w:eastAsiaTheme="minorHAnsi" w:hAnsi="Times New Roman" w:cs="Times New Roman"/>
                <w:sz w:val="24"/>
              </w:rPr>
            </w:pPr>
            <w:r w:rsidRPr="00681745">
              <w:rPr>
                <w:rFonts w:ascii="Times New Roman" w:eastAsiaTheme="minorHAnsi" w:hAnsi="Times New Roman" w:cs="Times New Roman"/>
                <w:sz w:val="24"/>
                <w:vertAlign w:val="superscript"/>
              </w:rPr>
              <w:t>†</w:t>
            </w:r>
            <w:r w:rsidRPr="00681745">
              <w:rPr>
                <w:rFonts w:ascii="Times New Roman" w:eastAsiaTheme="minorHAnsi" w:hAnsi="Times New Roman" w:cs="Times New Roman"/>
                <w:sz w:val="24"/>
              </w:rPr>
              <w:t xml:space="preserve">Error bars represent </w:t>
            </w:r>
            <w:proofErr w:type="gramStart"/>
            <w:r w:rsidRPr="00681745">
              <w:rPr>
                <w:rFonts w:ascii="Times New Roman" w:eastAsiaTheme="minorHAnsi" w:hAnsi="Times New Roman" w:cs="Times New Roman"/>
                <w:sz w:val="24"/>
              </w:rPr>
              <w:t>LSD</w:t>
            </w:r>
            <w:r w:rsidRPr="00681745">
              <w:rPr>
                <w:rFonts w:ascii="Times New Roman" w:eastAsiaTheme="minorHAnsi" w:hAnsi="Times New Roman" w:cs="Times New Roman"/>
                <w:sz w:val="24"/>
                <w:vertAlign w:val="subscript"/>
              </w:rPr>
              <w:t>(</w:t>
            </w:r>
            <w:proofErr w:type="gramEnd"/>
            <w:r w:rsidRPr="00681745">
              <w:rPr>
                <w:rFonts w:ascii="Times New Roman" w:eastAsiaTheme="minorHAnsi" w:hAnsi="Times New Roman" w:cs="Times New Roman"/>
                <w:sz w:val="24"/>
                <w:vertAlign w:val="subscript"/>
              </w:rPr>
              <w:t>0.05)</w:t>
            </w:r>
            <w:r w:rsidRPr="00681745">
              <w:rPr>
                <w:rFonts w:ascii="Times New Roman" w:eastAsiaTheme="minorHAnsi" w:hAnsi="Times New Roman" w:cs="Times New Roman"/>
                <w:sz w:val="24"/>
              </w:rPr>
              <w:t>.</w:t>
            </w:r>
          </w:p>
        </w:tc>
      </w:tr>
    </w:tbl>
    <w:p w14:paraId="71E084AC" w14:textId="77777777" w:rsidR="00686236" w:rsidRPr="00681745" w:rsidRDefault="00686236" w:rsidP="00686236">
      <w:pPr>
        <w:spacing w:line="480" w:lineRule="auto"/>
        <w:rPr>
          <w:rFonts w:ascii="Times New Roman" w:eastAsiaTheme="minorHAnsi" w:hAnsi="Times New Roman" w:cs="Times New Roman"/>
          <w:sz w:val="24"/>
        </w:rPr>
      </w:pPr>
    </w:p>
    <w:tbl>
      <w:tblPr>
        <w:tblStyle w:val="TableGrid"/>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686236" w:rsidRPr="00681745" w14:paraId="5D18493E" w14:textId="77777777" w:rsidTr="00F368ED">
        <w:trPr>
          <w:trHeight w:val="4212"/>
          <w:jc w:val="center"/>
        </w:trPr>
        <w:tc>
          <w:tcPr>
            <w:tcW w:w="9288" w:type="dxa"/>
            <w:tcBorders>
              <w:top w:val="single" w:sz="4" w:space="0" w:color="auto"/>
              <w:left w:val="single" w:sz="4" w:space="0" w:color="auto"/>
              <w:bottom w:val="single" w:sz="4" w:space="0" w:color="auto"/>
              <w:right w:val="single" w:sz="4" w:space="0" w:color="auto"/>
            </w:tcBorders>
          </w:tcPr>
          <w:p w14:paraId="4D4EA4E2" w14:textId="77777777" w:rsidR="00686236" w:rsidRPr="00681745" w:rsidRDefault="00686236" w:rsidP="00F368ED">
            <w:pPr>
              <w:spacing w:line="480" w:lineRule="auto"/>
              <w:jc w:val="center"/>
              <w:rPr>
                <w:rFonts w:ascii="Times New Roman" w:eastAsiaTheme="minorHAnsi" w:hAnsi="Times New Roman" w:cs="Times New Roman"/>
                <w:sz w:val="24"/>
              </w:rPr>
            </w:pPr>
            <w:r w:rsidRPr="00681745">
              <w:rPr>
                <w:rFonts w:ascii="Times New Roman" w:eastAsiaTheme="minorHAnsi" w:hAnsi="Times New Roman" w:cs="Times New Roman"/>
                <w:sz w:val="24"/>
              </w:rPr>
              <w:lastRenderedPageBreak/>
              <w:br w:type="page"/>
            </w:r>
            <w:r w:rsidRPr="00681745">
              <w:rPr>
                <w:rFonts w:eastAsiaTheme="minorHAnsi"/>
                <w:noProof/>
              </w:rPr>
              <w:drawing>
                <wp:inline distT="0" distB="0" distL="0" distR="0" wp14:anchorId="37BD67DE" wp14:editId="78468DAE">
                  <wp:extent cx="5760720" cy="2926080"/>
                  <wp:effectExtent l="0" t="0" r="0" b="762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686236" w:rsidRPr="00681745" w14:paraId="0FE2B803" w14:textId="77777777" w:rsidTr="00F368ED">
        <w:trPr>
          <w:jc w:val="center"/>
        </w:trPr>
        <w:tc>
          <w:tcPr>
            <w:tcW w:w="9288" w:type="dxa"/>
            <w:tcBorders>
              <w:top w:val="single" w:sz="4" w:space="0" w:color="auto"/>
            </w:tcBorders>
          </w:tcPr>
          <w:p w14:paraId="07BEB2E2" w14:textId="77777777" w:rsidR="00686236" w:rsidRPr="00681745" w:rsidRDefault="00686236" w:rsidP="00F368ED">
            <w:pPr>
              <w:rPr>
                <w:rFonts w:ascii="Times New Roman" w:eastAsiaTheme="minorHAnsi" w:hAnsi="Times New Roman" w:cs="Times New Roman"/>
                <w:b/>
                <w:sz w:val="24"/>
              </w:rPr>
            </w:pPr>
            <w:r w:rsidRPr="00681745">
              <w:rPr>
                <w:rFonts w:ascii="Times New Roman" w:eastAsiaTheme="minorHAnsi" w:hAnsi="Times New Roman" w:cs="Times New Roman"/>
                <w:b/>
                <w:sz w:val="24"/>
              </w:rPr>
              <w:t xml:space="preserve">Figure 2.2. Monthly average air temperatures with a 29 year normal for comparison </w:t>
            </w:r>
            <w:proofErr w:type="gramStart"/>
            <w:r w:rsidRPr="00681745">
              <w:rPr>
                <w:rFonts w:ascii="Times New Roman" w:eastAsiaTheme="minorHAnsi" w:hAnsi="Times New Roman" w:cs="Times New Roman"/>
                <w:b/>
                <w:sz w:val="24"/>
              </w:rPr>
              <w:t>in  Knoxville</w:t>
            </w:r>
            <w:proofErr w:type="gramEnd"/>
            <w:r w:rsidRPr="00681745">
              <w:rPr>
                <w:rFonts w:ascii="Times New Roman" w:eastAsiaTheme="minorHAnsi" w:hAnsi="Times New Roman" w:cs="Times New Roman"/>
                <w:b/>
                <w:sz w:val="24"/>
              </w:rPr>
              <w:t>, TN.</w:t>
            </w:r>
          </w:p>
          <w:p w14:paraId="39E13609" w14:textId="77777777" w:rsidR="00686236" w:rsidRPr="00681745" w:rsidRDefault="00686236" w:rsidP="00F368ED">
            <w:pPr>
              <w:spacing w:line="480" w:lineRule="auto"/>
              <w:rPr>
                <w:rFonts w:ascii="Times New Roman" w:eastAsiaTheme="minorHAnsi" w:hAnsi="Times New Roman" w:cs="Times New Roman"/>
                <w:sz w:val="24"/>
              </w:rPr>
            </w:pPr>
            <w:r w:rsidRPr="00681745">
              <w:rPr>
                <w:rFonts w:ascii="Times New Roman" w:eastAsiaTheme="minorHAnsi" w:hAnsi="Times New Roman" w:cs="Times New Roman"/>
                <w:sz w:val="24"/>
                <w:vertAlign w:val="superscript"/>
              </w:rPr>
              <w:t>†</w:t>
            </w:r>
            <w:r>
              <w:rPr>
                <w:rFonts w:ascii="Times New Roman" w:eastAsiaTheme="minorHAnsi" w:hAnsi="Times New Roman" w:cs="Times New Roman"/>
                <w:sz w:val="24"/>
              </w:rPr>
              <w:t>Data courtesy of NOAA</w:t>
            </w:r>
          </w:p>
        </w:tc>
      </w:tr>
    </w:tbl>
    <w:p w14:paraId="07B9FC2C" w14:textId="77777777" w:rsidR="00686236" w:rsidRPr="00681745" w:rsidRDefault="00686236" w:rsidP="00686236">
      <w:pPr>
        <w:spacing w:line="480" w:lineRule="auto"/>
        <w:rPr>
          <w:rFonts w:ascii="Times New Roman" w:eastAsiaTheme="minorHAnsi" w:hAnsi="Times New Roman" w:cs="Times New Roman"/>
          <w:sz w:val="24"/>
        </w:rPr>
      </w:pPr>
    </w:p>
    <w:tbl>
      <w:tblPr>
        <w:tblStyle w:val="TableGrid"/>
        <w:tblW w:w="9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6"/>
      </w:tblGrid>
      <w:tr w:rsidR="00686236" w:rsidRPr="00681745" w14:paraId="32303D39" w14:textId="77777777" w:rsidTr="00F368ED">
        <w:trPr>
          <w:trHeight w:val="4212"/>
          <w:jc w:val="center"/>
        </w:trPr>
        <w:tc>
          <w:tcPr>
            <w:tcW w:w="9306" w:type="dxa"/>
            <w:tcBorders>
              <w:top w:val="single" w:sz="4" w:space="0" w:color="auto"/>
              <w:left w:val="single" w:sz="4" w:space="0" w:color="auto"/>
              <w:bottom w:val="single" w:sz="4" w:space="0" w:color="auto"/>
              <w:right w:val="single" w:sz="4" w:space="0" w:color="auto"/>
            </w:tcBorders>
          </w:tcPr>
          <w:p w14:paraId="050BD67D" w14:textId="77777777" w:rsidR="00686236" w:rsidRPr="00681745" w:rsidRDefault="00686236" w:rsidP="00F368ED">
            <w:pPr>
              <w:spacing w:line="480" w:lineRule="auto"/>
              <w:jc w:val="center"/>
              <w:rPr>
                <w:rFonts w:ascii="Times New Roman" w:eastAsiaTheme="minorHAnsi" w:hAnsi="Times New Roman" w:cs="Times New Roman"/>
                <w:sz w:val="24"/>
              </w:rPr>
            </w:pPr>
            <w:r w:rsidRPr="00681745">
              <w:rPr>
                <w:rFonts w:eastAsiaTheme="minorHAnsi"/>
                <w:noProof/>
              </w:rPr>
              <w:drawing>
                <wp:inline distT="0" distB="0" distL="0" distR="0" wp14:anchorId="45B64AD7" wp14:editId="7D61F30B">
                  <wp:extent cx="5760720" cy="2926080"/>
                  <wp:effectExtent l="0" t="0" r="0"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686236" w:rsidRPr="00681745" w14:paraId="6644C04F" w14:textId="77777777" w:rsidTr="00F368ED">
        <w:trPr>
          <w:jc w:val="center"/>
        </w:trPr>
        <w:tc>
          <w:tcPr>
            <w:tcW w:w="9306" w:type="dxa"/>
            <w:tcBorders>
              <w:top w:val="single" w:sz="4" w:space="0" w:color="auto"/>
            </w:tcBorders>
          </w:tcPr>
          <w:p w14:paraId="7FA975F1" w14:textId="77777777" w:rsidR="00686236" w:rsidRPr="00681745" w:rsidRDefault="00686236" w:rsidP="00F368ED">
            <w:pPr>
              <w:rPr>
                <w:rFonts w:ascii="Times New Roman" w:eastAsiaTheme="minorHAnsi" w:hAnsi="Times New Roman" w:cs="Times New Roman"/>
                <w:b/>
                <w:sz w:val="24"/>
              </w:rPr>
            </w:pPr>
            <w:r w:rsidRPr="00681745">
              <w:rPr>
                <w:rFonts w:ascii="Times New Roman" w:eastAsiaTheme="minorHAnsi" w:hAnsi="Times New Roman" w:cs="Times New Roman"/>
                <w:b/>
                <w:sz w:val="24"/>
              </w:rPr>
              <w:t>Figure 2.</w:t>
            </w:r>
            <w:r>
              <w:rPr>
                <w:rFonts w:ascii="Times New Roman" w:eastAsiaTheme="minorHAnsi" w:hAnsi="Times New Roman" w:cs="Times New Roman"/>
                <w:b/>
                <w:sz w:val="24"/>
              </w:rPr>
              <w:t>3</w:t>
            </w:r>
            <w:r w:rsidRPr="00681745">
              <w:rPr>
                <w:rFonts w:ascii="Times New Roman" w:eastAsiaTheme="minorHAnsi" w:hAnsi="Times New Roman" w:cs="Times New Roman"/>
                <w:b/>
                <w:sz w:val="24"/>
              </w:rPr>
              <w:t>. Growing degree day accumulations at a base temperature of 18.3 C</w:t>
            </w:r>
            <w:r w:rsidRPr="00681745">
              <w:rPr>
                <w:rFonts w:ascii="Calibri" w:eastAsiaTheme="minorHAnsi" w:hAnsi="Calibri" w:cs="Times New Roman"/>
                <w:b/>
                <w:sz w:val="24"/>
              </w:rPr>
              <w:t>°</w:t>
            </w:r>
            <w:r w:rsidRPr="00681745">
              <w:rPr>
                <w:rFonts w:ascii="Times New Roman" w:eastAsiaTheme="minorHAnsi" w:hAnsi="Times New Roman" w:cs="Times New Roman"/>
                <w:b/>
                <w:sz w:val="24"/>
              </w:rPr>
              <w:t xml:space="preserve"> in Knoxville, TN.</w:t>
            </w:r>
          </w:p>
          <w:p w14:paraId="231E8E45" w14:textId="77777777" w:rsidR="00686236" w:rsidRPr="00681745" w:rsidRDefault="00686236" w:rsidP="00F368ED">
            <w:pPr>
              <w:spacing w:line="480" w:lineRule="auto"/>
              <w:rPr>
                <w:rFonts w:ascii="Times New Roman" w:eastAsiaTheme="minorHAnsi" w:hAnsi="Times New Roman" w:cs="Times New Roman"/>
                <w:sz w:val="24"/>
              </w:rPr>
            </w:pPr>
            <w:r w:rsidRPr="00681745">
              <w:rPr>
                <w:rFonts w:ascii="Times New Roman" w:eastAsiaTheme="minorHAnsi" w:hAnsi="Times New Roman" w:cs="Times New Roman"/>
                <w:sz w:val="24"/>
                <w:vertAlign w:val="superscript"/>
              </w:rPr>
              <w:t>†</w:t>
            </w:r>
            <w:r w:rsidRPr="00681745">
              <w:rPr>
                <w:rFonts w:ascii="Times New Roman" w:eastAsiaTheme="minorHAnsi" w:hAnsi="Times New Roman" w:cs="Times New Roman"/>
                <w:sz w:val="24"/>
              </w:rPr>
              <w:t>Data adopted from the East Tennessee Research and Education Center in Knoxville, TN.</w:t>
            </w:r>
          </w:p>
        </w:tc>
      </w:tr>
    </w:tbl>
    <w:p w14:paraId="76928F55" w14:textId="77777777" w:rsidR="006648FD" w:rsidRDefault="006648FD"/>
    <w:p w14:paraId="6F919AA6" w14:textId="77777777" w:rsidR="006648FD" w:rsidRDefault="006648FD" w:rsidP="006648FD">
      <w:pPr>
        <w:spacing w:line="240" w:lineRule="auto"/>
        <w:ind w:left="720" w:hanging="720"/>
        <w:rPr>
          <w:rFonts w:ascii="Times New Roman" w:eastAsiaTheme="minorHAnsi" w:hAnsi="Times New Roman" w:cs="Times New Roman"/>
          <w:sz w:val="24"/>
          <w:szCs w:val="24"/>
        </w:rPr>
      </w:pPr>
    </w:p>
    <w:p w14:paraId="3FE6CC5D" w14:textId="77777777" w:rsidR="006648FD" w:rsidRDefault="006648FD" w:rsidP="006648FD">
      <w:pPr>
        <w:spacing w:line="240" w:lineRule="auto"/>
        <w:ind w:left="720" w:hanging="720"/>
        <w:rPr>
          <w:rFonts w:ascii="Times New Roman" w:eastAsiaTheme="minorHAnsi" w:hAnsi="Times New Roman" w:cs="Times New Roman"/>
          <w:sz w:val="24"/>
          <w:szCs w:val="24"/>
        </w:rPr>
      </w:pPr>
    </w:p>
    <w:p w14:paraId="143AE195" w14:textId="77777777" w:rsidR="006648FD" w:rsidRDefault="006648FD" w:rsidP="006648FD">
      <w:pPr>
        <w:spacing w:line="240" w:lineRule="auto"/>
        <w:ind w:left="720" w:hanging="720"/>
        <w:rPr>
          <w:rFonts w:ascii="Times New Roman" w:eastAsiaTheme="minorHAnsi" w:hAnsi="Times New Roman" w:cs="Times New Roman"/>
          <w:sz w:val="24"/>
          <w:szCs w:val="24"/>
        </w:rPr>
      </w:pPr>
    </w:p>
    <w:p w14:paraId="31ECC3C8" w14:textId="77777777" w:rsidR="006648FD" w:rsidRDefault="006648FD" w:rsidP="006648FD">
      <w:pPr>
        <w:spacing w:line="240" w:lineRule="auto"/>
        <w:ind w:left="720" w:hanging="720"/>
        <w:rPr>
          <w:rFonts w:ascii="Times New Roman" w:eastAsiaTheme="minorHAnsi" w:hAnsi="Times New Roman" w:cs="Times New Roman"/>
          <w:sz w:val="24"/>
          <w:szCs w:val="24"/>
        </w:rPr>
      </w:pPr>
    </w:p>
    <w:p w14:paraId="631FA167" w14:textId="77777777" w:rsidR="006648FD" w:rsidRDefault="006648FD" w:rsidP="006648FD">
      <w:pPr>
        <w:spacing w:line="240" w:lineRule="auto"/>
        <w:ind w:left="720" w:hanging="720"/>
        <w:rPr>
          <w:rFonts w:ascii="Times New Roman" w:eastAsiaTheme="minorHAnsi" w:hAnsi="Times New Roman" w:cs="Times New Roman"/>
          <w:sz w:val="24"/>
          <w:szCs w:val="24"/>
        </w:rPr>
      </w:pPr>
    </w:p>
    <w:p w14:paraId="4F7FCCC6" w14:textId="77777777" w:rsidR="006648FD" w:rsidRDefault="006648FD" w:rsidP="006648FD">
      <w:pPr>
        <w:spacing w:line="240" w:lineRule="auto"/>
        <w:ind w:left="720" w:hanging="720"/>
        <w:rPr>
          <w:rFonts w:ascii="Times New Roman" w:eastAsiaTheme="minorHAnsi" w:hAnsi="Times New Roman" w:cs="Times New Roman"/>
          <w:sz w:val="24"/>
          <w:szCs w:val="24"/>
        </w:rPr>
      </w:pPr>
    </w:p>
    <w:p w14:paraId="74DFB865" w14:textId="77777777" w:rsidR="006648FD" w:rsidRDefault="006648FD" w:rsidP="006648FD">
      <w:pPr>
        <w:spacing w:line="240" w:lineRule="auto"/>
        <w:ind w:left="720" w:hanging="720"/>
        <w:rPr>
          <w:rFonts w:ascii="Times New Roman" w:eastAsiaTheme="minorHAnsi" w:hAnsi="Times New Roman" w:cs="Times New Roman"/>
          <w:sz w:val="24"/>
          <w:szCs w:val="24"/>
        </w:rPr>
      </w:pPr>
    </w:p>
    <w:p w14:paraId="45B1ED2F" w14:textId="77777777" w:rsidR="006648FD" w:rsidRDefault="006648FD" w:rsidP="006648FD">
      <w:pPr>
        <w:spacing w:line="240" w:lineRule="auto"/>
        <w:ind w:left="720" w:hanging="720"/>
        <w:rPr>
          <w:rFonts w:ascii="Times New Roman" w:eastAsiaTheme="minorHAnsi" w:hAnsi="Times New Roman" w:cs="Times New Roman"/>
          <w:sz w:val="24"/>
          <w:szCs w:val="24"/>
        </w:rPr>
      </w:pPr>
    </w:p>
    <w:p w14:paraId="55E4EC87" w14:textId="77777777" w:rsidR="006648FD" w:rsidRDefault="006648FD" w:rsidP="006648FD">
      <w:pPr>
        <w:spacing w:line="240" w:lineRule="auto"/>
        <w:ind w:left="720" w:hanging="720"/>
        <w:rPr>
          <w:rFonts w:ascii="Times New Roman" w:eastAsiaTheme="minorHAnsi" w:hAnsi="Times New Roman" w:cs="Times New Roman"/>
          <w:sz w:val="24"/>
          <w:szCs w:val="24"/>
        </w:rPr>
      </w:pPr>
    </w:p>
    <w:p w14:paraId="4A52E9AF" w14:textId="77777777" w:rsidR="006648FD" w:rsidRDefault="006648FD" w:rsidP="006648FD">
      <w:pPr>
        <w:spacing w:line="240" w:lineRule="auto"/>
        <w:ind w:left="720" w:hanging="720"/>
        <w:rPr>
          <w:rFonts w:ascii="Times New Roman" w:eastAsiaTheme="minorHAnsi" w:hAnsi="Times New Roman" w:cs="Times New Roman"/>
          <w:sz w:val="24"/>
          <w:szCs w:val="24"/>
        </w:rPr>
      </w:pPr>
    </w:p>
    <w:p w14:paraId="69DBB4F7" w14:textId="77777777" w:rsidR="006648FD" w:rsidRDefault="006648FD" w:rsidP="006648FD">
      <w:pPr>
        <w:spacing w:line="240" w:lineRule="auto"/>
        <w:rPr>
          <w:rFonts w:ascii="Times New Roman" w:eastAsiaTheme="minorHAnsi" w:hAnsi="Times New Roman" w:cs="Times New Roman"/>
          <w:sz w:val="24"/>
          <w:szCs w:val="24"/>
        </w:rPr>
      </w:pPr>
    </w:p>
    <w:p w14:paraId="2CBA5221" w14:textId="77777777" w:rsidR="006648FD" w:rsidRDefault="006648FD" w:rsidP="006648FD">
      <w:pPr>
        <w:pStyle w:val="Heading1"/>
        <w:rPr>
          <w:rFonts w:eastAsiaTheme="minorHAnsi"/>
        </w:rPr>
      </w:pPr>
      <w:bookmarkStart w:id="19" w:name="_Toc354003325"/>
      <w:bookmarkEnd w:id="19"/>
    </w:p>
    <w:p w14:paraId="02ED9322" w14:textId="77777777" w:rsidR="006648FD" w:rsidRDefault="006648FD" w:rsidP="006648FD"/>
    <w:p w14:paraId="6F323C57" w14:textId="77777777" w:rsidR="006648FD" w:rsidRDefault="006648FD" w:rsidP="006C761E">
      <w:pPr>
        <w:pStyle w:val="Heading2"/>
      </w:pPr>
      <w:bookmarkStart w:id="20" w:name="_Toc354003326"/>
      <w:r w:rsidRPr="008072D0">
        <w:rPr>
          <w:i/>
        </w:rPr>
        <w:t>POA</w:t>
      </w:r>
      <w:r>
        <w:t xml:space="preserve"> SPECIES AS TEMPORARY WINTER OVERSEEDING</w:t>
      </w:r>
      <w:r w:rsidRPr="008072D0">
        <w:t xml:space="preserve"> SPECIES IN THE TRANSITION ZONE</w:t>
      </w:r>
      <w:bookmarkEnd w:id="20"/>
    </w:p>
    <w:p w14:paraId="7541D043" w14:textId="77777777" w:rsidR="006648FD" w:rsidRDefault="006648FD" w:rsidP="006648FD">
      <w:r>
        <w:t> </w:t>
      </w:r>
    </w:p>
    <w:p w14:paraId="78DF9871" w14:textId="77777777" w:rsidR="00F368ED" w:rsidRPr="00F368ED" w:rsidRDefault="006648FD" w:rsidP="00F368ED">
      <w:pPr>
        <w:pStyle w:val="Heading3"/>
      </w:pPr>
      <w:r>
        <w:br w:type="page"/>
      </w:r>
      <w:bookmarkStart w:id="21" w:name="_Toc350922988"/>
      <w:bookmarkStart w:id="22" w:name="_Toc354003327"/>
      <w:r w:rsidR="00F368ED" w:rsidRPr="00F368ED">
        <w:lastRenderedPageBreak/>
        <w:t>Abstract</w:t>
      </w:r>
      <w:bookmarkEnd w:id="21"/>
      <w:bookmarkEnd w:id="22"/>
    </w:p>
    <w:p w14:paraId="34E81BDD" w14:textId="77777777" w:rsidR="00F368ED" w:rsidRPr="00F368ED" w:rsidRDefault="00F368ED" w:rsidP="00F368ED"/>
    <w:p w14:paraId="4781CE04" w14:textId="77777777" w:rsidR="00F368ED" w:rsidRPr="00F368ED" w:rsidRDefault="00F368ED" w:rsidP="00F368ED">
      <w:pPr>
        <w:spacing w:line="480" w:lineRule="auto"/>
      </w:pPr>
      <w:r w:rsidRPr="00F368ED">
        <w:rPr>
          <w:rFonts w:ascii="Times New Roman" w:hAnsi="Times New Roman" w:cs="Times New Roman"/>
          <w:b/>
          <w:sz w:val="24"/>
          <w:szCs w:val="24"/>
        </w:rPr>
        <w:tab/>
      </w:r>
      <w:r w:rsidRPr="00F368ED">
        <w:rPr>
          <w:rFonts w:ascii="Times New Roman" w:hAnsi="Times New Roman" w:cs="Times New Roman"/>
          <w:sz w:val="24"/>
          <w:szCs w:val="24"/>
        </w:rPr>
        <w:t>Pesticide restrictions are increasing and necessitate the need to explore alternative pest control options. Bermudagrass (</w:t>
      </w:r>
      <w:r w:rsidRPr="00F368ED">
        <w:rPr>
          <w:rFonts w:ascii="Times New Roman" w:hAnsi="Times New Roman" w:cs="Times New Roman"/>
          <w:i/>
          <w:sz w:val="24"/>
          <w:szCs w:val="24"/>
        </w:rPr>
        <w:t>Cynodon</w:t>
      </w:r>
      <w:r w:rsidRPr="00F368ED">
        <w:rPr>
          <w:rFonts w:ascii="Times New Roman" w:hAnsi="Times New Roman" w:cs="Times New Roman"/>
          <w:sz w:val="24"/>
          <w:szCs w:val="24"/>
        </w:rPr>
        <w:t xml:space="preserve"> spp.) is commonly overseeded with a cool-season turfgrass species to provide a green and actively growing surface during winter dormancy. Unfortunately, species used for overseeding persist longer than is ideal in spring, warranting the use of herbicides to remove them. The objective of this study was to investigate the use of </w:t>
      </w:r>
      <w:r w:rsidRPr="00F368ED">
        <w:rPr>
          <w:rFonts w:ascii="Times New Roman" w:hAnsi="Times New Roman" w:cs="Times New Roman"/>
          <w:i/>
          <w:sz w:val="24"/>
          <w:szCs w:val="24"/>
        </w:rPr>
        <w:t>P. nemoralis</w:t>
      </w:r>
      <w:r w:rsidRPr="00F368ED">
        <w:rPr>
          <w:rFonts w:ascii="Times New Roman" w:hAnsi="Times New Roman" w:cs="Times New Roman"/>
          <w:sz w:val="24"/>
          <w:szCs w:val="24"/>
        </w:rPr>
        <w:t xml:space="preserve"> L. and </w:t>
      </w:r>
      <w:r w:rsidRPr="00F368ED">
        <w:rPr>
          <w:rFonts w:ascii="Times New Roman" w:hAnsi="Times New Roman" w:cs="Times New Roman"/>
          <w:i/>
          <w:sz w:val="24"/>
          <w:szCs w:val="24"/>
        </w:rPr>
        <w:t>P. supina</w:t>
      </w:r>
      <w:r w:rsidRPr="00F368ED">
        <w:rPr>
          <w:rFonts w:ascii="Times New Roman" w:hAnsi="Times New Roman" w:cs="Times New Roman"/>
          <w:sz w:val="24"/>
          <w:szCs w:val="24"/>
        </w:rPr>
        <w:t xml:space="preserve"> Schrad. </w:t>
      </w:r>
      <w:proofErr w:type="gramStart"/>
      <w:r w:rsidRPr="00F368ED">
        <w:rPr>
          <w:rFonts w:ascii="Times New Roman" w:hAnsi="Times New Roman" w:cs="Times New Roman"/>
          <w:sz w:val="24"/>
          <w:szCs w:val="24"/>
        </w:rPr>
        <w:t>as</w:t>
      </w:r>
      <w:proofErr w:type="gramEnd"/>
      <w:r w:rsidRPr="00F368ED">
        <w:rPr>
          <w:rFonts w:ascii="Times New Roman" w:hAnsi="Times New Roman" w:cs="Times New Roman"/>
          <w:sz w:val="24"/>
          <w:szCs w:val="24"/>
        </w:rPr>
        <w:t xml:space="preserve"> winter overseeding species on bermudagrass putting greens, fairways, and sports turfs in the transition zone and to compare their performance to traditional overseeding grasses. The effects of using herbicides to aid the </w:t>
      </w:r>
      <w:proofErr w:type="gramStart"/>
      <w:r w:rsidRPr="00F368ED">
        <w:rPr>
          <w:rFonts w:ascii="Times New Roman" w:hAnsi="Times New Roman" w:cs="Times New Roman"/>
          <w:sz w:val="24"/>
          <w:szCs w:val="24"/>
        </w:rPr>
        <w:t>transition  were</w:t>
      </w:r>
      <w:proofErr w:type="gramEnd"/>
      <w:r w:rsidRPr="00F368ED">
        <w:rPr>
          <w:rFonts w:ascii="Times New Roman" w:hAnsi="Times New Roman" w:cs="Times New Roman"/>
          <w:sz w:val="24"/>
          <w:szCs w:val="24"/>
        </w:rPr>
        <w:t xml:space="preserve"> also examined. Treatments were planted and managed according to standard overseeding practices. Percent green cover was monitored throughout the trial and grid counts were used to assess species composition of plots during the spring transition period. On the putting green, </w:t>
      </w:r>
      <w:r w:rsidRPr="00F368ED">
        <w:rPr>
          <w:rFonts w:ascii="Times New Roman" w:hAnsi="Times New Roman" w:cs="Times New Roman"/>
          <w:i/>
          <w:sz w:val="24"/>
          <w:szCs w:val="24"/>
        </w:rPr>
        <w:t>P. supina</w:t>
      </w:r>
      <w:r w:rsidRPr="00F368ED">
        <w:rPr>
          <w:rFonts w:ascii="Times New Roman" w:hAnsi="Times New Roman" w:cs="Times New Roman"/>
          <w:sz w:val="24"/>
          <w:szCs w:val="24"/>
        </w:rPr>
        <w:t xml:space="preserve"> was slower to establish and had unacceptable natural transition characteristics</w:t>
      </w:r>
      <w:r w:rsidRPr="00F368ED">
        <w:rPr>
          <w:rFonts w:ascii="Times New Roman" w:hAnsi="Times New Roman" w:cs="Times New Roman"/>
          <w:i/>
          <w:sz w:val="24"/>
          <w:szCs w:val="24"/>
        </w:rPr>
        <w:t>. P. nemoralis</w:t>
      </w:r>
      <w:r w:rsidRPr="00F368ED">
        <w:rPr>
          <w:rFonts w:ascii="Times New Roman" w:hAnsi="Times New Roman" w:cs="Times New Roman"/>
          <w:sz w:val="24"/>
          <w:szCs w:val="24"/>
        </w:rPr>
        <w:t xml:space="preserve"> exhibited acceptable cover on the putting green during the first year, but not the second with good transition in the first year. Rough bluegrass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L) and perennial ryegrass (</w:t>
      </w:r>
      <w:r w:rsidRPr="00F368ED">
        <w:rPr>
          <w:rFonts w:ascii="Times New Roman" w:hAnsi="Times New Roman" w:cs="Times New Roman"/>
          <w:i/>
          <w:sz w:val="24"/>
          <w:szCs w:val="24"/>
        </w:rPr>
        <w:t>Lolium perenne</w:t>
      </w:r>
      <w:r w:rsidRPr="00F368ED">
        <w:rPr>
          <w:rFonts w:ascii="Times New Roman" w:hAnsi="Times New Roman" w:cs="Times New Roman"/>
          <w:sz w:val="24"/>
          <w:szCs w:val="24"/>
        </w:rPr>
        <w:t xml:space="preserve"> L.) provided acceptable cover both years, but poor natural transition. On the fairway and sports turf studies, perennial ryegrass and intermediate ryegrass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X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Authority) provided the best cover, while perennial ryegrass had a less desirable natural transition than intermediate ryegrass. </w:t>
      </w:r>
      <w:r w:rsidRPr="00F368ED">
        <w:rPr>
          <w:rFonts w:ascii="Times New Roman" w:hAnsi="Times New Roman" w:cs="Times New Roman"/>
          <w:i/>
          <w:sz w:val="24"/>
          <w:szCs w:val="24"/>
        </w:rPr>
        <w:t>P. nemoralis</w:t>
      </w:r>
      <w:r w:rsidRPr="00F368ED">
        <w:rPr>
          <w:rFonts w:ascii="Times New Roman" w:hAnsi="Times New Roman" w:cs="Times New Roman"/>
          <w:sz w:val="24"/>
          <w:szCs w:val="24"/>
        </w:rPr>
        <w:t xml:space="preserve"> failed to provide acceptable cover for both years. </w:t>
      </w:r>
      <w:r w:rsidRPr="00F368ED">
        <w:rPr>
          <w:rFonts w:ascii="Times New Roman" w:hAnsi="Times New Roman" w:cs="Times New Roman"/>
          <w:i/>
          <w:sz w:val="24"/>
          <w:szCs w:val="24"/>
        </w:rPr>
        <w:t>P. supina</w:t>
      </w:r>
      <w:r w:rsidRPr="00F368ED">
        <w:rPr>
          <w:rFonts w:ascii="Times New Roman" w:hAnsi="Times New Roman" w:cs="Times New Roman"/>
          <w:sz w:val="24"/>
          <w:szCs w:val="24"/>
        </w:rPr>
        <w:t xml:space="preserve"> was not evaluated in these two trials. Herbicide use improved transition characteristics in all trials. </w:t>
      </w:r>
    </w:p>
    <w:p w14:paraId="59C95C66" w14:textId="77777777" w:rsidR="00F368ED" w:rsidRPr="00F368ED" w:rsidRDefault="00F368ED" w:rsidP="00F368ED">
      <w:pPr>
        <w:spacing w:line="480" w:lineRule="auto"/>
        <w:rPr>
          <w:rFonts w:ascii="Times New Roman" w:hAnsi="Times New Roman" w:cs="Times New Roman"/>
          <w:b/>
          <w:sz w:val="24"/>
          <w:szCs w:val="24"/>
        </w:rPr>
      </w:pPr>
    </w:p>
    <w:p w14:paraId="1CEA92F1" w14:textId="77777777" w:rsidR="00F368ED" w:rsidRDefault="00F368ED" w:rsidP="00F368ED">
      <w:pPr>
        <w:pStyle w:val="Heading3"/>
      </w:pPr>
      <w:bookmarkStart w:id="23" w:name="_Toc350922989"/>
      <w:bookmarkStart w:id="24" w:name="_Toc354003328"/>
      <w:r w:rsidRPr="00F368ED">
        <w:lastRenderedPageBreak/>
        <w:t>Introduction</w:t>
      </w:r>
      <w:bookmarkEnd w:id="23"/>
      <w:bookmarkEnd w:id="24"/>
    </w:p>
    <w:p w14:paraId="6E13F1E1" w14:textId="77777777" w:rsidR="00F368ED" w:rsidRPr="00F368ED" w:rsidRDefault="00F368ED" w:rsidP="00F368ED"/>
    <w:p w14:paraId="0E3325C6" w14:textId="669183F1" w:rsidR="00F368ED" w:rsidRPr="00F368ED" w:rsidRDefault="00F368ED" w:rsidP="00F368ED">
      <w:pPr>
        <w:spacing w:line="480" w:lineRule="auto"/>
        <w:rPr>
          <w:rFonts w:ascii="Times New Roman" w:hAnsi="Times New Roman" w:cs="Times New Roman"/>
          <w:sz w:val="24"/>
          <w:szCs w:val="24"/>
        </w:rPr>
      </w:pPr>
      <w:r w:rsidRPr="00F368ED">
        <w:rPr>
          <w:rFonts w:ascii="Times New Roman" w:hAnsi="Times New Roman" w:cs="Times New Roman"/>
          <w:sz w:val="24"/>
          <w:szCs w:val="24"/>
        </w:rPr>
        <w:tab/>
        <w:t>The use of bermudagrass (</w:t>
      </w:r>
      <w:r w:rsidRPr="00F368ED">
        <w:rPr>
          <w:rFonts w:ascii="Times New Roman" w:hAnsi="Times New Roman" w:cs="Times New Roman"/>
          <w:i/>
          <w:sz w:val="24"/>
          <w:szCs w:val="24"/>
        </w:rPr>
        <w:t>Cynodon</w:t>
      </w:r>
      <w:r w:rsidRPr="00F368ED">
        <w:rPr>
          <w:rFonts w:ascii="Times New Roman" w:hAnsi="Times New Roman" w:cs="Times New Roman"/>
          <w:sz w:val="24"/>
          <w:szCs w:val="24"/>
        </w:rPr>
        <w:t xml:space="preserve"> spp.) on golf courses and sports fields continues to move northward in the transition zone (Patton, 2012; O’Brien and Hartwiger, 2011). This is due to advancements made by breeders in improving cold hardiness, as well as the positive attributes of bermudagrass: heat, drought, and wear tolerance; excellent recuperative potential and pest resistance. Bermudagrass unfortunately, experiences </w:t>
      </w:r>
      <w:r w:rsidR="00053D06" w:rsidRPr="00F368ED">
        <w:rPr>
          <w:rFonts w:ascii="Times New Roman" w:hAnsi="Times New Roman" w:cs="Times New Roman"/>
          <w:sz w:val="24"/>
          <w:szCs w:val="24"/>
        </w:rPr>
        <w:t>long</w:t>
      </w:r>
      <w:r w:rsidRPr="00F368ED">
        <w:rPr>
          <w:rFonts w:ascii="Times New Roman" w:hAnsi="Times New Roman" w:cs="Times New Roman"/>
          <w:sz w:val="24"/>
          <w:szCs w:val="24"/>
        </w:rPr>
        <w:t xml:space="preserve"> winter dormancy in the transition zone. This dormancy results in diminished wear tolerance and recovery (Stewart et al., 2008) and increased susceptibility to winter annual weed invasion (Goddard et al., 2009). To combat the negative effects of winter dormancy, bermudagrass is often overseeded with a cool-season turfgrass to provide a green, actively growing surface (Ward et al., 1974). The cool-season species selected is an important decision and is specific to the application. Annual ryegrass (</w:t>
      </w:r>
      <w:r w:rsidRPr="00F368ED">
        <w:rPr>
          <w:rFonts w:ascii="Times New Roman" w:hAnsi="Times New Roman" w:cs="Times New Roman"/>
          <w:i/>
          <w:sz w:val="24"/>
          <w:szCs w:val="24"/>
        </w:rPr>
        <w:t xml:space="preserve">Lolium multiflorum </w:t>
      </w:r>
      <w:r w:rsidRPr="00F368ED">
        <w:rPr>
          <w:rFonts w:ascii="Times New Roman" w:hAnsi="Times New Roman" w:cs="Times New Roman"/>
          <w:sz w:val="24"/>
          <w:szCs w:val="24"/>
        </w:rPr>
        <w:t>Lam.) was once the standard for overseeding. However, as new species and varieties have been tested, annual ryegrass is no longer recommended, and perennial ryegrass (</w:t>
      </w:r>
      <w:r w:rsidRPr="00F368ED">
        <w:rPr>
          <w:rFonts w:ascii="Times New Roman" w:hAnsi="Times New Roman" w:cs="Times New Roman"/>
          <w:i/>
          <w:sz w:val="24"/>
          <w:szCs w:val="24"/>
        </w:rPr>
        <w:t xml:space="preserve">L. perenne </w:t>
      </w:r>
      <w:r w:rsidRPr="00F368ED">
        <w:rPr>
          <w:rFonts w:ascii="Times New Roman" w:hAnsi="Times New Roman" w:cs="Times New Roman"/>
          <w:sz w:val="24"/>
          <w:szCs w:val="24"/>
        </w:rPr>
        <w:t>L.) is the new standard (Ward et al., 1974; Schmidt and Shoulders, 1980).</w:t>
      </w:r>
    </w:p>
    <w:p w14:paraId="5B3CD919" w14:textId="77777777" w:rsidR="00F368ED" w:rsidRPr="00F368ED" w:rsidRDefault="00F368ED" w:rsidP="00F368ED">
      <w:pPr>
        <w:spacing w:line="480" w:lineRule="auto"/>
        <w:rPr>
          <w:rFonts w:ascii="Times New Roman" w:hAnsi="Times New Roman" w:cs="Times New Roman"/>
          <w:sz w:val="24"/>
          <w:szCs w:val="24"/>
        </w:rPr>
      </w:pPr>
      <w:r w:rsidRPr="00F368ED">
        <w:rPr>
          <w:rFonts w:ascii="Times New Roman" w:hAnsi="Times New Roman" w:cs="Times New Roman"/>
          <w:sz w:val="24"/>
          <w:szCs w:val="24"/>
        </w:rPr>
        <w:tab/>
        <w:t>Unfortunately winter overseeding comes with negative effects. The most notable is the persistence of the cool-season species into the spring and early summer (Horgan and Yelverton, 2001). This persistence leads to competition against the bermudagrass and may inhibit its full potential (Askew, 2010). In response to the persistence of overseeded species, two things happened. First, herbicides were recommended for the removal of the overseeding species (Horgan and Yelverton 2001). Second, new species were developed and evaluated for overseeding. These species included intermediate ryegrass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meadow fescue (</w:t>
      </w:r>
      <w:r w:rsidRPr="00F368ED">
        <w:rPr>
          <w:rFonts w:ascii="Times New Roman" w:hAnsi="Times New Roman" w:cs="Times New Roman"/>
          <w:i/>
          <w:sz w:val="24"/>
          <w:szCs w:val="24"/>
        </w:rPr>
        <w:t>Festuca pratensis</w:t>
      </w:r>
      <w:r w:rsidRPr="00F368ED">
        <w:rPr>
          <w:rFonts w:ascii="Times New Roman" w:hAnsi="Times New Roman" w:cs="Times New Roman"/>
          <w:sz w:val="24"/>
          <w:szCs w:val="24"/>
        </w:rPr>
        <w:t xml:space="preserve"> Huds.), and tetraploid perennial ryegrass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L.). This work found improved transition characteristics for these species in fairway and sports turf </w:t>
      </w:r>
      <w:r w:rsidRPr="00F368ED">
        <w:rPr>
          <w:rFonts w:ascii="Times New Roman" w:hAnsi="Times New Roman" w:cs="Times New Roman"/>
          <w:sz w:val="24"/>
          <w:szCs w:val="24"/>
        </w:rPr>
        <w:lastRenderedPageBreak/>
        <w:t>settings. (Richardson, 2004</w:t>
      </w:r>
      <w:proofErr w:type="gramStart"/>
      <w:r w:rsidRPr="00F368ED">
        <w:rPr>
          <w:rFonts w:ascii="Times New Roman" w:hAnsi="Times New Roman" w:cs="Times New Roman"/>
          <w:sz w:val="24"/>
          <w:szCs w:val="24"/>
        </w:rPr>
        <w:t>;Richardson</w:t>
      </w:r>
      <w:proofErr w:type="gramEnd"/>
      <w:r w:rsidRPr="00F368ED">
        <w:rPr>
          <w:rFonts w:ascii="Times New Roman" w:hAnsi="Times New Roman" w:cs="Times New Roman"/>
          <w:sz w:val="24"/>
          <w:szCs w:val="24"/>
        </w:rPr>
        <w:t xml:space="preserve"> et al., 2007; Summerford et al., 2009; Trappe et al., 2012). </w:t>
      </w:r>
    </w:p>
    <w:p w14:paraId="48616873" w14:textId="77777777" w:rsidR="00F368ED" w:rsidRPr="00F368ED" w:rsidRDefault="00F368ED" w:rsidP="00F368ED">
      <w:pPr>
        <w:spacing w:line="480" w:lineRule="auto"/>
        <w:rPr>
          <w:rFonts w:ascii="Times New Roman" w:hAnsi="Times New Roman" w:cs="Times New Roman"/>
          <w:sz w:val="24"/>
          <w:szCs w:val="24"/>
        </w:rPr>
      </w:pPr>
      <w:r w:rsidRPr="00F368ED">
        <w:rPr>
          <w:rFonts w:ascii="Times New Roman" w:hAnsi="Times New Roman" w:cs="Times New Roman"/>
          <w:sz w:val="24"/>
          <w:szCs w:val="24"/>
        </w:rPr>
        <w:tab/>
        <w:t>Early research investigated several cool-species for use in overseeding greens including annual ryegrass, perennial ryegrass, creeping red (</w:t>
      </w:r>
      <w:r w:rsidRPr="00F368ED">
        <w:rPr>
          <w:rFonts w:ascii="Times New Roman" w:hAnsi="Times New Roman" w:cs="Times New Roman"/>
          <w:i/>
          <w:sz w:val="24"/>
          <w:szCs w:val="24"/>
        </w:rPr>
        <w:t xml:space="preserve">Festuca. rubra </w:t>
      </w:r>
      <w:r w:rsidRPr="00F368ED">
        <w:rPr>
          <w:rFonts w:ascii="Times New Roman" w:hAnsi="Times New Roman" w:cs="Times New Roman"/>
          <w:sz w:val="24"/>
          <w:szCs w:val="24"/>
        </w:rPr>
        <w:t xml:space="preserve">var. </w:t>
      </w:r>
      <w:r w:rsidRPr="00F368ED">
        <w:rPr>
          <w:rFonts w:ascii="Times New Roman" w:hAnsi="Times New Roman" w:cs="Times New Roman"/>
          <w:i/>
          <w:sz w:val="24"/>
          <w:szCs w:val="24"/>
        </w:rPr>
        <w:t>rubra</w:t>
      </w:r>
      <w:r w:rsidRPr="00F368ED">
        <w:rPr>
          <w:rFonts w:ascii="Times New Roman" w:hAnsi="Times New Roman" w:cs="Times New Roman"/>
          <w:sz w:val="24"/>
          <w:szCs w:val="24"/>
        </w:rPr>
        <w:t>) and chewings fescue (</w:t>
      </w:r>
      <w:r w:rsidRPr="00F368ED">
        <w:rPr>
          <w:rFonts w:ascii="Times New Roman" w:hAnsi="Times New Roman" w:cs="Times New Roman"/>
          <w:i/>
          <w:sz w:val="24"/>
          <w:szCs w:val="24"/>
        </w:rPr>
        <w:t xml:space="preserve">F. rubra </w:t>
      </w:r>
      <w:r w:rsidRPr="00F368ED">
        <w:rPr>
          <w:rFonts w:ascii="Times New Roman" w:hAnsi="Times New Roman" w:cs="Times New Roman"/>
          <w:sz w:val="24"/>
          <w:szCs w:val="24"/>
        </w:rPr>
        <w:t>var.</w:t>
      </w:r>
      <w:r w:rsidRPr="00F368ED">
        <w:rPr>
          <w:rFonts w:ascii="Times New Roman" w:hAnsi="Times New Roman" w:cs="Times New Roman"/>
          <w:i/>
          <w:sz w:val="24"/>
          <w:szCs w:val="24"/>
        </w:rPr>
        <w:t xml:space="preserve"> commutata</w:t>
      </w:r>
      <w:r w:rsidRPr="00F368ED">
        <w:rPr>
          <w:rFonts w:ascii="Times New Roman" w:hAnsi="Times New Roman" w:cs="Times New Roman"/>
          <w:sz w:val="24"/>
          <w:szCs w:val="24"/>
        </w:rPr>
        <w:t>), meadow fescue (</w:t>
      </w:r>
      <w:r w:rsidRPr="00F368ED">
        <w:rPr>
          <w:rFonts w:ascii="Times New Roman" w:hAnsi="Times New Roman" w:cs="Times New Roman"/>
          <w:i/>
          <w:sz w:val="24"/>
          <w:szCs w:val="24"/>
        </w:rPr>
        <w:t>F. elatior</w:t>
      </w:r>
      <w:r w:rsidRPr="00F368ED">
        <w:rPr>
          <w:rFonts w:ascii="Times New Roman" w:hAnsi="Times New Roman" w:cs="Times New Roman"/>
          <w:sz w:val="24"/>
          <w:szCs w:val="24"/>
        </w:rPr>
        <w:t>), creeping (</w:t>
      </w:r>
      <w:r w:rsidRPr="00F368ED">
        <w:rPr>
          <w:rFonts w:ascii="Times New Roman" w:hAnsi="Times New Roman" w:cs="Times New Roman"/>
          <w:i/>
          <w:sz w:val="24"/>
          <w:szCs w:val="24"/>
        </w:rPr>
        <w:t>Agrostis stolonifera</w:t>
      </w:r>
      <w:r w:rsidRPr="00F368ED">
        <w:rPr>
          <w:rFonts w:ascii="Times New Roman" w:hAnsi="Times New Roman" w:cs="Times New Roman"/>
          <w:sz w:val="24"/>
          <w:szCs w:val="24"/>
        </w:rPr>
        <w:t>) and colonial bentgrass (</w:t>
      </w:r>
      <w:r w:rsidRPr="00F368ED">
        <w:rPr>
          <w:rFonts w:ascii="Times New Roman" w:hAnsi="Times New Roman" w:cs="Times New Roman"/>
          <w:i/>
          <w:sz w:val="24"/>
          <w:szCs w:val="24"/>
        </w:rPr>
        <w:t>A. capillaris</w:t>
      </w:r>
      <w:r w:rsidRPr="00F368ED">
        <w:rPr>
          <w:rFonts w:ascii="Times New Roman" w:hAnsi="Times New Roman" w:cs="Times New Roman"/>
          <w:sz w:val="24"/>
          <w:szCs w:val="24"/>
        </w:rPr>
        <w:t>), Kentucky bluegrass (</w:t>
      </w:r>
      <w:r w:rsidRPr="00F368ED">
        <w:rPr>
          <w:rFonts w:ascii="Times New Roman" w:hAnsi="Times New Roman" w:cs="Times New Roman"/>
          <w:i/>
          <w:sz w:val="24"/>
          <w:szCs w:val="24"/>
        </w:rPr>
        <w:t>P. pratensis</w:t>
      </w:r>
      <w:r w:rsidRPr="00F368ED">
        <w:rPr>
          <w:rFonts w:ascii="Times New Roman" w:hAnsi="Times New Roman" w:cs="Times New Roman"/>
          <w:sz w:val="24"/>
          <w:szCs w:val="24"/>
        </w:rPr>
        <w:t>), rough bluegrass (P</w:t>
      </w:r>
      <w:r w:rsidRPr="00F368ED">
        <w:rPr>
          <w:rFonts w:ascii="Times New Roman" w:hAnsi="Times New Roman" w:cs="Times New Roman"/>
          <w:i/>
          <w:sz w:val="24"/>
          <w:szCs w:val="24"/>
        </w:rPr>
        <w:t>. trivialis</w:t>
      </w:r>
      <w:r w:rsidRPr="00F368ED">
        <w:rPr>
          <w:rFonts w:ascii="Times New Roman" w:hAnsi="Times New Roman" w:cs="Times New Roman"/>
          <w:sz w:val="24"/>
          <w:szCs w:val="24"/>
        </w:rPr>
        <w:t>), big bluegrass (</w:t>
      </w:r>
      <w:r w:rsidRPr="00F368ED">
        <w:rPr>
          <w:rFonts w:ascii="Times New Roman" w:hAnsi="Times New Roman" w:cs="Times New Roman"/>
          <w:i/>
          <w:sz w:val="24"/>
          <w:szCs w:val="24"/>
        </w:rPr>
        <w:t>P. ampla</w:t>
      </w:r>
      <w:r w:rsidRPr="00F368ED">
        <w:rPr>
          <w:rFonts w:ascii="Times New Roman" w:hAnsi="Times New Roman" w:cs="Times New Roman"/>
          <w:sz w:val="24"/>
          <w:szCs w:val="24"/>
        </w:rPr>
        <w:t>), and Timothy (</w:t>
      </w:r>
      <w:r w:rsidRPr="00F368ED">
        <w:rPr>
          <w:rFonts w:ascii="Times New Roman" w:hAnsi="Times New Roman" w:cs="Times New Roman"/>
          <w:i/>
          <w:sz w:val="24"/>
          <w:szCs w:val="24"/>
        </w:rPr>
        <w:t>Phloem pretense</w:t>
      </w:r>
      <w:r w:rsidRPr="00F368ED">
        <w:rPr>
          <w:rFonts w:ascii="Times New Roman" w:hAnsi="Times New Roman" w:cs="Times New Roman"/>
          <w:sz w:val="24"/>
          <w:szCs w:val="24"/>
        </w:rPr>
        <w:t xml:space="preserve">) (Ward et al., 1974). Later research found perennial ryegrass and rough bluegrass to be the best choice for greens (Batten et al., 1981). Recently it has been recommended that smaller seeded species such as creeping bentgrass or rough bluegrass, with emphasis on the latter, be used in place of perennial ryegrass (Sifers and Beard, 2001). Rough bluegrass demonstrated early and abrupt transitions that resulted in poor ratings (Ward et al., 1974; Schmidt and Shoulders, 1980). However, later studies indicated that it persisted longer than other species (Sifers and Beard, 2001; Richardson et al., 2007). This indicated that breeding efforts aimed at improving disease and heat tolerance have resulted in increased persistence of rough bluegrass, similar to perennial ryegrass. </w:t>
      </w:r>
    </w:p>
    <w:p w14:paraId="5BF0F1D8" w14:textId="77777777" w:rsidR="00F368ED" w:rsidRPr="00F368ED" w:rsidRDefault="00F368ED" w:rsidP="00F368ED">
      <w:pPr>
        <w:spacing w:line="480" w:lineRule="auto"/>
        <w:rPr>
          <w:rFonts w:ascii="Times New Roman" w:hAnsi="Times New Roman" w:cs="Times New Roman"/>
          <w:sz w:val="24"/>
          <w:szCs w:val="24"/>
        </w:rPr>
      </w:pPr>
      <w:r w:rsidRPr="00F368ED">
        <w:rPr>
          <w:rFonts w:ascii="Times New Roman" w:hAnsi="Times New Roman" w:cs="Times New Roman"/>
          <w:sz w:val="24"/>
          <w:szCs w:val="24"/>
        </w:rPr>
        <w:t xml:space="preserve"> </w:t>
      </w:r>
      <w:r w:rsidRPr="00F368ED">
        <w:rPr>
          <w:rFonts w:ascii="Times New Roman" w:hAnsi="Times New Roman" w:cs="Times New Roman"/>
          <w:sz w:val="24"/>
          <w:szCs w:val="24"/>
        </w:rPr>
        <w:tab/>
        <w:t xml:space="preserve">The only known instance of a new overseeding species being tested for putting greens in the past two decades is in overseeding trials conducted in Florida in 2004 and 2005. In these trials, an experimental variety designated ‘SRX 2NEM’ was mistakenly reported as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(Miller et al., 2005) However, the species was actually </w:t>
      </w:r>
      <w:r w:rsidRPr="00F368ED">
        <w:rPr>
          <w:rFonts w:ascii="Times New Roman" w:hAnsi="Times New Roman" w:cs="Times New Roman"/>
          <w:i/>
          <w:sz w:val="24"/>
          <w:szCs w:val="24"/>
        </w:rPr>
        <w:t xml:space="preserve">Poa nemoralis </w:t>
      </w:r>
      <w:r w:rsidRPr="00F368ED">
        <w:rPr>
          <w:rFonts w:ascii="Times New Roman" w:hAnsi="Times New Roman" w:cs="Times New Roman"/>
          <w:sz w:val="24"/>
          <w:szCs w:val="24"/>
        </w:rPr>
        <w:t xml:space="preserve">L (Brilman, personal communication, 2010). SRX 2NEM performed similar to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with the exception of poorer quality ratings in early summer. This suggests an abrupt transition (Miller et al., 2005). Data from trials at the University of Tennessee show that a USDA accession </w:t>
      </w:r>
      <w:proofErr w:type="gramStart"/>
      <w:r w:rsidRPr="00F368ED">
        <w:rPr>
          <w:rFonts w:ascii="Times New Roman" w:hAnsi="Times New Roman" w:cs="Times New Roman"/>
          <w:sz w:val="24"/>
          <w:szCs w:val="24"/>
        </w:rPr>
        <w:t xml:space="preserve">of  </w:t>
      </w:r>
      <w:r w:rsidRPr="00F368ED">
        <w:rPr>
          <w:rFonts w:ascii="Times New Roman" w:hAnsi="Times New Roman" w:cs="Times New Roman"/>
          <w:i/>
          <w:sz w:val="24"/>
          <w:szCs w:val="24"/>
        </w:rPr>
        <w:t>P</w:t>
      </w:r>
      <w:proofErr w:type="gramEnd"/>
      <w:r w:rsidRPr="00F368ED">
        <w:rPr>
          <w:rFonts w:ascii="Times New Roman" w:hAnsi="Times New Roman" w:cs="Times New Roman"/>
          <w:i/>
          <w:sz w:val="24"/>
          <w:szCs w:val="24"/>
        </w:rPr>
        <w:t>. nemoralis</w:t>
      </w:r>
      <w:r w:rsidRPr="00F368ED">
        <w:rPr>
          <w:rFonts w:ascii="Times New Roman" w:hAnsi="Times New Roman" w:cs="Times New Roman"/>
          <w:sz w:val="24"/>
          <w:szCs w:val="24"/>
        </w:rPr>
        <w:t xml:space="preserve">, without </w:t>
      </w:r>
      <w:r w:rsidRPr="00F368ED">
        <w:rPr>
          <w:rFonts w:ascii="Times New Roman" w:hAnsi="Times New Roman" w:cs="Times New Roman"/>
          <w:sz w:val="24"/>
          <w:szCs w:val="24"/>
        </w:rPr>
        <w:lastRenderedPageBreak/>
        <w:t>competition, dies in late spring or early summer with the onset of higher temperatures when mown at 7.6 cm (Data not shown or published).</w:t>
      </w:r>
    </w:p>
    <w:p w14:paraId="457AE527" w14:textId="77777777" w:rsidR="00F368ED" w:rsidRPr="00F368ED" w:rsidRDefault="00F368ED" w:rsidP="00F368ED">
      <w:pPr>
        <w:spacing w:line="480" w:lineRule="auto"/>
        <w:rPr>
          <w:rFonts w:ascii="Times New Roman" w:hAnsi="Times New Roman" w:cs="Times New Roman"/>
          <w:sz w:val="24"/>
          <w:szCs w:val="24"/>
        </w:rPr>
      </w:pPr>
      <w:r w:rsidRPr="00F368ED">
        <w:rPr>
          <w:rFonts w:ascii="Times New Roman" w:hAnsi="Times New Roman" w:cs="Times New Roman"/>
          <w:sz w:val="24"/>
          <w:szCs w:val="24"/>
        </w:rPr>
        <w:tab/>
      </w:r>
      <w:r w:rsidRPr="00F368ED">
        <w:rPr>
          <w:rFonts w:ascii="Times New Roman" w:hAnsi="Times New Roman" w:cs="Times New Roman"/>
          <w:i/>
          <w:sz w:val="24"/>
          <w:szCs w:val="24"/>
        </w:rPr>
        <w:t>P. nemoralis</w:t>
      </w:r>
      <w:r w:rsidRPr="00F368ED">
        <w:rPr>
          <w:rFonts w:ascii="Times New Roman" w:hAnsi="Times New Roman" w:cs="Times New Roman"/>
          <w:sz w:val="24"/>
          <w:szCs w:val="24"/>
        </w:rPr>
        <w:t xml:space="preserve"> is an erect bunch type grass tolerant of shade and cold. However, seed availability is poor and expensive (Brede, 2000). It is native to Eurasia and is naturalized in North and South America and Australasia (USDA, 2013). It is suitable for shaded lawns (Huff, 2001). </w:t>
      </w:r>
      <w:r w:rsidRPr="00F368ED">
        <w:rPr>
          <w:rFonts w:ascii="Times New Roman" w:hAnsi="Times New Roman" w:cs="Times New Roman"/>
          <w:i/>
          <w:sz w:val="24"/>
          <w:szCs w:val="24"/>
        </w:rPr>
        <w:t>P. nemoralis</w:t>
      </w:r>
      <w:r w:rsidRPr="00F368ED">
        <w:rPr>
          <w:rFonts w:ascii="Times New Roman" w:hAnsi="Times New Roman" w:cs="Times New Roman"/>
          <w:sz w:val="24"/>
          <w:szCs w:val="24"/>
        </w:rPr>
        <w:t xml:space="preserve"> was shown to have low tolerance to atmospheric drought (Carroll, 1943). Other literature regarding the performance of this species in turf or forage systems is extremely limited. </w:t>
      </w:r>
    </w:p>
    <w:p w14:paraId="16B5E269" w14:textId="77777777" w:rsidR="00F368ED" w:rsidRPr="00F368ED" w:rsidRDefault="00F368ED" w:rsidP="00F368ED">
      <w:pPr>
        <w:spacing w:line="480" w:lineRule="auto"/>
        <w:rPr>
          <w:rFonts w:ascii="Times New Roman" w:hAnsi="Times New Roman" w:cs="Times New Roman"/>
          <w:sz w:val="24"/>
          <w:szCs w:val="24"/>
        </w:rPr>
      </w:pPr>
      <w:r w:rsidRPr="00F368ED">
        <w:rPr>
          <w:rFonts w:ascii="Times New Roman" w:hAnsi="Times New Roman" w:cs="Times New Roman"/>
          <w:sz w:val="24"/>
          <w:szCs w:val="24"/>
        </w:rPr>
        <w:tab/>
        <w:t xml:space="preserve">A second species that may be useful for overseeding greens is </w:t>
      </w:r>
      <w:r w:rsidRPr="00F368ED">
        <w:rPr>
          <w:rFonts w:ascii="Times New Roman" w:hAnsi="Times New Roman" w:cs="Times New Roman"/>
          <w:i/>
          <w:sz w:val="24"/>
          <w:szCs w:val="24"/>
        </w:rPr>
        <w:t xml:space="preserve">P. supina </w:t>
      </w:r>
      <w:r w:rsidRPr="00F368ED">
        <w:rPr>
          <w:rFonts w:ascii="Times New Roman" w:hAnsi="Times New Roman" w:cs="Times New Roman"/>
          <w:sz w:val="24"/>
          <w:szCs w:val="24"/>
        </w:rPr>
        <w:t xml:space="preserve">Schrad.  </w:t>
      </w:r>
      <w:r w:rsidRPr="00F368ED">
        <w:rPr>
          <w:rFonts w:ascii="Times New Roman" w:hAnsi="Times New Roman" w:cs="Times New Roman"/>
          <w:i/>
          <w:sz w:val="24"/>
          <w:szCs w:val="24"/>
        </w:rPr>
        <w:t xml:space="preserve">P. supina </w:t>
      </w:r>
      <w:r w:rsidRPr="00F368ED">
        <w:rPr>
          <w:rFonts w:ascii="Times New Roman" w:hAnsi="Times New Roman" w:cs="Times New Roman"/>
          <w:sz w:val="24"/>
          <w:szCs w:val="24"/>
        </w:rPr>
        <w:t>is described as a stoloniferous sod-forming grass with good shade and traffic tolerance (Stier and Rogers, 2001). Supina bluegrass is native to the alpine regions of Europe and has been shown to be very competitive with other species. When seeded with Kentucky bluegrass or overseeded into existing stands of perennial ryegrass in northern US states and Canada, it was found to be the predominant species after a few years (Sorochan et al., 2001; Dodson et al., 2012). To our knowledge the heat tolerance of this species has not been investigated. However the recommendation is that its use should only occur in areas north of the transition zone (Stier, 1998). Supina bluegrass has been reported to be used on putting greens in Europe. This indicates that it is adapted to low mowing heights (Sorochan and Rogers, 2000). Additionally, data from current trials suggest that it can persist into mid-summer at a 7.6 mm mowing height with no competition (data not shown or published).</w:t>
      </w:r>
    </w:p>
    <w:p w14:paraId="5ABB966F" w14:textId="77777777" w:rsidR="00F368ED" w:rsidRPr="00F368ED" w:rsidRDefault="00F368ED" w:rsidP="00F368ED">
      <w:pPr>
        <w:spacing w:line="480" w:lineRule="auto"/>
        <w:rPr>
          <w:rFonts w:ascii="Times New Roman" w:hAnsi="Times New Roman" w:cs="Times New Roman"/>
          <w:sz w:val="24"/>
          <w:szCs w:val="24"/>
        </w:rPr>
      </w:pPr>
      <w:r w:rsidRPr="00F368ED">
        <w:rPr>
          <w:rFonts w:ascii="Times New Roman" w:hAnsi="Times New Roman" w:cs="Times New Roman"/>
          <w:sz w:val="24"/>
          <w:szCs w:val="24"/>
        </w:rPr>
        <w:tab/>
      </w:r>
      <w:r w:rsidRPr="00F368ED">
        <w:rPr>
          <w:rFonts w:ascii="Times New Roman" w:hAnsi="Times New Roman" w:cs="Times New Roman"/>
          <w:i/>
          <w:sz w:val="24"/>
          <w:szCs w:val="24"/>
        </w:rPr>
        <w:t>P. nemoralis</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P. supina</w:t>
      </w:r>
      <w:r w:rsidRPr="00F368ED">
        <w:rPr>
          <w:rFonts w:ascii="Times New Roman" w:hAnsi="Times New Roman" w:cs="Times New Roman"/>
          <w:sz w:val="24"/>
          <w:szCs w:val="24"/>
        </w:rPr>
        <w:t xml:space="preserve"> both have characteristics that warrant further investigation of their usefulness in winter overseeding. The objective of this study was to investigate the use of </w:t>
      </w:r>
      <w:r w:rsidRPr="00F368ED">
        <w:rPr>
          <w:rFonts w:ascii="Times New Roman" w:hAnsi="Times New Roman" w:cs="Times New Roman"/>
          <w:i/>
          <w:sz w:val="24"/>
          <w:szCs w:val="24"/>
        </w:rPr>
        <w:t xml:space="preserve">P. </w:t>
      </w:r>
      <w:r w:rsidRPr="00F368ED">
        <w:rPr>
          <w:rFonts w:ascii="Times New Roman" w:hAnsi="Times New Roman" w:cs="Times New Roman"/>
          <w:i/>
          <w:sz w:val="24"/>
          <w:szCs w:val="24"/>
        </w:rPr>
        <w:lastRenderedPageBreak/>
        <w:t xml:space="preserve">nemoralis </w:t>
      </w:r>
      <w:r w:rsidRPr="00F368ED">
        <w:rPr>
          <w:rFonts w:ascii="Times New Roman" w:hAnsi="Times New Roman" w:cs="Times New Roman"/>
          <w:sz w:val="24"/>
          <w:szCs w:val="24"/>
        </w:rPr>
        <w:t xml:space="preserve">and </w:t>
      </w:r>
      <w:r w:rsidRPr="00F368ED">
        <w:rPr>
          <w:rFonts w:ascii="Times New Roman" w:hAnsi="Times New Roman" w:cs="Times New Roman"/>
          <w:i/>
          <w:sz w:val="24"/>
          <w:szCs w:val="24"/>
        </w:rPr>
        <w:t xml:space="preserve">P. supina </w:t>
      </w:r>
      <w:r w:rsidRPr="00F368ED">
        <w:rPr>
          <w:rFonts w:ascii="Times New Roman" w:hAnsi="Times New Roman" w:cs="Times New Roman"/>
          <w:sz w:val="24"/>
          <w:szCs w:val="24"/>
        </w:rPr>
        <w:t>as overseeding species on putting greens, fairways, and sports turfs in the transition zone.</w:t>
      </w:r>
    </w:p>
    <w:p w14:paraId="6986F451" w14:textId="77777777" w:rsidR="00F368ED" w:rsidRPr="00F368ED" w:rsidRDefault="00F368ED" w:rsidP="00F368ED">
      <w:pPr>
        <w:autoSpaceDE w:val="0"/>
        <w:autoSpaceDN w:val="0"/>
        <w:adjustRightInd w:val="0"/>
        <w:spacing w:after="0" w:line="480" w:lineRule="auto"/>
        <w:jc w:val="center"/>
        <w:rPr>
          <w:rFonts w:ascii="Times New Roman" w:hAnsi="Times New Roman" w:cs="Times New Roman"/>
          <w:b/>
          <w:sz w:val="24"/>
          <w:szCs w:val="24"/>
        </w:rPr>
      </w:pPr>
    </w:p>
    <w:p w14:paraId="7957B904" w14:textId="77777777" w:rsidR="00F368ED" w:rsidRDefault="00F368ED" w:rsidP="00F368ED">
      <w:pPr>
        <w:pStyle w:val="Heading3"/>
      </w:pPr>
      <w:bookmarkStart w:id="25" w:name="_Toc350922990"/>
      <w:bookmarkStart w:id="26" w:name="_Toc354003329"/>
      <w:r w:rsidRPr="00F368ED">
        <w:t>Materials and Methods</w:t>
      </w:r>
      <w:bookmarkEnd w:id="25"/>
      <w:bookmarkEnd w:id="26"/>
    </w:p>
    <w:p w14:paraId="3561B661" w14:textId="77777777" w:rsidR="00F368ED" w:rsidRPr="00F368ED" w:rsidRDefault="00F368ED" w:rsidP="00F368ED"/>
    <w:p w14:paraId="009E7EAF" w14:textId="77777777" w:rsidR="00F368ED" w:rsidRPr="00F368ED" w:rsidRDefault="00F368ED" w:rsidP="00F368ED">
      <w:pPr>
        <w:spacing w:line="480" w:lineRule="auto"/>
        <w:ind w:firstLine="720"/>
        <w:rPr>
          <w:rFonts w:ascii="Times New Roman" w:hAnsi="Times New Roman" w:cs="Times New Roman"/>
          <w:sz w:val="24"/>
          <w:szCs w:val="24"/>
        </w:rPr>
      </w:pPr>
      <w:r w:rsidRPr="00F368ED">
        <w:rPr>
          <w:rFonts w:ascii="Times New Roman" w:hAnsi="Times New Roman" w:cs="Times New Roman"/>
          <w:sz w:val="24"/>
          <w:szCs w:val="24"/>
        </w:rPr>
        <w:t xml:space="preserve">Three winter overseeding studies were conducted at the East Tennessee Research and Education Center, Knoxville (35º54’N, 83º57’W). The studies were conducted on three bermudagrass stands: ‘TifEagle’ </w:t>
      </w:r>
      <w:r w:rsidR="00812798">
        <w:rPr>
          <w:rFonts w:ascii="Times New Roman" w:hAnsi="Times New Roman" w:cs="Times New Roman"/>
          <w:sz w:val="24"/>
          <w:szCs w:val="24"/>
        </w:rPr>
        <w:t xml:space="preserve">(Hanna and Elsner, 1999) </w:t>
      </w:r>
      <w:r w:rsidRPr="00F368ED">
        <w:rPr>
          <w:rFonts w:ascii="Times New Roman" w:hAnsi="Times New Roman" w:cs="Times New Roman"/>
          <w:sz w:val="24"/>
          <w:szCs w:val="24"/>
        </w:rPr>
        <w:t>ultradwarf hybrid bermudagrass [</w:t>
      </w:r>
      <w:r w:rsidRPr="00F368ED">
        <w:rPr>
          <w:rFonts w:ascii="Times New Roman" w:hAnsi="Times New Roman" w:cs="Times New Roman"/>
          <w:i/>
          <w:sz w:val="24"/>
          <w:szCs w:val="24"/>
        </w:rPr>
        <w:t>C. transvaalensis</w:t>
      </w:r>
      <w:r w:rsidRPr="00F368ED">
        <w:rPr>
          <w:rFonts w:ascii="Times New Roman" w:hAnsi="Times New Roman" w:cs="Times New Roman"/>
          <w:sz w:val="24"/>
          <w:szCs w:val="24"/>
        </w:rPr>
        <w:t xml:space="preserve"> (Burtt-Davey) × </w:t>
      </w:r>
      <w:r w:rsidRPr="00F368ED">
        <w:rPr>
          <w:rFonts w:ascii="Times New Roman" w:hAnsi="Times New Roman" w:cs="Times New Roman"/>
          <w:i/>
          <w:sz w:val="24"/>
          <w:szCs w:val="24"/>
        </w:rPr>
        <w:t>C. dactylon</w:t>
      </w:r>
      <w:r w:rsidRPr="00F368ED">
        <w:rPr>
          <w:rFonts w:ascii="Times New Roman" w:hAnsi="Times New Roman" w:cs="Times New Roman"/>
          <w:sz w:val="24"/>
          <w:szCs w:val="24"/>
        </w:rPr>
        <w:t xml:space="preserve"> (L.) Pers.] putting green, ‘Riviera’ common bermudagrass [</w:t>
      </w:r>
      <w:r w:rsidRPr="00F368ED">
        <w:rPr>
          <w:rFonts w:ascii="Times New Roman" w:hAnsi="Times New Roman" w:cs="Times New Roman"/>
          <w:i/>
          <w:sz w:val="24"/>
          <w:szCs w:val="24"/>
        </w:rPr>
        <w:t>C. dactylon</w:t>
      </w:r>
      <w:r w:rsidRPr="00F368ED">
        <w:rPr>
          <w:rFonts w:ascii="Times New Roman" w:hAnsi="Times New Roman" w:cs="Times New Roman"/>
          <w:sz w:val="24"/>
          <w:szCs w:val="24"/>
        </w:rPr>
        <w:t xml:space="preserve"> (L.) Pers.] fairway, and ‘Tifway’ hybrid bermudagrass [C. transvaalensis (Burtt-Davey) × C. dactylon (L.) Pers.] trafficked sports turf. All studies were established on a Sequatchie silt loam soil (fine-loamy, siliceous, semi active, thermic Humic Hapludult). Plot sizes were 1.2 m × 1.2 m and arranged in a randomized complete block experimental design with four replications. Prior to spring transition, treatment design was a replication within blocks, </w:t>
      </w:r>
      <w:proofErr w:type="gramStart"/>
      <w:r w:rsidRPr="00F368ED">
        <w:rPr>
          <w:rFonts w:ascii="Times New Roman" w:hAnsi="Times New Roman" w:cs="Times New Roman"/>
          <w:sz w:val="24"/>
          <w:szCs w:val="24"/>
        </w:rPr>
        <w:t>At</w:t>
      </w:r>
      <w:proofErr w:type="gramEnd"/>
      <w:r w:rsidRPr="00F368ED">
        <w:rPr>
          <w:rFonts w:ascii="Times New Roman" w:hAnsi="Times New Roman" w:cs="Times New Roman"/>
          <w:sz w:val="24"/>
          <w:szCs w:val="24"/>
        </w:rPr>
        <w:t xml:space="preserve"> spring transition, the treatment design changed to a two factor (species and transition type) factorial. The species factor included a non-overseeded control and varied depending on the specific study (Table 3.1). The transition factor was either trifloxysulfuron-sodium (Monument</w:t>
      </w:r>
      <w:r w:rsidRPr="00F368ED">
        <w:rPr>
          <w:rFonts w:ascii="Times New Roman" w:hAnsi="Times New Roman" w:cs="Times New Roman"/>
          <w:sz w:val="24"/>
          <w:szCs w:val="24"/>
          <w:vertAlign w:val="superscript"/>
        </w:rPr>
        <w:t>®</w:t>
      </w:r>
      <w:r w:rsidRPr="00F368ED">
        <w:rPr>
          <w:rFonts w:ascii="Times New Roman" w:hAnsi="Times New Roman" w:cs="Times New Roman"/>
          <w:sz w:val="24"/>
          <w:szCs w:val="24"/>
        </w:rPr>
        <w:t xml:space="preserve"> 75WG) or natural transition. </w:t>
      </w:r>
    </w:p>
    <w:p w14:paraId="5B6EB213" w14:textId="77777777" w:rsidR="00F368ED" w:rsidRPr="00F368ED" w:rsidRDefault="00F368ED" w:rsidP="00F368ED">
      <w:pPr>
        <w:spacing w:line="480" w:lineRule="auto"/>
        <w:ind w:firstLine="720"/>
        <w:rPr>
          <w:rFonts w:ascii="Times New Roman" w:hAnsi="Times New Roman" w:cs="Times New Roman"/>
          <w:sz w:val="24"/>
          <w:szCs w:val="24"/>
        </w:rPr>
      </w:pPr>
      <w:r w:rsidRPr="00F368ED">
        <w:rPr>
          <w:rFonts w:ascii="Times New Roman" w:hAnsi="Times New Roman" w:cs="Times New Roman"/>
          <w:sz w:val="24"/>
          <w:szCs w:val="24"/>
        </w:rPr>
        <w:t>Prior to seeding the treatments, the bermudagrass surface was prepared by vertical mowing in two directions. After seeding, the trials were top-dressed with 3 mm of sand. The bermudagrass stands were irrigated two to three times each day to promote germination. After germination, the studies were irrigated as needed to prevent drought stress. For the second year, all studies were moved to an adjacent area that had not been previously overseeded.</w:t>
      </w:r>
    </w:p>
    <w:p w14:paraId="40B26D14" w14:textId="77777777" w:rsidR="00F368ED" w:rsidRPr="00F368ED" w:rsidRDefault="00F368ED" w:rsidP="00F368ED">
      <w:pPr>
        <w:spacing w:line="480" w:lineRule="auto"/>
        <w:ind w:firstLine="720"/>
        <w:rPr>
          <w:rFonts w:ascii="Times New Roman" w:hAnsi="Times New Roman" w:cs="Times New Roman"/>
          <w:sz w:val="24"/>
          <w:szCs w:val="24"/>
        </w:rPr>
      </w:pPr>
      <w:r w:rsidRPr="00F368ED">
        <w:rPr>
          <w:rFonts w:ascii="Times New Roman" w:hAnsi="Times New Roman" w:cs="Times New Roman"/>
          <w:sz w:val="24"/>
          <w:szCs w:val="24"/>
        </w:rPr>
        <w:lastRenderedPageBreak/>
        <w:t>Seeding rates were based on previous literature and were specific to the turfgrass system (Miller et al., 2005) (Table 1). Pure live seed was calculated using the official seed analysis results provided on the label. The seed was stored at 4</w:t>
      </w:r>
      <w:r w:rsidRPr="00F368ED">
        <w:rPr>
          <w:rFonts w:ascii="Times New Roman" w:hAnsi="Times New Roman" w:cs="Times New Roman"/>
          <w:sz w:val="24"/>
          <w:szCs w:val="24"/>
          <w:vertAlign w:val="superscript"/>
        </w:rPr>
        <w:t>o</w:t>
      </w:r>
      <w:r w:rsidRPr="00F368ED">
        <w:rPr>
          <w:rFonts w:ascii="Times New Roman" w:hAnsi="Times New Roman" w:cs="Times New Roman"/>
          <w:sz w:val="24"/>
          <w:szCs w:val="24"/>
        </w:rPr>
        <w:t>C throughout the duration of the study. Germination tests were performed in December of each year.</w:t>
      </w:r>
    </w:p>
    <w:p w14:paraId="180F65F8" w14:textId="77777777" w:rsidR="00F368ED" w:rsidRPr="00F368ED" w:rsidRDefault="00F368ED" w:rsidP="00F368ED">
      <w:pPr>
        <w:spacing w:line="480" w:lineRule="auto"/>
        <w:rPr>
          <w:rFonts w:ascii="Times New Roman" w:hAnsi="Times New Roman" w:cs="Times New Roman"/>
          <w:sz w:val="24"/>
          <w:szCs w:val="24"/>
        </w:rPr>
      </w:pPr>
      <w:r w:rsidRPr="00F368ED">
        <w:rPr>
          <w:rFonts w:ascii="Times New Roman" w:hAnsi="Times New Roman" w:cs="Times New Roman"/>
          <w:sz w:val="24"/>
          <w:szCs w:val="24"/>
        </w:rPr>
        <w:t xml:space="preserve"> The second factor involving the two transition types included the application of trifloxysulfuron-sodium (TS) and natural transition (NT). The TS was applied at the maximum label rate of 29 g a.i. ha</w:t>
      </w:r>
      <w:r w:rsidRPr="00F368ED">
        <w:rPr>
          <w:rFonts w:ascii="Times New Roman" w:hAnsi="Times New Roman" w:cs="Times New Roman"/>
          <w:sz w:val="24"/>
          <w:szCs w:val="24"/>
          <w:vertAlign w:val="superscript"/>
        </w:rPr>
        <w:t>-1</w:t>
      </w:r>
      <w:r w:rsidRPr="00F368ED">
        <w:rPr>
          <w:rFonts w:ascii="Times New Roman" w:hAnsi="Times New Roman" w:cs="Times New Roman"/>
          <w:sz w:val="24"/>
          <w:szCs w:val="24"/>
        </w:rPr>
        <w:t xml:space="preserve"> on 6 May 2011 and 2 May 2012, using a 4-nozzle boom with a 1 m effective width and 8002 nozzles calibrated to deliver 13 L 100 m</w:t>
      </w:r>
      <w:r w:rsidRPr="00F368ED">
        <w:rPr>
          <w:rFonts w:ascii="Times New Roman" w:hAnsi="Times New Roman" w:cs="Times New Roman"/>
          <w:sz w:val="24"/>
          <w:szCs w:val="24"/>
          <w:vertAlign w:val="superscript"/>
        </w:rPr>
        <w:t>-2</w:t>
      </w:r>
      <w:r w:rsidRPr="00F368ED">
        <w:rPr>
          <w:rFonts w:ascii="Times New Roman" w:hAnsi="Times New Roman" w:cs="Times New Roman"/>
          <w:sz w:val="24"/>
          <w:szCs w:val="24"/>
        </w:rPr>
        <w:t>. A non-ionic surfactant was included at 0.25% v/v. For the NT treatments, transition was allowed to occur naturally.</w:t>
      </w:r>
    </w:p>
    <w:p w14:paraId="21C79C6F" w14:textId="77777777" w:rsidR="00F368ED" w:rsidRPr="00F368ED" w:rsidRDefault="00F368ED" w:rsidP="00F368ED">
      <w:pPr>
        <w:spacing w:line="480" w:lineRule="auto"/>
        <w:jc w:val="center"/>
        <w:rPr>
          <w:rFonts w:ascii="Times New Roman" w:hAnsi="Times New Roman" w:cs="Times New Roman"/>
          <w:b/>
          <w:sz w:val="24"/>
          <w:szCs w:val="24"/>
        </w:rPr>
      </w:pPr>
      <w:r w:rsidRPr="00F368ED">
        <w:rPr>
          <w:rFonts w:ascii="Times New Roman" w:hAnsi="Times New Roman" w:cs="Times New Roman"/>
          <w:b/>
          <w:sz w:val="24"/>
          <w:szCs w:val="24"/>
        </w:rPr>
        <w:t>Ultradwarf TifEagle Putting Green</w:t>
      </w:r>
    </w:p>
    <w:p w14:paraId="01C910CA" w14:textId="77777777" w:rsidR="00F368ED" w:rsidRPr="00F368ED" w:rsidRDefault="00F368ED" w:rsidP="00F368ED">
      <w:pPr>
        <w:spacing w:line="480" w:lineRule="auto"/>
        <w:ind w:firstLine="720"/>
        <w:rPr>
          <w:rFonts w:ascii="Times New Roman" w:hAnsi="Times New Roman" w:cs="Times New Roman"/>
          <w:sz w:val="24"/>
          <w:szCs w:val="24"/>
        </w:rPr>
      </w:pPr>
      <w:r w:rsidRPr="00F368ED">
        <w:rPr>
          <w:rFonts w:ascii="Times New Roman" w:hAnsi="Times New Roman" w:cs="Times New Roman"/>
          <w:sz w:val="24"/>
          <w:szCs w:val="24"/>
        </w:rPr>
        <w:t xml:space="preserve">The putting greens were seeded 30 September 2010 and 22 September 2011. The species treatment consisted of a non-overseeded control, </w:t>
      </w:r>
      <w:r w:rsidRPr="00F368ED">
        <w:rPr>
          <w:rFonts w:ascii="Times New Roman" w:hAnsi="Times New Roman" w:cs="Times New Roman"/>
          <w:i/>
          <w:sz w:val="24"/>
          <w:szCs w:val="24"/>
        </w:rPr>
        <w:t>P. nemoralis</w:t>
      </w:r>
      <w:r w:rsidRPr="00F368ED">
        <w:rPr>
          <w:rFonts w:ascii="Times New Roman" w:hAnsi="Times New Roman" w:cs="Times New Roman"/>
          <w:sz w:val="24"/>
          <w:szCs w:val="24"/>
        </w:rPr>
        <w:t xml:space="preserve"> ‘SRX 2NEM’, </w:t>
      </w:r>
      <w:r w:rsidRPr="00F368ED">
        <w:rPr>
          <w:rFonts w:ascii="Times New Roman" w:hAnsi="Times New Roman" w:cs="Times New Roman"/>
          <w:i/>
          <w:sz w:val="24"/>
          <w:szCs w:val="24"/>
        </w:rPr>
        <w:t xml:space="preserve">P. trivialis </w:t>
      </w:r>
      <w:r w:rsidRPr="00F368ED">
        <w:rPr>
          <w:rFonts w:ascii="Times New Roman" w:hAnsi="Times New Roman" w:cs="Times New Roman"/>
          <w:sz w:val="24"/>
          <w:szCs w:val="24"/>
        </w:rPr>
        <w:t>‘Quasar’</w:t>
      </w:r>
      <w:proofErr w:type="gramStart"/>
      <w:r w:rsidRPr="00F368ED">
        <w:rPr>
          <w:rFonts w:ascii="Times New Roman" w:hAnsi="Times New Roman" w:cs="Times New Roman"/>
          <w:sz w:val="24"/>
          <w:szCs w:val="24"/>
        </w:rPr>
        <w:t xml:space="preserve">,  </w:t>
      </w:r>
      <w:r w:rsidRPr="00F368ED">
        <w:rPr>
          <w:rFonts w:ascii="Times New Roman" w:hAnsi="Times New Roman" w:cs="Times New Roman"/>
          <w:i/>
          <w:sz w:val="24"/>
          <w:szCs w:val="24"/>
        </w:rPr>
        <w:t>P</w:t>
      </w:r>
      <w:proofErr w:type="gramEnd"/>
      <w:r w:rsidRPr="00F368ED">
        <w:rPr>
          <w:rFonts w:ascii="Times New Roman" w:hAnsi="Times New Roman" w:cs="Times New Roman"/>
          <w:i/>
          <w:sz w:val="24"/>
          <w:szCs w:val="24"/>
        </w:rPr>
        <w:t>. supina</w:t>
      </w:r>
      <w:r w:rsidRPr="00F368ED">
        <w:rPr>
          <w:rFonts w:ascii="Times New Roman" w:hAnsi="Times New Roman" w:cs="Times New Roman"/>
          <w:sz w:val="24"/>
          <w:szCs w:val="24"/>
        </w:rPr>
        <w:t xml:space="preserve"> ‘Supranova’, and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Champion GQ, which was a  blend of  50% ‘Zoom’ 40% ‘SRX 4600’ and 10% ‘Racer 2’. </w:t>
      </w:r>
    </w:p>
    <w:p w14:paraId="1995CD48" w14:textId="77777777" w:rsidR="00F368ED" w:rsidRPr="00F368ED" w:rsidRDefault="00F368ED" w:rsidP="00F368ED">
      <w:pPr>
        <w:spacing w:line="480" w:lineRule="auto"/>
        <w:ind w:firstLine="720"/>
        <w:rPr>
          <w:rFonts w:ascii="Times New Roman" w:hAnsi="Times New Roman" w:cs="Times New Roman"/>
          <w:sz w:val="24"/>
          <w:szCs w:val="24"/>
        </w:rPr>
      </w:pPr>
      <w:r w:rsidRPr="00F368ED">
        <w:rPr>
          <w:rFonts w:ascii="Times New Roman" w:hAnsi="Times New Roman" w:cs="Times New Roman"/>
          <w:sz w:val="24"/>
          <w:szCs w:val="24"/>
        </w:rPr>
        <w:t>Mowing was withheld for two weeks after seeding then initiated at a cutting height of 10 mm, Mowing was gradually lowered over a four week period to 3.5 mm with a 6 day per week mowing frequency during active growth. Turf stands were fertilized at a rate of 5 g N m</w:t>
      </w:r>
      <w:r w:rsidRPr="00F368ED">
        <w:rPr>
          <w:rFonts w:ascii="Times New Roman" w:hAnsi="Times New Roman" w:cs="Times New Roman"/>
          <w:sz w:val="24"/>
          <w:szCs w:val="24"/>
          <w:vertAlign w:val="superscript"/>
        </w:rPr>
        <w:t xml:space="preserve">-2 </w:t>
      </w:r>
      <w:r w:rsidRPr="00F368ED">
        <w:rPr>
          <w:rFonts w:ascii="Times New Roman" w:hAnsi="Times New Roman" w:cs="Times New Roman"/>
          <w:sz w:val="24"/>
          <w:szCs w:val="24"/>
        </w:rPr>
        <w:t>with a complete fertilizer (10-2-20) per growing month.</w:t>
      </w:r>
    </w:p>
    <w:p w14:paraId="22F109F8" w14:textId="77777777" w:rsidR="00F368ED" w:rsidRPr="00F368ED" w:rsidRDefault="00F368ED" w:rsidP="00F368ED">
      <w:pPr>
        <w:autoSpaceDE w:val="0"/>
        <w:autoSpaceDN w:val="0"/>
        <w:adjustRightInd w:val="0"/>
        <w:spacing w:after="0" w:line="480" w:lineRule="auto"/>
        <w:jc w:val="center"/>
        <w:rPr>
          <w:rFonts w:ascii="Times New Roman" w:hAnsi="Times New Roman" w:cs="Times New Roman"/>
          <w:b/>
          <w:sz w:val="24"/>
          <w:szCs w:val="24"/>
        </w:rPr>
      </w:pPr>
      <w:r w:rsidRPr="00F368ED">
        <w:rPr>
          <w:rFonts w:ascii="Times New Roman" w:hAnsi="Times New Roman" w:cs="Times New Roman"/>
          <w:b/>
          <w:sz w:val="24"/>
          <w:szCs w:val="24"/>
        </w:rPr>
        <w:t>Riviera Fairway</w:t>
      </w:r>
    </w:p>
    <w:p w14:paraId="14182C2A" w14:textId="77777777" w:rsidR="00F368ED" w:rsidRPr="00F368ED" w:rsidRDefault="00F368ED" w:rsidP="00F368ED">
      <w:pPr>
        <w:spacing w:line="480" w:lineRule="auto"/>
        <w:ind w:firstLine="720"/>
        <w:rPr>
          <w:rFonts w:ascii="Times New Roman" w:hAnsi="Times New Roman" w:cs="Times New Roman"/>
          <w:sz w:val="24"/>
          <w:szCs w:val="24"/>
        </w:rPr>
      </w:pPr>
      <w:r w:rsidRPr="00F368ED">
        <w:rPr>
          <w:rFonts w:ascii="Times New Roman" w:hAnsi="Times New Roman" w:cs="Times New Roman"/>
          <w:sz w:val="24"/>
          <w:szCs w:val="24"/>
        </w:rPr>
        <w:t xml:space="preserve">The fairway trial was seeded 28 September 2010 and 23 September 2011. Species treatments consisted of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‘Gulf’,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‘Transcend’,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Champion GQ blend,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‘Quasar’, and  </w:t>
      </w:r>
      <w:r w:rsidRPr="00F368ED">
        <w:rPr>
          <w:rFonts w:ascii="Times New Roman" w:hAnsi="Times New Roman" w:cs="Times New Roman"/>
          <w:i/>
          <w:sz w:val="24"/>
          <w:szCs w:val="24"/>
        </w:rPr>
        <w:t xml:space="preserve">Poa nemoralis </w:t>
      </w:r>
      <w:r w:rsidRPr="00F368ED">
        <w:rPr>
          <w:rFonts w:ascii="Times New Roman" w:hAnsi="Times New Roman" w:cs="Times New Roman"/>
          <w:sz w:val="24"/>
          <w:szCs w:val="24"/>
        </w:rPr>
        <w:t xml:space="preserve">‘SRX 2NEM’. Mowing </w:t>
      </w:r>
      <w:r w:rsidRPr="00F368ED">
        <w:rPr>
          <w:rFonts w:ascii="Times New Roman" w:hAnsi="Times New Roman" w:cs="Times New Roman"/>
          <w:sz w:val="24"/>
          <w:szCs w:val="24"/>
        </w:rPr>
        <w:lastRenderedPageBreak/>
        <w:t>was withheld for one week after seeding then resumed at a cutting height of 16 mm at a three day per week frequency during periods of active growth. The fairway stand was fertilized at a rate of 5 g N m</w:t>
      </w:r>
      <w:r w:rsidRPr="00F368ED">
        <w:rPr>
          <w:rFonts w:ascii="Times New Roman" w:hAnsi="Times New Roman" w:cs="Times New Roman"/>
          <w:sz w:val="24"/>
          <w:szCs w:val="24"/>
          <w:vertAlign w:val="superscript"/>
        </w:rPr>
        <w:t xml:space="preserve">-2 </w:t>
      </w:r>
      <w:r w:rsidRPr="00F368ED">
        <w:rPr>
          <w:rFonts w:ascii="Times New Roman" w:hAnsi="Times New Roman" w:cs="Times New Roman"/>
          <w:sz w:val="24"/>
          <w:szCs w:val="24"/>
        </w:rPr>
        <w:t xml:space="preserve">with an incomplete fertilizer (46-0-0) per growing month. </w:t>
      </w:r>
    </w:p>
    <w:p w14:paraId="7E62FC27" w14:textId="77777777" w:rsidR="00F368ED" w:rsidRPr="00F368ED" w:rsidRDefault="00F368ED" w:rsidP="00F368ED">
      <w:pPr>
        <w:spacing w:line="480" w:lineRule="auto"/>
        <w:jc w:val="center"/>
        <w:rPr>
          <w:rFonts w:ascii="Times New Roman" w:hAnsi="Times New Roman" w:cs="Times New Roman"/>
          <w:b/>
          <w:sz w:val="24"/>
          <w:szCs w:val="24"/>
        </w:rPr>
      </w:pPr>
      <w:r w:rsidRPr="00F368ED">
        <w:rPr>
          <w:rFonts w:ascii="Times New Roman" w:hAnsi="Times New Roman" w:cs="Times New Roman"/>
          <w:b/>
          <w:sz w:val="24"/>
          <w:szCs w:val="24"/>
        </w:rPr>
        <w:t>Tifway Sports Turf</w:t>
      </w:r>
    </w:p>
    <w:p w14:paraId="36706D83" w14:textId="77777777" w:rsidR="00F368ED" w:rsidRPr="00F368ED" w:rsidRDefault="00F368ED" w:rsidP="00F368ED">
      <w:pPr>
        <w:spacing w:line="480" w:lineRule="auto"/>
        <w:ind w:firstLine="720"/>
        <w:rPr>
          <w:rFonts w:ascii="Times New Roman" w:hAnsi="Times New Roman" w:cs="Times New Roman"/>
          <w:sz w:val="24"/>
          <w:szCs w:val="24"/>
        </w:rPr>
      </w:pPr>
      <w:r w:rsidRPr="00F368ED">
        <w:rPr>
          <w:rFonts w:ascii="Times New Roman" w:hAnsi="Times New Roman" w:cs="Times New Roman"/>
          <w:sz w:val="24"/>
          <w:szCs w:val="24"/>
        </w:rPr>
        <w:t xml:space="preserve">Species, species seeding date, and all other cultural practices were identical to the aforementioned fairway study. Mowing height was 22 mm at a frequency of three days per week. Simulated football traffic was applied using the Cady Traffic Simulator (Henderson et al., 2005). For both years, beginning two weeks after seeding (WAS) 10 simulated football games were applied over a four week period. </w:t>
      </w:r>
    </w:p>
    <w:p w14:paraId="1226127C" w14:textId="77777777" w:rsidR="00F368ED" w:rsidRPr="00F368ED" w:rsidRDefault="00F368ED" w:rsidP="00F368ED">
      <w:pPr>
        <w:spacing w:line="480" w:lineRule="auto"/>
        <w:jc w:val="center"/>
        <w:rPr>
          <w:rFonts w:ascii="Times New Roman" w:hAnsi="Times New Roman" w:cs="Times New Roman"/>
          <w:b/>
          <w:sz w:val="24"/>
          <w:szCs w:val="24"/>
        </w:rPr>
      </w:pPr>
      <w:r w:rsidRPr="00F368ED">
        <w:rPr>
          <w:rFonts w:ascii="Times New Roman" w:hAnsi="Times New Roman" w:cs="Times New Roman"/>
          <w:b/>
          <w:sz w:val="24"/>
          <w:szCs w:val="24"/>
        </w:rPr>
        <w:t>Data Collection</w:t>
      </w:r>
    </w:p>
    <w:p w14:paraId="599FD4FE" w14:textId="77777777" w:rsidR="00F368ED" w:rsidRPr="00F368ED" w:rsidRDefault="00F368ED" w:rsidP="00F368ED">
      <w:pPr>
        <w:spacing w:line="480" w:lineRule="auto"/>
        <w:rPr>
          <w:rFonts w:ascii="Times New Roman" w:hAnsi="Times New Roman" w:cs="Times New Roman"/>
          <w:sz w:val="24"/>
          <w:szCs w:val="24"/>
        </w:rPr>
      </w:pPr>
      <w:r w:rsidRPr="00F368ED">
        <w:rPr>
          <w:rFonts w:ascii="Times New Roman" w:hAnsi="Times New Roman" w:cs="Times New Roman"/>
          <w:sz w:val="24"/>
          <w:szCs w:val="24"/>
        </w:rPr>
        <w:t>Percent green turf cover was evaluated quantitatively using digital image analysis (DIA) according to the methods of Richardson et al., (2001). In each year, DIA was initiated at two weeks after seeding (WAS), was performed weekly during active growth, and ceased at eight weeks after transition (WAT). At four and eight WAT, species composition was measured by identifying the species growing at each of the 100 intersects created by a 1 m</w:t>
      </w:r>
      <w:r w:rsidRPr="00F368ED">
        <w:rPr>
          <w:rFonts w:ascii="Times New Roman" w:hAnsi="Times New Roman" w:cs="Times New Roman"/>
          <w:sz w:val="24"/>
          <w:szCs w:val="24"/>
          <w:vertAlign w:val="superscript"/>
        </w:rPr>
        <w:t>2</w:t>
      </w:r>
      <w:r w:rsidRPr="00F368ED">
        <w:rPr>
          <w:rFonts w:ascii="Times New Roman" w:hAnsi="Times New Roman" w:cs="Times New Roman"/>
          <w:sz w:val="24"/>
          <w:szCs w:val="24"/>
        </w:rPr>
        <w:t xml:space="preserve"> grid as either bermudagrass or overseeded species. The total count for each species was then totaled for each plot.</w:t>
      </w:r>
    </w:p>
    <w:p w14:paraId="63BB0C15" w14:textId="77777777" w:rsidR="00F368ED" w:rsidRPr="00F368ED" w:rsidRDefault="00F368ED" w:rsidP="00D96E8F">
      <w:pPr>
        <w:spacing w:line="480" w:lineRule="auto"/>
        <w:ind w:firstLine="720"/>
        <w:rPr>
          <w:rFonts w:ascii="Times New Roman" w:hAnsi="Times New Roman" w:cs="Times New Roman"/>
          <w:sz w:val="24"/>
          <w:szCs w:val="24"/>
        </w:rPr>
      </w:pPr>
      <w:r w:rsidRPr="00F368ED">
        <w:rPr>
          <w:rFonts w:ascii="Times New Roman" w:hAnsi="Times New Roman" w:cs="Times New Roman"/>
          <w:sz w:val="24"/>
          <w:szCs w:val="24"/>
        </w:rPr>
        <w:t xml:space="preserve">All data were analyzed using mixed model ANOVA in the SAS system 9.2 (Statistical Analysis Software, Cary, NC). In the pre-transition phase of the study, the second factor (TS) had not been applied, so every treatment occurred in every block twice. Therefore, data were analyzed with a treatment design of replications within blocks. Percent green cover values from the pre-transition phase of the study were used to calculate area under the percent green cover </w:t>
      </w:r>
      <w:r w:rsidRPr="00F368ED">
        <w:rPr>
          <w:rFonts w:ascii="Times New Roman" w:hAnsi="Times New Roman" w:cs="Times New Roman"/>
          <w:sz w:val="24"/>
          <w:szCs w:val="24"/>
        </w:rPr>
        <w:lastRenderedPageBreak/>
        <w:t xml:space="preserve">curve (AUPGCC) similar to the methods used by Campbell and Madden (1991) to calculate area under the disease progress curve (AUDPC). AUPGCC is expressed as the percent green cover × day and describes percent green cover throughout the overseeding season (October – May). In the pre-transition phase, years were different for all three turfgrass systems. Thus the years are presented separately. DIA post-transition and grid counts were analyzed as a factorial treatment design and years were different for all three systems and thus presented separately. Dates differed and are presented separately to display differences among the species and transition type factors at different timings. </w:t>
      </w:r>
    </w:p>
    <w:p w14:paraId="19CB6C7B" w14:textId="3F1E7E18" w:rsidR="002508AF" w:rsidRDefault="00F368ED" w:rsidP="00F368ED">
      <w:pPr>
        <w:spacing w:line="480" w:lineRule="auto"/>
        <w:ind w:firstLine="720"/>
        <w:rPr>
          <w:rFonts w:ascii="Times New Roman" w:hAnsi="Times New Roman" w:cs="Times New Roman"/>
          <w:sz w:val="24"/>
          <w:szCs w:val="24"/>
        </w:rPr>
      </w:pPr>
      <w:r w:rsidRPr="00F368ED">
        <w:rPr>
          <w:rFonts w:ascii="Times New Roman" w:hAnsi="Times New Roman" w:cs="Times New Roman"/>
          <w:sz w:val="24"/>
          <w:szCs w:val="24"/>
        </w:rPr>
        <w:t xml:space="preserve">In-house germination tests conducted both years showed a significant interaction between treatment and years and thus the interactions are reported. However, seeding rates remained the same for both seasons. The </w:t>
      </w:r>
      <w:r w:rsidRPr="00F368ED">
        <w:rPr>
          <w:rFonts w:ascii="Times New Roman" w:hAnsi="Times New Roman" w:cs="Times New Roman"/>
          <w:i/>
          <w:sz w:val="24"/>
          <w:szCs w:val="24"/>
        </w:rPr>
        <w:t>P. nemoralis</w:t>
      </w:r>
      <w:r w:rsidRPr="00F368ED">
        <w:rPr>
          <w:rFonts w:ascii="Times New Roman" w:hAnsi="Times New Roman" w:cs="Times New Roman"/>
          <w:sz w:val="24"/>
          <w:szCs w:val="24"/>
        </w:rPr>
        <w:t xml:space="preserve"> seed had a drop in germination of 24.3% in 2011 compared to results from 2010. </w:t>
      </w:r>
      <w:r w:rsidRPr="00F368ED">
        <w:rPr>
          <w:rFonts w:ascii="Times New Roman" w:hAnsi="Times New Roman" w:cs="Times New Roman"/>
          <w:i/>
          <w:sz w:val="24"/>
          <w:szCs w:val="24"/>
        </w:rPr>
        <w:t>P. supina</w:t>
      </w:r>
      <w:r w:rsidRPr="00F368ED">
        <w:rPr>
          <w:rFonts w:ascii="Times New Roman" w:hAnsi="Times New Roman" w:cs="Times New Roman"/>
          <w:sz w:val="24"/>
          <w:szCs w:val="24"/>
        </w:rPr>
        <w:t xml:space="preserve"> had a 28.2% increase in germination in 2011 (Table 3.1) The wood bluegrass seed was five years old when it was acquired in the summer of 2010 and its drop in germination is consistent with the information provided by the suppl</w:t>
      </w:r>
      <w:r w:rsidR="00474B49">
        <w:rPr>
          <w:rFonts w:ascii="Times New Roman" w:hAnsi="Times New Roman" w:cs="Times New Roman"/>
          <w:sz w:val="24"/>
          <w:szCs w:val="24"/>
        </w:rPr>
        <w:t>ier (</w:t>
      </w:r>
      <w:r w:rsidRPr="00F368ED">
        <w:rPr>
          <w:rFonts w:ascii="Times New Roman" w:hAnsi="Times New Roman" w:cs="Times New Roman"/>
          <w:sz w:val="24"/>
          <w:szCs w:val="24"/>
        </w:rPr>
        <w:t xml:space="preserve">Brilman, personal communication, 2010). The increase in germination of </w:t>
      </w:r>
      <w:r w:rsidRPr="00F368ED">
        <w:rPr>
          <w:rFonts w:ascii="Times New Roman" w:hAnsi="Times New Roman" w:cs="Times New Roman"/>
          <w:i/>
          <w:sz w:val="24"/>
          <w:szCs w:val="24"/>
        </w:rPr>
        <w:t>P. supina</w:t>
      </w:r>
      <w:r w:rsidRPr="00F368ED">
        <w:rPr>
          <w:rFonts w:ascii="Times New Roman" w:hAnsi="Times New Roman" w:cs="Times New Roman"/>
          <w:sz w:val="24"/>
          <w:szCs w:val="24"/>
        </w:rPr>
        <w:t xml:space="preserve"> may be explained by use of a newer lot of seed for 2011 in comparison to the previous year’s seed, which was approximately three years old.  The seed germination of all other treatments did not differ significantly between years, including the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blend that was also replaced with a new lot for the 2011 season. </w:t>
      </w:r>
    </w:p>
    <w:p w14:paraId="2C0D5EE9" w14:textId="77777777" w:rsidR="002508AF" w:rsidRDefault="002508AF">
      <w:pPr>
        <w:rPr>
          <w:rFonts w:ascii="Times New Roman" w:hAnsi="Times New Roman" w:cs="Times New Roman"/>
          <w:sz w:val="24"/>
          <w:szCs w:val="24"/>
        </w:rPr>
      </w:pPr>
      <w:r>
        <w:rPr>
          <w:rFonts w:ascii="Times New Roman" w:hAnsi="Times New Roman" w:cs="Times New Roman"/>
          <w:sz w:val="24"/>
          <w:szCs w:val="24"/>
        </w:rPr>
        <w:br w:type="page"/>
      </w:r>
    </w:p>
    <w:p w14:paraId="17FEDB47" w14:textId="77777777" w:rsidR="00F368ED" w:rsidRPr="00F368ED" w:rsidRDefault="00F368ED" w:rsidP="002508AF">
      <w:pPr>
        <w:spacing w:line="480" w:lineRule="auto"/>
        <w:rPr>
          <w:rFonts w:ascii="Times New Roman" w:hAnsi="Times New Roman" w:cs="Times New Roman"/>
          <w:sz w:val="24"/>
          <w:szCs w:val="24"/>
        </w:rPr>
      </w:pPr>
    </w:p>
    <w:p w14:paraId="272EE2F9" w14:textId="77777777" w:rsidR="00F368ED" w:rsidRDefault="00F368ED" w:rsidP="002508AF">
      <w:pPr>
        <w:pStyle w:val="Heading3"/>
      </w:pPr>
      <w:bookmarkStart w:id="27" w:name="_Toc350922991"/>
      <w:bookmarkStart w:id="28" w:name="_Toc354003330"/>
      <w:r w:rsidRPr="00F368ED">
        <w:t>Results and Discussion</w:t>
      </w:r>
      <w:bookmarkEnd w:id="27"/>
      <w:bookmarkEnd w:id="28"/>
    </w:p>
    <w:p w14:paraId="4CC63C6E" w14:textId="77777777" w:rsidR="00F368ED" w:rsidRPr="00F368ED" w:rsidRDefault="00F368ED" w:rsidP="00F368ED"/>
    <w:p w14:paraId="6C0916DC" w14:textId="77777777" w:rsidR="00F368ED" w:rsidRDefault="00F368ED" w:rsidP="00F368ED">
      <w:pPr>
        <w:pStyle w:val="Heading3"/>
      </w:pPr>
      <w:bookmarkStart w:id="29" w:name="_Toc354003331"/>
      <w:r w:rsidRPr="00F368ED">
        <w:t>Putting Green</w:t>
      </w:r>
      <w:bookmarkEnd w:id="29"/>
    </w:p>
    <w:p w14:paraId="33BEDA07" w14:textId="77777777" w:rsidR="00F368ED" w:rsidRPr="00F368ED" w:rsidRDefault="00F368ED" w:rsidP="00F368ED"/>
    <w:p w14:paraId="3BBF0BCB" w14:textId="77777777" w:rsidR="00F368ED" w:rsidRPr="00F368ED" w:rsidRDefault="00F368ED" w:rsidP="00F368ED">
      <w:pPr>
        <w:spacing w:line="480" w:lineRule="auto"/>
        <w:rPr>
          <w:rFonts w:ascii="Times New Roman" w:hAnsi="Times New Roman" w:cs="Times New Roman"/>
          <w:i/>
          <w:sz w:val="24"/>
          <w:szCs w:val="24"/>
        </w:rPr>
      </w:pPr>
      <w:r w:rsidRPr="00F368ED">
        <w:rPr>
          <w:rFonts w:ascii="Times New Roman" w:hAnsi="Times New Roman" w:cs="Times New Roman"/>
          <w:i/>
          <w:sz w:val="24"/>
          <w:szCs w:val="24"/>
        </w:rPr>
        <w:t>Percent green cover through the overseeding season</w:t>
      </w:r>
    </w:p>
    <w:p w14:paraId="2B344F00" w14:textId="77777777" w:rsidR="00F368ED" w:rsidRPr="00F368ED" w:rsidRDefault="00F368ED" w:rsidP="00F368ED">
      <w:pPr>
        <w:spacing w:line="480" w:lineRule="auto"/>
        <w:ind w:firstLine="720"/>
        <w:rPr>
          <w:rFonts w:ascii="Times New Roman" w:hAnsi="Times New Roman" w:cs="Times New Roman"/>
          <w:sz w:val="24"/>
          <w:szCs w:val="24"/>
        </w:rPr>
      </w:pPr>
      <w:proofErr w:type="gramStart"/>
      <w:r w:rsidRPr="00F368ED">
        <w:rPr>
          <w:rFonts w:ascii="Times New Roman" w:hAnsi="Times New Roman" w:cs="Times New Roman"/>
          <w:sz w:val="24"/>
          <w:szCs w:val="24"/>
        </w:rPr>
        <w:t>the2010</w:t>
      </w:r>
      <w:proofErr w:type="gramEnd"/>
      <w:r w:rsidRPr="00F368ED">
        <w:rPr>
          <w:rFonts w:ascii="Times New Roman" w:hAnsi="Times New Roman" w:cs="Times New Roman"/>
          <w:sz w:val="24"/>
          <w:szCs w:val="24"/>
        </w:rPr>
        <w:t xml:space="preserve"> trial compared to the 2011 trial (Table 3.2). This is explained by the above average temperatures occurring through winter and early spring of 2012 compared to the 2010 to 2011 season when temperatures were below normal in December and January (Figure 3.7). However, the percent green cover contribution of treatments was reduced in the second season (Table 3.2). Previous research indicated that the optimum soil temperatures for overseeding are between 22 and 26</w:t>
      </w:r>
      <w:r w:rsidRPr="00F368ED">
        <w:rPr>
          <w:rFonts w:ascii="Cambria Math" w:hAnsi="Cambria Math" w:cs="Cambria Math"/>
          <w:sz w:val="24"/>
          <w:szCs w:val="24"/>
        </w:rPr>
        <w:t>⁰</w:t>
      </w:r>
      <w:r w:rsidRPr="00F368ED">
        <w:rPr>
          <w:rFonts w:ascii="Times New Roman" w:hAnsi="Times New Roman" w:cs="Times New Roman"/>
          <w:sz w:val="24"/>
          <w:szCs w:val="24"/>
        </w:rPr>
        <w:t>C (Batten et al., 1980). Soil temperatures at the time of seeding were slightly below optimum at 21.7</w:t>
      </w:r>
      <w:r w:rsidRPr="00F368ED">
        <w:rPr>
          <w:rFonts w:ascii="Cambria Math" w:hAnsi="Cambria Math" w:cs="Cambria Math"/>
          <w:sz w:val="24"/>
          <w:szCs w:val="24"/>
        </w:rPr>
        <w:t>⁰</w:t>
      </w:r>
      <w:r w:rsidRPr="00F368ED">
        <w:rPr>
          <w:rFonts w:ascii="Times New Roman" w:hAnsi="Times New Roman" w:cs="Times New Roman"/>
          <w:sz w:val="24"/>
          <w:szCs w:val="24"/>
        </w:rPr>
        <w:t>C in 2010 and optimum at 23.7</w:t>
      </w:r>
      <w:r w:rsidRPr="00F368ED">
        <w:rPr>
          <w:rFonts w:ascii="Cambria Math" w:hAnsi="Cambria Math" w:cs="Cambria Math"/>
          <w:sz w:val="24"/>
          <w:szCs w:val="24"/>
        </w:rPr>
        <w:t>⁰</w:t>
      </w:r>
      <w:r w:rsidRPr="00F368ED">
        <w:rPr>
          <w:rFonts w:ascii="Times New Roman" w:hAnsi="Times New Roman" w:cs="Times New Roman"/>
          <w:sz w:val="24"/>
          <w:szCs w:val="24"/>
        </w:rPr>
        <w:t>C in 2011 (Figure 3.8) However, the AUPGCC data shows that cover was higher in 2010 compared to 2011 (Table 3.2). Monthly averages for air temperature showed that September and October of both years were similar (Figure 3.7). Daily average air temperatures showed that during the first week after seeding temperatures were 13 to 2</w:t>
      </w:r>
      <w:r w:rsidRPr="00F368ED">
        <w:rPr>
          <w:rFonts w:ascii="Cambria Math" w:hAnsi="Cambria Math" w:cs="Cambria Math"/>
          <w:sz w:val="24"/>
          <w:szCs w:val="24"/>
        </w:rPr>
        <w:t>⁰</w:t>
      </w:r>
      <w:r w:rsidRPr="00F368ED">
        <w:rPr>
          <w:rFonts w:ascii="Times New Roman" w:hAnsi="Times New Roman" w:cs="Times New Roman"/>
          <w:sz w:val="24"/>
          <w:szCs w:val="24"/>
        </w:rPr>
        <w:t xml:space="preserve"> C higher in 2011 than for the same period during 2010 (Figure 3.9). Additionally, an afternoon thunderstorm occurred just after seeding in 2011. The precipitati</w:t>
      </w:r>
      <w:r w:rsidR="00686A92">
        <w:rPr>
          <w:rFonts w:ascii="Times New Roman" w:hAnsi="Times New Roman" w:cs="Times New Roman"/>
          <w:sz w:val="24"/>
          <w:szCs w:val="24"/>
        </w:rPr>
        <w:t>on was heavy enough to cause th</w:t>
      </w:r>
      <w:r w:rsidRPr="00F368ED">
        <w:rPr>
          <w:rFonts w:ascii="Times New Roman" w:hAnsi="Times New Roman" w:cs="Times New Roman"/>
          <w:sz w:val="24"/>
          <w:szCs w:val="24"/>
        </w:rPr>
        <w:t>e seeds</w:t>
      </w:r>
      <w:r w:rsidR="00686A92">
        <w:rPr>
          <w:rFonts w:ascii="Times New Roman" w:hAnsi="Times New Roman" w:cs="Times New Roman"/>
          <w:sz w:val="24"/>
          <w:szCs w:val="24"/>
        </w:rPr>
        <w:t xml:space="preserve"> to float and be deposited on top of the canopy</w:t>
      </w:r>
      <w:r w:rsidRPr="00F368ED">
        <w:rPr>
          <w:rFonts w:ascii="Times New Roman" w:hAnsi="Times New Roman" w:cs="Times New Roman"/>
          <w:sz w:val="24"/>
          <w:szCs w:val="24"/>
        </w:rPr>
        <w:t xml:space="preserve"> resulting in less seed to soil contact. The irrigation cycles were identical between the two years; however, considering the poor seed to soil contact and higher air temperatures, it is likely that many seeds did not imbibe enough moisture for germination and establishment and thus led to lower cover values for the seeded treatments during 2011 through 2012. Compounding this was the health and quality of the bermudagrass stand. During the growing season of 2010, the maintenance of </w:t>
      </w:r>
      <w:r w:rsidRPr="00F368ED">
        <w:rPr>
          <w:rFonts w:ascii="Times New Roman" w:hAnsi="Times New Roman" w:cs="Times New Roman"/>
          <w:sz w:val="24"/>
          <w:szCs w:val="24"/>
        </w:rPr>
        <w:lastRenderedPageBreak/>
        <w:t>the green was minimal and resulted in a poor surface quality at the time of seeding. During 2011, the greens management was more intense and resulted in a denser and higher quality surface at the time of seeding in 2011. This increased level of quality and density may have posed more competition against the developing seedlings, resulting in a poorer stand.</w:t>
      </w:r>
    </w:p>
    <w:p w14:paraId="10C78E31" w14:textId="77777777" w:rsidR="00F368ED" w:rsidRPr="00F368ED" w:rsidRDefault="00F368ED" w:rsidP="00F368ED">
      <w:pPr>
        <w:spacing w:line="480" w:lineRule="auto"/>
        <w:rPr>
          <w:rFonts w:ascii="Times New Roman" w:hAnsi="Times New Roman" w:cs="Times New Roman"/>
          <w:sz w:val="24"/>
          <w:szCs w:val="24"/>
        </w:rPr>
      </w:pPr>
      <w:r w:rsidRPr="00F368ED">
        <w:rPr>
          <w:rFonts w:ascii="Times New Roman" w:hAnsi="Times New Roman" w:cs="Times New Roman"/>
          <w:sz w:val="24"/>
          <w:szCs w:val="24"/>
        </w:rPr>
        <w:tab/>
        <w:t xml:space="preserve">In both seasons,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ranked highest with the exception of the 2011 trial year, when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ranked the same as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(Table 3.2). This was consistent with previous studies where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were found to be the best species for overseeding bermudagrass putting greens when compared to other species (Batten et al., 1981).  </w:t>
      </w:r>
      <w:r w:rsidRPr="00F368ED">
        <w:rPr>
          <w:rFonts w:ascii="Times New Roman" w:hAnsi="Times New Roman" w:cs="Times New Roman"/>
          <w:i/>
          <w:sz w:val="24"/>
          <w:szCs w:val="24"/>
        </w:rPr>
        <w:t>P. supina</w:t>
      </w:r>
      <w:r w:rsidRPr="00F368ED">
        <w:rPr>
          <w:rFonts w:ascii="Times New Roman" w:hAnsi="Times New Roman" w:cs="Times New Roman"/>
          <w:sz w:val="24"/>
          <w:szCs w:val="24"/>
        </w:rPr>
        <w:t xml:space="preserve"> ranked higher than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in the 2010 trial, but not in the 2011 trial. In 2010 </w:t>
      </w:r>
      <w:r w:rsidRPr="00F368ED">
        <w:rPr>
          <w:rFonts w:ascii="Times New Roman" w:hAnsi="Times New Roman" w:cs="Times New Roman"/>
          <w:i/>
          <w:sz w:val="24"/>
          <w:szCs w:val="24"/>
        </w:rPr>
        <w:t>P. nemoralis</w:t>
      </w:r>
      <w:r w:rsidRPr="00F368ED">
        <w:rPr>
          <w:rFonts w:ascii="Times New Roman" w:hAnsi="Times New Roman" w:cs="Times New Roman"/>
          <w:sz w:val="24"/>
          <w:szCs w:val="24"/>
        </w:rPr>
        <w:t xml:space="preserve"> was not different than either supina bluegrass or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indicating that </w:t>
      </w:r>
      <w:r w:rsidRPr="00F368ED">
        <w:rPr>
          <w:rFonts w:ascii="Times New Roman" w:hAnsi="Times New Roman" w:cs="Times New Roman"/>
          <w:i/>
          <w:sz w:val="24"/>
          <w:szCs w:val="24"/>
        </w:rPr>
        <w:t>P. nemoralis</w:t>
      </w:r>
      <w:r w:rsidRPr="00F368ED">
        <w:rPr>
          <w:rFonts w:ascii="Times New Roman" w:hAnsi="Times New Roman" w:cs="Times New Roman"/>
          <w:sz w:val="24"/>
          <w:szCs w:val="24"/>
        </w:rPr>
        <w:t xml:space="preserve"> was able to provide a sufficient cover. However, </w:t>
      </w:r>
      <w:r w:rsidRPr="00F368ED">
        <w:rPr>
          <w:rFonts w:ascii="Times New Roman" w:hAnsi="Times New Roman" w:cs="Times New Roman"/>
          <w:i/>
          <w:sz w:val="24"/>
          <w:szCs w:val="24"/>
        </w:rPr>
        <w:t>P. nemoralis</w:t>
      </w:r>
      <w:r w:rsidRPr="00F368ED">
        <w:rPr>
          <w:rFonts w:ascii="Times New Roman" w:hAnsi="Times New Roman" w:cs="Times New Roman"/>
          <w:sz w:val="24"/>
          <w:szCs w:val="24"/>
        </w:rPr>
        <w:t xml:space="preserve"> was not different from the control in the 2011 trial. This could be explained by the drop in germination that was observed with these two treatments. In addition, a lack of competiveness against actively growing bermudagrass may have contributed to reduced establishment for all treatments.</w:t>
      </w:r>
    </w:p>
    <w:p w14:paraId="52A6A373" w14:textId="77777777" w:rsidR="00F368ED" w:rsidRPr="00F368ED" w:rsidRDefault="00F368ED" w:rsidP="00F368ED">
      <w:pPr>
        <w:spacing w:line="480" w:lineRule="auto"/>
        <w:rPr>
          <w:rFonts w:ascii="Times New Roman" w:hAnsi="Times New Roman" w:cs="Times New Roman"/>
          <w:i/>
          <w:sz w:val="24"/>
          <w:szCs w:val="24"/>
        </w:rPr>
      </w:pPr>
      <w:r w:rsidRPr="00F368ED">
        <w:rPr>
          <w:rFonts w:ascii="Times New Roman" w:hAnsi="Times New Roman" w:cs="Times New Roman"/>
          <w:i/>
          <w:sz w:val="24"/>
          <w:szCs w:val="24"/>
        </w:rPr>
        <w:t>Grid Counts Post TS Application</w:t>
      </w:r>
    </w:p>
    <w:p w14:paraId="5DD94EB6" w14:textId="77777777" w:rsidR="00F368ED" w:rsidRPr="00F368ED" w:rsidRDefault="00F368ED" w:rsidP="00F368ED">
      <w:pPr>
        <w:spacing w:line="480" w:lineRule="auto"/>
        <w:ind w:firstLine="720"/>
        <w:rPr>
          <w:rFonts w:ascii="Times New Roman" w:hAnsi="Times New Roman" w:cs="Times New Roman"/>
          <w:sz w:val="24"/>
          <w:szCs w:val="24"/>
        </w:rPr>
      </w:pPr>
      <w:r w:rsidRPr="00F368ED">
        <w:rPr>
          <w:rFonts w:ascii="Times New Roman" w:hAnsi="Times New Roman" w:cs="Times New Roman"/>
          <w:sz w:val="24"/>
          <w:szCs w:val="24"/>
        </w:rPr>
        <w:t xml:space="preserve">Results were similar for both years at 4 WAT.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w:t>
      </w:r>
      <w:r w:rsidRPr="00F368ED">
        <w:rPr>
          <w:rFonts w:ascii="Times New Roman" w:hAnsi="Times New Roman" w:cs="Times New Roman"/>
          <w:i/>
          <w:sz w:val="24"/>
          <w:szCs w:val="24"/>
        </w:rPr>
        <w:t>P. supina</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all had lower percentages of bermudagrass counts than the non-overseeded control and </w:t>
      </w:r>
      <w:r w:rsidRPr="00F368ED">
        <w:rPr>
          <w:rFonts w:ascii="Times New Roman" w:hAnsi="Times New Roman" w:cs="Times New Roman"/>
          <w:i/>
          <w:sz w:val="24"/>
          <w:szCs w:val="24"/>
        </w:rPr>
        <w:t>P. nemoralis,</w:t>
      </w:r>
      <w:r w:rsidRPr="00F368ED">
        <w:rPr>
          <w:rFonts w:ascii="Times New Roman" w:hAnsi="Times New Roman" w:cs="Times New Roman"/>
          <w:sz w:val="24"/>
          <w:szCs w:val="24"/>
        </w:rPr>
        <w:t xml:space="preserve"> when allowed to transition naturally (Fig. 3.1 and 3.2). This was surprising because in the 2010 trial, the amount of cover provided by </w:t>
      </w:r>
      <w:r w:rsidRPr="00F368ED">
        <w:rPr>
          <w:rFonts w:ascii="Times New Roman" w:hAnsi="Times New Roman" w:cs="Times New Roman"/>
          <w:i/>
          <w:sz w:val="24"/>
          <w:szCs w:val="24"/>
        </w:rPr>
        <w:t>P. nemoralis</w:t>
      </w:r>
      <w:r w:rsidRPr="00F368ED">
        <w:rPr>
          <w:rFonts w:ascii="Times New Roman" w:hAnsi="Times New Roman" w:cs="Times New Roman"/>
          <w:sz w:val="24"/>
          <w:szCs w:val="24"/>
        </w:rPr>
        <w:t xml:space="preserve"> was similar to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P. supina</w:t>
      </w:r>
      <w:r w:rsidRPr="00F368ED">
        <w:rPr>
          <w:rFonts w:ascii="Times New Roman" w:hAnsi="Times New Roman" w:cs="Times New Roman"/>
          <w:sz w:val="24"/>
          <w:szCs w:val="24"/>
        </w:rPr>
        <w:t xml:space="preserve">. This indicated that </w:t>
      </w:r>
      <w:r w:rsidRPr="00F368ED">
        <w:rPr>
          <w:rFonts w:ascii="Times New Roman" w:hAnsi="Times New Roman" w:cs="Times New Roman"/>
          <w:i/>
          <w:sz w:val="24"/>
          <w:szCs w:val="24"/>
        </w:rPr>
        <w:t>P. nemoralis</w:t>
      </w:r>
      <w:r w:rsidRPr="00F368ED">
        <w:rPr>
          <w:rFonts w:ascii="Times New Roman" w:hAnsi="Times New Roman" w:cs="Times New Roman"/>
          <w:sz w:val="24"/>
          <w:szCs w:val="24"/>
        </w:rPr>
        <w:t xml:space="preserve"> did not present as much competition against the bermudagrass compared to the other treatments.  </w:t>
      </w:r>
      <w:r w:rsidRPr="00F368ED">
        <w:rPr>
          <w:rFonts w:ascii="Times New Roman" w:hAnsi="Times New Roman" w:cs="Times New Roman"/>
          <w:i/>
          <w:sz w:val="24"/>
          <w:szCs w:val="24"/>
        </w:rPr>
        <w:t>P. supina</w:t>
      </w:r>
      <w:r w:rsidRPr="00F368ED">
        <w:rPr>
          <w:rFonts w:ascii="Times New Roman" w:hAnsi="Times New Roman" w:cs="Times New Roman"/>
          <w:sz w:val="24"/>
          <w:szCs w:val="24"/>
        </w:rPr>
        <w:t xml:space="preserve"> had the lowest bermudagrass plant counts in both years; however, it was only significantly different in 2012. The results remained </w:t>
      </w:r>
      <w:r w:rsidRPr="00F368ED">
        <w:rPr>
          <w:rFonts w:ascii="Times New Roman" w:hAnsi="Times New Roman" w:cs="Times New Roman"/>
          <w:sz w:val="24"/>
          <w:szCs w:val="24"/>
        </w:rPr>
        <w:lastRenderedPageBreak/>
        <w:t xml:space="preserve">the same at eight WAT in both years with </w:t>
      </w:r>
      <w:r w:rsidRPr="00F368ED">
        <w:rPr>
          <w:rFonts w:ascii="Times New Roman" w:hAnsi="Times New Roman" w:cs="Times New Roman"/>
          <w:i/>
          <w:sz w:val="24"/>
          <w:szCs w:val="24"/>
        </w:rPr>
        <w:t xml:space="preserve">P. supina </w:t>
      </w:r>
      <w:r w:rsidRPr="00F368ED">
        <w:rPr>
          <w:rFonts w:ascii="Times New Roman" w:hAnsi="Times New Roman" w:cs="Times New Roman"/>
          <w:sz w:val="24"/>
          <w:szCs w:val="24"/>
        </w:rPr>
        <w:t xml:space="preserve">having significantly lower bermudagrass counts than </w:t>
      </w:r>
      <w:r w:rsidRPr="00F368ED">
        <w:rPr>
          <w:rFonts w:ascii="Times New Roman" w:hAnsi="Times New Roman" w:cs="Times New Roman"/>
          <w:i/>
          <w:sz w:val="24"/>
          <w:szCs w:val="24"/>
        </w:rPr>
        <w:t xml:space="preserve">P. trivialis </w:t>
      </w:r>
      <w:r w:rsidRPr="00F368ED">
        <w:rPr>
          <w:rFonts w:ascii="Times New Roman" w:hAnsi="Times New Roman" w:cs="Times New Roman"/>
          <w:sz w:val="24"/>
          <w:szCs w:val="24"/>
        </w:rPr>
        <w:t xml:space="preserve">and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This indicated that supina bluegrass was a strong competitor against bermudagrass during this time of year. This was consistent with findings showing that </w:t>
      </w:r>
      <w:r w:rsidRPr="00F368ED">
        <w:rPr>
          <w:rFonts w:ascii="Times New Roman" w:hAnsi="Times New Roman" w:cs="Times New Roman"/>
          <w:i/>
          <w:sz w:val="24"/>
          <w:szCs w:val="24"/>
        </w:rPr>
        <w:t xml:space="preserve">P. supina </w:t>
      </w:r>
      <w:r w:rsidRPr="00F368ED">
        <w:rPr>
          <w:rFonts w:ascii="Times New Roman" w:hAnsi="Times New Roman" w:cs="Times New Roman"/>
          <w:sz w:val="24"/>
          <w:szCs w:val="24"/>
        </w:rPr>
        <w:t xml:space="preserve">was able to dominate mixed stands even when seeded at ratiosof 10:90 with Kentucky bluegrass (Sorochan et al., 2001). </w:t>
      </w:r>
    </w:p>
    <w:p w14:paraId="74AD9772" w14:textId="77777777" w:rsidR="00F368ED" w:rsidRPr="00F368ED" w:rsidRDefault="00F368ED" w:rsidP="00F368ED">
      <w:pPr>
        <w:spacing w:line="480" w:lineRule="auto"/>
        <w:ind w:firstLine="720"/>
        <w:rPr>
          <w:rFonts w:ascii="Times New Roman" w:hAnsi="Times New Roman" w:cs="Times New Roman"/>
          <w:sz w:val="24"/>
          <w:szCs w:val="24"/>
        </w:rPr>
      </w:pPr>
      <w:r w:rsidRPr="00F368ED">
        <w:rPr>
          <w:rFonts w:ascii="Times New Roman" w:hAnsi="Times New Roman" w:cs="Times New Roman"/>
          <w:sz w:val="24"/>
          <w:szCs w:val="24"/>
        </w:rPr>
        <w:t xml:space="preserve">When TS was applied, all treatments responded similarly and were not different from the non-overseeded control or </w:t>
      </w:r>
      <w:r w:rsidRPr="00F368ED">
        <w:rPr>
          <w:rFonts w:ascii="Times New Roman" w:hAnsi="Times New Roman" w:cs="Times New Roman"/>
          <w:i/>
          <w:sz w:val="24"/>
          <w:szCs w:val="24"/>
        </w:rPr>
        <w:t>P. nemoralis</w:t>
      </w:r>
      <w:r w:rsidRPr="00F368ED">
        <w:rPr>
          <w:rFonts w:ascii="Times New Roman" w:hAnsi="Times New Roman" w:cs="Times New Roman"/>
          <w:sz w:val="24"/>
          <w:szCs w:val="24"/>
        </w:rPr>
        <w:t>, with NT (Figure</w:t>
      </w:r>
      <w:r w:rsidR="00EA6AE1">
        <w:rPr>
          <w:rFonts w:ascii="Times New Roman" w:hAnsi="Times New Roman" w:cs="Times New Roman"/>
          <w:sz w:val="24"/>
          <w:szCs w:val="24"/>
        </w:rPr>
        <w:t>s 3.1-2</w:t>
      </w:r>
      <w:r w:rsidRPr="00F368ED">
        <w:rPr>
          <w:rFonts w:ascii="Times New Roman" w:hAnsi="Times New Roman" w:cs="Times New Roman"/>
          <w:sz w:val="24"/>
          <w:szCs w:val="24"/>
        </w:rPr>
        <w:t>). This showed that applications of an herbicide such as TS were an effective way to remove overseeded species from bermudagrass and thus remove competition</w:t>
      </w:r>
      <w:proofErr w:type="gramStart"/>
      <w:r w:rsidRPr="00F368ED">
        <w:rPr>
          <w:rFonts w:ascii="Times New Roman" w:hAnsi="Times New Roman" w:cs="Times New Roman"/>
          <w:color w:val="FF0000"/>
          <w:sz w:val="24"/>
          <w:szCs w:val="24"/>
        </w:rPr>
        <w:t>..</w:t>
      </w:r>
      <w:proofErr w:type="gramEnd"/>
      <w:r w:rsidRPr="00F368ED">
        <w:rPr>
          <w:rFonts w:ascii="Times New Roman" w:hAnsi="Times New Roman" w:cs="Times New Roman"/>
          <w:sz w:val="24"/>
          <w:szCs w:val="24"/>
        </w:rPr>
        <w:t xml:space="preserve"> Another exception was supina bluegrass in 2012 at four WAT.  Similar to perennial ryegrass in 2011, supina bluegrass was found to have a lower percentage of bermudagrass compared to all other treatments with TS applied and the non-overseeded control and wood bluegrass with NT, respectively. However, supina bluegrass was different from perennial ryegrass in that supina bluegrass was found  in grid counts at 19% even though TS had been applied, indicating that TS was not as effective on this species in comparison to other grasses tested and, in turn, competed with the bermudagrass.   </w:t>
      </w:r>
    </w:p>
    <w:p w14:paraId="4297EFDE" w14:textId="77777777" w:rsidR="00F368ED" w:rsidRPr="00F368ED" w:rsidRDefault="00F368ED" w:rsidP="00F368ED">
      <w:pPr>
        <w:spacing w:line="480" w:lineRule="auto"/>
        <w:rPr>
          <w:rFonts w:ascii="Times New Roman" w:hAnsi="Times New Roman" w:cs="Times New Roman"/>
          <w:i/>
          <w:sz w:val="24"/>
          <w:szCs w:val="24"/>
        </w:rPr>
      </w:pPr>
      <w:r w:rsidRPr="00F368ED">
        <w:rPr>
          <w:rFonts w:ascii="Times New Roman" w:hAnsi="Times New Roman" w:cs="Times New Roman"/>
          <w:i/>
          <w:sz w:val="24"/>
          <w:szCs w:val="24"/>
        </w:rPr>
        <w:t>Percent Green Cover Post TS Application</w:t>
      </w:r>
    </w:p>
    <w:p w14:paraId="59D9F070" w14:textId="77777777" w:rsidR="00F368ED" w:rsidRPr="00F368ED" w:rsidRDefault="00F368ED" w:rsidP="00F368ED">
      <w:pPr>
        <w:spacing w:line="480" w:lineRule="auto"/>
        <w:rPr>
          <w:rFonts w:ascii="Times New Roman" w:hAnsi="Times New Roman" w:cs="Times New Roman"/>
          <w:sz w:val="24"/>
          <w:szCs w:val="24"/>
        </w:rPr>
      </w:pPr>
      <w:r w:rsidRPr="00F368ED">
        <w:rPr>
          <w:rFonts w:ascii="Times New Roman" w:hAnsi="Times New Roman" w:cs="Times New Roman"/>
          <w:sz w:val="24"/>
          <w:szCs w:val="24"/>
        </w:rPr>
        <w:tab/>
        <w:t xml:space="preserve">In an ideal spring transition, the overseeded species would gradually decline while the bermudagrass fills in, resulting in no cover loss. However, abrupt transitions can occur, leaving voids in the turf that reduce turfgrass cover during a natural transition or after herbicide applications. When allowed to transition naturally, the species treatments in the 2010 trial showed no difference in percent green cover at two WAT cover or in subsequent weeks (Table 3.3). When treated with TS at two WAT,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had the significantly lowest cover of 63.2%. </w:t>
      </w:r>
      <w:r w:rsidRPr="00F368ED">
        <w:rPr>
          <w:rFonts w:ascii="Times New Roman" w:hAnsi="Times New Roman" w:cs="Times New Roman"/>
          <w:i/>
          <w:sz w:val="24"/>
          <w:szCs w:val="24"/>
        </w:rPr>
        <w:lastRenderedPageBreak/>
        <w:t>L. perenne</w:t>
      </w:r>
      <w:r w:rsidRPr="00F368ED">
        <w:rPr>
          <w:rFonts w:ascii="Times New Roman" w:hAnsi="Times New Roman" w:cs="Times New Roman"/>
          <w:sz w:val="24"/>
          <w:szCs w:val="24"/>
        </w:rPr>
        <w:t xml:space="preserve"> dropped to 82.6%, but was not different than the other species receiving the TS treatment which ranged from 89.3 to 95.9% green cover (Table 3.3). In the second year trial,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again had the lowest cover rating at two WAT at 59% cover.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at 66% cover, was not different from either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or </w:t>
      </w:r>
      <w:r w:rsidRPr="00F368ED">
        <w:rPr>
          <w:rFonts w:ascii="Times New Roman" w:hAnsi="Times New Roman" w:cs="Times New Roman"/>
          <w:i/>
          <w:sz w:val="24"/>
          <w:szCs w:val="24"/>
        </w:rPr>
        <w:t>P. supina</w:t>
      </w:r>
      <w:r w:rsidRPr="00F368ED">
        <w:rPr>
          <w:rFonts w:ascii="Times New Roman" w:hAnsi="Times New Roman" w:cs="Times New Roman"/>
          <w:sz w:val="24"/>
          <w:szCs w:val="24"/>
        </w:rPr>
        <w:t xml:space="preserve"> at 71% cover when treated with NT. This trend continued into and ended at three WAT with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 xml:space="preserve">L. perenne </w:t>
      </w:r>
      <w:r w:rsidRPr="00F368ED">
        <w:rPr>
          <w:rFonts w:ascii="Times New Roman" w:hAnsi="Times New Roman" w:cs="Times New Roman"/>
          <w:sz w:val="24"/>
          <w:szCs w:val="24"/>
        </w:rPr>
        <w:t xml:space="preserve">having less cover than all other treatments. At six WAT rough bluegrass and supina bluegrass, when allowed a natural transition, had lower cover ratings than all other treatment combinations. This trend was still apparent, especially with </w:t>
      </w:r>
      <w:r w:rsidRPr="00F368ED">
        <w:rPr>
          <w:rFonts w:ascii="Times New Roman" w:hAnsi="Times New Roman" w:cs="Times New Roman"/>
          <w:i/>
          <w:sz w:val="24"/>
          <w:szCs w:val="24"/>
        </w:rPr>
        <w:t xml:space="preserve">P. </w:t>
      </w:r>
      <w:proofErr w:type="gramStart"/>
      <w:r w:rsidRPr="00F368ED">
        <w:rPr>
          <w:rFonts w:ascii="Times New Roman" w:hAnsi="Times New Roman" w:cs="Times New Roman"/>
          <w:i/>
          <w:sz w:val="24"/>
          <w:szCs w:val="24"/>
        </w:rPr>
        <w:t>supina</w:t>
      </w:r>
      <w:r w:rsidRPr="00F368ED">
        <w:rPr>
          <w:rFonts w:ascii="Times New Roman" w:hAnsi="Times New Roman" w:cs="Times New Roman"/>
          <w:sz w:val="24"/>
          <w:szCs w:val="24"/>
        </w:rPr>
        <w:t>,</w:t>
      </w:r>
      <w:proofErr w:type="gramEnd"/>
      <w:r w:rsidRPr="00F368ED">
        <w:rPr>
          <w:rFonts w:ascii="Times New Roman" w:hAnsi="Times New Roman" w:cs="Times New Roman"/>
          <w:sz w:val="24"/>
          <w:szCs w:val="24"/>
        </w:rPr>
        <w:t xml:space="preserve"> at the last rating date eight WAT.   This data showed that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and especially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could cause unacceptable reductions in cover when an herbicide is used to facilitate transition. In this study, the highest label rate of TS was used in early May. Lower rates and a later application date have resulted in a more gradual transition (McCauley et al., 2009).     </w:t>
      </w:r>
    </w:p>
    <w:p w14:paraId="18E9DBE5" w14:textId="77777777" w:rsidR="00F368ED" w:rsidRPr="00F368ED" w:rsidRDefault="00F368ED" w:rsidP="00F368ED">
      <w:pPr>
        <w:spacing w:line="480" w:lineRule="auto"/>
        <w:rPr>
          <w:rFonts w:ascii="Times New Roman" w:hAnsi="Times New Roman" w:cs="Times New Roman"/>
          <w:sz w:val="24"/>
          <w:szCs w:val="24"/>
        </w:rPr>
      </w:pPr>
    </w:p>
    <w:p w14:paraId="5EA5A68C" w14:textId="77777777" w:rsidR="00F368ED" w:rsidRDefault="00F368ED" w:rsidP="00F368ED">
      <w:pPr>
        <w:pStyle w:val="Heading3"/>
      </w:pPr>
      <w:bookmarkStart w:id="30" w:name="_Toc354003332"/>
      <w:r w:rsidRPr="00F368ED">
        <w:t>Fairway</w:t>
      </w:r>
      <w:bookmarkEnd w:id="30"/>
    </w:p>
    <w:p w14:paraId="13F33835" w14:textId="77777777" w:rsidR="00F368ED" w:rsidRPr="00F368ED" w:rsidRDefault="00F368ED" w:rsidP="00F368ED"/>
    <w:p w14:paraId="74BFF994" w14:textId="77777777" w:rsidR="00F368ED" w:rsidRPr="00F368ED" w:rsidRDefault="00F368ED" w:rsidP="00F368ED">
      <w:pPr>
        <w:spacing w:line="480" w:lineRule="auto"/>
        <w:rPr>
          <w:rFonts w:ascii="Times New Roman" w:hAnsi="Times New Roman" w:cs="Times New Roman"/>
          <w:i/>
          <w:sz w:val="24"/>
          <w:szCs w:val="24"/>
        </w:rPr>
      </w:pPr>
      <w:r w:rsidRPr="00F368ED">
        <w:rPr>
          <w:rFonts w:ascii="Times New Roman" w:hAnsi="Times New Roman" w:cs="Times New Roman"/>
          <w:i/>
          <w:sz w:val="24"/>
          <w:szCs w:val="24"/>
        </w:rPr>
        <w:t>Percent Green Cover Throughout the Overseeding Season</w:t>
      </w:r>
    </w:p>
    <w:p w14:paraId="03D6A90B" w14:textId="77777777" w:rsidR="00F368ED" w:rsidRPr="00F368ED" w:rsidRDefault="00F368ED" w:rsidP="00F368ED">
      <w:pPr>
        <w:spacing w:line="480" w:lineRule="auto"/>
        <w:rPr>
          <w:rFonts w:ascii="Times New Roman" w:hAnsi="Times New Roman" w:cs="Times New Roman"/>
          <w:sz w:val="24"/>
          <w:szCs w:val="24"/>
        </w:rPr>
      </w:pPr>
      <w:r w:rsidRPr="00F368ED">
        <w:rPr>
          <w:rFonts w:ascii="Times New Roman" w:hAnsi="Times New Roman" w:cs="Times New Roman"/>
          <w:sz w:val="24"/>
          <w:szCs w:val="24"/>
        </w:rPr>
        <w:tab/>
        <w:t xml:space="preserve">Similar to the aforementioned putting green study, the non-overseeded control showed an increase in AUPGCC values that was explained by warmer winter temperatures during the 2011 through 2012 season (Table 3.4). This increase was also observed in all treatments including </w:t>
      </w:r>
      <w:r w:rsidRPr="00F368ED">
        <w:rPr>
          <w:rFonts w:ascii="Times New Roman" w:hAnsi="Times New Roman" w:cs="Times New Roman"/>
          <w:i/>
          <w:sz w:val="24"/>
          <w:szCs w:val="24"/>
        </w:rPr>
        <w:t xml:space="preserve">P. nemoralis, </w:t>
      </w:r>
      <w:r w:rsidRPr="00F368ED">
        <w:rPr>
          <w:rFonts w:ascii="Times New Roman" w:hAnsi="Times New Roman" w:cs="Times New Roman"/>
          <w:sz w:val="24"/>
          <w:szCs w:val="24"/>
        </w:rPr>
        <w:t xml:space="preserve">which was better than the control in both years but was still not at an acceptable level (Table 3.4).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were consistently the best performers.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rated better than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In the second year,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had higher cover ratings than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which rated higher than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(Table </w:t>
      </w:r>
      <w:r w:rsidRPr="00F368ED">
        <w:rPr>
          <w:rFonts w:ascii="Times New Roman" w:hAnsi="Times New Roman" w:cs="Times New Roman"/>
          <w:sz w:val="24"/>
          <w:szCs w:val="24"/>
        </w:rPr>
        <w:lastRenderedPageBreak/>
        <w:t xml:space="preserve">3.4) Similar results have been found with comparisons of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(Richardson et al., 2007; Richardson, 2004) However, the performance of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in the first year trial was not consistent with previous research that found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to be inferior to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in fairways. The performance of </w:t>
      </w:r>
      <w:r w:rsidRPr="00F368ED">
        <w:rPr>
          <w:rFonts w:ascii="Times New Roman" w:hAnsi="Times New Roman" w:cs="Times New Roman"/>
          <w:i/>
          <w:sz w:val="24"/>
          <w:szCs w:val="24"/>
        </w:rPr>
        <w:t>P. trivialis was</w:t>
      </w:r>
      <w:r w:rsidRPr="00F368ED">
        <w:rPr>
          <w:rFonts w:ascii="Times New Roman" w:hAnsi="Times New Roman" w:cs="Times New Roman"/>
          <w:sz w:val="24"/>
          <w:szCs w:val="24"/>
        </w:rPr>
        <w:t xml:space="preserve"> consistent with previous research the second year (Richardson et al., 2007; Morris, 2004). </w:t>
      </w:r>
    </w:p>
    <w:p w14:paraId="5D1FAB4A" w14:textId="77777777" w:rsidR="00F368ED" w:rsidRPr="00F368ED" w:rsidRDefault="00F368ED" w:rsidP="00F368ED">
      <w:pPr>
        <w:spacing w:line="480" w:lineRule="auto"/>
        <w:rPr>
          <w:rFonts w:ascii="Times New Roman" w:hAnsi="Times New Roman" w:cs="Times New Roman"/>
          <w:i/>
          <w:sz w:val="24"/>
          <w:szCs w:val="24"/>
        </w:rPr>
      </w:pPr>
      <w:r w:rsidRPr="00F368ED">
        <w:rPr>
          <w:rFonts w:ascii="Times New Roman" w:hAnsi="Times New Roman" w:cs="Times New Roman"/>
          <w:i/>
          <w:sz w:val="24"/>
          <w:szCs w:val="24"/>
        </w:rPr>
        <w:t>Grid Counts Post TS Application</w:t>
      </w:r>
    </w:p>
    <w:p w14:paraId="22FB1ABD" w14:textId="77777777" w:rsidR="00F368ED" w:rsidRPr="00F368ED" w:rsidRDefault="00F368ED" w:rsidP="00F368ED">
      <w:pPr>
        <w:spacing w:line="480" w:lineRule="auto"/>
        <w:rPr>
          <w:rFonts w:ascii="Times New Roman" w:hAnsi="Times New Roman" w:cs="Times New Roman"/>
          <w:sz w:val="24"/>
          <w:szCs w:val="24"/>
        </w:rPr>
      </w:pPr>
      <w:r w:rsidRPr="00F368ED">
        <w:rPr>
          <w:rFonts w:ascii="Times New Roman" w:hAnsi="Times New Roman" w:cs="Times New Roman"/>
          <w:sz w:val="24"/>
          <w:szCs w:val="24"/>
        </w:rPr>
        <w:tab/>
        <w:t xml:space="preserve"> </w:t>
      </w:r>
      <w:r w:rsidRPr="00F368ED">
        <w:rPr>
          <w:rFonts w:ascii="Times New Roman" w:hAnsi="Times New Roman" w:cs="Times New Roman"/>
          <w:i/>
          <w:sz w:val="24"/>
          <w:szCs w:val="24"/>
        </w:rPr>
        <w:t xml:space="preserve">L. perenne </w:t>
      </w:r>
      <w:r w:rsidRPr="00F368ED">
        <w:rPr>
          <w:rFonts w:ascii="Times New Roman" w:hAnsi="Times New Roman" w:cs="Times New Roman"/>
          <w:sz w:val="24"/>
          <w:szCs w:val="24"/>
        </w:rPr>
        <w:t xml:space="preserve">×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 xml:space="preserve">L. </w:t>
      </w:r>
      <w:proofErr w:type="gramStart"/>
      <w:r w:rsidRPr="00F368ED">
        <w:rPr>
          <w:rFonts w:ascii="Times New Roman" w:hAnsi="Times New Roman" w:cs="Times New Roman"/>
          <w:i/>
          <w:sz w:val="24"/>
          <w:szCs w:val="24"/>
        </w:rPr>
        <w:t>perenne</w:t>
      </w:r>
      <w:r w:rsidRPr="00F368ED">
        <w:rPr>
          <w:rFonts w:ascii="Times New Roman" w:hAnsi="Times New Roman" w:cs="Times New Roman"/>
          <w:sz w:val="24"/>
          <w:szCs w:val="24"/>
        </w:rPr>
        <w:t xml:space="preserve"> ,regardless</w:t>
      </w:r>
      <w:proofErr w:type="gramEnd"/>
      <w:r w:rsidRPr="00F368ED">
        <w:rPr>
          <w:rFonts w:ascii="Times New Roman" w:hAnsi="Times New Roman" w:cs="Times New Roman"/>
          <w:sz w:val="24"/>
          <w:szCs w:val="24"/>
        </w:rPr>
        <w:t xml:space="preserve"> of transition type,  and </w:t>
      </w:r>
      <w:r w:rsidRPr="00F368ED">
        <w:rPr>
          <w:rFonts w:ascii="Times New Roman" w:hAnsi="Times New Roman" w:cs="Times New Roman"/>
          <w:i/>
          <w:sz w:val="24"/>
          <w:szCs w:val="24"/>
        </w:rPr>
        <w:t xml:space="preserve">P. trivialis </w:t>
      </w:r>
      <w:r w:rsidRPr="00F368ED">
        <w:rPr>
          <w:rFonts w:ascii="Times New Roman" w:hAnsi="Times New Roman" w:cs="Times New Roman"/>
          <w:sz w:val="24"/>
          <w:szCs w:val="24"/>
        </w:rPr>
        <w:t xml:space="preserve">with NT resulted in significantly lower bermudagrass percentagesat 4 WAT. Specifically, </w:t>
      </w:r>
      <w:r w:rsidRPr="00F368ED">
        <w:rPr>
          <w:rFonts w:ascii="Times New Roman" w:hAnsi="Times New Roman" w:cs="Times New Roman"/>
          <w:i/>
          <w:sz w:val="24"/>
          <w:szCs w:val="24"/>
        </w:rPr>
        <w:t xml:space="preserve">L. perenne </w:t>
      </w:r>
      <w:r w:rsidRPr="00F368ED">
        <w:rPr>
          <w:rFonts w:ascii="Times New Roman" w:hAnsi="Times New Roman" w:cs="Times New Roman"/>
          <w:sz w:val="24"/>
          <w:szCs w:val="24"/>
        </w:rPr>
        <w:t xml:space="preserve">×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had the lowest percentages of bermudagrass, followed by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In the second year,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alone had the lowest percentage of bermudagrass, followed by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and, finally, </w:t>
      </w:r>
      <w:r w:rsidRPr="00F368ED">
        <w:rPr>
          <w:rFonts w:ascii="Times New Roman" w:hAnsi="Times New Roman" w:cs="Times New Roman"/>
          <w:i/>
          <w:sz w:val="24"/>
          <w:szCs w:val="24"/>
        </w:rPr>
        <w:t xml:space="preserve">L. perenne </w:t>
      </w:r>
      <w:r w:rsidRPr="00F368ED">
        <w:rPr>
          <w:rFonts w:ascii="Times New Roman" w:hAnsi="Times New Roman" w:cs="Times New Roman"/>
          <w:sz w:val="24"/>
          <w:szCs w:val="24"/>
        </w:rPr>
        <w:t xml:space="preserve">×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During the 2010</w:t>
      </w:r>
      <w:r w:rsidRPr="00F368ED">
        <w:rPr>
          <w:rFonts w:ascii="Times New Roman" w:hAnsi="Times New Roman" w:cs="Times New Roman"/>
          <w:color w:val="FF0000"/>
          <w:sz w:val="24"/>
          <w:szCs w:val="24"/>
        </w:rPr>
        <w:t xml:space="preserve"> </w:t>
      </w:r>
      <w:r w:rsidRPr="00F368ED">
        <w:rPr>
          <w:rFonts w:ascii="Times New Roman" w:hAnsi="Times New Roman" w:cs="Times New Roman"/>
          <w:sz w:val="24"/>
          <w:szCs w:val="24"/>
        </w:rPr>
        <w:t xml:space="preserve">trial, significant differences were still found at eight WAT, with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having the lowest bermudagrass percentages, followed by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w:t>
      </w:r>
      <w:r w:rsidRPr="00F368ED">
        <w:rPr>
          <w:rFonts w:ascii="Times New Roman" w:hAnsi="Times New Roman" w:cs="Times New Roman"/>
          <w:i/>
          <w:sz w:val="24"/>
          <w:szCs w:val="24"/>
        </w:rPr>
        <w:t xml:space="preserve">L. perenne </w:t>
      </w:r>
      <w:r w:rsidRPr="00F368ED">
        <w:rPr>
          <w:rFonts w:ascii="Times New Roman" w:hAnsi="Times New Roman" w:cs="Times New Roman"/>
          <w:sz w:val="24"/>
          <w:szCs w:val="24"/>
        </w:rPr>
        <w:t xml:space="preserve">×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was not statistically different fromany other treatment. In the second year, no significant differences were found at the 8WAT rating (Figure 3.4). In both years and on both rating dates the use of TS resulted in no significant difference among treatments receiving that application. This indicated that it was an effective tool for removing all species tested and resulted in an increased amount of bermudagrass in the plots.</w:t>
      </w:r>
    </w:p>
    <w:p w14:paraId="163D8ADF" w14:textId="77777777" w:rsidR="00F368ED" w:rsidRPr="00F368ED" w:rsidRDefault="00F368ED" w:rsidP="00F368ED">
      <w:pPr>
        <w:spacing w:line="480" w:lineRule="auto"/>
        <w:rPr>
          <w:rFonts w:ascii="Times New Roman" w:hAnsi="Times New Roman" w:cs="Times New Roman"/>
          <w:i/>
          <w:sz w:val="24"/>
          <w:szCs w:val="24"/>
        </w:rPr>
      </w:pPr>
      <w:r w:rsidRPr="00F368ED">
        <w:rPr>
          <w:rFonts w:ascii="Times New Roman" w:hAnsi="Times New Roman" w:cs="Times New Roman"/>
          <w:i/>
          <w:sz w:val="24"/>
          <w:szCs w:val="24"/>
        </w:rPr>
        <w:t>Percent Green Cover Post TS Application</w:t>
      </w:r>
    </w:p>
    <w:p w14:paraId="5205480E" w14:textId="77777777" w:rsidR="00F368ED" w:rsidRPr="00F368ED" w:rsidRDefault="00F368ED" w:rsidP="00053D06">
      <w:pPr>
        <w:spacing w:line="480" w:lineRule="auto"/>
        <w:ind w:firstLine="720"/>
        <w:rPr>
          <w:rFonts w:ascii="Times New Roman" w:hAnsi="Times New Roman" w:cs="Times New Roman"/>
          <w:sz w:val="24"/>
          <w:szCs w:val="24"/>
        </w:rPr>
      </w:pPr>
      <w:r w:rsidRPr="00F368ED">
        <w:rPr>
          <w:rFonts w:ascii="Times New Roman" w:hAnsi="Times New Roman" w:cs="Times New Roman"/>
          <w:sz w:val="24"/>
          <w:szCs w:val="24"/>
        </w:rPr>
        <w:t xml:space="preserve">In both years at two WAT,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w:t>
      </w:r>
      <w:r w:rsidRPr="00F368ED">
        <w:rPr>
          <w:rFonts w:ascii="Times New Roman" w:hAnsi="Times New Roman" w:cs="Times New Roman"/>
          <w:i/>
          <w:sz w:val="24"/>
          <w:szCs w:val="24"/>
        </w:rPr>
        <w:t>L. perenne× L. multiflorum</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had significantly lower percent green cover after application of TS. However, in 2012,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L. perenne× L. multiflorum,</w:t>
      </w:r>
      <w:r w:rsidRPr="00F368ED">
        <w:rPr>
          <w:rFonts w:ascii="Times New Roman" w:hAnsi="Times New Roman" w:cs="Times New Roman"/>
          <w:sz w:val="24"/>
          <w:szCs w:val="24"/>
        </w:rPr>
        <w:t xml:space="preserve"> when allowed NT, also displayed a drop in cover </w:t>
      </w:r>
      <w:r w:rsidRPr="00F368ED">
        <w:rPr>
          <w:rFonts w:ascii="Times New Roman" w:hAnsi="Times New Roman" w:cs="Times New Roman"/>
          <w:sz w:val="24"/>
          <w:szCs w:val="24"/>
        </w:rPr>
        <w:lastRenderedPageBreak/>
        <w:t xml:space="preserve">indicating a sudden natural transition. This trend continued at three WAT and was joined by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with NT and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with TS. </w:t>
      </w:r>
      <w:r w:rsidRPr="00F368ED">
        <w:rPr>
          <w:rFonts w:ascii="Times New Roman" w:hAnsi="Times New Roman" w:cs="Times New Roman"/>
          <w:i/>
          <w:sz w:val="24"/>
          <w:szCs w:val="24"/>
        </w:rPr>
        <w:t>L. perenne× L. multiflorum</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continued to show lower green cover at six WAT. By eight WAT,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with NT had the lowest cover, however percent green cover only ranged from 95.2 to 98.7%.</w:t>
      </w:r>
    </w:p>
    <w:p w14:paraId="2FAA2005" w14:textId="77777777" w:rsidR="00F368ED" w:rsidRDefault="00F368ED" w:rsidP="00686A92">
      <w:pPr>
        <w:pStyle w:val="Heading3"/>
      </w:pPr>
      <w:bookmarkStart w:id="31" w:name="_Toc354003333"/>
      <w:r w:rsidRPr="00F368ED">
        <w:t>Sports Turf</w:t>
      </w:r>
      <w:bookmarkEnd w:id="31"/>
    </w:p>
    <w:p w14:paraId="2C9B3EFA" w14:textId="77777777" w:rsidR="00686A92" w:rsidRPr="00686A92" w:rsidRDefault="00686A92" w:rsidP="00686A92"/>
    <w:p w14:paraId="5ACBCA85" w14:textId="77777777" w:rsidR="00F368ED" w:rsidRPr="00F368ED" w:rsidRDefault="00F368ED" w:rsidP="00F368ED">
      <w:pPr>
        <w:spacing w:line="480" w:lineRule="auto"/>
        <w:rPr>
          <w:rFonts w:ascii="Times New Roman" w:hAnsi="Times New Roman" w:cs="Times New Roman"/>
          <w:i/>
          <w:sz w:val="24"/>
          <w:szCs w:val="24"/>
        </w:rPr>
      </w:pPr>
      <w:r w:rsidRPr="00F368ED">
        <w:rPr>
          <w:rFonts w:ascii="Times New Roman" w:hAnsi="Times New Roman" w:cs="Times New Roman"/>
          <w:i/>
          <w:sz w:val="24"/>
          <w:szCs w:val="24"/>
        </w:rPr>
        <w:t>Percent Green Cover Throughout The Overseeding Season</w:t>
      </w:r>
    </w:p>
    <w:p w14:paraId="57253804" w14:textId="77777777" w:rsidR="00F368ED" w:rsidRPr="00F368ED" w:rsidRDefault="00F368ED" w:rsidP="00F368ED">
      <w:pPr>
        <w:spacing w:line="480" w:lineRule="auto"/>
        <w:rPr>
          <w:rFonts w:ascii="Times New Roman" w:hAnsi="Times New Roman" w:cs="Times New Roman"/>
          <w:sz w:val="24"/>
          <w:szCs w:val="24"/>
        </w:rPr>
      </w:pPr>
      <w:r w:rsidRPr="00F368ED">
        <w:rPr>
          <w:rFonts w:ascii="Times New Roman" w:hAnsi="Times New Roman" w:cs="Times New Roman"/>
          <w:sz w:val="24"/>
          <w:szCs w:val="24"/>
        </w:rPr>
        <w:tab/>
        <w:t xml:space="preserve">Similar to the green and fairway studies, the sports turf study also showed an increase in AUPGCC values of the non-overseeded controls in the second year of the study. This result was explained by above average temperatures in the winter of 2011-2012 (Table 3.5). With the exception of the control and </w:t>
      </w:r>
      <w:r w:rsidRPr="00F368ED">
        <w:rPr>
          <w:rFonts w:ascii="Times New Roman" w:hAnsi="Times New Roman" w:cs="Times New Roman"/>
          <w:i/>
          <w:sz w:val="24"/>
          <w:szCs w:val="24"/>
        </w:rPr>
        <w:t>P. nemoralis</w:t>
      </w:r>
      <w:r w:rsidRPr="00F368ED">
        <w:rPr>
          <w:rFonts w:ascii="Times New Roman" w:hAnsi="Times New Roman" w:cs="Times New Roman"/>
          <w:sz w:val="24"/>
          <w:szCs w:val="24"/>
        </w:rPr>
        <w:t xml:space="preserve">, the AUPGCC values were similar between the two years.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L. perenne ×L. multiflorum</w:t>
      </w:r>
      <w:r w:rsidRPr="00F368ED">
        <w:rPr>
          <w:rFonts w:ascii="Times New Roman" w:hAnsi="Times New Roman" w:cs="Times New Roman"/>
          <w:sz w:val="24"/>
          <w:szCs w:val="24"/>
        </w:rPr>
        <w:t xml:space="preserve"> both had the highest AUPGCC values and were not different from one another in either year. </w:t>
      </w:r>
      <w:r w:rsidRPr="00F368ED">
        <w:rPr>
          <w:rFonts w:ascii="Times New Roman" w:hAnsi="Times New Roman" w:cs="Times New Roman"/>
          <w:i/>
          <w:sz w:val="24"/>
          <w:szCs w:val="24"/>
        </w:rPr>
        <w:t>P. nemoralis</w:t>
      </w:r>
      <w:r w:rsidRPr="00F368ED">
        <w:rPr>
          <w:rFonts w:ascii="Times New Roman" w:hAnsi="Times New Roman" w:cs="Times New Roman"/>
          <w:sz w:val="24"/>
          <w:szCs w:val="24"/>
        </w:rPr>
        <w:t xml:space="preserve"> was not better than the control in either year. Therefore it was not suitable for this application.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had lower values than </w:t>
      </w:r>
      <w:r w:rsidRPr="00F368ED">
        <w:rPr>
          <w:rFonts w:ascii="Times New Roman" w:hAnsi="Times New Roman" w:cs="Times New Roman"/>
          <w:i/>
          <w:sz w:val="24"/>
          <w:szCs w:val="24"/>
        </w:rPr>
        <w:t>L. perenne ×L. multiflorum</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 xml:space="preserve">L. perenne </w:t>
      </w:r>
      <w:r w:rsidRPr="00F368ED">
        <w:rPr>
          <w:rFonts w:ascii="Times New Roman" w:hAnsi="Times New Roman" w:cs="Times New Roman"/>
          <w:sz w:val="24"/>
          <w:szCs w:val="24"/>
        </w:rPr>
        <w:t xml:space="preserve">in both years.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were not significantly different in the second year; however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was better than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in the first year. This suggested that both of these species, especially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were not suited to this application. These results, aside from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were similar to Trappe et al. (2012), where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was found to have the highest coverage in two out of three years when subjected to the equivalent of six National Football League games. </w:t>
      </w:r>
    </w:p>
    <w:p w14:paraId="49E2DA47" w14:textId="77777777" w:rsidR="00F368ED" w:rsidRPr="00F368ED" w:rsidRDefault="00F368ED" w:rsidP="00F368ED">
      <w:pPr>
        <w:spacing w:line="480" w:lineRule="auto"/>
        <w:rPr>
          <w:rFonts w:ascii="Times New Roman" w:hAnsi="Times New Roman" w:cs="Times New Roman"/>
          <w:i/>
          <w:sz w:val="24"/>
          <w:szCs w:val="24"/>
        </w:rPr>
      </w:pPr>
      <w:r w:rsidRPr="00F368ED">
        <w:rPr>
          <w:rFonts w:ascii="Times New Roman" w:hAnsi="Times New Roman" w:cs="Times New Roman"/>
          <w:i/>
          <w:sz w:val="24"/>
          <w:szCs w:val="24"/>
        </w:rPr>
        <w:t>Grid Counts Post TS Application</w:t>
      </w:r>
    </w:p>
    <w:p w14:paraId="1EDCB40E" w14:textId="77777777" w:rsidR="00F368ED" w:rsidRPr="00F368ED" w:rsidRDefault="00F368ED" w:rsidP="00F368ED">
      <w:pPr>
        <w:spacing w:line="480" w:lineRule="auto"/>
        <w:rPr>
          <w:rFonts w:ascii="Times New Roman" w:hAnsi="Times New Roman" w:cs="Times New Roman"/>
          <w:sz w:val="24"/>
          <w:szCs w:val="24"/>
        </w:rPr>
      </w:pPr>
      <w:r w:rsidRPr="00F368ED">
        <w:rPr>
          <w:rFonts w:ascii="Times New Roman" w:hAnsi="Times New Roman" w:cs="Times New Roman"/>
          <w:sz w:val="24"/>
          <w:szCs w:val="24"/>
        </w:rPr>
        <w:tab/>
        <w:t xml:space="preserve">At four WAT in 2011,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w:t>
      </w:r>
      <w:r w:rsidRPr="00F368ED">
        <w:rPr>
          <w:rFonts w:ascii="Times New Roman" w:hAnsi="Times New Roman" w:cs="Times New Roman"/>
          <w:i/>
          <w:sz w:val="24"/>
          <w:szCs w:val="24"/>
        </w:rPr>
        <w:t>L. perenne × L. multiflorum,</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all had lower bermudagrass percentages than other treatments and were not different from one another </w:t>
      </w:r>
      <w:r w:rsidRPr="00F368ED">
        <w:rPr>
          <w:rFonts w:ascii="Times New Roman" w:hAnsi="Times New Roman" w:cs="Times New Roman"/>
          <w:sz w:val="24"/>
          <w:szCs w:val="24"/>
        </w:rPr>
        <w:lastRenderedPageBreak/>
        <w:t xml:space="preserve">when allowed to transition naturally. At eight WAT,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and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still had lower bermudagrass percentages than all other treatments and were not different from one another. In 2012,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with NT had the significantly lowest bermudagrass percentage.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with NT had more bermudagrass than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but not as much as </w:t>
      </w:r>
      <w:r w:rsidRPr="00F368ED">
        <w:rPr>
          <w:rFonts w:ascii="Times New Roman" w:hAnsi="Times New Roman" w:cs="Times New Roman"/>
          <w:i/>
          <w:sz w:val="24"/>
          <w:szCs w:val="24"/>
        </w:rPr>
        <w:t>L. perenne × L. multiflorum</w:t>
      </w:r>
      <w:r w:rsidRPr="00F368ED">
        <w:rPr>
          <w:rFonts w:ascii="Times New Roman" w:hAnsi="Times New Roman" w:cs="Times New Roman"/>
          <w:sz w:val="24"/>
          <w:szCs w:val="24"/>
        </w:rPr>
        <w:t xml:space="preserve"> with NT, or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with TS. </w:t>
      </w:r>
      <w:r w:rsidRPr="00F368ED">
        <w:rPr>
          <w:rFonts w:ascii="Times New Roman" w:hAnsi="Times New Roman" w:cs="Times New Roman"/>
          <w:i/>
          <w:sz w:val="24"/>
          <w:szCs w:val="24"/>
        </w:rPr>
        <w:t>P. nemoralis</w:t>
      </w:r>
      <w:r w:rsidRPr="00F368ED">
        <w:rPr>
          <w:rFonts w:ascii="Times New Roman" w:hAnsi="Times New Roman" w:cs="Times New Roman"/>
          <w:sz w:val="24"/>
          <w:szCs w:val="24"/>
        </w:rPr>
        <w:t xml:space="preserve"> with TS had more bermudagrass coverage but not as high as the non-overseeded controls. In 2012 at eight WAT, no significant differences were found among treatments, with the exception of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at four WAT in 2012. At this point TS was successful in removing the overseeded species and resulted in increased bermudagrass percentages.</w:t>
      </w:r>
    </w:p>
    <w:p w14:paraId="13F443E5" w14:textId="77777777" w:rsidR="00F368ED" w:rsidRPr="00F368ED" w:rsidRDefault="00F368ED" w:rsidP="00F368ED">
      <w:pPr>
        <w:spacing w:line="480" w:lineRule="auto"/>
        <w:rPr>
          <w:rFonts w:ascii="Times New Roman" w:hAnsi="Times New Roman" w:cs="Times New Roman"/>
          <w:i/>
          <w:sz w:val="24"/>
          <w:szCs w:val="24"/>
        </w:rPr>
      </w:pPr>
      <w:r w:rsidRPr="00F368ED">
        <w:rPr>
          <w:rFonts w:ascii="Times New Roman" w:hAnsi="Times New Roman" w:cs="Times New Roman"/>
          <w:i/>
          <w:sz w:val="24"/>
          <w:szCs w:val="24"/>
        </w:rPr>
        <w:t>Percent Green Cover Post TS Application</w:t>
      </w:r>
    </w:p>
    <w:p w14:paraId="1CDD749F" w14:textId="77777777" w:rsidR="00F368ED" w:rsidRPr="00F368ED" w:rsidRDefault="00F368ED" w:rsidP="00F368ED">
      <w:pPr>
        <w:spacing w:line="480" w:lineRule="auto"/>
        <w:rPr>
          <w:rFonts w:ascii="Times New Roman" w:hAnsi="Times New Roman" w:cs="Times New Roman"/>
          <w:sz w:val="24"/>
          <w:szCs w:val="24"/>
        </w:rPr>
      </w:pPr>
      <w:r w:rsidRPr="00F368ED">
        <w:rPr>
          <w:rFonts w:ascii="Times New Roman" w:hAnsi="Times New Roman" w:cs="Times New Roman"/>
          <w:sz w:val="24"/>
          <w:szCs w:val="24"/>
        </w:rPr>
        <w:tab/>
        <w:t xml:space="preserve"> In the first year at 2 WAT, </w:t>
      </w:r>
      <w:r w:rsidRPr="00F368ED">
        <w:rPr>
          <w:rFonts w:ascii="Times New Roman" w:hAnsi="Times New Roman" w:cs="Times New Roman"/>
          <w:i/>
          <w:sz w:val="24"/>
          <w:szCs w:val="24"/>
        </w:rPr>
        <w:t>L. perenne × L. multiflorum</w:t>
      </w:r>
      <w:r w:rsidRPr="00F368ED">
        <w:rPr>
          <w:rFonts w:ascii="Times New Roman" w:hAnsi="Times New Roman" w:cs="Times New Roman"/>
          <w:sz w:val="24"/>
          <w:szCs w:val="24"/>
        </w:rPr>
        <w:t xml:space="preserve"> with TS had the lowest green cover rating at 82% (Table 3.7). </w:t>
      </w:r>
      <w:r w:rsidRPr="00F368ED">
        <w:rPr>
          <w:rFonts w:ascii="Times New Roman" w:hAnsi="Times New Roman" w:cs="Times New Roman"/>
          <w:i/>
          <w:sz w:val="24"/>
          <w:szCs w:val="24"/>
        </w:rPr>
        <w:t xml:space="preserve">L. perenne </w:t>
      </w:r>
      <w:r w:rsidRPr="00F368ED">
        <w:rPr>
          <w:rFonts w:ascii="Times New Roman" w:hAnsi="Times New Roman" w:cs="Times New Roman"/>
          <w:sz w:val="24"/>
          <w:szCs w:val="24"/>
        </w:rPr>
        <w:t xml:space="preserve">was not different at 86% cover. </w:t>
      </w:r>
      <w:r w:rsidRPr="00F368ED">
        <w:rPr>
          <w:rFonts w:ascii="Times New Roman" w:hAnsi="Times New Roman" w:cs="Times New Roman"/>
          <w:i/>
          <w:sz w:val="24"/>
          <w:szCs w:val="24"/>
        </w:rPr>
        <w:t xml:space="preserve">P. trivialis </w:t>
      </w:r>
      <w:r w:rsidRPr="00F368ED">
        <w:rPr>
          <w:rFonts w:ascii="Times New Roman" w:hAnsi="Times New Roman" w:cs="Times New Roman"/>
          <w:sz w:val="24"/>
          <w:szCs w:val="24"/>
        </w:rPr>
        <w:t xml:space="preserve">and </w:t>
      </w:r>
      <w:r w:rsidRPr="00F368ED">
        <w:rPr>
          <w:rFonts w:ascii="Times New Roman" w:hAnsi="Times New Roman" w:cs="Times New Roman"/>
          <w:i/>
          <w:sz w:val="24"/>
          <w:szCs w:val="24"/>
        </w:rPr>
        <w:t>L. multiflorum</w:t>
      </w:r>
      <w:r w:rsidRPr="00F368ED">
        <w:rPr>
          <w:rFonts w:ascii="Times New Roman" w:hAnsi="Times New Roman" w:cs="Times New Roman"/>
          <w:sz w:val="24"/>
          <w:szCs w:val="24"/>
        </w:rPr>
        <w:t xml:space="preserve"> were not significantly different than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but were better than </w:t>
      </w:r>
      <w:r w:rsidRPr="00F368ED">
        <w:rPr>
          <w:rFonts w:ascii="Times New Roman" w:hAnsi="Times New Roman" w:cs="Times New Roman"/>
          <w:i/>
          <w:sz w:val="24"/>
          <w:szCs w:val="24"/>
        </w:rPr>
        <w:t>L. perenne × L. multiflorum.</w:t>
      </w:r>
      <w:r w:rsidRPr="00F368ED">
        <w:rPr>
          <w:rFonts w:ascii="Times New Roman" w:hAnsi="Times New Roman" w:cs="Times New Roman"/>
          <w:sz w:val="24"/>
          <w:szCs w:val="24"/>
        </w:rPr>
        <w:t xml:space="preserve"> When a NT was allowed, </w:t>
      </w:r>
      <w:r w:rsidRPr="00F368ED">
        <w:rPr>
          <w:rFonts w:ascii="Times New Roman" w:hAnsi="Times New Roman" w:cs="Times New Roman"/>
          <w:i/>
          <w:sz w:val="24"/>
          <w:szCs w:val="24"/>
        </w:rPr>
        <w:t xml:space="preserve">P. trivialis </w:t>
      </w:r>
      <w:r w:rsidRPr="00F368ED">
        <w:rPr>
          <w:rFonts w:ascii="Times New Roman" w:hAnsi="Times New Roman" w:cs="Times New Roman"/>
          <w:sz w:val="24"/>
          <w:szCs w:val="24"/>
        </w:rPr>
        <w:t xml:space="preserve">had the highest cover at 99%, and was not different from any other NT treatment, except </w:t>
      </w:r>
      <w:r w:rsidRPr="00F368ED">
        <w:rPr>
          <w:rFonts w:ascii="Times New Roman" w:hAnsi="Times New Roman" w:cs="Times New Roman"/>
          <w:i/>
          <w:sz w:val="24"/>
          <w:szCs w:val="24"/>
        </w:rPr>
        <w:t xml:space="preserve">L. multiflorum </w:t>
      </w:r>
      <w:r w:rsidRPr="00F368ED">
        <w:rPr>
          <w:rFonts w:ascii="Times New Roman" w:hAnsi="Times New Roman" w:cs="Times New Roman"/>
          <w:sz w:val="24"/>
          <w:szCs w:val="24"/>
        </w:rPr>
        <w:t xml:space="preserve">at 89%. There </w:t>
      </w:r>
      <w:proofErr w:type="gramStart"/>
      <w:r w:rsidRPr="00F368ED">
        <w:rPr>
          <w:rFonts w:ascii="Times New Roman" w:hAnsi="Times New Roman" w:cs="Times New Roman"/>
          <w:sz w:val="24"/>
          <w:szCs w:val="24"/>
        </w:rPr>
        <w:t>was no significant difference amongany treatments</w:t>
      </w:r>
      <w:proofErr w:type="gramEnd"/>
      <w:r w:rsidRPr="00F368ED">
        <w:rPr>
          <w:rFonts w:ascii="Times New Roman" w:hAnsi="Times New Roman" w:cs="Times New Roman"/>
          <w:sz w:val="24"/>
          <w:szCs w:val="24"/>
        </w:rPr>
        <w:t xml:space="preserve"> in subsequent weeks in the first year. In the second year at two WAT </w:t>
      </w:r>
      <w:r w:rsidRPr="00F368ED">
        <w:rPr>
          <w:rFonts w:ascii="Times New Roman" w:hAnsi="Times New Roman" w:cs="Times New Roman"/>
          <w:i/>
          <w:sz w:val="24"/>
          <w:szCs w:val="24"/>
        </w:rPr>
        <w:t xml:space="preserve">L. perenne × L. multiflorum </w:t>
      </w:r>
      <w:r w:rsidRPr="00F368ED">
        <w:rPr>
          <w:rFonts w:ascii="Times New Roman" w:hAnsi="Times New Roman" w:cs="Times New Roman"/>
          <w:sz w:val="24"/>
          <w:szCs w:val="24"/>
        </w:rPr>
        <w:t>with TS</w:t>
      </w:r>
      <w:r w:rsidRPr="00F368ED">
        <w:rPr>
          <w:rFonts w:ascii="Times New Roman" w:hAnsi="Times New Roman" w:cs="Times New Roman"/>
          <w:i/>
          <w:sz w:val="24"/>
          <w:szCs w:val="24"/>
        </w:rPr>
        <w:t xml:space="preserve"> </w:t>
      </w:r>
      <w:r w:rsidRPr="00F368ED">
        <w:rPr>
          <w:rFonts w:ascii="Times New Roman" w:hAnsi="Times New Roman" w:cs="Times New Roman"/>
          <w:sz w:val="24"/>
          <w:szCs w:val="24"/>
        </w:rPr>
        <w:t xml:space="preserve">had the lowest cover at 59%. </w:t>
      </w:r>
      <w:r w:rsidRPr="00F368ED">
        <w:rPr>
          <w:rFonts w:ascii="Times New Roman" w:hAnsi="Times New Roman" w:cs="Times New Roman"/>
          <w:i/>
          <w:sz w:val="24"/>
          <w:szCs w:val="24"/>
        </w:rPr>
        <w:t xml:space="preserve">L. multiflorum </w:t>
      </w:r>
      <w:r w:rsidRPr="00F368ED">
        <w:rPr>
          <w:rFonts w:ascii="Times New Roman" w:hAnsi="Times New Roman" w:cs="Times New Roman"/>
          <w:sz w:val="24"/>
          <w:szCs w:val="24"/>
        </w:rPr>
        <w:t>had slightly more cover at 62.5%, but not different than</w:t>
      </w:r>
      <w:r w:rsidRPr="00F368ED">
        <w:rPr>
          <w:rFonts w:ascii="Times New Roman" w:hAnsi="Times New Roman" w:cs="Times New Roman"/>
          <w:i/>
          <w:sz w:val="24"/>
          <w:szCs w:val="24"/>
        </w:rPr>
        <w:t xml:space="preserve"> L. perenne × L. multiflorum. </w:t>
      </w:r>
      <w:r w:rsidRPr="00F368ED">
        <w:rPr>
          <w:rFonts w:ascii="Times New Roman" w:hAnsi="Times New Roman" w:cs="Times New Roman"/>
          <w:sz w:val="24"/>
          <w:szCs w:val="24"/>
        </w:rPr>
        <w:t xml:space="preserve"> </w:t>
      </w:r>
      <w:r w:rsidRPr="00F368ED">
        <w:rPr>
          <w:rFonts w:ascii="Times New Roman" w:hAnsi="Times New Roman" w:cs="Times New Roman"/>
          <w:i/>
          <w:sz w:val="24"/>
          <w:szCs w:val="24"/>
        </w:rPr>
        <w:t xml:space="preserve">L. multiflorum </w:t>
      </w:r>
      <w:r w:rsidRPr="00F368ED">
        <w:rPr>
          <w:rFonts w:ascii="Times New Roman" w:hAnsi="Times New Roman" w:cs="Times New Roman"/>
          <w:sz w:val="24"/>
          <w:szCs w:val="24"/>
        </w:rPr>
        <w:t xml:space="preserve">with NT also had low cover at 66%, suggesting transition was naturally occurring.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with NT had the highest cover at 96.5% and was significantly different from all other treatments, with the exception of </w:t>
      </w:r>
      <w:r w:rsidRPr="00F368ED">
        <w:rPr>
          <w:rFonts w:ascii="Times New Roman" w:hAnsi="Times New Roman" w:cs="Times New Roman"/>
          <w:i/>
          <w:sz w:val="24"/>
          <w:szCs w:val="24"/>
        </w:rPr>
        <w:t>P. trivialis</w:t>
      </w:r>
      <w:r w:rsidRPr="00F368ED">
        <w:rPr>
          <w:rFonts w:ascii="Times New Roman" w:hAnsi="Times New Roman" w:cs="Times New Roman"/>
          <w:sz w:val="24"/>
          <w:szCs w:val="24"/>
        </w:rPr>
        <w:t xml:space="preserve"> with NT at 93%. At 3 WAT, </w:t>
      </w:r>
      <w:r w:rsidRPr="00F368ED">
        <w:rPr>
          <w:rFonts w:ascii="Times New Roman" w:hAnsi="Times New Roman" w:cs="Times New Roman"/>
          <w:i/>
          <w:sz w:val="24"/>
          <w:szCs w:val="24"/>
        </w:rPr>
        <w:t xml:space="preserve">L. perenne × L. multiflorum </w:t>
      </w:r>
      <w:r w:rsidRPr="00F368ED">
        <w:rPr>
          <w:rFonts w:ascii="Times New Roman" w:hAnsi="Times New Roman" w:cs="Times New Roman"/>
          <w:sz w:val="24"/>
          <w:szCs w:val="24"/>
        </w:rPr>
        <w:t>with TS continued to have the significantly lowest cover at 59%.</w:t>
      </w:r>
      <w:r w:rsidRPr="00F368ED">
        <w:rPr>
          <w:rFonts w:ascii="Times New Roman" w:hAnsi="Times New Roman" w:cs="Times New Roman"/>
          <w:i/>
          <w:sz w:val="24"/>
          <w:szCs w:val="24"/>
        </w:rPr>
        <w:t xml:space="preserve"> L. multiflorum </w:t>
      </w:r>
      <w:r w:rsidRPr="00F368ED">
        <w:rPr>
          <w:rFonts w:ascii="Times New Roman" w:hAnsi="Times New Roman" w:cs="Times New Roman"/>
          <w:sz w:val="24"/>
          <w:szCs w:val="24"/>
        </w:rPr>
        <w:t xml:space="preserve">with NT and TS, </w:t>
      </w:r>
      <w:r w:rsidRPr="00F368ED">
        <w:rPr>
          <w:rFonts w:ascii="Times New Roman" w:hAnsi="Times New Roman" w:cs="Times New Roman"/>
          <w:i/>
          <w:sz w:val="24"/>
          <w:szCs w:val="24"/>
        </w:rPr>
        <w:t xml:space="preserve">L. perenne × L. multiflorum </w:t>
      </w:r>
      <w:r w:rsidRPr="00F368ED">
        <w:rPr>
          <w:rFonts w:ascii="Times New Roman" w:hAnsi="Times New Roman" w:cs="Times New Roman"/>
          <w:sz w:val="24"/>
          <w:szCs w:val="24"/>
        </w:rPr>
        <w:t xml:space="preserve">with NT, and P. trivialis with TS also had low cover values, but </w:t>
      </w:r>
      <w:r w:rsidRPr="00F368ED">
        <w:rPr>
          <w:rFonts w:ascii="Times New Roman" w:hAnsi="Times New Roman" w:cs="Times New Roman"/>
          <w:sz w:val="24"/>
          <w:szCs w:val="24"/>
        </w:rPr>
        <w:lastRenderedPageBreak/>
        <w:t>different from</w:t>
      </w:r>
      <w:r w:rsidRPr="00F368ED">
        <w:rPr>
          <w:rFonts w:ascii="Times New Roman" w:hAnsi="Times New Roman" w:cs="Times New Roman"/>
          <w:i/>
          <w:sz w:val="24"/>
          <w:szCs w:val="24"/>
        </w:rPr>
        <w:t xml:space="preserve"> L. perenne × L. multiflorum </w:t>
      </w:r>
      <w:r w:rsidRPr="00F368ED">
        <w:rPr>
          <w:rFonts w:ascii="Times New Roman" w:hAnsi="Times New Roman" w:cs="Times New Roman"/>
          <w:sz w:val="24"/>
          <w:szCs w:val="24"/>
        </w:rPr>
        <w:t xml:space="preserve">with TS. This suggested that natural transition was occurring for the NT treatments.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with TS stood alone at 80% cover. All other treatments with higher cover than </w:t>
      </w:r>
      <w:r w:rsidRPr="00F368ED">
        <w:rPr>
          <w:rFonts w:ascii="Times New Roman" w:hAnsi="Times New Roman" w:cs="Times New Roman"/>
          <w:i/>
          <w:sz w:val="24"/>
          <w:szCs w:val="24"/>
        </w:rPr>
        <w:t>L. perenne</w:t>
      </w:r>
      <w:r w:rsidRPr="00F368ED">
        <w:rPr>
          <w:rFonts w:ascii="Times New Roman" w:hAnsi="Times New Roman" w:cs="Times New Roman"/>
          <w:sz w:val="24"/>
          <w:szCs w:val="24"/>
        </w:rPr>
        <w:t xml:space="preserve"> with TS were significantly higher and not different from each other. At 6 WAT, </w:t>
      </w:r>
      <w:r w:rsidRPr="00F368ED">
        <w:rPr>
          <w:rFonts w:ascii="Times New Roman" w:hAnsi="Times New Roman" w:cs="Times New Roman"/>
          <w:i/>
          <w:sz w:val="24"/>
          <w:szCs w:val="24"/>
        </w:rPr>
        <w:t xml:space="preserve">P. trivialis </w:t>
      </w:r>
      <w:r w:rsidRPr="00F368ED">
        <w:rPr>
          <w:rFonts w:ascii="Times New Roman" w:hAnsi="Times New Roman" w:cs="Times New Roman"/>
          <w:sz w:val="24"/>
          <w:szCs w:val="24"/>
        </w:rPr>
        <w:t xml:space="preserve">with NT had the lowest cover at 62%, but was not different from </w:t>
      </w:r>
      <w:r w:rsidRPr="00F368ED">
        <w:rPr>
          <w:rFonts w:ascii="Times New Roman" w:hAnsi="Times New Roman" w:cs="Times New Roman"/>
          <w:i/>
          <w:sz w:val="24"/>
          <w:szCs w:val="24"/>
        </w:rPr>
        <w:t xml:space="preserve">L. perenne × L. multiflorum </w:t>
      </w:r>
      <w:r w:rsidRPr="00F368ED">
        <w:rPr>
          <w:rFonts w:ascii="Times New Roman" w:hAnsi="Times New Roman" w:cs="Times New Roman"/>
          <w:sz w:val="24"/>
          <w:szCs w:val="24"/>
        </w:rPr>
        <w:t xml:space="preserve">with NT at 71%. </w:t>
      </w:r>
      <w:r w:rsidRPr="00F368ED">
        <w:rPr>
          <w:rFonts w:ascii="Times New Roman" w:hAnsi="Times New Roman" w:cs="Times New Roman"/>
          <w:i/>
          <w:sz w:val="24"/>
          <w:szCs w:val="24"/>
        </w:rPr>
        <w:t xml:space="preserve">L. multiflorum </w:t>
      </w:r>
      <w:r w:rsidRPr="00F368ED">
        <w:rPr>
          <w:rFonts w:ascii="Times New Roman" w:hAnsi="Times New Roman" w:cs="Times New Roman"/>
          <w:sz w:val="24"/>
          <w:szCs w:val="24"/>
        </w:rPr>
        <w:t>with NT</w:t>
      </w:r>
      <w:r w:rsidRPr="00F368ED">
        <w:rPr>
          <w:rFonts w:ascii="Times New Roman" w:hAnsi="Times New Roman" w:cs="Times New Roman"/>
          <w:i/>
          <w:sz w:val="24"/>
          <w:szCs w:val="24"/>
        </w:rPr>
        <w:t xml:space="preserve"> </w:t>
      </w:r>
      <w:r w:rsidRPr="00F368ED">
        <w:rPr>
          <w:rFonts w:ascii="Times New Roman" w:hAnsi="Times New Roman" w:cs="Times New Roman"/>
          <w:sz w:val="24"/>
          <w:szCs w:val="24"/>
        </w:rPr>
        <w:t xml:space="preserve">also had low cover at 82% and was not different from </w:t>
      </w:r>
      <w:r w:rsidRPr="00F368ED">
        <w:rPr>
          <w:rFonts w:ascii="Times New Roman" w:hAnsi="Times New Roman" w:cs="Times New Roman"/>
          <w:i/>
          <w:sz w:val="24"/>
          <w:szCs w:val="24"/>
        </w:rPr>
        <w:t xml:space="preserve">L. perenne × L. multiflorum. </w:t>
      </w:r>
      <w:r w:rsidRPr="00F368ED">
        <w:rPr>
          <w:rFonts w:ascii="Times New Roman" w:hAnsi="Times New Roman" w:cs="Times New Roman"/>
          <w:sz w:val="24"/>
          <w:szCs w:val="24"/>
        </w:rPr>
        <w:t xml:space="preserve">All other treatments had higher cover but were not different from </w:t>
      </w:r>
      <w:r w:rsidRPr="00F368ED">
        <w:rPr>
          <w:rFonts w:ascii="Times New Roman" w:hAnsi="Times New Roman" w:cs="Times New Roman"/>
          <w:i/>
          <w:sz w:val="24"/>
          <w:szCs w:val="24"/>
        </w:rPr>
        <w:t xml:space="preserve">L. multiflorum </w:t>
      </w:r>
      <w:r w:rsidRPr="00F368ED">
        <w:rPr>
          <w:rFonts w:ascii="Times New Roman" w:hAnsi="Times New Roman" w:cs="Times New Roman"/>
          <w:sz w:val="24"/>
          <w:szCs w:val="24"/>
        </w:rPr>
        <w:t>with NT. By 8 WAT there were no significant differences among treatments (Figure 3.7).</w:t>
      </w:r>
    </w:p>
    <w:p w14:paraId="76CFB5B9" w14:textId="77777777" w:rsidR="006648FD" w:rsidRDefault="006648FD"/>
    <w:p w14:paraId="197B82BB" w14:textId="77777777" w:rsidR="006648FD" w:rsidRDefault="006648FD" w:rsidP="006648FD"/>
    <w:p w14:paraId="3252F19D" w14:textId="77777777" w:rsidR="0048750E" w:rsidRDefault="0048750E">
      <w:r>
        <w:br w:type="page"/>
      </w:r>
    </w:p>
    <w:p w14:paraId="330BD7EC" w14:textId="77777777" w:rsidR="0048750E" w:rsidRDefault="0048750E" w:rsidP="006648FD"/>
    <w:p w14:paraId="686741F0" w14:textId="77777777" w:rsidR="0048750E" w:rsidRDefault="0048750E" w:rsidP="006648FD"/>
    <w:p w14:paraId="5C597FC8" w14:textId="77777777" w:rsidR="0048750E" w:rsidRDefault="0048750E" w:rsidP="006648FD"/>
    <w:p w14:paraId="70881590" w14:textId="77777777" w:rsidR="0048750E" w:rsidRDefault="0048750E" w:rsidP="006648FD"/>
    <w:p w14:paraId="2FB02375" w14:textId="77777777" w:rsidR="0048750E" w:rsidRDefault="0048750E" w:rsidP="006648FD"/>
    <w:p w14:paraId="134D19F2" w14:textId="77777777" w:rsidR="0048750E" w:rsidRDefault="0048750E" w:rsidP="006648FD"/>
    <w:p w14:paraId="0FE9159C" w14:textId="77777777" w:rsidR="0048750E" w:rsidRDefault="0048750E" w:rsidP="006648FD"/>
    <w:p w14:paraId="7BEEBA17" w14:textId="77777777" w:rsidR="0048750E" w:rsidRDefault="0048750E" w:rsidP="006648FD"/>
    <w:p w14:paraId="1065FBF2" w14:textId="77777777" w:rsidR="0048750E" w:rsidRDefault="0048750E" w:rsidP="006648FD"/>
    <w:p w14:paraId="337F227F" w14:textId="77777777" w:rsidR="0048750E" w:rsidRDefault="0048750E" w:rsidP="006648FD"/>
    <w:p w14:paraId="2F5B22BA" w14:textId="77777777" w:rsidR="0048750E" w:rsidRDefault="0048750E" w:rsidP="006648FD"/>
    <w:p w14:paraId="56500313" w14:textId="77777777" w:rsidR="0048750E" w:rsidRDefault="0048750E" w:rsidP="006648FD"/>
    <w:p w14:paraId="5692D102" w14:textId="77777777" w:rsidR="0048750E" w:rsidRDefault="00C75ED8" w:rsidP="0048750E">
      <w:pPr>
        <w:pStyle w:val="Heading2"/>
      </w:pPr>
      <w:bookmarkStart w:id="32" w:name="_Toc354003334"/>
      <w:r>
        <w:t>Literature</w:t>
      </w:r>
      <w:r w:rsidR="0048750E">
        <w:t xml:space="preserve"> Cited</w:t>
      </w:r>
      <w:bookmarkEnd w:id="32"/>
    </w:p>
    <w:p w14:paraId="59692326" w14:textId="77777777" w:rsidR="0048750E" w:rsidRDefault="0048750E">
      <w:pPr>
        <w:rPr>
          <w:rFonts w:ascii="Times New Roman" w:eastAsiaTheme="majorEastAsia" w:hAnsi="Times New Roman" w:cstheme="majorBidi"/>
          <w:b/>
          <w:bCs/>
          <w:sz w:val="28"/>
          <w:szCs w:val="26"/>
        </w:rPr>
      </w:pPr>
      <w:r>
        <w:br w:type="page"/>
      </w:r>
    </w:p>
    <w:p w14:paraId="31765873" w14:textId="77777777" w:rsidR="007C77DF" w:rsidRPr="007C77DF" w:rsidRDefault="007C77DF" w:rsidP="0036796C">
      <w:pPr>
        <w:ind w:left="720" w:hanging="720"/>
        <w:rPr>
          <w:rFonts w:ascii="Times New Roman" w:hAnsi="Times New Roman" w:cs="Times New Roman"/>
          <w:sz w:val="24"/>
          <w:szCs w:val="24"/>
        </w:rPr>
      </w:pPr>
      <w:proofErr w:type="gramStart"/>
      <w:r w:rsidRPr="007C77DF">
        <w:rPr>
          <w:rFonts w:ascii="Times New Roman" w:hAnsi="Times New Roman" w:cs="Times New Roman"/>
          <w:sz w:val="24"/>
          <w:szCs w:val="24"/>
        </w:rPr>
        <w:lastRenderedPageBreak/>
        <w:t>Askew, Shawn.</w:t>
      </w:r>
      <w:proofErr w:type="gramEnd"/>
      <w:r w:rsidRPr="007C77DF">
        <w:rPr>
          <w:rFonts w:ascii="Times New Roman" w:hAnsi="Times New Roman" w:cs="Times New Roman"/>
          <w:sz w:val="24"/>
          <w:szCs w:val="24"/>
        </w:rPr>
        <w:t xml:space="preserve"> 2010. Perennial ryegrass competition affects bermudagrass health.  </w:t>
      </w:r>
      <w:proofErr w:type="gramStart"/>
      <w:r w:rsidRPr="007C77DF">
        <w:rPr>
          <w:rFonts w:ascii="Times New Roman" w:hAnsi="Times New Roman" w:cs="Times New Roman"/>
          <w:sz w:val="24"/>
          <w:szCs w:val="24"/>
        </w:rPr>
        <w:t>Golf Course Management.</w:t>
      </w:r>
      <w:proofErr w:type="gramEnd"/>
      <w:r w:rsidRPr="007C77DF">
        <w:rPr>
          <w:rFonts w:ascii="Times New Roman" w:hAnsi="Times New Roman" w:cs="Times New Roman"/>
          <w:sz w:val="24"/>
          <w:szCs w:val="24"/>
        </w:rPr>
        <w:t xml:space="preserve"> October. 78(10): p. 96-98, 100, 102.</w:t>
      </w:r>
    </w:p>
    <w:p w14:paraId="242BFFFB" w14:textId="77777777" w:rsidR="007C77DF" w:rsidRPr="007C77DF" w:rsidRDefault="007C77DF" w:rsidP="0036796C">
      <w:pPr>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t xml:space="preserve">Batten, S.M., J.B. Beard, D. Johns, A. Almodares, and J. Eckhardt. 1981.Characterization of cool season turfgrasses for winter overseeding of dormant bermudagrass. </w:t>
      </w:r>
      <w:proofErr w:type="gramStart"/>
      <w:r w:rsidRPr="007C77DF">
        <w:rPr>
          <w:rFonts w:ascii="Times New Roman" w:hAnsi="Times New Roman" w:cs="Times New Roman"/>
          <w:sz w:val="24"/>
          <w:szCs w:val="24"/>
        </w:rPr>
        <w:t>Proceedings of the International Turfgrass Research Conference.</w:t>
      </w:r>
      <w:proofErr w:type="gramEnd"/>
      <w:r w:rsidRPr="007C77DF">
        <w:rPr>
          <w:rFonts w:ascii="Times New Roman" w:hAnsi="Times New Roman" w:cs="Times New Roman"/>
          <w:sz w:val="24"/>
          <w:szCs w:val="24"/>
        </w:rPr>
        <w:t xml:space="preserve"> 4:83-89.</w:t>
      </w:r>
    </w:p>
    <w:p w14:paraId="47080F9C" w14:textId="77777777" w:rsidR="007C77DF" w:rsidRPr="007C77DF" w:rsidRDefault="007C77DF" w:rsidP="0036796C">
      <w:pPr>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t>Batten, S., J. B. Beard, and D. Johns. 1980. Monitoring soil temperature to determine overseeding rates. Grounds Maint. 15(9):42-48.</w:t>
      </w:r>
    </w:p>
    <w:p w14:paraId="1B4B9BD5" w14:textId="77777777" w:rsidR="007C77DF" w:rsidRPr="007C77DF" w:rsidRDefault="007C77DF" w:rsidP="0036796C">
      <w:pPr>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t xml:space="preserve">Brede, Doug. 2000. </w:t>
      </w:r>
      <w:r w:rsidRPr="007C77DF">
        <w:rPr>
          <w:rFonts w:ascii="Times New Roman" w:hAnsi="Times New Roman" w:cs="Times New Roman"/>
          <w:iCs/>
          <w:sz w:val="24"/>
          <w:szCs w:val="24"/>
        </w:rPr>
        <w:t>Turfgrass Maintenance Reduction Handbook: Sports, Lawns, and Golf</w:t>
      </w:r>
      <w:r w:rsidRPr="007C77DF">
        <w:rPr>
          <w:rFonts w:ascii="Times New Roman" w:hAnsi="Times New Roman" w:cs="Times New Roman"/>
          <w:i/>
          <w:iCs/>
          <w:sz w:val="24"/>
          <w:szCs w:val="24"/>
        </w:rPr>
        <w:t xml:space="preserve">. </w:t>
      </w:r>
      <w:r w:rsidRPr="007C77DF">
        <w:rPr>
          <w:rFonts w:ascii="Times New Roman" w:hAnsi="Times New Roman" w:cs="Times New Roman"/>
          <w:sz w:val="24"/>
          <w:szCs w:val="24"/>
        </w:rPr>
        <w:t xml:space="preserve">Chelsea, Michigan: Sleeping Bear Press. </w:t>
      </w:r>
      <w:proofErr w:type="gramStart"/>
      <w:r w:rsidRPr="007C77DF">
        <w:rPr>
          <w:rFonts w:ascii="Times New Roman" w:hAnsi="Times New Roman" w:cs="Times New Roman"/>
          <w:sz w:val="24"/>
          <w:szCs w:val="24"/>
        </w:rPr>
        <w:t>xii</w:t>
      </w:r>
      <w:proofErr w:type="gramEnd"/>
      <w:r w:rsidRPr="007C77DF">
        <w:rPr>
          <w:rFonts w:ascii="Times New Roman" w:hAnsi="Times New Roman" w:cs="Times New Roman"/>
          <w:sz w:val="24"/>
          <w:szCs w:val="24"/>
        </w:rPr>
        <w:t>, 374 pp.</w:t>
      </w:r>
    </w:p>
    <w:p w14:paraId="3EA5EAC8" w14:textId="77777777" w:rsidR="007C77DF" w:rsidRPr="0036796C" w:rsidRDefault="007C77DF" w:rsidP="0036796C">
      <w:pPr>
        <w:spacing w:line="240" w:lineRule="auto"/>
        <w:ind w:left="720" w:hanging="720"/>
        <w:rPr>
          <w:rFonts w:ascii="Times New Roman" w:eastAsia="Times New Roman" w:hAnsi="Times New Roman" w:cs="Times New Roman"/>
          <w:sz w:val="24"/>
          <w:szCs w:val="20"/>
        </w:rPr>
      </w:pPr>
      <w:r w:rsidRPr="007C77DF">
        <w:rPr>
          <w:rFonts w:ascii="Times New Roman" w:eastAsia="Times New Roman" w:hAnsi="Times New Roman" w:cs="Times New Roman"/>
          <w:sz w:val="24"/>
          <w:szCs w:val="20"/>
        </w:rPr>
        <w:t xml:space="preserve">Carroll, J. C. (1943). Atmospheric drought tests of some pasture and turf grasses. </w:t>
      </w:r>
      <w:r w:rsidRPr="007C77DF">
        <w:rPr>
          <w:rFonts w:ascii="Times New Roman" w:eastAsia="Times New Roman" w:hAnsi="Times New Roman" w:cs="Times New Roman"/>
          <w:i/>
          <w:iCs/>
          <w:sz w:val="24"/>
          <w:szCs w:val="20"/>
        </w:rPr>
        <w:t>Agronomy Journal</w:t>
      </w:r>
      <w:r w:rsidRPr="007C77DF">
        <w:rPr>
          <w:rFonts w:ascii="Times New Roman" w:eastAsia="Times New Roman" w:hAnsi="Times New Roman" w:cs="Times New Roman"/>
          <w:sz w:val="24"/>
          <w:szCs w:val="20"/>
        </w:rPr>
        <w:t xml:space="preserve">, </w:t>
      </w:r>
      <w:r w:rsidRPr="007C77DF">
        <w:rPr>
          <w:rFonts w:ascii="Times New Roman" w:eastAsia="Times New Roman" w:hAnsi="Times New Roman" w:cs="Times New Roman"/>
          <w:i/>
          <w:iCs/>
          <w:sz w:val="24"/>
          <w:szCs w:val="20"/>
        </w:rPr>
        <w:t>35</w:t>
      </w:r>
      <w:r w:rsidRPr="007C77DF">
        <w:rPr>
          <w:rFonts w:ascii="Times New Roman" w:eastAsia="Times New Roman" w:hAnsi="Times New Roman" w:cs="Times New Roman"/>
          <w:sz w:val="24"/>
          <w:szCs w:val="20"/>
        </w:rPr>
        <w:t>(1), 77-79.</w:t>
      </w:r>
    </w:p>
    <w:p w14:paraId="7E2CE188" w14:textId="77777777" w:rsidR="007C77DF" w:rsidRPr="0036796C" w:rsidRDefault="007C77DF" w:rsidP="0036796C">
      <w:pPr>
        <w:spacing w:line="240" w:lineRule="auto"/>
        <w:ind w:left="720" w:hanging="720"/>
        <w:rPr>
          <w:rFonts w:ascii="Times New Roman" w:hAnsi="Times New Roman" w:cs="Times New Roman"/>
          <w:sz w:val="24"/>
          <w:szCs w:val="24"/>
        </w:rPr>
      </w:pPr>
      <w:proofErr w:type="gramStart"/>
      <w:r w:rsidRPr="007C77DF">
        <w:rPr>
          <w:rFonts w:ascii="Times New Roman" w:hAnsi="Times New Roman" w:cs="Times New Roman"/>
          <w:sz w:val="24"/>
          <w:szCs w:val="24"/>
        </w:rPr>
        <w:t>Dodson, Kathleen L.; Jordan, Katerina S.; Tardif, Francois; Lyons, Eric M. 2012.</w:t>
      </w:r>
      <w:proofErr w:type="gramEnd"/>
      <w:r w:rsidRPr="007C77DF">
        <w:rPr>
          <w:rFonts w:ascii="Times New Roman" w:hAnsi="Times New Roman" w:cs="Times New Roman"/>
          <w:sz w:val="24"/>
          <w:szCs w:val="24"/>
        </w:rPr>
        <w:t xml:space="preserve"> </w:t>
      </w:r>
      <w:proofErr w:type="gramStart"/>
      <w:r w:rsidRPr="007C77DF">
        <w:rPr>
          <w:rFonts w:ascii="Times New Roman" w:hAnsi="Times New Roman" w:cs="Times New Roman"/>
          <w:sz w:val="24"/>
          <w:szCs w:val="24"/>
        </w:rPr>
        <w:t>An examination of overseeding species on athletic fields and the fate of the seed in the environment.</w:t>
      </w:r>
      <w:proofErr w:type="gramEnd"/>
      <w:r w:rsidRPr="007C77DF">
        <w:rPr>
          <w:rFonts w:ascii="Times New Roman" w:hAnsi="Times New Roman" w:cs="Times New Roman"/>
          <w:sz w:val="24"/>
          <w:szCs w:val="24"/>
        </w:rPr>
        <w:t xml:space="preserve">  ASA, CSSA and SSSA Annual Meetings [2012]. p. 73432.</w:t>
      </w:r>
    </w:p>
    <w:p w14:paraId="1AD5074F" w14:textId="77777777" w:rsidR="007C77DF" w:rsidRPr="007C77DF" w:rsidRDefault="007C77DF" w:rsidP="0036796C">
      <w:pPr>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t xml:space="preserve">Goddard, Matthew J. R.; Askew, Shawn D.; Brecke, Barry J.; Derr, Jeffrey F.; Murphy, Timothy R. 2009. Poa annua population response to overseeded perennial ryegrass seeding rate and bispyribac-sodium. </w:t>
      </w:r>
      <w:proofErr w:type="gramStart"/>
      <w:r w:rsidRPr="007C77DF">
        <w:rPr>
          <w:rFonts w:ascii="Times New Roman" w:hAnsi="Times New Roman" w:cs="Times New Roman"/>
          <w:sz w:val="24"/>
          <w:szCs w:val="24"/>
        </w:rPr>
        <w:t>International Turfgrass Society Research Journal.</w:t>
      </w:r>
      <w:proofErr w:type="gramEnd"/>
      <w:r w:rsidRPr="007C77DF">
        <w:rPr>
          <w:rFonts w:ascii="Times New Roman" w:hAnsi="Times New Roman" w:cs="Times New Roman"/>
          <w:sz w:val="24"/>
          <w:szCs w:val="24"/>
        </w:rPr>
        <w:t xml:space="preserve"> 11(Part 2): p. 1183-1189.</w:t>
      </w:r>
    </w:p>
    <w:p w14:paraId="79862090" w14:textId="77777777" w:rsidR="002508AF" w:rsidRDefault="002508AF" w:rsidP="0036796C">
      <w:pPr>
        <w:autoSpaceDE w:val="0"/>
        <w:autoSpaceDN w:val="0"/>
        <w:adjustRightInd w:val="0"/>
        <w:spacing w:line="240" w:lineRule="auto"/>
        <w:ind w:left="720" w:hanging="720"/>
        <w:rPr>
          <w:rFonts w:ascii="Times New Roman" w:hAnsi="Times New Roman" w:cs="Times New Roman"/>
          <w:sz w:val="24"/>
          <w:szCs w:val="24"/>
        </w:rPr>
      </w:pPr>
      <w:r w:rsidRPr="002508AF">
        <w:rPr>
          <w:rFonts w:ascii="Times New Roman" w:hAnsi="Times New Roman" w:cs="Times New Roman"/>
          <w:sz w:val="24"/>
          <w:szCs w:val="24"/>
        </w:rPr>
        <w:t xml:space="preserve">Hanna, W. W., &amp; Elsner, J. E. (1999). </w:t>
      </w:r>
      <w:proofErr w:type="gramStart"/>
      <w:r w:rsidRPr="002508AF">
        <w:rPr>
          <w:rFonts w:ascii="Times New Roman" w:hAnsi="Times New Roman" w:cs="Times New Roman"/>
          <w:sz w:val="24"/>
          <w:szCs w:val="24"/>
        </w:rPr>
        <w:t>Registration of ‘TiftEagle’Bermudagrass.</w:t>
      </w:r>
      <w:proofErr w:type="gramEnd"/>
      <w:r w:rsidRPr="002508AF">
        <w:rPr>
          <w:rFonts w:ascii="Times New Roman" w:hAnsi="Times New Roman" w:cs="Times New Roman"/>
          <w:sz w:val="24"/>
          <w:szCs w:val="24"/>
        </w:rPr>
        <w:t xml:space="preserve"> </w:t>
      </w:r>
      <w:proofErr w:type="gramStart"/>
      <w:r w:rsidRPr="002508AF">
        <w:rPr>
          <w:rFonts w:ascii="Times New Roman" w:hAnsi="Times New Roman" w:cs="Times New Roman"/>
          <w:sz w:val="24"/>
          <w:szCs w:val="24"/>
        </w:rPr>
        <w:t>Crop science, 39(4), 1258-1258.</w:t>
      </w:r>
      <w:proofErr w:type="gramEnd"/>
    </w:p>
    <w:p w14:paraId="299C1D5D" w14:textId="77777777" w:rsidR="007C77DF" w:rsidRPr="007C77DF" w:rsidRDefault="007C77DF" w:rsidP="0036796C">
      <w:pPr>
        <w:autoSpaceDE w:val="0"/>
        <w:autoSpaceDN w:val="0"/>
        <w:adjustRightInd w:val="0"/>
        <w:spacing w:line="240" w:lineRule="auto"/>
        <w:ind w:left="720" w:hanging="720"/>
        <w:rPr>
          <w:rFonts w:ascii="Times New Roman" w:hAnsi="Times New Roman" w:cs="Times New Roman"/>
          <w:sz w:val="24"/>
          <w:szCs w:val="24"/>
        </w:rPr>
      </w:pPr>
      <w:proofErr w:type="gramStart"/>
      <w:r w:rsidRPr="007C77DF">
        <w:rPr>
          <w:rFonts w:ascii="Times New Roman" w:hAnsi="Times New Roman" w:cs="Times New Roman"/>
          <w:sz w:val="24"/>
          <w:szCs w:val="24"/>
        </w:rPr>
        <w:t>Horgan, B.P. and Yelverton, F. H. 2001.</w:t>
      </w:r>
      <w:proofErr w:type="gramEnd"/>
      <w:r w:rsidRPr="007C77DF">
        <w:rPr>
          <w:rFonts w:ascii="Times New Roman" w:hAnsi="Times New Roman" w:cs="Times New Roman"/>
          <w:sz w:val="24"/>
          <w:szCs w:val="24"/>
        </w:rPr>
        <w:t xml:space="preserve"> </w:t>
      </w:r>
      <w:proofErr w:type="gramStart"/>
      <w:r w:rsidRPr="007C77DF">
        <w:rPr>
          <w:rFonts w:ascii="Times New Roman" w:hAnsi="Times New Roman" w:cs="Times New Roman"/>
          <w:sz w:val="24"/>
          <w:szCs w:val="24"/>
        </w:rPr>
        <w:t>Removal of perennial ryegrass from overseeded</w:t>
      </w:r>
      <w:r w:rsidR="0036796C">
        <w:rPr>
          <w:rFonts w:ascii="Times New Roman" w:hAnsi="Times New Roman" w:cs="Times New Roman"/>
          <w:sz w:val="24"/>
          <w:szCs w:val="24"/>
        </w:rPr>
        <w:t xml:space="preserve"> </w:t>
      </w:r>
      <w:r w:rsidRPr="007C77DF">
        <w:rPr>
          <w:rFonts w:ascii="Times New Roman" w:hAnsi="Times New Roman" w:cs="Times New Roman"/>
          <w:sz w:val="24"/>
          <w:szCs w:val="24"/>
        </w:rPr>
        <w:t>bermudagrass using cultural methods.</w:t>
      </w:r>
      <w:proofErr w:type="gramEnd"/>
      <w:r w:rsidRPr="007C77DF">
        <w:rPr>
          <w:rFonts w:ascii="Times New Roman" w:hAnsi="Times New Roman" w:cs="Times New Roman"/>
          <w:sz w:val="24"/>
          <w:szCs w:val="24"/>
        </w:rPr>
        <w:t xml:space="preserve"> Crop Science. 41:118-126.</w:t>
      </w:r>
    </w:p>
    <w:p w14:paraId="651F45BC" w14:textId="77777777" w:rsidR="007C77DF" w:rsidRPr="007C77DF" w:rsidRDefault="007C77DF" w:rsidP="0036796C">
      <w:pPr>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t>Henderson, J. J.; Lanovaz, J. L.; Rogers, J. N. III; Sorochan, J. C.; Vanini, J. T. 2005. A new apparatus to simulate athletic field traffic: The cady traffic simulator. Agronomy Journal. July/August. 97(4): p. 1153-1157.</w:t>
      </w:r>
    </w:p>
    <w:p w14:paraId="7BC32C0A" w14:textId="77777777" w:rsidR="007C77DF" w:rsidRPr="007C77DF" w:rsidRDefault="007C77DF" w:rsidP="0036796C">
      <w:pPr>
        <w:spacing w:line="240" w:lineRule="auto"/>
        <w:ind w:left="720" w:hanging="720"/>
        <w:rPr>
          <w:rFonts w:ascii="Times New Roman" w:hAnsi="Times New Roman" w:cs="Times New Roman"/>
          <w:sz w:val="24"/>
          <w:szCs w:val="24"/>
        </w:rPr>
      </w:pPr>
      <w:proofErr w:type="gramStart"/>
      <w:r w:rsidRPr="007C77DF">
        <w:rPr>
          <w:rFonts w:ascii="Times New Roman" w:hAnsi="Times New Roman" w:cs="Times New Roman"/>
          <w:sz w:val="24"/>
          <w:szCs w:val="24"/>
        </w:rPr>
        <w:t>Huff, David R. 2001.</w:t>
      </w:r>
      <w:proofErr w:type="gramEnd"/>
      <w:r w:rsidRPr="007C77DF">
        <w:rPr>
          <w:rFonts w:ascii="Times New Roman" w:hAnsi="Times New Roman" w:cs="Times New Roman"/>
          <w:sz w:val="24"/>
          <w:szCs w:val="24"/>
        </w:rPr>
        <w:t xml:space="preserve"> </w:t>
      </w:r>
      <w:proofErr w:type="gramStart"/>
      <w:r w:rsidRPr="007C77DF">
        <w:rPr>
          <w:rFonts w:ascii="Times New Roman" w:hAnsi="Times New Roman" w:cs="Times New Roman"/>
          <w:sz w:val="24"/>
          <w:szCs w:val="24"/>
        </w:rPr>
        <w:t>New bluegrass species for turf.</w:t>
      </w:r>
      <w:proofErr w:type="gramEnd"/>
      <w:r w:rsidRPr="007C77DF">
        <w:rPr>
          <w:rFonts w:ascii="Times New Roman" w:hAnsi="Times New Roman" w:cs="Times New Roman"/>
          <w:sz w:val="24"/>
          <w:szCs w:val="24"/>
        </w:rPr>
        <w:t xml:space="preserve"> TurfGrass TRENDS. January. 10(1): p. 8-11.</w:t>
      </w:r>
    </w:p>
    <w:p w14:paraId="097D674F" w14:textId="77777777" w:rsidR="007C77DF" w:rsidRPr="007C77DF" w:rsidRDefault="007C77DF" w:rsidP="0036796C">
      <w:pPr>
        <w:spacing w:line="240" w:lineRule="auto"/>
        <w:ind w:left="720" w:hanging="720"/>
        <w:rPr>
          <w:rFonts w:ascii="Times New Roman" w:hAnsi="Times New Roman" w:cs="Times New Roman"/>
          <w:sz w:val="24"/>
          <w:szCs w:val="24"/>
        </w:rPr>
      </w:pPr>
      <w:proofErr w:type="gramStart"/>
      <w:r w:rsidRPr="007C77DF">
        <w:rPr>
          <w:rFonts w:ascii="Times New Roman" w:hAnsi="Times New Roman" w:cs="Times New Roman"/>
          <w:sz w:val="24"/>
          <w:szCs w:val="24"/>
        </w:rPr>
        <w:t>McCauley, Raymond K.; McCarty, Lambert B.; Liu, Haibo; Toler, Joe E. 2009.</w:t>
      </w:r>
      <w:proofErr w:type="gramEnd"/>
      <w:r w:rsidRPr="007C77DF">
        <w:rPr>
          <w:rFonts w:ascii="Times New Roman" w:hAnsi="Times New Roman" w:cs="Times New Roman"/>
          <w:sz w:val="24"/>
          <w:szCs w:val="24"/>
        </w:rPr>
        <w:t xml:space="preserve"> Optimizing overseed spring transition by integrating mowing height, nitrogen rate and sulfonylurea herbicide use International Turfgrass Society Research Journal. 11(Part 1): p. 399-415.</w:t>
      </w:r>
    </w:p>
    <w:p w14:paraId="2AF0F5ED" w14:textId="77777777" w:rsidR="007C77DF" w:rsidRPr="007C77DF" w:rsidRDefault="007C77DF" w:rsidP="0036796C">
      <w:pPr>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t xml:space="preserve">Miller, G., J. Weinbrecht, and J. Haugh. "Winter Overseeding Trials on fairway and putting green bermudagrass–2004/2005." </w:t>
      </w:r>
      <w:proofErr w:type="gramStart"/>
      <w:r w:rsidRPr="007C77DF">
        <w:rPr>
          <w:rFonts w:ascii="Times New Roman" w:hAnsi="Times New Roman" w:cs="Times New Roman"/>
          <w:sz w:val="24"/>
          <w:szCs w:val="24"/>
        </w:rPr>
        <w:t>Available on request (2005).</w:t>
      </w:r>
      <w:proofErr w:type="gramEnd"/>
    </w:p>
    <w:p w14:paraId="79174FB9" w14:textId="77777777" w:rsidR="007C77DF" w:rsidRDefault="007C77DF" w:rsidP="0036796C">
      <w:pPr>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t xml:space="preserve">O'Brien, Patrick; Hartwiger, Christopher. 2011. A time to change: The ultradwarf bermudagrass putting green golf model is solid in the southern USA. </w:t>
      </w:r>
      <w:proofErr w:type="gramStart"/>
      <w:r w:rsidRPr="007C77DF">
        <w:rPr>
          <w:rFonts w:ascii="Times New Roman" w:hAnsi="Times New Roman" w:cs="Times New Roman"/>
          <w:sz w:val="24"/>
          <w:szCs w:val="24"/>
        </w:rPr>
        <w:t>USGA Green Section Record.</w:t>
      </w:r>
      <w:proofErr w:type="gramEnd"/>
      <w:r w:rsidRPr="007C77DF">
        <w:rPr>
          <w:rFonts w:ascii="Times New Roman" w:hAnsi="Times New Roman" w:cs="Times New Roman"/>
          <w:sz w:val="24"/>
          <w:szCs w:val="24"/>
        </w:rPr>
        <w:t xml:space="preserve"> February 25. 49(8): p. 1-5.</w:t>
      </w:r>
    </w:p>
    <w:p w14:paraId="0E5A691E" w14:textId="77777777" w:rsidR="0036796C" w:rsidRDefault="007C77DF" w:rsidP="0036796C">
      <w:pPr>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lastRenderedPageBreak/>
        <w:t xml:space="preserve">Patton, Aaron. 2012. Warming up in the transition zone: Golf courses are increasingly choosing warm-season turfgrasses as maintenance budgets continue to be squeezed. </w:t>
      </w:r>
      <w:proofErr w:type="gramStart"/>
      <w:r w:rsidRPr="007C77DF">
        <w:rPr>
          <w:rFonts w:ascii="Times New Roman" w:hAnsi="Times New Roman" w:cs="Times New Roman"/>
          <w:sz w:val="24"/>
          <w:szCs w:val="24"/>
        </w:rPr>
        <w:t>USGA Green Section Record.</w:t>
      </w:r>
      <w:proofErr w:type="gramEnd"/>
      <w:r w:rsidRPr="007C77DF">
        <w:rPr>
          <w:rFonts w:ascii="Times New Roman" w:hAnsi="Times New Roman" w:cs="Times New Roman"/>
          <w:sz w:val="24"/>
          <w:szCs w:val="24"/>
        </w:rPr>
        <w:t xml:space="preserve"> September 21. 50(20): p. 1-5.</w:t>
      </w:r>
    </w:p>
    <w:p w14:paraId="3D7F4F95" w14:textId="77777777" w:rsidR="007C77DF" w:rsidRPr="007C77DF" w:rsidRDefault="007C77DF" w:rsidP="0036796C">
      <w:pPr>
        <w:autoSpaceDE w:val="0"/>
        <w:autoSpaceDN w:val="0"/>
        <w:adjustRightInd w:val="0"/>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t>Richardson, M.D., D.E. Karcher and L.C. Purcell. 2001. Quantifying turfgrass cover</w:t>
      </w:r>
      <w:r w:rsidR="0036796C">
        <w:rPr>
          <w:rFonts w:ascii="Times New Roman" w:hAnsi="Times New Roman" w:cs="Times New Roman"/>
          <w:sz w:val="24"/>
          <w:szCs w:val="24"/>
        </w:rPr>
        <w:t xml:space="preserve"> </w:t>
      </w:r>
      <w:r w:rsidRPr="007C77DF">
        <w:rPr>
          <w:rFonts w:ascii="Times New Roman" w:hAnsi="Times New Roman" w:cs="Times New Roman"/>
          <w:sz w:val="24"/>
          <w:szCs w:val="24"/>
        </w:rPr>
        <w:t>using digital image analysis. Crop Science. 41:1884-1888.</w:t>
      </w:r>
    </w:p>
    <w:p w14:paraId="581CDCFF" w14:textId="77777777" w:rsidR="007C77DF" w:rsidRPr="007C77DF" w:rsidRDefault="007C77DF" w:rsidP="0036796C">
      <w:pPr>
        <w:autoSpaceDE w:val="0"/>
        <w:autoSpaceDN w:val="0"/>
        <w:adjustRightInd w:val="0"/>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t>Richardson, M.D. 2004. Morphology, turf quality and heat tolerance of intermediate</w:t>
      </w:r>
      <w:r w:rsidR="0036796C">
        <w:rPr>
          <w:rFonts w:ascii="Times New Roman" w:hAnsi="Times New Roman" w:cs="Times New Roman"/>
          <w:sz w:val="24"/>
          <w:szCs w:val="24"/>
        </w:rPr>
        <w:t xml:space="preserve"> </w:t>
      </w:r>
      <w:r w:rsidRPr="007C77DF">
        <w:rPr>
          <w:rFonts w:ascii="Times New Roman" w:hAnsi="Times New Roman" w:cs="Times New Roman"/>
          <w:sz w:val="24"/>
          <w:szCs w:val="24"/>
        </w:rPr>
        <w:t>ryegrass. HortScience. 39(1):170-173.</w:t>
      </w:r>
    </w:p>
    <w:p w14:paraId="6657029E" w14:textId="77777777" w:rsidR="007C77DF" w:rsidRPr="007C77DF" w:rsidRDefault="007C77DF" w:rsidP="0036796C">
      <w:pPr>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t>Richardson, M. D., K. W. Hignight, R. H. Walker, C. A. Rodgers, D. Rush, J. H. McCalla, D. E. Karcher. 2007. Meadow fescue and tetraploid perennial ryegrass-two new species for overseeding dormant bermudagrass turf. Crop Sci. January/February. 47(1): p. 83-90.</w:t>
      </w:r>
    </w:p>
    <w:p w14:paraId="330C5B63" w14:textId="77777777" w:rsidR="007C77DF" w:rsidRPr="007C77DF" w:rsidRDefault="007C77DF" w:rsidP="0036796C">
      <w:pPr>
        <w:spacing w:line="240" w:lineRule="auto"/>
        <w:ind w:left="720" w:hanging="720"/>
        <w:rPr>
          <w:rFonts w:ascii="Times New Roman" w:hAnsi="Times New Roman" w:cs="Times New Roman"/>
          <w:sz w:val="24"/>
        </w:rPr>
      </w:pPr>
      <w:proofErr w:type="gramStart"/>
      <w:r w:rsidRPr="007C77DF">
        <w:rPr>
          <w:rFonts w:ascii="Times New Roman" w:hAnsi="Times New Roman" w:cs="Times New Roman"/>
          <w:sz w:val="24"/>
        </w:rPr>
        <w:t>Schmidt, R. E.; Shoulders, J. F. 1980.</w:t>
      </w:r>
      <w:proofErr w:type="gramEnd"/>
      <w:r w:rsidRPr="007C77DF">
        <w:rPr>
          <w:rFonts w:ascii="Times New Roman" w:hAnsi="Times New Roman" w:cs="Times New Roman"/>
          <w:sz w:val="24"/>
        </w:rPr>
        <w:t xml:space="preserve"> Seasonal performance of selected temperate turfgrasses overseeded on bermudagrass turf for winter sports. </w:t>
      </w:r>
      <w:proofErr w:type="gramStart"/>
      <w:r w:rsidRPr="007C77DF">
        <w:rPr>
          <w:rFonts w:ascii="Times New Roman" w:hAnsi="Times New Roman" w:cs="Times New Roman"/>
          <w:sz w:val="24"/>
        </w:rPr>
        <w:t>Proceedings of the Third International Turfgrass Research Conference.</w:t>
      </w:r>
      <w:proofErr w:type="gramEnd"/>
      <w:r w:rsidRPr="007C77DF">
        <w:rPr>
          <w:rFonts w:ascii="Times New Roman" w:hAnsi="Times New Roman" w:cs="Times New Roman"/>
          <w:sz w:val="24"/>
        </w:rPr>
        <w:t xml:space="preserve"> p. 75-86.</w:t>
      </w:r>
    </w:p>
    <w:p w14:paraId="7C1AC5B2" w14:textId="77777777" w:rsidR="007C77DF" w:rsidRPr="007C77DF" w:rsidRDefault="007C77DF" w:rsidP="0036796C">
      <w:pPr>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t xml:space="preserve">Sifers, S. I., J. B. Beard. 2001. Turf quality and morphological comparisons of winter overseeding methodologies for a high-density dwarf Cynodon turf. </w:t>
      </w:r>
      <w:proofErr w:type="gramStart"/>
      <w:r w:rsidRPr="007C77DF">
        <w:rPr>
          <w:rFonts w:ascii="Times New Roman" w:hAnsi="Times New Roman" w:cs="Times New Roman"/>
          <w:sz w:val="24"/>
          <w:szCs w:val="24"/>
        </w:rPr>
        <w:t>International Turfgrass Society Research Journal.</w:t>
      </w:r>
      <w:proofErr w:type="gramEnd"/>
      <w:r w:rsidRPr="007C77DF">
        <w:rPr>
          <w:rFonts w:ascii="Times New Roman" w:hAnsi="Times New Roman" w:cs="Times New Roman"/>
          <w:sz w:val="24"/>
          <w:szCs w:val="24"/>
        </w:rPr>
        <w:t xml:space="preserve"> 9(Part 2): p. 934-940.</w:t>
      </w:r>
    </w:p>
    <w:p w14:paraId="2A1F2A9D" w14:textId="77777777" w:rsidR="007C77DF" w:rsidRPr="007C77DF" w:rsidRDefault="007C77DF" w:rsidP="0036796C">
      <w:pPr>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t xml:space="preserve">Sorochan, J. C.; Rogers, J. N. III; Stier, J. C.; Karcher, D. E. 2001. Fertility and simulated traffic effects on Kentucky bluegrass / supina bluegrass mixtures. </w:t>
      </w:r>
      <w:proofErr w:type="gramStart"/>
      <w:r w:rsidRPr="007C77DF">
        <w:rPr>
          <w:rFonts w:ascii="Times New Roman" w:hAnsi="Times New Roman" w:cs="Times New Roman"/>
          <w:sz w:val="24"/>
          <w:szCs w:val="24"/>
        </w:rPr>
        <w:t>International Turfgrass Society Research Journal.</w:t>
      </w:r>
      <w:proofErr w:type="gramEnd"/>
      <w:r w:rsidRPr="007C77DF">
        <w:rPr>
          <w:rFonts w:ascii="Times New Roman" w:hAnsi="Times New Roman" w:cs="Times New Roman"/>
          <w:sz w:val="24"/>
          <w:szCs w:val="24"/>
        </w:rPr>
        <w:t xml:space="preserve"> 9(Part 2): p. 941-946.</w:t>
      </w:r>
    </w:p>
    <w:p w14:paraId="08B280B6" w14:textId="77777777" w:rsidR="007C77DF" w:rsidRPr="007C77DF" w:rsidRDefault="007C77DF" w:rsidP="0036796C">
      <w:pPr>
        <w:spacing w:line="240" w:lineRule="auto"/>
        <w:ind w:left="720" w:hanging="720"/>
        <w:rPr>
          <w:rFonts w:ascii="Times New Roman" w:hAnsi="Times New Roman" w:cs="Times New Roman"/>
          <w:sz w:val="24"/>
          <w:szCs w:val="24"/>
        </w:rPr>
      </w:pPr>
      <w:proofErr w:type="gramStart"/>
      <w:r w:rsidRPr="007C77DF">
        <w:rPr>
          <w:rFonts w:ascii="Times New Roman" w:hAnsi="Times New Roman" w:cs="Times New Roman"/>
          <w:sz w:val="24"/>
          <w:szCs w:val="24"/>
        </w:rPr>
        <w:t>Sorochan, John; Rogers, John N. III.</w:t>
      </w:r>
      <w:proofErr w:type="gramEnd"/>
      <w:r w:rsidRPr="007C77DF">
        <w:rPr>
          <w:rFonts w:ascii="Times New Roman" w:hAnsi="Times New Roman" w:cs="Times New Roman"/>
          <w:sz w:val="24"/>
          <w:szCs w:val="24"/>
        </w:rPr>
        <w:t xml:space="preserve"> 2000. Supina bluegrass: A new turf species for the North. </w:t>
      </w:r>
      <w:r w:rsidRPr="007C77DF">
        <w:rPr>
          <w:rFonts w:ascii="Times New Roman" w:hAnsi="Times New Roman" w:cs="Times New Roman"/>
          <w:i/>
          <w:iCs/>
          <w:sz w:val="24"/>
          <w:szCs w:val="24"/>
        </w:rPr>
        <w:t>Grounds Maintenance</w:t>
      </w:r>
      <w:r w:rsidRPr="007C77DF">
        <w:rPr>
          <w:rFonts w:ascii="Times New Roman" w:hAnsi="Times New Roman" w:cs="Times New Roman"/>
          <w:sz w:val="24"/>
          <w:szCs w:val="24"/>
        </w:rPr>
        <w:t>. April. 35(4): p. Contractor 2, C6, C10.</w:t>
      </w:r>
    </w:p>
    <w:p w14:paraId="43007805" w14:textId="77777777" w:rsidR="007C77DF" w:rsidRPr="007C77DF" w:rsidRDefault="007C77DF" w:rsidP="0036796C">
      <w:pPr>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t xml:space="preserve">Stewart, B., C.J. Nettles, Jr., G. Munshaw, H. Philley, and W. Wells. 2008. Traffi c-ability of dormant bermudagrass. </w:t>
      </w:r>
      <w:proofErr w:type="gramStart"/>
      <w:r w:rsidRPr="007C77DF">
        <w:rPr>
          <w:rFonts w:ascii="Times New Roman" w:hAnsi="Times New Roman" w:cs="Times New Roman"/>
          <w:sz w:val="24"/>
          <w:szCs w:val="24"/>
        </w:rPr>
        <w:t>In 2008 annual meeting abstracts.</w:t>
      </w:r>
      <w:proofErr w:type="gramEnd"/>
      <w:r w:rsidRPr="007C77DF">
        <w:rPr>
          <w:rFonts w:ascii="Times New Roman" w:hAnsi="Times New Roman" w:cs="Times New Roman"/>
          <w:sz w:val="24"/>
          <w:szCs w:val="24"/>
        </w:rPr>
        <w:t xml:space="preserve"> ASA, CSSA, and SSSA, Madison, WI.</w:t>
      </w:r>
    </w:p>
    <w:p w14:paraId="0409309C" w14:textId="77777777" w:rsidR="007C77DF" w:rsidRPr="007C77DF" w:rsidRDefault="007C77DF" w:rsidP="0036796C">
      <w:pPr>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t>Stier, John C. 1998. Supina bluegrass (Poa supina Schrad.): A not so new turf species The Grass Roots. July/August. 27(4): p. 45, 47-49</w:t>
      </w:r>
    </w:p>
    <w:p w14:paraId="6F9A8D83" w14:textId="77777777" w:rsidR="007C77DF" w:rsidRPr="007C77DF" w:rsidRDefault="007C77DF" w:rsidP="0036796C">
      <w:pPr>
        <w:spacing w:line="240" w:lineRule="auto"/>
        <w:ind w:left="720" w:hanging="720"/>
        <w:rPr>
          <w:rFonts w:ascii="Times New Roman" w:hAnsi="Times New Roman" w:cs="Times New Roman"/>
          <w:sz w:val="24"/>
        </w:rPr>
      </w:pPr>
      <w:proofErr w:type="gramStart"/>
      <w:r w:rsidRPr="007C77DF">
        <w:rPr>
          <w:rFonts w:ascii="Times New Roman" w:hAnsi="Times New Roman" w:cs="Times New Roman"/>
          <w:sz w:val="24"/>
        </w:rPr>
        <w:t>Stier, J. C.; Rogers, J. N. III.</w:t>
      </w:r>
      <w:proofErr w:type="gramEnd"/>
      <w:r w:rsidRPr="007C77DF">
        <w:rPr>
          <w:rFonts w:ascii="Times New Roman" w:hAnsi="Times New Roman" w:cs="Times New Roman"/>
          <w:sz w:val="24"/>
        </w:rPr>
        <w:t xml:space="preserve"> 2001. Trinexapac-ethyl and iron effects on supina and Kentucky bluegrasses under low irradiance. </w:t>
      </w:r>
      <w:r w:rsidRPr="007C77DF">
        <w:rPr>
          <w:rFonts w:ascii="Times New Roman" w:hAnsi="Times New Roman" w:cs="Times New Roman"/>
          <w:i/>
          <w:iCs/>
          <w:sz w:val="24"/>
        </w:rPr>
        <w:t>Crop Science</w:t>
      </w:r>
      <w:r w:rsidRPr="007C77DF">
        <w:rPr>
          <w:rFonts w:ascii="Times New Roman" w:hAnsi="Times New Roman" w:cs="Times New Roman"/>
          <w:sz w:val="24"/>
        </w:rPr>
        <w:t>. March/April. 41(2): p. 457-465</w:t>
      </w:r>
    </w:p>
    <w:p w14:paraId="1733C750" w14:textId="77777777" w:rsidR="007C77DF" w:rsidRPr="007C77DF" w:rsidRDefault="007C77DF" w:rsidP="0036796C">
      <w:pPr>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t xml:space="preserve">Summerford, Joshua A.; Karcher, Douglas E.; Richardson, Michael D.; Patton, Aaron J.; Boyd, John W. 2009. Cultural practice effects on the spring transition of overseeded meadow fescue and tetraploid perennial ryegrass sports fields. </w:t>
      </w:r>
      <w:proofErr w:type="gramStart"/>
      <w:r w:rsidRPr="007C77DF">
        <w:rPr>
          <w:rFonts w:ascii="Times New Roman" w:hAnsi="Times New Roman" w:cs="Times New Roman"/>
          <w:sz w:val="24"/>
          <w:szCs w:val="24"/>
        </w:rPr>
        <w:t>International Turfgrass Society Research Journal.</w:t>
      </w:r>
      <w:proofErr w:type="gramEnd"/>
      <w:r w:rsidRPr="007C77DF">
        <w:rPr>
          <w:rFonts w:ascii="Times New Roman" w:hAnsi="Times New Roman" w:cs="Times New Roman"/>
          <w:sz w:val="24"/>
          <w:szCs w:val="24"/>
        </w:rPr>
        <w:t xml:space="preserve"> 11(Part 1): p. 501-510.</w:t>
      </w:r>
    </w:p>
    <w:p w14:paraId="3872111E" w14:textId="77777777" w:rsidR="007C77DF" w:rsidRPr="007C77DF" w:rsidRDefault="007C77DF" w:rsidP="0036796C">
      <w:pPr>
        <w:spacing w:line="240" w:lineRule="auto"/>
        <w:ind w:left="720" w:hanging="720"/>
        <w:rPr>
          <w:rFonts w:ascii="Times New Roman" w:hAnsi="Times New Roman" w:cs="Times New Roman"/>
          <w:sz w:val="24"/>
          <w:szCs w:val="24"/>
        </w:rPr>
      </w:pPr>
      <w:r w:rsidRPr="007C77DF">
        <w:rPr>
          <w:rFonts w:ascii="Times New Roman" w:hAnsi="Times New Roman" w:cs="Times New Roman"/>
          <w:sz w:val="24"/>
          <w:szCs w:val="24"/>
        </w:rPr>
        <w:t xml:space="preserve">USDA, ARS, National Genetic Resources Program. </w:t>
      </w:r>
      <w:proofErr w:type="gramStart"/>
      <w:r w:rsidRPr="007C77DF">
        <w:rPr>
          <w:rFonts w:ascii="Times New Roman" w:hAnsi="Times New Roman" w:cs="Times New Roman"/>
          <w:sz w:val="24"/>
          <w:szCs w:val="24"/>
        </w:rPr>
        <w:t>Germplasm Resources Information Network - (GRIN) [Online Database].</w:t>
      </w:r>
      <w:proofErr w:type="gramEnd"/>
      <w:r w:rsidRPr="007C77DF">
        <w:rPr>
          <w:rFonts w:ascii="Times New Roman" w:hAnsi="Times New Roman" w:cs="Times New Roman"/>
          <w:sz w:val="24"/>
          <w:szCs w:val="24"/>
        </w:rPr>
        <w:t xml:space="preserve"> National Germplasm Resources Laboratory, Beltsville, Maryland.URL: http://www.ars-grin.gov/cgi-bin/npgs/html/taxon.pl?28982 (30 January 2013) </w:t>
      </w:r>
    </w:p>
    <w:p w14:paraId="0B078990" w14:textId="77777777" w:rsidR="007C77DF" w:rsidRPr="007C77DF" w:rsidRDefault="007C77DF" w:rsidP="0036796C">
      <w:pPr>
        <w:spacing w:line="240" w:lineRule="auto"/>
        <w:ind w:left="720" w:hanging="720"/>
        <w:rPr>
          <w:rFonts w:ascii="Times New Roman" w:hAnsi="Times New Roman" w:cs="Times New Roman"/>
          <w:sz w:val="24"/>
          <w:szCs w:val="24"/>
        </w:rPr>
      </w:pPr>
      <w:proofErr w:type="gramStart"/>
      <w:r w:rsidRPr="007C77DF">
        <w:rPr>
          <w:rFonts w:ascii="Times New Roman" w:hAnsi="Times New Roman" w:cs="Times New Roman"/>
          <w:sz w:val="24"/>
          <w:szCs w:val="24"/>
        </w:rPr>
        <w:lastRenderedPageBreak/>
        <w:t>Ward, C. Y., E.L. McWhirter, and W. R. Thompson Jr. 1974.</w:t>
      </w:r>
      <w:proofErr w:type="gramEnd"/>
      <w:r w:rsidRPr="007C77DF">
        <w:rPr>
          <w:rFonts w:ascii="Times New Roman" w:hAnsi="Times New Roman" w:cs="Times New Roman"/>
          <w:sz w:val="24"/>
          <w:szCs w:val="24"/>
        </w:rPr>
        <w:t xml:space="preserve"> </w:t>
      </w:r>
      <w:proofErr w:type="gramStart"/>
      <w:r w:rsidRPr="007C77DF">
        <w:rPr>
          <w:rFonts w:ascii="Times New Roman" w:hAnsi="Times New Roman" w:cs="Times New Roman"/>
          <w:sz w:val="24"/>
          <w:szCs w:val="24"/>
        </w:rPr>
        <w:t>Evaluation of cool season turf species and planting techniques for overseeding bermudagrass golf greens.</w:t>
      </w:r>
      <w:proofErr w:type="gramEnd"/>
      <w:r w:rsidRPr="007C77DF">
        <w:rPr>
          <w:rFonts w:ascii="Times New Roman" w:hAnsi="Times New Roman" w:cs="Times New Roman"/>
          <w:sz w:val="24"/>
          <w:szCs w:val="24"/>
        </w:rPr>
        <w:t xml:space="preserve"> </w:t>
      </w:r>
      <w:proofErr w:type="gramStart"/>
      <w:r w:rsidRPr="007C77DF">
        <w:rPr>
          <w:rFonts w:ascii="Times New Roman" w:hAnsi="Times New Roman" w:cs="Times New Roman"/>
          <w:sz w:val="24"/>
          <w:szCs w:val="24"/>
        </w:rPr>
        <w:t>Proceedings of the 2nd International Turfgrass Research Conference.</w:t>
      </w:r>
      <w:proofErr w:type="gramEnd"/>
      <w:r w:rsidRPr="007C77DF">
        <w:rPr>
          <w:rFonts w:ascii="Times New Roman" w:hAnsi="Times New Roman" w:cs="Times New Roman"/>
          <w:sz w:val="24"/>
          <w:szCs w:val="24"/>
        </w:rPr>
        <w:t xml:space="preserve"> p. 480-495.</w:t>
      </w:r>
    </w:p>
    <w:p w14:paraId="3B350EBD" w14:textId="77777777" w:rsidR="0036796C" w:rsidRDefault="0036796C">
      <w:pPr>
        <w:rPr>
          <w:rFonts w:ascii="Times New Roman" w:eastAsiaTheme="majorEastAsia" w:hAnsi="Times New Roman" w:cstheme="majorBidi"/>
          <w:b/>
          <w:bCs/>
          <w:sz w:val="28"/>
          <w:szCs w:val="26"/>
        </w:rPr>
      </w:pPr>
      <w:r>
        <w:br w:type="page"/>
      </w:r>
    </w:p>
    <w:p w14:paraId="7D832FB0" w14:textId="77777777" w:rsidR="00BE785A" w:rsidRDefault="00BE785A" w:rsidP="000E0CB6"/>
    <w:p w14:paraId="2CC97AA2" w14:textId="77777777" w:rsidR="00BE785A" w:rsidRDefault="00BE785A" w:rsidP="000E0CB6"/>
    <w:p w14:paraId="487270E4" w14:textId="77777777" w:rsidR="00BE785A" w:rsidRDefault="00BE785A" w:rsidP="000E0CB6"/>
    <w:p w14:paraId="6961C513" w14:textId="77777777" w:rsidR="00BE785A" w:rsidRDefault="00BE785A" w:rsidP="000E0CB6"/>
    <w:p w14:paraId="66D25978" w14:textId="77777777" w:rsidR="00BE785A" w:rsidRDefault="00BE785A" w:rsidP="000E0CB6"/>
    <w:p w14:paraId="2EBF3C31" w14:textId="77777777" w:rsidR="00BE785A" w:rsidRDefault="00BE785A" w:rsidP="000E0CB6"/>
    <w:p w14:paraId="7974F758" w14:textId="77777777" w:rsidR="00BE785A" w:rsidRDefault="00BE785A" w:rsidP="000E0CB6"/>
    <w:p w14:paraId="1741D91E" w14:textId="77777777" w:rsidR="00BE785A" w:rsidRDefault="00BE785A" w:rsidP="000E0CB6"/>
    <w:p w14:paraId="543307F9" w14:textId="77777777" w:rsidR="00BE785A" w:rsidRDefault="00BE785A" w:rsidP="000E0CB6"/>
    <w:p w14:paraId="44C5BE83" w14:textId="77777777" w:rsidR="00BE785A" w:rsidRDefault="00BE785A" w:rsidP="000E0CB6"/>
    <w:p w14:paraId="712A865F" w14:textId="77777777" w:rsidR="00BE785A" w:rsidRDefault="00BE785A" w:rsidP="000E0CB6"/>
    <w:p w14:paraId="0771E21A" w14:textId="77777777" w:rsidR="00BE785A" w:rsidRDefault="00BE785A" w:rsidP="00BE785A">
      <w:pPr>
        <w:pStyle w:val="Heading2"/>
      </w:pPr>
      <w:bookmarkStart w:id="33" w:name="_Toc354003335"/>
      <w:r>
        <w:t>Appendix C</w:t>
      </w:r>
      <w:bookmarkEnd w:id="33"/>
    </w:p>
    <w:p w14:paraId="36FBAF07" w14:textId="77777777" w:rsidR="00BE785A" w:rsidRDefault="00BE785A" w:rsidP="00BE785A"/>
    <w:p w14:paraId="70766021" w14:textId="77777777" w:rsidR="0036796C" w:rsidRDefault="0036796C" w:rsidP="0036796C">
      <w:pPr>
        <w:pStyle w:val="Heading2"/>
      </w:pPr>
      <w:bookmarkStart w:id="34" w:name="_Toc354003336"/>
      <w:r>
        <w:t>Tables</w:t>
      </w:r>
      <w:bookmarkEnd w:id="34"/>
    </w:p>
    <w:p w14:paraId="0852C1DC" w14:textId="77777777" w:rsidR="00282B2D" w:rsidRDefault="0036796C">
      <w:pPr>
        <w:sectPr w:rsidR="00282B2D" w:rsidSect="00686236">
          <w:pgSz w:w="12240" w:h="15840"/>
          <w:pgMar w:top="1440" w:right="1440" w:bottom="1440" w:left="1440" w:header="720" w:footer="720" w:gutter="0"/>
          <w:cols w:space="720"/>
          <w:docGrid w:linePitch="360"/>
        </w:sectPr>
      </w:pPr>
      <w:r>
        <w:br w:type="page"/>
      </w:r>
    </w:p>
    <w:tbl>
      <w:tblPr>
        <w:tblW w:w="11364" w:type="dxa"/>
        <w:jc w:val="center"/>
        <w:tblInd w:w="93" w:type="dxa"/>
        <w:tblLayout w:type="fixed"/>
        <w:tblLook w:val="04A0" w:firstRow="1" w:lastRow="0" w:firstColumn="1" w:lastColumn="0" w:noHBand="0" w:noVBand="1"/>
      </w:tblPr>
      <w:tblGrid>
        <w:gridCol w:w="3155"/>
        <w:gridCol w:w="1980"/>
        <w:gridCol w:w="2115"/>
        <w:gridCol w:w="2115"/>
        <w:gridCol w:w="992"/>
        <w:gridCol w:w="1007"/>
      </w:tblGrid>
      <w:tr w:rsidR="00282B2D" w:rsidRPr="00282B2D" w14:paraId="63A5760D" w14:textId="77777777" w:rsidTr="00282B2D">
        <w:trPr>
          <w:trHeight w:val="302"/>
          <w:jc w:val="center"/>
        </w:trPr>
        <w:tc>
          <w:tcPr>
            <w:tcW w:w="11364" w:type="dxa"/>
            <w:gridSpan w:val="6"/>
            <w:tcBorders>
              <w:top w:val="nil"/>
              <w:left w:val="nil"/>
              <w:bottom w:val="single" w:sz="4" w:space="0" w:color="auto"/>
              <w:right w:val="nil"/>
            </w:tcBorders>
          </w:tcPr>
          <w:p w14:paraId="69E3CFBD"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lastRenderedPageBreak/>
              <w:t>Table 3.1 Treatments, seeding rates specific to the study, and percent germination of seeds planted in overseeding trials in 2010 and 2011 in Knoxville, TN.</w:t>
            </w:r>
          </w:p>
        </w:tc>
      </w:tr>
      <w:tr w:rsidR="00282B2D" w:rsidRPr="00282B2D" w14:paraId="18D40959" w14:textId="77777777" w:rsidTr="00282B2D">
        <w:trPr>
          <w:trHeight w:val="305"/>
          <w:jc w:val="center"/>
        </w:trPr>
        <w:tc>
          <w:tcPr>
            <w:tcW w:w="3155" w:type="dxa"/>
            <w:tcBorders>
              <w:top w:val="nil"/>
              <w:left w:val="nil"/>
              <w:bottom w:val="nil"/>
              <w:right w:val="nil"/>
            </w:tcBorders>
            <w:shd w:val="clear" w:color="auto" w:fill="auto"/>
            <w:noWrap/>
            <w:vAlign w:val="bottom"/>
            <w:hideMark/>
          </w:tcPr>
          <w:p w14:paraId="5DAEBC3E"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1980" w:type="dxa"/>
            <w:tcBorders>
              <w:top w:val="nil"/>
              <w:left w:val="nil"/>
              <w:bottom w:val="nil"/>
              <w:right w:val="nil"/>
            </w:tcBorders>
            <w:shd w:val="clear" w:color="auto" w:fill="auto"/>
            <w:noWrap/>
            <w:vAlign w:val="bottom"/>
            <w:hideMark/>
          </w:tcPr>
          <w:p w14:paraId="13788977"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4230" w:type="dxa"/>
            <w:gridSpan w:val="2"/>
            <w:tcBorders>
              <w:top w:val="single" w:sz="4" w:space="0" w:color="auto"/>
              <w:left w:val="nil"/>
              <w:bottom w:val="single" w:sz="4" w:space="0" w:color="auto"/>
              <w:right w:val="nil"/>
            </w:tcBorders>
            <w:shd w:val="clear" w:color="auto" w:fill="auto"/>
            <w:noWrap/>
            <w:vAlign w:val="bottom"/>
            <w:hideMark/>
          </w:tcPr>
          <w:p w14:paraId="123E6623"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Seeding rates</w:t>
            </w:r>
            <w:r w:rsidRPr="00282B2D">
              <w:rPr>
                <w:rFonts w:ascii="Times New Roman" w:eastAsia="Times New Roman" w:hAnsi="Times New Roman" w:cs="Times New Roman"/>
                <w:b/>
                <w:color w:val="000000"/>
                <w:sz w:val="24"/>
                <w:szCs w:val="24"/>
                <w:vertAlign w:val="superscript"/>
              </w:rPr>
              <w:t>†</w:t>
            </w:r>
          </w:p>
        </w:tc>
        <w:tc>
          <w:tcPr>
            <w:tcW w:w="1999" w:type="dxa"/>
            <w:gridSpan w:val="2"/>
            <w:tcBorders>
              <w:top w:val="single" w:sz="4" w:space="0" w:color="auto"/>
              <w:left w:val="nil"/>
              <w:bottom w:val="single" w:sz="4" w:space="0" w:color="auto"/>
              <w:right w:val="nil"/>
            </w:tcBorders>
            <w:shd w:val="clear" w:color="auto" w:fill="auto"/>
            <w:noWrap/>
            <w:vAlign w:val="bottom"/>
            <w:hideMark/>
          </w:tcPr>
          <w:p w14:paraId="7EE10043"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 xml:space="preserve"> Germination</w:t>
            </w:r>
            <w:r w:rsidRPr="00282B2D">
              <w:rPr>
                <w:rFonts w:ascii="Times New Roman" w:eastAsia="Times New Roman" w:hAnsi="Times New Roman" w:cs="Times New Roman"/>
                <w:b/>
                <w:color w:val="000000"/>
                <w:sz w:val="24"/>
                <w:szCs w:val="24"/>
                <w:vertAlign w:val="superscript"/>
              </w:rPr>
              <w:t>‡</w:t>
            </w:r>
          </w:p>
        </w:tc>
      </w:tr>
      <w:tr w:rsidR="00282B2D" w:rsidRPr="00282B2D" w14:paraId="2532C111" w14:textId="77777777" w:rsidTr="00282B2D">
        <w:trPr>
          <w:trHeight w:val="305"/>
          <w:jc w:val="center"/>
        </w:trPr>
        <w:tc>
          <w:tcPr>
            <w:tcW w:w="3155" w:type="dxa"/>
            <w:tcBorders>
              <w:top w:val="nil"/>
              <w:left w:val="nil"/>
              <w:bottom w:val="single" w:sz="4" w:space="0" w:color="auto"/>
              <w:right w:val="nil"/>
            </w:tcBorders>
            <w:shd w:val="clear" w:color="auto" w:fill="auto"/>
            <w:noWrap/>
            <w:vAlign w:val="bottom"/>
            <w:hideMark/>
          </w:tcPr>
          <w:p w14:paraId="19774A51"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Species</w:t>
            </w:r>
          </w:p>
        </w:tc>
        <w:tc>
          <w:tcPr>
            <w:tcW w:w="1980" w:type="dxa"/>
            <w:tcBorders>
              <w:top w:val="nil"/>
              <w:left w:val="nil"/>
              <w:bottom w:val="single" w:sz="4" w:space="0" w:color="auto"/>
              <w:right w:val="nil"/>
            </w:tcBorders>
            <w:shd w:val="clear" w:color="auto" w:fill="auto"/>
            <w:noWrap/>
            <w:vAlign w:val="bottom"/>
            <w:hideMark/>
          </w:tcPr>
          <w:p w14:paraId="106AB4A2"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Cultivar</w:t>
            </w:r>
          </w:p>
        </w:tc>
        <w:tc>
          <w:tcPr>
            <w:tcW w:w="2115" w:type="dxa"/>
            <w:tcBorders>
              <w:top w:val="nil"/>
              <w:left w:val="nil"/>
              <w:bottom w:val="single" w:sz="4" w:space="0" w:color="auto"/>
              <w:right w:val="nil"/>
            </w:tcBorders>
            <w:shd w:val="clear" w:color="auto" w:fill="auto"/>
            <w:noWrap/>
            <w:vAlign w:val="bottom"/>
            <w:hideMark/>
          </w:tcPr>
          <w:p w14:paraId="68A06EF6"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 xml:space="preserve">Greens </w:t>
            </w:r>
          </w:p>
        </w:tc>
        <w:tc>
          <w:tcPr>
            <w:tcW w:w="2115" w:type="dxa"/>
            <w:tcBorders>
              <w:top w:val="nil"/>
              <w:left w:val="nil"/>
              <w:bottom w:val="single" w:sz="4" w:space="0" w:color="auto"/>
              <w:right w:val="nil"/>
            </w:tcBorders>
            <w:shd w:val="clear" w:color="auto" w:fill="auto"/>
            <w:noWrap/>
            <w:vAlign w:val="bottom"/>
            <w:hideMark/>
          </w:tcPr>
          <w:p w14:paraId="6DCDB17A"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Fairway &amp; Sports</w:t>
            </w:r>
          </w:p>
        </w:tc>
        <w:tc>
          <w:tcPr>
            <w:tcW w:w="992" w:type="dxa"/>
            <w:tcBorders>
              <w:top w:val="nil"/>
              <w:left w:val="nil"/>
              <w:bottom w:val="single" w:sz="4" w:space="0" w:color="auto"/>
              <w:right w:val="nil"/>
            </w:tcBorders>
            <w:shd w:val="clear" w:color="auto" w:fill="auto"/>
            <w:noWrap/>
            <w:vAlign w:val="bottom"/>
            <w:hideMark/>
          </w:tcPr>
          <w:p w14:paraId="071E748F"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2010</w:t>
            </w:r>
          </w:p>
        </w:tc>
        <w:tc>
          <w:tcPr>
            <w:tcW w:w="1007" w:type="dxa"/>
            <w:tcBorders>
              <w:top w:val="nil"/>
              <w:left w:val="nil"/>
              <w:bottom w:val="single" w:sz="4" w:space="0" w:color="auto"/>
              <w:right w:val="nil"/>
            </w:tcBorders>
            <w:shd w:val="clear" w:color="auto" w:fill="auto"/>
            <w:noWrap/>
            <w:vAlign w:val="bottom"/>
            <w:hideMark/>
          </w:tcPr>
          <w:p w14:paraId="366A4055"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2011</w:t>
            </w:r>
          </w:p>
        </w:tc>
      </w:tr>
      <w:tr w:rsidR="00282B2D" w:rsidRPr="00282B2D" w14:paraId="10BA5564" w14:textId="77777777" w:rsidTr="00282B2D">
        <w:trPr>
          <w:trHeight w:val="302"/>
          <w:jc w:val="center"/>
        </w:trPr>
        <w:tc>
          <w:tcPr>
            <w:tcW w:w="3155" w:type="dxa"/>
            <w:tcBorders>
              <w:top w:val="nil"/>
              <w:left w:val="nil"/>
              <w:bottom w:val="nil"/>
              <w:right w:val="nil"/>
            </w:tcBorders>
            <w:shd w:val="clear" w:color="auto" w:fill="auto"/>
            <w:noWrap/>
            <w:vAlign w:val="bottom"/>
            <w:hideMark/>
          </w:tcPr>
          <w:p w14:paraId="272567E5"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1980" w:type="dxa"/>
            <w:tcBorders>
              <w:top w:val="nil"/>
              <w:left w:val="nil"/>
              <w:bottom w:val="nil"/>
              <w:right w:val="nil"/>
            </w:tcBorders>
            <w:shd w:val="clear" w:color="auto" w:fill="auto"/>
            <w:noWrap/>
            <w:vAlign w:val="bottom"/>
            <w:hideMark/>
          </w:tcPr>
          <w:p w14:paraId="610F70F0"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4230" w:type="dxa"/>
            <w:gridSpan w:val="2"/>
            <w:tcBorders>
              <w:top w:val="nil"/>
              <w:left w:val="nil"/>
              <w:bottom w:val="nil"/>
              <w:right w:val="nil"/>
            </w:tcBorders>
            <w:shd w:val="clear" w:color="auto" w:fill="auto"/>
            <w:noWrap/>
            <w:vAlign w:val="bottom"/>
            <w:hideMark/>
          </w:tcPr>
          <w:p w14:paraId="286CA299"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-------------------g m</w:t>
            </w:r>
            <w:r w:rsidRPr="00282B2D">
              <w:rPr>
                <w:rFonts w:ascii="Times New Roman" w:eastAsia="Times New Roman" w:hAnsi="Times New Roman" w:cs="Times New Roman"/>
                <w:b/>
                <w:color w:val="000000"/>
                <w:sz w:val="24"/>
                <w:szCs w:val="24"/>
                <w:vertAlign w:val="superscript"/>
              </w:rPr>
              <w:t>-2</w:t>
            </w:r>
            <w:r w:rsidRPr="00282B2D">
              <w:rPr>
                <w:rFonts w:ascii="Times New Roman" w:eastAsia="Times New Roman" w:hAnsi="Times New Roman" w:cs="Times New Roman"/>
                <w:b/>
                <w:color w:val="000000"/>
                <w:sz w:val="24"/>
                <w:szCs w:val="24"/>
              </w:rPr>
              <w:t>------------------</w:t>
            </w:r>
          </w:p>
        </w:tc>
        <w:tc>
          <w:tcPr>
            <w:tcW w:w="1999" w:type="dxa"/>
            <w:gridSpan w:val="2"/>
            <w:tcBorders>
              <w:top w:val="nil"/>
              <w:left w:val="nil"/>
              <w:bottom w:val="nil"/>
              <w:right w:val="nil"/>
            </w:tcBorders>
            <w:shd w:val="clear" w:color="auto" w:fill="auto"/>
            <w:noWrap/>
            <w:vAlign w:val="bottom"/>
            <w:hideMark/>
          </w:tcPr>
          <w:p w14:paraId="6AA68146"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w:t>
            </w:r>
          </w:p>
        </w:tc>
      </w:tr>
      <w:tr w:rsidR="00282B2D" w:rsidRPr="00282B2D" w14:paraId="77E85213" w14:textId="77777777" w:rsidTr="00282B2D">
        <w:trPr>
          <w:trHeight w:val="305"/>
          <w:jc w:val="center"/>
        </w:trPr>
        <w:tc>
          <w:tcPr>
            <w:tcW w:w="3155" w:type="dxa"/>
            <w:tcBorders>
              <w:top w:val="nil"/>
              <w:left w:val="nil"/>
              <w:bottom w:val="nil"/>
              <w:right w:val="nil"/>
            </w:tcBorders>
            <w:shd w:val="clear" w:color="auto" w:fill="auto"/>
            <w:noWrap/>
            <w:vAlign w:val="bottom"/>
            <w:hideMark/>
          </w:tcPr>
          <w:p w14:paraId="576A9393" w14:textId="77777777" w:rsidR="00282B2D" w:rsidRPr="00282B2D" w:rsidRDefault="00282B2D" w:rsidP="00282B2D">
            <w:pPr>
              <w:spacing w:after="0" w:line="240" w:lineRule="auto"/>
              <w:rPr>
                <w:rFonts w:ascii="Times New Roman" w:eastAsia="Times New Roman" w:hAnsi="Times New Roman" w:cs="Times New Roman"/>
                <w:b/>
                <w:i/>
                <w:color w:val="000000"/>
                <w:sz w:val="24"/>
                <w:szCs w:val="24"/>
              </w:rPr>
            </w:pPr>
            <w:r w:rsidRPr="00282B2D">
              <w:rPr>
                <w:rFonts w:ascii="Times New Roman" w:eastAsia="Times New Roman" w:hAnsi="Times New Roman" w:cs="Times New Roman"/>
                <w:b/>
                <w:i/>
                <w:color w:val="000000"/>
                <w:sz w:val="24"/>
                <w:szCs w:val="24"/>
              </w:rPr>
              <w:t>Lolium multiflorum</w:t>
            </w:r>
          </w:p>
        </w:tc>
        <w:tc>
          <w:tcPr>
            <w:tcW w:w="1980" w:type="dxa"/>
            <w:tcBorders>
              <w:top w:val="nil"/>
              <w:left w:val="nil"/>
              <w:bottom w:val="nil"/>
              <w:right w:val="nil"/>
            </w:tcBorders>
            <w:shd w:val="clear" w:color="auto" w:fill="auto"/>
            <w:noWrap/>
            <w:vAlign w:val="bottom"/>
            <w:hideMark/>
          </w:tcPr>
          <w:p w14:paraId="2EAC5BB9"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Gulf</w:t>
            </w:r>
          </w:p>
        </w:tc>
        <w:tc>
          <w:tcPr>
            <w:tcW w:w="2115" w:type="dxa"/>
            <w:tcBorders>
              <w:top w:val="nil"/>
              <w:left w:val="nil"/>
              <w:bottom w:val="nil"/>
              <w:right w:val="nil"/>
            </w:tcBorders>
            <w:shd w:val="clear" w:color="auto" w:fill="auto"/>
            <w:noWrap/>
            <w:vAlign w:val="bottom"/>
            <w:hideMark/>
          </w:tcPr>
          <w:p w14:paraId="2547A293"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w:t>
            </w:r>
          </w:p>
        </w:tc>
        <w:tc>
          <w:tcPr>
            <w:tcW w:w="2115" w:type="dxa"/>
            <w:tcBorders>
              <w:top w:val="nil"/>
              <w:left w:val="nil"/>
              <w:bottom w:val="nil"/>
              <w:right w:val="nil"/>
            </w:tcBorders>
            <w:shd w:val="clear" w:color="auto" w:fill="auto"/>
            <w:noWrap/>
            <w:vAlign w:val="bottom"/>
            <w:hideMark/>
          </w:tcPr>
          <w:p w14:paraId="48349720"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68</w:t>
            </w:r>
          </w:p>
        </w:tc>
        <w:tc>
          <w:tcPr>
            <w:tcW w:w="992" w:type="dxa"/>
            <w:tcBorders>
              <w:top w:val="nil"/>
              <w:left w:val="nil"/>
              <w:bottom w:val="nil"/>
              <w:right w:val="nil"/>
            </w:tcBorders>
            <w:shd w:val="clear" w:color="auto" w:fill="auto"/>
            <w:noWrap/>
            <w:vAlign w:val="bottom"/>
            <w:hideMark/>
          </w:tcPr>
          <w:p w14:paraId="24968988"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96</w:t>
            </w:r>
          </w:p>
        </w:tc>
        <w:tc>
          <w:tcPr>
            <w:tcW w:w="1007" w:type="dxa"/>
            <w:tcBorders>
              <w:top w:val="nil"/>
              <w:left w:val="nil"/>
              <w:bottom w:val="nil"/>
              <w:right w:val="nil"/>
            </w:tcBorders>
            <w:shd w:val="clear" w:color="auto" w:fill="auto"/>
            <w:noWrap/>
            <w:vAlign w:val="bottom"/>
            <w:hideMark/>
          </w:tcPr>
          <w:p w14:paraId="3E26F741"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97</w:t>
            </w:r>
          </w:p>
        </w:tc>
      </w:tr>
      <w:tr w:rsidR="00282B2D" w:rsidRPr="00282B2D" w14:paraId="03FB1783" w14:textId="77777777" w:rsidTr="00282B2D">
        <w:trPr>
          <w:trHeight w:val="305"/>
          <w:jc w:val="center"/>
        </w:trPr>
        <w:tc>
          <w:tcPr>
            <w:tcW w:w="3155" w:type="dxa"/>
            <w:tcBorders>
              <w:top w:val="nil"/>
              <w:left w:val="nil"/>
              <w:bottom w:val="nil"/>
              <w:right w:val="nil"/>
            </w:tcBorders>
            <w:shd w:val="clear" w:color="auto" w:fill="auto"/>
            <w:noWrap/>
            <w:vAlign w:val="bottom"/>
            <w:hideMark/>
          </w:tcPr>
          <w:p w14:paraId="26A19E76"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i/>
                <w:color w:val="000000"/>
                <w:sz w:val="24"/>
                <w:szCs w:val="24"/>
              </w:rPr>
              <w:t>L. perenne</w:t>
            </w:r>
            <w:r w:rsidRPr="00282B2D">
              <w:rPr>
                <w:rFonts w:ascii="Times New Roman" w:eastAsia="Times New Roman" w:hAnsi="Times New Roman" w:cs="Times New Roman"/>
                <w:b/>
                <w:color w:val="000000"/>
                <w:sz w:val="24"/>
                <w:szCs w:val="24"/>
              </w:rPr>
              <w:t xml:space="preserve"> × </w:t>
            </w:r>
            <w:r w:rsidRPr="00282B2D">
              <w:rPr>
                <w:rFonts w:ascii="Times New Roman" w:eastAsia="Times New Roman" w:hAnsi="Times New Roman" w:cs="Times New Roman"/>
                <w:b/>
                <w:i/>
                <w:color w:val="000000"/>
                <w:sz w:val="24"/>
                <w:szCs w:val="24"/>
              </w:rPr>
              <w:t>L. multiflorum</w:t>
            </w:r>
          </w:p>
        </w:tc>
        <w:tc>
          <w:tcPr>
            <w:tcW w:w="1980" w:type="dxa"/>
            <w:tcBorders>
              <w:top w:val="nil"/>
              <w:left w:val="nil"/>
              <w:bottom w:val="nil"/>
              <w:right w:val="nil"/>
            </w:tcBorders>
            <w:shd w:val="clear" w:color="auto" w:fill="auto"/>
            <w:noWrap/>
            <w:vAlign w:val="bottom"/>
            <w:hideMark/>
          </w:tcPr>
          <w:p w14:paraId="2148DC93"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Transcend</w:t>
            </w:r>
          </w:p>
        </w:tc>
        <w:tc>
          <w:tcPr>
            <w:tcW w:w="2115" w:type="dxa"/>
            <w:tcBorders>
              <w:top w:val="nil"/>
              <w:left w:val="nil"/>
              <w:bottom w:val="nil"/>
              <w:right w:val="nil"/>
            </w:tcBorders>
            <w:shd w:val="clear" w:color="auto" w:fill="auto"/>
            <w:noWrap/>
            <w:vAlign w:val="bottom"/>
            <w:hideMark/>
          </w:tcPr>
          <w:p w14:paraId="0342C6BA"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w:t>
            </w:r>
          </w:p>
        </w:tc>
        <w:tc>
          <w:tcPr>
            <w:tcW w:w="2115" w:type="dxa"/>
            <w:tcBorders>
              <w:top w:val="nil"/>
              <w:left w:val="nil"/>
              <w:bottom w:val="nil"/>
              <w:right w:val="nil"/>
            </w:tcBorders>
            <w:shd w:val="clear" w:color="auto" w:fill="auto"/>
            <w:noWrap/>
            <w:vAlign w:val="bottom"/>
            <w:hideMark/>
          </w:tcPr>
          <w:p w14:paraId="33CE8073"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63</w:t>
            </w:r>
          </w:p>
        </w:tc>
        <w:tc>
          <w:tcPr>
            <w:tcW w:w="992" w:type="dxa"/>
            <w:tcBorders>
              <w:top w:val="nil"/>
              <w:left w:val="nil"/>
              <w:bottom w:val="nil"/>
              <w:right w:val="nil"/>
            </w:tcBorders>
            <w:shd w:val="clear" w:color="auto" w:fill="auto"/>
            <w:noWrap/>
            <w:vAlign w:val="bottom"/>
            <w:hideMark/>
          </w:tcPr>
          <w:p w14:paraId="14227C1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96</w:t>
            </w:r>
          </w:p>
        </w:tc>
        <w:tc>
          <w:tcPr>
            <w:tcW w:w="1007" w:type="dxa"/>
            <w:tcBorders>
              <w:top w:val="nil"/>
              <w:left w:val="nil"/>
              <w:bottom w:val="nil"/>
              <w:right w:val="nil"/>
            </w:tcBorders>
            <w:shd w:val="clear" w:color="auto" w:fill="auto"/>
            <w:noWrap/>
            <w:vAlign w:val="bottom"/>
            <w:hideMark/>
          </w:tcPr>
          <w:p w14:paraId="09FE832D"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96</w:t>
            </w:r>
          </w:p>
        </w:tc>
      </w:tr>
      <w:tr w:rsidR="00282B2D" w:rsidRPr="00282B2D" w14:paraId="51C168A4" w14:textId="77777777" w:rsidTr="00282B2D">
        <w:trPr>
          <w:trHeight w:val="305"/>
          <w:jc w:val="center"/>
        </w:trPr>
        <w:tc>
          <w:tcPr>
            <w:tcW w:w="3155" w:type="dxa"/>
            <w:tcBorders>
              <w:top w:val="nil"/>
              <w:left w:val="nil"/>
              <w:bottom w:val="nil"/>
              <w:right w:val="nil"/>
            </w:tcBorders>
            <w:shd w:val="clear" w:color="auto" w:fill="auto"/>
            <w:noWrap/>
            <w:vAlign w:val="bottom"/>
            <w:hideMark/>
          </w:tcPr>
          <w:p w14:paraId="52C1BEFA" w14:textId="77777777" w:rsidR="00282B2D" w:rsidRPr="00282B2D" w:rsidRDefault="00282B2D" w:rsidP="00282B2D">
            <w:pPr>
              <w:spacing w:after="0" w:line="240" w:lineRule="auto"/>
              <w:rPr>
                <w:rFonts w:ascii="Times New Roman" w:eastAsia="Times New Roman" w:hAnsi="Times New Roman" w:cs="Times New Roman"/>
                <w:b/>
                <w:i/>
                <w:color w:val="000000"/>
                <w:sz w:val="24"/>
                <w:szCs w:val="24"/>
              </w:rPr>
            </w:pPr>
            <w:r w:rsidRPr="00282B2D">
              <w:rPr>
                <w:rFonts w:ascii="Times New Roman" w:eastAsia="Times New Roman" w:hAnsi="Times New Roman" w:cs="Times New Roman"/>
                <w:b/>
                <w:i/>
                <w:color w:val="000000"/>
                <w:sz w:val="24"/>
                <w:szCs w:val="24"/>
              </w:rPr>
              <w:t>L. perenne</w:t>
            </w:r>
          </w:p>
        </w:tc>
        <w:tc>
          <w:tcPr>
            <w:tcW w:w="1980" w:type="dxa"/>
            <w:tcBorders>
              <w:top w:val="nil"/>
              <w:left w:val="nil"/>
              <w:bottom w:val="nil"/>
              <w:right w:val="nil"/>
            </w:tcBorders>
            <w:shd w:val="clear" w:color="auto" w:fill="auto"/>
            <w:noWrap/>
            <w:vAlign w:val="bottom"/>
            <w:hideMark/>
          </w:tcPr>
          <w:p w14:paraId="6DC8541C"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Champion GQ</w:t>
            </w:r>
            <w:r w:rsidRPr="00282B2D">
              <w:rPr>
                <w:rFonts w:ascii="Times New Roman" w:eastAsia="Times New Roman" w:hAnsi="Times New Roman" w:cs="Times New Roman"/>
                <w:b/>
                <w:color w:val="000000"/>
                <w:sz w:val="24"/>
                <w:szCs w:val="24"/>
                <w:vertAlign w:val="superscript"/>
              </w:rPr>
              <w:t>§</w:t>
            </w:r>
          </w:p>
        </w:tc>
        <w:tc>
          <w:tcPr>
            <w:tcW w:w="2115" w:type="dxa"/>
            <w:tcBorders>
              <w:top w:val="nil"/>
              <w:left w:val="nil"/>
              <w:bottom w:val="nil"/>
              <w:right w:val="nil"/>
            </w:tcBorders>
            <w:shd w:val="clear" w:color="auto" w:fill="auto"/>
            <w:noWrap/>
            <w:vAlign w:val="bottom"/>
            <w:hideMark/>
          </w:tcPr>
          <w:p w14:paraId="394FA777"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146</w:t>
            </w:r>
          </w:p>
        </w:tc>
        <w:tc>
          <w:tcPr>
            <w:tcW w:w="2115" w:type="dxa"/>
            <w:tcBorders>
              <w:top w:val="nil"/>
              <w:left w:val="nil"/>
              <w:bottom w:val="nil"/>
              <w:right w:val="nil"/>
            </w:tcBorders>
            <w:shd w:val="clear" w:color="auto" w:fill="auto"/>
            <w:noWrap/>
            <w:vAlign w:val="bottom"/>
            <w:hideMark/>
          </w:tcPr>
          <w:p w14:paraId="3FD84C48"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44</w:t>
            </w:r>
          </w:p>
        </w:tc>
        <w:tc>
          <w:tcPr>
            <w:tcW w:w="992" w:type="dxa"/>
            <w:tcBorders>
              <w:top w:val="nil"/>
              <w:left w:val="nil"/>
              <w:bottom w:val="nil"/>
              <w:right w:val="nil"/>
            </w:tcBorders>
            <w:shd w:val="clear" w:color="auto" w:fill="auto"/>
            <w:noWrap/>
            <w:vAlign w:val="bottom"/>
            <w:hideMark/>
          </w:tcPr>
          <w:p w14:paraId="67F34E01"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89</w:t>
            </w:r>
          </w:p>
        </w:tc>
        <w:tc>
          <w:tcPr>
            <w:tcW w:w="1007" w:type="dxa"/>
            <w:tcBorders>
              <w:top w:val="nil"/>
              <w:left w:val="nil"/>
              <w:bottom w:val="nil"/>
              <w:right w:val="nil"/>
            </w:tcBorders>
            <w:shd w:val="clear" w:color="auto" w:fill="auto"/>
            <w:noWrap/>
            <w:vAlign w:val="bottom"/>
            <w:hideMark/>
          </w:tcPr>
          <w:p w14:paraId="7C04731F"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94</w:t>
            </w:r>
          </w:p>
        </w:tc>
      </w:tr>
      <w:tr w:rsidR="00282B2D" w:rsidRPr="00282B2D" w14:paraId="15A75918" w14:textId="77777777" w:rsidTr="00282B2D">
        <w:trPr>
          <w:trHeight w:val="305"/>
          <w:jc w:val="center"/>
        </w:trPr>
        <w:tc>
          <w:tcPr>
            <w:tcW w:w="3155" w:type="dxa"/>
            <w:tcBorders>
              <w:top w:val="nil"/>
              <w:left w:val="nil"/>
              <w:bottom w:val="nil"/>
              <w:right w:val="nil"/>
            </w:tcBorders>
            <w:shd w:val="clear" w:color="auto" w:fill="auto"/>
            <w:noWrap/>
            <w:vAlign w:val="bottom"/>
            <w:hideMark/>
          </w:tcPr>
          <w:p w14:paraId="03D84980" w14:textId="77777777" w:rsidR="00282B2D" w:rsidRPr="00282B2D" w:rsidRDefault="00282B2D" w:rsidP="00282B2D">
            <w:pPr>
              <w:spacing w:after="0" w:line="240" w:lineRule="auto"/>
              <w:rPr>
                <w:rFonts w:ascii="Times New Roman" w:eastAsia="Times New Roman" w:hAnsi="Times New Roman" w:cs="Times New Roman"/>
                <w:b/>
                <w:i/>
                <w:color w:val="000000"/>
                <w:sz w:val="24"/>
                <w:szCs w:val="24"/>
              </w:rPr>
            </w:pPr>
            <w:r w:rsidRPr="00282B2D">
              <w:rPr>
                <w:rFonts w:ascii="Times New Roman" w:eastAsia="Times New Roman" w:hAnsi="Times New Roman" w:cs="Times New Roman"/>
                <w:b/>
                <w:i/>
                <w:color w:val="000000"/>
                <w:sz w:val="24"/>
                <w:szCs w:val="24"/>
              </w:rPr>
              <w:t>Poa nemoralis</w:t>
            </w:r>
          </w:p>
        </w:tc>
        <w:tc>
          <w:tcPr>
            <w:tcW w:w="1980" w:type="dxa"/>
            <w:tcBorders>
              <w:top w:val="nil"/>
              <w:left w:val="nil"/>
              <w:bottom w:val="nil"/>
              <w:right w:val="nil"/>
            </w:tcBorders>
            <w:shd w:val="clear" w:color="auto" w:fill="auto"/>
            <w:noWrap/>
            <w:vAlign w:val="bottom"/>
            <w:hideMark/>
          </w:tcPr>
          <w:p w14:paraId="1B8878E3"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SRX 2NEM</w:t>
            </w:r>
          </w:p>
        </w:tc>
        <w:tc>
          <w:tcPr>
            <w:tcW w:w="2115" w:type="dxa"/>
            <w:tcBorders>
              <w:top w:val="nil"/>
              <w:left w:val="nil"/>
              <w:bottom w:val="nil"/>
              <w:right w:val="nil"/>
            </w:tcBorders>
            <w:shd w:val="clear" w:color="auto" w:fill="auto"/>
            <w:noWrap/>
            <w:vAlign w:val="bottom"/>
            <w:hideMark/>
          </w:tcPr>
          <w:p w14:paraId="5D925795"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54</w:t>
            </w:r>
          </w:p>
        </w:tc>
        <w:tc>
          <w:tcPr>
            <w:tcW w:w="2115" w:type="dxa"/>
            <w:tcBorders>
              <w:top w:val="nil"/>
              <w:left w:val="nil"/>
              <w:bottom w:val="nil"/>
              <w:right w:val="nil"/>
            </w:tcBorders>
            <w:shd w:val="clear" w:color="auto" w:fill="auto"/>
            <w:noWrap/>
            <w:vAlign w:val="bottom"/>
            <w:hideMark/>
          </w:tcPr>
          <w:p w14:paraId="5236D508"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15</w:t>
            </w:r>
          </w:p>
        </w:tc>
        <w:tc>
          <w:tcPr>
            <w:tcW w:w="992" w:type="dxa"/>
            <w:tcBorders>
              <w:top w:val="nil"/>
              <w:left w:val="nil"/>
              <w:bottom w:val="nil"/>
              <w:right w:val="nil"/>
            </w:tcBorders>
            <w:shd w:val="clear" w:color="auto" w:fill="auto"/>
            <w:noWrap/>
            <w:vAlign w:val="bottom"/>
            <w:hideMark/>
          </w:tcPr>
          <w:p w14:paraId="1C976EF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63</w:t>
            </w:r>
          </w:p>
        </w:tc>
        <w:tc>
          <w:tcPr>
            <w:tcW w:w="1007" w:type="dxa"/>
            <w:tcBorders>
              <w:top w:val="nil"/>
              <w:left w:val="nil"/>
              <w:bottom w:val="nil"/>
              <w:right w:val="nil"/>
            </w:tcBorders>
            <w:shd w:val="clear" w:color="auto" w:fill="auto"/>
            <w:noWrap/>
            <w:vAlign w:val="bottom"/>
            <w:hideMark/>
          </w:tcPr>
          <w:p w14:paraId="788807FC"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39</w:t>
            </w:r>
          </w:p>
        </w:tc>
      </w:tr>
      <w:tr w:rsidR="00282B2D" w:rsidRPr="00282B2D" w14:paraId="5381BA91" w14:textId="77777777" w:rsidTr="00282B2D">
        <w:trPr>
          <w:trHeight w:val="305"/>
          <w:jc w:val="center"/>
        </w:trPr>
        <w:tc>
          <w:tcPr>
            <w:tcW w:w="3155" w:type="dxa"/>
            <w:tcBorders>
              <w:top w:val="nil"/>
              <w:left w:val="nil"/>
              <w:bottom w:val="nil"/>
              <w:right w:val="nil"/>
            </w:tcBorders>
            <w:shd w:val="clear" w:color="auto" w:fill="auto"/>
            <w:noWrap/>
            <w:vAlign w:val="bottom"/>
            <w:hideMark/>
          </w:tcPr>
          <w:p w14:paraId="50119BA6" w14:textId="77777777" w:rsidR="00282B2D" w:rsidRPr="00282B2D" w:rsidRDefault="00282B2D" w:rsidP="00282B2D">
            <w:pPr>
              <w:spacing w:after="0" w:line="240" w:lineRule="auto"/>
              <w:rPr>
                <w:rFonts w:ascii="Times New Roman" w:eastAsia="Times New Roman" w:hAnsi="Times New Roman" w:cs="Times New Roman"/>
                <w:b/>
                <w:i/>
                <w:color w:val="000000"/>
                <w:sz w:val="24"/>
                <w:szCs w:val="24"/>
              </w:rPr>
            </w:pPr>
            <w:r w:rsidRPr="00282B2D">
              <w:rPr>
                <w:rFonts w:ascii="Times New Roman" w:eastAsia="Times New Roman" w:hAnsi="Times New Roman" w:cs="Times New Roman"/>
                <w:b/>
                <w:i/>
                <w:color w:val="000000"/>
                <w:sz w:val="24"/>
                <w:szCs w:val="24"/>
              </w:rPr>
              <w:t>P. supina</w:t>
            </w:r>
          </w:p>
        </w:tc>
        <w:tc>
          <w:tcPr>
            <w:tcW w:w="1980" w:type="dxa"/>
            <w:tcBorders>
              <w:top w:val="nil"/>
              <w:left w:val="nil"/>
              <w:bottom w:val="nil"/>
              <w:right w:val="nil"/>
            </w:tcBorders>
            <w:shd w:val="clear" w:color="auto" w:fill="auto"/>
            <w:noWrap/>
            <w:vAlign w:val="bottom"/>
            <w:hideMark/>
          </w:tcPr>
          <w:p w14:paraId="4E8D1668"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Supranova</w:t>
            </w:r>
          </w:p>
        </w:tc>
        <w:tc>
          <w:tcPr>
            <w:tcW w:w="2115" w:type="dxa"/>
            <w:tcBorders>
              <w:top w:val="nil"/>
              <w:left w:val="nil"/>
              <w:bottom w:val="nil"/>
              <w:right w:val="nil"/>
            </w:tcBorders>
            <w:shd w:val="clear" w:color="auto" w:fill="auto"/>
            <w:noWrap/>
            <w:vAlign w:val="bottom"/>
            <w:hideMark/>
          </w:tcPr>
          <w:p w14:paraId="15A16B3A"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39</w:t>
            </w:r>
          </w:p>
        </w:tc>
        <w:tc>
          <w:tcPr>
            <w:tcW w:w="2115" w:type="dxa"/>
            <w:tcBorders>
              <w:top w:val="nil"/>
              <w:left w:val="nil"/>
              <w:bottom w:val="nil"/>
              <w:right w:val="nil"/>
            </w:tcBorders>
            <w:shd w:val="clear" w:color="auto" w:fill="auto"/>
            <w:noWrap/>
            <w:vAlign w:val="bottom"/>
            <w:hideMark/>
          </w:tcPr>
          <w:p w14:paraId="6C9B429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w:t>
            </w:r>
          </w:p>
        </w:tc>
        <w:tc>
          <w:tcPr>
            <w:tcW w:w="992" w:type="dxa"/>
            <w:tcBorders>
              <w:top w:val="nil"/>
              <w:left w:val="nil"/>
              <w:bottom w:val="nil"/>
              <w:right w:val="nil"/>
            </w:tcBorders>
            <w:shd w:val="clear" w:color="auto" w:fill="auto"/>
            <w:noWrap/>
            <w:vAlign w:val="bottom"/>
            <w:hideMark/>
          </w:tcPr>
          <w:p w14:paraId="1B55C537"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50</w:t>
            </w:r>
          </w:p>
        </w:tc>
        <w:tc>
          <w:tcPr>
            <w:tcW w:w="1007" w:type="dxa"/>
            <w:tcBorders>
              <w:top w:val="nil"/>
              <w:left w:val="nil"/>
              <w:bottom w:val="nil"/>
              <w:right w:val="nil"/>
            </w:tcBorders>
            <w:shd w:val="clear" w:color="auto" w:fill="auto"/>
            <w:noWrap/>
            <w:vAlign w:val="bottom"/>
            <w:hideMark/>
          </w:tcPr>
          <w:p w14:paraId="447B914B"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78</w:t>
            </w:r>
          </w:p>
        </w:tc>
      </w:tr>
      <w:tr w:rsidR="00282B2D" w:rsidRPr="00282B2D" w14:paraId="135143FB" w14:textId="77777777" w:rsidTr="00282B2D">
        <w:trPr>
          <w:trHeight w:val="305"/>
          <w:jc w:val="center"/>
        </w:trPr>
        <w:tc>
          <w:tcPr>
            <w:tcW w:w="3155" w:type="dxa"/>
            <w:tcBorders>
              <w:top w:val="nil"/>
              <w:left w:val="nil"/>
              <w:bottom w:val="single" w:sz="4" w:space="0" w:color="auto"/>
              <w:right w:val="nil"/>
            </w:tcBorders>
            <w:shd w:val="clear" w:color="auto" w:fill="auto"/>
            <w:noWrap/>
            <w:vAlign w:val="bottom"/>
            <w:hideMark/>
          </w:tcPr>
          <w:p w14:paraId="32DF4217" w14:textId="77777777" w:rsidR="00282B2D" w:rsidRPr="00282B2D" w:rsidRDefault="00282B2D" w:rsidP="00282B2D">
            <w:pPr>
              <w:spacing w:after="0" w:line="240" w:lineRule="auto"/>
              <w:rPr>
                <w:rFonts w:ascii="Times New Roman" w:eastAsia="Times New Roman" w:hAnsi="Times New Roman" w:cs="Times New Roman"/>
                <w:b/>
                <w:i/>
                <w:color w:val="000000"/>
                <w:sz w:val="24"/>
                <w:szCs w:val="24"/>
              </w:rPr>
            </w:pPr>
            <w:r w:rsidRPr="00282B2D">
              <w:rPr>
                <w:rFonts w:ascii="Times New Roman" w:eastAsia="Times New Roman" w:hAnsi="Times New Roman" w:cs="Times New Roman"/>
                <w:b/>
                <w:i/>
                <w:color w:val="000000"/>
                <w:sz w:val="24"/>
                <w:szCs w:val="24"/>
              </w:rPr>
              <w:t>P. trivialis</w:t>
            </w:r>
          </w:p>
        </w:tc>
        <w:tc>
          <w:tcPr>
            <w:tcW w:w="1980" w:type="dxa"/>
            <w:tcBorders>
              <w:top w:val="nil"/>
              <w:left w:val="nil"/>
              <w:bottom w:val="single" w:sz="4" w:space="0" w:color="auto"/>
              <w:right w:val="nil"/>
            </w:tcBorders>
            <w:shd w:val="clear" w:color="auto" w:fill="auto"/>
            <w:noWrap/>
            <w:vAlign w:val="bottom"/>
            <w:hideMark/>
          </w:tcPr>
          <w:p w14:paraId="39F73809"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Quasar</w:t>
            </w:r>
          </w:p>
        </w:tc>
        <w:tc>
          <w:tcPr>
            <w:tcW w:w="2115" w:type="dxa"/>
            <w:tcBorders>
              <w:top w:val="nil"/>
              <w:left w:val="nil"/>
              <w:bottom w:val="single" w:sz="4" w:space="0" w:color="auto"/>
              <w:right w:val="nil"/>
            </w:tcBorders>
            <w:shd w:val="clear" w:color="auto" w:fill="auto"/>
            <w:noWrap/>
            <w:vAlign w:val="bottom"/>
            <w:hideMark/>
          </w:tcPr>
          <w:p w14:paraId="5C2D7647"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39</w:t>
            </w:r>
          </w:p>
        </w:tc>
        <w:tc>
          <w:tcPr>
            <w:tcW w:w="2115" w:type="dxa"/>
            <w:tcBorders>
              <w:top w:val="nil"/>
              <w:left w:val="nil"/>
              <w:bottom w:val="single" w:sz="4" w:space="0" w:color="auto"/>
              <w:right w:val="nil"/>
            </w:tcBorders>
            <w:shd w:val="clear" w:color="auto" w:fill="auto"/>
            <w:noWrap/>
            <w:vAlign w:val="bottom"/>
            <w:hideMark/>
          </w:tcPr>
          <w:p w14:paraId="571F66CC"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10</w:t>
            </w:r>
          </w:p>
        </w:tc>
        <w:tc>
          <w:tcPr>
            <w:tcW w:w="992" w:type="dxa"/>
            <w:tcBorders>
              <w:top w:val="nil"/>
              <w:left w:val="nil"/>
              <w:bottom w:val="single" w:sz="4" w:space="0" w:color="auto"/>
              <w:right w:val="nil"/>
            </w:tcBorders>
            <w:shd w:val="clear" w:color="auto" w:fill="auto"/>
            <w:noWrap/>
            <w:vAlign w:val="bottom"/>
            <w:hideMark/>
          </w:tcPr>
          <w:p w14:paraId="6AB77440"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91</w:t>
            </w:r>
          </w:p>
        </w:tc>
        <w:tc>
          <w:tcPr>
            <w:tcW w:w="1007" w:type="dxa"/>
            <w:tcBorders>
              <w:top w:val="nil"/>
              <w:left w:val="nil"/>
              <w:bottom w:val="single" w:sz="4" w:space="0" w:color="auto"/>
              <w:right w:val="nil"/>
            </w:tcBorders>
            <w:shd w:val="clear" w:color="auto" w:fill="auto"/>
            <w:noWrap/>
            <w:vAlign w:val="bottom"/>
            <w:hideMark/>
          </w:tcPr>
          <w:p w14:paraId="1AF3BAC8"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95</w:t>
            </w:r>
          </w:p>
        </w:tc>
      </w:tr>
      <w:tr w:rsidR="00282B2D" w:rsidRPr="00282B2D" w14:paraId="713D257B" w14:textId="77777777" w:rsidTr="00282B2D">
        <w:trPr>
          <w:trHeight w:val="305"/>
          <w:jc w:val="center"/>
        </w:trPr>
        <w:tc>
          <w:tcPr>
            <w:tcW w:w="3155" w:type="dxa"/>
            <w:tcBorders>
              <w:top w:val="nil"/>
              <w:left w:val="nil"/>
              <w:bottom w:val="single" w:sz="4" w:space="0" w:color="auto"/>
              <w:right w:val="nil"/>
            </w:tcBorders>
            <w:shd w:val="clear" w:color="auto" w:fill="auto"/>
            <w:noWrap/>
            <w:vAlign w:val="bottom"/>
            <w:hideMark/>
          </w:tcPr>
          <w:p w14:paraId="2FA9A5F0"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 </w:t>
            </w:r>
          </w:p>
        </w:tc>
        <w:tc>
          <w:tcPr>
            <w:tcW w:w="1980" w:type="dxa"/>
            <w:tcBorders>
              <w:top w:val="nil"/>
              <w:left w:val="nil"/>
              <w:bottom w:val="single" w:sz="4" w:space="0" w:color="auto"/>
              <w:right w:val="nil"/>
            </w:tcBorders>
            <w:shd w:val="clear" w:color="auto" w:fill="auto"/>
            <w:noWrap/>
            <w:vAlign w:val="bottom"/>
            <w:hideMark/>
          </w:tcPr>
          <w:p w14:paraId="1A4FB30B"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 </w:t>
            </w:r>
          </w:p>
        </w:tc>
        <w:tc>
          <w:tcPr>
            <w:tcW w:w="2115" w:type="dxa"/>
            <w:tcBorders>
              <w:top w:val="nil"/>
              <w:left w:val="nil"/>
              <w:bottom w:val="single" w:sz="4" w:space="0" w:color="auto"/>
              <w:right w:val="nil"/>
            </w:tcBorders>
            <w:shd w:val="clear" w:color="auto" w:fill="auto"/>
            <w:noWrap/>
            <w:vAlign w:val="bottom"/>
            <w:hideMark/>
          </w:tcPr>
          <w:p w14:paraId="7E947214"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 </w:t>
            </w:r>
          </w:p>
        </w:tc>
        <w:tc>
          <w:tcPr>
            <w:tcW w:w="2115" w:type="dxa"/>
            <w:tcBorders>
              <w:top w:val="nil"/>
              <w:left w:val="nil"/>
              <w:bottom w:val="single" w:sz="4" w:space="0" w:color="auto"/>
              <w:right w:val="nil"/>
            </w:tcBorders>
            <w:shd w:val="clear" w:color="auto" w:fill="auto"/>
            <w:noWrap/>
            <w:vAlign w:val="bottom"/>
            <w:hideMark/>
          </w:tcPr>
          <w:p w14:paraId="1FE9553D"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 </w:t>
            </w:r>
          </w:p>
        </w:tc>
        <w:tc>
          <w:tcPr>
            <w:tcW w:w="1999" w:type="dxa"/>
            <w:gridSpan w:val="2"/>
            <w:tcBorders>
              <w:top w:val="single" w:sz="4" w:space="0" w:color="auto"/>
              <w:left w:val="nil"/>
              <w:bottom w:val="single" w:sz="4" w:space="0" w:color="auto"/>
            </w:tcBorders>
            <w:shd w:val="clear" w:color="auto" w:fill="auto"/>
            <w:noWrap/>
            <w:vAlign w:val="bottom"/>
            <w:hideMark/>
          </w:tcPr>
          <w:p w14:paraId="5577D54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LSD (0.05) 10.3</w:t>
            </w:r>
          </w:p>
        </w:tc>
      </w:tr>
      <w:tr w:rsidR="00282B2D" w:rsidRPr="00282B2D" w14:paraId="47FBDC51" w14:textId="77777777" w:rsidTr="00282B2D">
        <w:trPr>
          <w:trHeight w:val="305"/>
          <w:jc w:val="center"/>
        </w:trPr>
        <w:tc>
          <w:tcPr>
            <w:tcW w:w="11364" w:type="dxa"/>
            <w:gridSpan w:val="6"/>
            <w:tcBorders>
              <w:top w:val="single" w:sz="4" w:space="0" w:color="auto"/>
              <w:left w:val="nil"/>
              <w:right w:val="nil"/>
            </w:tcBorders>
            <w:shd w:val="clear" w:color="auto" w:fill="auto"/>
            <w:noWrap/>
            <w:vAlign w:val="bottom"/>
            <w:hideMark/>
          </w:tcPr>
          <w:p w14:paraId="51D3DE16"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vertAlign w:val="superscript"/>
              </w:rPr>
              <w:t xml:space="preserve">† </w:t>
            </w:r>
            <w:r w:rsidRPr="00282B2D">
              <w:rPr>
                <w:rFonts w:ascii="Times New Roman" w:eastAsia="Times New Roman" w:hAnsi="Times New Roman" w:cs="Times New Roman"/>
                <w:b/>
                <w:color w:val="000000"/>
                <w:sz w:val="24"/>
                <w:szCs w:val="24"/>
              </w:rPr>
              <w:t>Seeding rates adopted from previous literature with pure live seed calculations using the label analysis.</w:t>
            </w:r>
          </w:p>
        </w:tc>
      </w:tr>
      <w:tr w:rsidR="00282B2D" w:rsidRPr="00282B2D" w14:paraId="4171D80F" w14:textId="77777777" w:rsidTr="00282B2D">
        <w:trPr>
          <w:trHeight w:val="305"/>
          <w:jc w:val="center"/>
        </w:trPr>
        <w:tc>
          <w:tcPr>
            <w:tcW w:w="11364" w:type="dxa"/>
            <w:gridSpan w:val="6"/>
            <w:tcBorders>
              <w:left w:val="nil"/>
              <w:right w:val="nil"/>
            </w:tcBorders>
            <w:shd w:val="clear" w:color="auto" w:fill="auto"/>
            <w:noWrap/>
            <w:vAlign w:val="bottom"/>
          </w:tcPr>
          <w:p w14:paraId="243FDF9A"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vertAlign w:val="superscript"/>
              </w:rPr>
              <w:t>‡</w:t>
            </w:r>
            <w:r w:rsidRPr="00282B2D">
              <w:rPr>
                <w:rFonts w:ascii="Times New Roman" w:eastAsia="Times New Roman" w:hAnsi="Times New Roman" w:cs="Times New Roman"/>
                <w:b/>
                <w:color w:val="000000"/>
                <w:sz w:val="24"/>
                <w:szCs w:val="24"/>
              </w:rPr>
              <w:t xml:space="preserve"> Germination refers to results from in house tests conducted in the December following establishment in both years.</w:t>
            </w:r>
          </w:p>
        </w:tc>
      </w:tr>
      <w:tr w:rsidR="00282B2D" w:rsidRPr="00282B2D" w14:paraId="43417FC6" w14:textId="77777777" w:rsidTr="00282B2D">
        <w:trPr>
          <w:trHeight w:val="305"/>
          <w:jc w:val="center"/>
        </w:trPr>
        <w:tc>
          <w:tcPr>
            <w:tcW w:w="11364" w:type="dxa"/>
            <w:gridSpan w:val="6"/>
            <w:tcBorders>
              <w:left w:val="nil"/>
              <w:right w:val="nil"/>
            </w:tcBorders>
            <w:shd w:val="clear" w:color="auto" w:fill="auto"/>
            <w:noWrap/>
            <w:vAlign w:val="bottom"/>
          </w:tcPr>
          <w:p w14:paraId="477A8B5E"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vertAlign w:val="superscript"/>
              </w:rPr>
              <w:t xml:space="preserve">§ </w:t>
            </w:r>
            <w:r w:rsidRPr="00282B2D">
              <w:rPr>
                <w:rFonts w:ascii="Times New Roman" w:eastAsia="Times New Roman" w:hAnsi="Times New Roman" w:cs="Times New Roman"/>
                <w:b/>
                <w:color w:val="000000"/>
                <w:sz w:val="24"/>
                <w:szCs w:val="24"/>
              </w:rPr>
              <w:t>Champion GQ refers to a blend of perennial ryegrass cultivars consisting of; 50% ‘Zoom’, 40% ‘SR 4600’, and 10% ‘Racer 2’</w:t>
            </w:r>
          </w:p>
        </w:tc>
      </w:tr>
    </w:tbl>
    <w:p w14:paraId="42CF949D" w14:textId="77777777" w:rsidR="0036796C" w:rsidRDefault="0036796C"/>
    <w:p w14:paraId="30852207" w14:textId="77777777" w:rsidR="00282B2D" w:rsidRDefault="00282B2D" w:rsidP="0036796C">
      <w:pPr>
        <w:sectPr w:rsidR="00282B2D" w:rsidSect="00282B2D">
          <w:pgSz w:w="15840" w:h="12240" w:orient="landscape"/>
          <w:pgMar w:top="1440" w:right="1440" w:bottom="1440" w:left="1440" w:header="720" w:footer="720" w:gutter="0"/>
          <w:cols w:space="720"/>
          <w:docGrid w:linePitch="360"/>
        </w:sectPr>
      </w:pPr>
    </w:p>
    <w:tbl>
      <w:tblPr>
        <w:tblW w:w="4675" w:type="dxa"/>
        <w:jc w:val="center"/>
        <w:tblInd w:w="-79" w:type="dxa"/>
        <w:tblLook w:val="04A0" w:firstRow="1" w:lastRow="0" w:firstColumn="1" w:lastColumn="0" w:noHBand="0" w:noVBand="1"/>
      </w:tblPr>
      <w:tblGrid>
        <w:gridCol w:w="1923"/>
        <w:gridCol w:w="1325"/>
        <w:gridCol w:w="1427"/>
      </w:tblGrid>
      <w:tr w:rsidR="00282B2D" w:rsidRPr="00282B2D" w14:paraId="3F4428E7" w14:textId="77777777" w:rsidTr="00282B2D">
        <w:trPr>
          <w:trHeight w:val="1785"/>
          <w:jc w:val="center"/>
        </w:trPr>
        <w:tc>
          <w:tcPr>
            <w:tcW w:w="4675" w:type="dxa"/>
            <w:gridSpan w:val="3"/>
            <w:tcBorders>
              <w:top w:val="nil"/>
              <w:left w:val="nil"/>
              <w:bottom w:val="single" w:sz="4" w:space="0" w:color="auto"/>
              <w:right w:val="nil"/>
            </w:tcBorders>
            <w:shd w:val="clear" w:color="auto" w:fill="auto"/>
            <w:vAlign w:val="bottom"/>
            <w:hideMark/>
          </w:tcPr>
          <w:p w14:paraId="7E773BF5" w14:textId="77777777" w:rsidR="00282B2D" w:rsidRPr="00282B2D" w:rsidRDefault="00282B2D" w:rsidP="00282B2D">
            <w:pPr>
              <w:spacing w:after="0" w:line="240" w:lineRule="auto"/>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lastRenderedPageBreak/>
              <w:t>Table 3.2. Effects of overseeded species on percent green cover throughout the overseeding season displayed as area under the percent green cover curve (AUPGCC) on a 'TifEagle' bermudagrass putting green in Knoxville, TN.</w:t>
            </w:r>
          </w:p>
        </w:tc>
      </w:tr>
      <w:tr w:rsidR="00282B2D" w:rsidRPr="00282B2D" w14:paraId="2F0C13D4" w14:textId="77777777" w:rsidTr="00282B2D">
        <w:trPr>
          <w:trHeight w:val="300"/>
          <w:jc w:val="center"/>
        </w:trPr>
        <w:tc>
          <w:tcPr>
            <w:tcW w:w="1923" w:type="dxa"/>
            <w:tcBorders>
              <w:top w:val="nil"/>
              <w:left w:val="nil"/>
              <w:bottom w:val="single" w:sz="4" w:space="0" w:color="auto"/>
              <w:right w:val="nil"/>
            </w:tcBorders>
            <w:shd w:val="clear" w:color="auto" w:fill="auto"/>
            <w:noWrap/>
            <w:vAlign w:val="bottom"/>
            <w:hideMark/>
          </w:tcPr>
          <w:p w14:paraId="34E20C59" w14:textId="77777777" w:rsidR="00282B2D" w:rsidRPr="00282B2D" w:rsidRDefault="00282B2D" w:rsidP="00282B2D">
            <w:pPr>
              <w:spacing w:after="0" w:line="240" w:lineRule="auto"/>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Treatments</w:t>
            </w:r>
            <w:r w:rsidRPr="00282B2D">
              <w:rPr>
                <w:rFonts w:ascii="Times New Roman" w:eastAsia="Times New Roman" w:hAnsi="Times New Roman" w:cs="Times New Roman"/>
                <w:b/>
                <w:bCs/>
                <w:color w:val="000000"/>
                <w:sz w:val="24"/>
                <w:szCs w:val="24"/>
                <w:vertAlign w:val="superscript"/>
              </w:rPr>
              <w:t>†</w:t>
            </w:r>
          </w:p>
        </w:tc>
        <w:tc>
          <w:tcPr>
            <w:tcW w:w="2752" w:type="dxa"/>
            <w:gridSpan w:val="2"/>
            <w:tcBorders>
              <w:top w:val="single" w:sz="4" w:space="0" w:color="auto"/>
              <w:left w:val="nil"/>
              <w:bottom w:val="single" w:sz="4" w:space="0" w:color="auto"/>
              <w:right w:val="nil"/>
            </w:tcBorders>
            <w:shd w:val="clear" w:color="auto" w:fill="auto"/>
            <w:noWrap/>
            <w:vAlign w:val="bottom"/>
            <w:hideMark/>
          </w:tcPr>
          <w:p w14:paraId="5F00716C"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AUPGCC</w:t>
            </w:r>
          </w:p>
        </w:tc>
      </w:tr>
      <w:tr w:rsidR="00282B2D" w:rsidRPr="00282B2D" w14:paraId="331D9C03" w14:textId="77777777" w:rsidTr="00282B2D">
        <w:trPr>
          <w:trHeight w:val="300"/>
          <w:jc w:val="center"/>
        </w:trPr>
        <w:tc>
          <w:tcPr>
            <w:tcW w:w="1923" w:type="dxa"/>
            <w:tcBorders>
              <w:top w:val="nil"/>
              <w:left w:val="nil"/>
              <w:bottom w:val="single" w:sz="4" w:space="0" w:color="auto"/>
              <w:right w:val="nil"/>
            </w:tcBorders>
            <w:shd w:val="clear" w:color="auto" w:fill="auto"/>
            <w:noWrap/>
            <w:vAlign w:val="bottom"/>
            <w:hideMark/>
          </w:tcPr>
          <w:p w14:paraId="7D616C73"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p>
        </w:tc>
        <w:tc>
          <w:tcPr>
            <w:tcW w:w="1325" w:type="dxa"/>
            <w:tcBorders>
              <w:top w:val="nil"/>
              <w:left w:val="nil"/>
              <w:bottom w:val="single" w:sz="4" w:space="0" w:color="auto"/>
              <w:right w:val="nil"/>
            </w:tcBorders>
            <w:shd w:val="clear" w:color="auto" w:fill="auto"/>
            <w:noWrap/>
            <w:vAlign w:val="bottom"/>
            <w:hideMark/>
          </w:tcPr>
          <w:p w14:paraId="1D8A8013"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2010</w:t>
            </w:r>
          </w:p>
        </w:tc>
        <w:tc>
          <w:tcPr>
            <w:tcW w:w="1427" w:type="dxa"/>
            <w:tcBorders>
              <w:top w:val="nil"/>
              <w:left w:val="nil"/>
              <w:bottom w:val="single" w:sz="4" w:space="0" w:color="auto"/>
              <w:right w:val="nil"/>
            </w:tcBorders>
            <w:shd w:val="clear" w:color="auto" w:fill="auto"/>
            <w:noWrap/>
            <w:vAlign w:val="bottom"/>
            <w:hideMark/>
          </w:tcPr>
          <w:p w14:paraId="65601BF6"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2011</w:t>
            </w:r>
          </w:p>
        </w:tc>
      </w:tr>
      <w:tr w:rsidR="00282B2D" w:rsidRPr="00282B2D" w14:paraId="1E630359" w14:textId="77777777" w:rsidTr="00282B2D">
        <w:trPr>
          <w:trHeight w:val="300"/>
          <w:jc w:val="center"/>
        </w:trPr>
        <w:tc>
          <w:tcPr>
            <w:tcW w:w="1923" w:type="dxa"/>
            <w:tcBorders>
              <w:top w:val="nil"/>
              <w:left w:val="nil"/>
              <w:bottom w:val="nil"/>
              <w:right w:val="nil"/>
            </w:tcBorders>
            <w:shd w:val="clear" w:color="auto" w:fill="auto"/>
            <w:noWrap/>
            <w:vAlign w:val="bottom"/>
            <w:hideMark/>
          </w:tcPr>
          <w:p w14:paraId="11F6EB4C" w14:textId="77777777" w:rsidR="00282B2D" w:rsidRPr="00282B2D" w:rsidRDefault="00282B2D" w:rsidP="00282B2D">
            <w:pPr>
              <w:spacing w:after="0" w:line="240" w:lineRule="auto"/>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Control</w:t>
            </w:r>
            <w:r w:rsidRPr="00282B2D">
              <w:rPr>
                <w:rFonts w:ascii="Times New Roman" w:eastAsia="Times New Roman" w:hAnsi="Times New Roman" w:cs="Times New Roman"/>
                <w:b/>
                <w:bCs/>
                <w:color w:val="000000"/>
                <w:sz w:val="24"/>
                <w:szCs w:val="24"/>
                <w:vertAlign w:val="superscript"/>
              </w:rPr>
              <w:t>‡</w:t>
            </w:r>
          </w:p>
        </w:tc>
        <w:tc>
          <w:tcPr>
            <w:tcW w:w="1325" w:type="dxa"/>
            <w:tcBorders>
              <w:top w:val="nil"/>
              <w:left w:val="nil"/>
              <w:bottom w:val="nil"/>
              <w:right w:val="nil"/>
            </w:tcBorders>
            <w:shd w:val="clear" w:color="auto" w:fill="auto"/>
            <w:noWrap/>
            <w:vAlign w:val="bottom"/>
          </w:tcPr>
          <w:p w14:paraId="48AD6BAB"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4262</w:t>
            </w:r>
          </w:p>
        </w:tc>
        <w:tc>
          <w:tcPr>
            <w:tcW w:w="1427" w:type="dxa"/>
            <w:tcBorders>
              <w:top w:val="nil"/>
              <w:left w:val="nil"/>
              <w:bottom w:val="nil"/>
              <w:right w:val="nil"/>
            </w:tcBorders>
            <w:shd w:val="clear" w:color="auto" w:fill="auto"/>
            <w:noWrap/>
            <w:vAlign w:val="bottom"/>
          </w:tcPr>
          <w:p w14:paraId="40086DA4"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6264</w:t>
            </w:r>
          </w:p>
        </w:tc>
      </w:tr>
      <w:tr w:rsidR="00282B2D" w:rsidRPr="00282B2D" w14:paraId="41DF1AED" w14:textId="77777777" w:rsidTr="00282B2D">
        <w:trPr>
          <w:trHeight w:val="300"/>
          <w:jc w:val="center"/>
        </w:trPr>
        <w:tc>
          <w:tcPr>
            <w:tcW w:w="1923" w:type="dxa"/>
            <w:tcBorders>
              <w:top w:val="nil"/>
              <w:left w:val="nil"/>
              <w:bottom w:val="nil"/>
              <w:right w:val="nil"/>
            </w:tcBorders>
            <w:shd w:val="clear" w:color="auto" w:fill="auto"/>
            <w:noWrap/>
            <w:vAlign w:val="bottom"/>
            <w:hideMark/>
          </w:tcPr>
          <w:p w14:paraId="57842DD8"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bCs/>
                <w:i/>
                <w:color w:val="000000"/>
                <w:sz w:val="24"/>
                <w:szCs w:val="24"/>
              </w:rPr>
              <w:t>Poa nemoralis</w:t>
            </w:r>
          </w:p>
        </w:tc>
        <w:tc>
          <w:tcPr>
            <w:tcW w:w="1325" w:type="dxa"/>
            <w:tcBorders>
              <w:top w:val="nil"/>
              <w:left w:val="nil"/>
              <w:bottom w:val="nil"/>
              <w:right w:val="nil"/>
            </w:tcBorders>
            <w:shd w:val="clear" w:color="auto" w:fill="auto"/>
            <w:noWrap/>
            <w:vAlign w:val="bottom"/>
          </w:tcPr>
          <w:p w14:paraId="04DFA05F"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15900</w:t>
            </w:r>
          </w:p>
        </w:tc>
        <w:tc>
          <w:tcPr>
            <w:tcW w:w="1427" w:type="dxa"/>
            <w:tcBorders>
              <w:top w:val="nil"/>
              <w:left w:val="nil"/>
              <w:bottom w:val="nil"/>
              <w:right w:val="nil"/>
            </w:tcBorders>
            <w:shd w:val="clear" w:color="auto" w:fill="auto"/>
            <w:noWrap/>
            <w:vAlign w:val="bottom"/>
          </w:tcPr>
          <w:p w14:paraId="12181B61"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6603</w:t>
            </w:r>
          </w:p>
        </w:tc>
      </w:tr>
      <w:tr w:rsidR="00282B2D" w:rsidRPr="00282B2D" w14:paraId="610E4814" w14:textId="77777777" w:rsidTr="00282B2D">
        <w:trPr>
          <w:trHeight w:val="300"/>
          <w:jc w:val="center"/>
        </w:trPr>
        <w:tc>
          <w:tcPr>
            <w:tcW w:w="1923" w:type="dxa"/>
            <w:tcBorders>
              <w:top w:val="nil"/>
              <w:left w:val="nil"/>
              <w:bottom w:val="nil"/>
              <w:right w:val="nil"/>
            </w:tcBorders>
            <w:shd w:val="clear" w:color="auto" w:fill="auto"/>
            <w:noWrap/>
            <w:vAlign w:val="bottom"/>
            <w:hideMark/>
          </w:tcPr>
          <w:p w14:paraId="2718C2E7"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bCs/>
                <w:i/>
                <w:color w:val="000000"/>
                <w:sz w:val="24"/>
                <w:szCs w:val="24"/>
              </w:rPr>
              <w:t>P. trivialis</w:t>
            </w:r>
          </w:p>
        </w:tc>
        <w:tc>
          <w:tcPr>
            <w:tcW w:w="1325" w:type="dxa"/>
            <w:tcBorders>
              <w:top w:val="nil"/>
              <w:left w:val="nil"/>
              <w:bottom w:val="nil"/>
              <w:right w:val="nil"/>
            </w:tcBorders>
            <w:shd w:val="clear" w:color="auto" w:fill="auto"/>
            <w:noWrap/>
            <w:vAlign w:val="bottom"/>
          </w:tcPr>
          <w:p w14:paraId="7BF9D25C"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17594</w:t>
            </w:r>
          </w:p>
        </w:tc>
        <w:tc>
          <w:tcPr>
            <w:tcW w:w="1427" w:type="dxa"/>
            <w:tcBorders>
              <w:top w:val="nil"/>
              <w:left w:val="nil"/>
              <w:bottom w:val="nil"/>
              <w:right w:val="nil"/>
            </w:tcBorders>
            <w:shd w:val="clear" w:color="auto" w:fill="auto"/>
            <w:noWrap/>
            <w:vAlign w:val="bottom"/>
          </w:tcPr>
          <w:p w14:paraId="3A080756"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11864</w:t>
            </w:r>
          </w:p>
        </w:tc>
      </w:tr>
      <w:tr w:rsidR="00282B2D" w:rsidRPr="00282B2D" w14:paraId="21207AB7" w14:textId="77777777" w:rsidTr="00282B2D">
        <w:trPr>
          <w:trHeight w:val="300"/>
          <w:jc w:val="center"/>
        </w:trPr>
        <w:tc>
          <w:tcPr>
            <w:tcW w:w="1923" w:type="dxa"/>
            <w:tcBorders>
              <w:top w:val="nil"/>
              <w:left w:val="nil"/>
              <w:bottom w:val="nil"/>
              <w:right w:val="nil"/>
            </w:tcBorders>
            <w:shd w:val="clear" w:color="auto" w:fill="auto"/>
            <w:noWrap/>
            <w:vAlign w:val="bottom"/>
            <w:hideMark/>
          </w:tcPr>
          <w:p w14:paraId="7BF01F4C"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bCs/>
                <w:i/>
                <w:color w:val="000000"/>
                <w:sz w:val="24"/>
                <w:szCs w:val="24"/>
              </w:rPr>
              <w:t>P. supina</w:t>
            </w:r>
          </w:p>
        </w:tc>
        <w:tc>
          <w:tcPr>
            <w:tcW w:w="1325" w:type="dxa"/>
            <w:tcBorders>
              <w:top w:val="nil"/>
              <w:left w:val="nil"/>
              <w:bottom w:val="nil"/>
              <w:right w:val="nil"/>
            </w:tcBorders>
            <w:shd w:val="clear" w:color="auto" w:fill="auto"/>
            <w:noWrap/>
            <w:vAlign w:val="bottom"/>
          </w:tcPr>
          <w:p w14:paraId="45EDA65D"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16392</w:t>
            </w:r>
          </w:p>
        </w:tc>
        <w:tc>
          <w:tcPr>
            <w:tcW w:w="1427" w:type="dxa"/>
            <w:tcBorders>
              <w:top w:val="nil"/>
              <w:left w:val="nil"/>
              <w:bottom w:val="nil"/>
              <w:right w:val="nil"/>
            </w:tcBorders>
            <w:shd w:val="clear" w:color="auto" w:fill="auto"/>
            <w:noWrap/>
            <w:vAlign w:val="bottom"/>
          </w:tcPr>
          <w:p w14:paraId="49140C16"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10093</w:t>
            </w:r>
          </w:p>
        </w:tc>
      </w:tr>
      <w:tr w:rsidR="00282B2D" w:rsidRPr="00282B2D" w14:paraId="6790D45A" w14:textId="77777777" w:rsidTr="00282B2D">
        <w:trPr>
          <w:trHeight w:val="300"/>
          <w:jc w:val="center"/>
        </w:trPr>
        <w:tc>
          <w:tcPr>
            <w:tcW w:w="1923" w:type="dxa"/>
            <w:tcBorders>
              <w:top w:val="nil"/>
              <w:left w:val="nil"/>
              <w:bottom w:val="single" w:sz="4" w:space="0" w:color="auto"/>
              <w:right w:val="nil"/>
            </w:tcBorders>
            <w:shd w:val="clear" w:color="auto" w:fill="auto"/>
            <w:noWrap/>
            <w:vAlign w:val="bottom"/>
            <w:hideMark/>
          </w:tcPr>
          <w:p w14:paraId="76108655"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bCs/>
                <w:i/>
                <w:color w:val="000000"/>
                <w:sz w:val="24"/>
                <w:szCs w:val="24"/>
              </w:rPr>
              <w:t>Lolium perenne</w:t>
            </w:r>
          </w:p>
        </w:tc>
        <w:tc>
          <w:tcPr>
            <w:tcW w:w="1325" w:type="dxa"/>
            <w:tcBorders>
              <w:top w:val="nil"/>
              <w:left w:val="nil"/>
              <w:bottom w:val="nil"/>
              <w:right w:val="nil"/>
            </w:tcBorders>
            <w:shd w:val="clear" w:color="auto" w:fill="auto"/>
            <w:noWrap/>
            <w:vAlign w:val="bottom"/>
          </w:tcPr>
          <w:p w14:paraId="72FE727F"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14996</w:t>
            </w:r>
          </w:p>
        </w:tc>
        <w:tc>
          <w:tcPr>
            <w:tcW w:w="1427" w:type="dxa"/>
            <w:tcBorders>
              <w:top w:val="nil"/>
              <w:left w:val="nil"/>
              <w:bottom w:val="nil"/>
              <w:right w:val="nil"/>
            </w:tcBorders>
            <w:shd w:val="clear" w:color="auto" w:fill="auto"/>
            <w:noWrap/>
            <w:vAlign w:val="bottom"/>
          </w:tcPr>
          <w:p w14:paraId="267B69A6"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12654</w:t>
            </w:r>
          </w:p>
        </w:tc>
      </w:tr>
      <w:tr w:rsidR="00282B2D" w:rsidRPr="00282B2D" w14:paraId="2C0939C5" w14:textId="77777777" w:rsidTr="00282B2D">
        <w:trPr>
          <w:trHeight w:val="300"/>
          <w:jc w:val="center"/>
        </w:trPr>
        <w:tc>
          <w:tcPr>
            <w:tcW w:w="1923" w:type="dxa"/>
            <w:tcBorders>
              <w:top w:val="nil"/>
              <w:left w:val="nil"/>
              <w:bottom w:val="single" w:sz="4" w:space="0" w:color="auto"/>
              <w:right w:val="nil"/>
            </w:tcBorders>
            <w:shd w:val="clear" w:color="auto" w:fill="auto"/>
            <w:noWrap/>
            <w:vAlign w:val="bottom"/>
            <w:hideMark/>
          </w:tcPr>
          <w:p w14:paraId="3A2F72BD" w14:textId="77777777" w:rsidR="00282B2D" w:rsidRPr="00282B2D" w:rsidRDefault="00282B2D" w:rsidP="00282B2D">
            <w:pPr>
              <w:spacing w:after="0" w:line="240" w:lineRule="auto"/>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LSD (0.05)</w:t>
            </w:r>
          </w:p>
        </w:tc>
        <w:tc>
          <w:tcPr>
            <w:tcW w:w="1325" w:type="dxa"/>
            <w:tcBorders>
              <w:top w:val="single" w:sz="4" w:space="0" w:color="auto"/>
              <w:left w:val="nil"/>
              <w:bottom w:val="single" w:sz="4" w:space="0" w:color="auto"/>
              <w:right w:val="nil"/>
            </w:tcBorders>
            <w:shd w:val="clear" w:color="auto" w:fill="auto"/>
            <w:noWrap/>
            <w:vAlign w:val="bottom"/>
          </w:tcPr>
          <w:p w14:paraId="495181AB"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443</w:t>
            </w:r>
          </w:p>
        </w:tc>
        <w:tc>
          <w:tcPr>
            <w:tcW w:w="1427" w:type="dxa"/>
            <w:tcBorders>
              <w:top w:val="single" w:sz="4" w:space="0" w:color="auto"/>
              <w:left w:val="nil"/>
              <w:bottom w:val="single" w:sz="4" w:space="0" w:color="auto"/>
              <w:right w:val="nil"/>
            </w:tcBorders>
            <w:shd w:val="clear" w:color="auto" w:fill="auto"/>
            <w:noWrap/>
            <w:vAlign w:val="bottom"/>
          </w:tcPr>
          <w:p w14:paraId="56E86220"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425</w:t>
            </w:r>
          </w:p>
        </w:tc>
      </w:tr>
      <w:tr w:rsidR="00282B2D" w:rsidRPr="00282B2D" w14:paraId="2CD3CC9E" w14:textId="77777777" w:rsidTr="00282B2D">
        <w:trPr>
          <w:trHeight w:val="300"/>
          <w:jc w:val="center"/>
        </w:trPr>
        <w:tc>
          <w:tcPr>
            <w:tcW w:w="4675" w:type="dxa"/>
            <w:gridSpan w:val="3"/>
            <w:tcBorders>
              <w:top w:val="single" w:sz="4" w:space="0" w:color="auto"/>
              <w:left w:val="nil"/>
              <w:right w:val="nil"/>
            </w:tcBorders>
            <w:shd w:val="clear" w:color="auto" w:fill="auto"/>
            <w:noWrap/>
            <w:vAlign w:val="bottom"/>
            <w:hideMark/>
          </w:tcPr>
          <w:p w14:paraId="78FA13BA" w14:textId="77777777" w:rsidR="00282B2D" w:rsidRPr="00282B2D" w:rsidRDefault="00282B2D" w:rsidP="00282B2D">
            <w:pPr>
              <w:spacing w:after="0" w:line="240" w:lineRule="auto"/>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vertAlign w:val="superscript"/>
              </w:rPr>
              <w:t>†</w:t>
            </w:r>
            <w:r w:rsidRPr="00282B2D">
              <w:rPr>
                <w:rFonts w:ascii="Times New Roman" w:eastAsia="Times New Roman" w:hAnsi="Times New Roman" w:cs="Times New Roman"/>
                <w:b/>
                <w:bCs/>
                <w:color w:val="000000"/>
                <w:sz w:val="24"/>
                <w:szCs w:val="24"/>
              </w:rPr>
              <w:t xml:space="preserve"> Cultivars consisted of ‘SRX 2NEM' </w:t>
            </w:r>
            <w:r w:rsidRPr="00282B2D">
              <w:rPr>
                <w:rFonts w:ascii="Times New Roman" w:eastAsia="Times New Roman" w:hAnsi="Times New Roman" w:cs="Times New Roman"/>
                <w:b/>
                <w:bCs/>
                <w:i/>
                <w:iCs/>
                <w:color w:val="000000"/>
                <w:sz w:val="24"/>
                <w:szCs w:val="24"/>
              </w:rPr>
              <w:t>Poa nemoralis</w:t>
            </w:r>
            <w:r w:rsidRPr="00282B2D">
              <w:rPr>
                <w:rFonts w:ascii="Times New Roman" w:eastAsia="Times New Roman" w:hAnsi="Times New Roman" w:cs="Times New Roman"/>
                <w:b/>
                <w:bCs/>
                <w:color w:val="000000"/>
                <w:sz w:val="24"/>
                <w:szCs w:val="24"/>
              </w:rPr>
              <w:t xml:space="preserve">, 'Quasar' </w:t>
            </w:r>
            <w:r w:rsidRPr="00282B2D">
              <w:rPr>
                <w:rFonts w:ascii="Times New Roman" w:eastAsia="Times New Roman" w:hAnsi="Times New Roman" w:cs="Times New Roman"/>
                <w:b/>
                <w:bCs/>
                <w:i/>
                <w:iCs/>
                <w:color w:val="000000"/>
                <w:sz w:val="24"/>
                <w:szCs w:val="24"/>
              </w:rPr>
              <w:t>P. trivialis, '</w:t>
            </w:r>
            <w:r w:rsidRPr="00282B2D">
              <w:rPr>
                <w:rFonts w:ascii="Times New Roman" w:eastAsia="Times New Roman" w:hAnsi="Times New Roman" w:cs="Times New Roman"/>
                <w:b/>
                <w:bCs/>
                <w:color w:val="000000"/>
                <w:sz w:val="24"/>
                <w:szCs w:val="24"/>
              </w:rPr>
              <w:t xml:space="preserve">Supranova' </w:t>
            </w:r>
            <w:r w:rsidRPr="00282B2D">
              <w:rPr>
                <w:rFonts w:ascii="Times New Roman" w:eastAsia="Times New Roman" w:hAnsi="Times New Roman" w:cs="Times New Roman"/>
                <w:b/>
                <w:bCs/>
                <w:i/>
                <w:iCs/>
                <w:color w:val="000000"/>
                <w:sz w:val="24"/>
                <w:szCs w:val="24"/>
              </w:rPr>
              <w:t xml:space="preserve">P. supina, </w:t>
            </w:r>
            <w:r w:rsidRPr="00282B2D">
              <w:rPr>
                <w:rFonts w:ascii="Times New Roman" w:eastAsia="Times New Roman" w:hAnsi="Times New Roman" w:cs="Times New Roman"/>
                <w:b/>
                <w:bCs/>
                <w:color w:val="000000"/>
                <w:sz w:val="24"/>
                <w:szCs w:val="24"/>
              </w:rPr>
              <w:t xml:space="preserve">and Champion GQ blend </w:t>
            </w:r>
            <w:r w:rsidRPr="00282B2D">
              <w:rPr>
                <w:rFonts w:ascii="Times New Roman" w:eastAsia="Times New Roman" w:hAnsi="Times New Roman" w:cs="Times New Roman"/>
                <w:b/>
                <w:bCs/>
                <w:i/>
                <w:iCs/>
                <w:color w:val="000000"/>
                <w:sz w:val="24"/>
                <w:szCs w:val="24"/>
              </w:rPr>
              <w:t>Lolium perenne.</w:t>
            </w:r>
          </w:p>
        </w:tc>
      </w:tr>
      <w:tr w:rsidR="00282B2D" w:rsidRPr="00282B2D" w14:paraId="270CEFAE" w14:textId="77777777" w:rsidTr="00282B2D">
        <w:trPr>
          <w:trHeight w:val="300"/>
          <w:jc w:val="center"/>
        </w:trPr>
        <w:tc>
          <w:tcPr>
            <w:tcW w:w="4675" w:type="dxa"/>
            <w:gridSpan w:val="3"/>
            <w:tcBorders>
              <w:top w:val="nil"/>
              <w:left w:val="nil"/>
              <w:right w:val="nil"/>
            </w:tcBorders>
            <w:shd w:val="clear" w:color="auto" w:fill="auto"/>
            <w:noWrap/>
            <w:vAlign w:val="bottom"/>
          </w:tcPr>
          <w:p w14:paraId="545DA197" w14:textId="77777777" w:rsidR="00282B2D" w:rsidRPr="00282B2D" w:rsidRDefault="00282B2D" w:rsidP="00282B2D">
            <w:pPr>
              <w:spacing w:after="0" w:line="240" w:lineRule="auto"/>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vertAlign w:val="superscript"/>
              </w:rPr>
              <w:t xml:space="preserve">‡ </w:t>
            </w:r>
            <w:r w:rsidRPr="00282B2D">
              <w:rPr>
                <w:rFonts w:ascii="Times New Roman" w:eastAsia="Times New Roman" w:hAnsi="Times New Roman" w:cs="Times New Roman"/>
                <w:b/>
                <w:bCs/>
                <w:color w:val="000000"/>
                <w:sz w:val="24"/>
                <w:szCs w:val="24"/>
              </w:rPr>
              <w:t>Control was represented as non-overseeded bermudagrass.</w:t>
            </w:r>
          </w:p>
        </w:tc>
      </w:tr>
    </w:tbl>
    <w:p w14:paraId="3653A72D" w14:textId="77777777" w:rsidR="00282B2D" w:rsidRDefault="00282B2D" w:rsidP="0036796C"/>
    <w:p w14:paraId="42412F55" w14:textId="77777777" w:rsidR="00282B2D" w:rsidRDefault="00282B2D">
      <w:pPr>
        <w:sectPr w:rsidR="00282B2D" w:rsidSect="00282B2D">
          <w:pgSz w:w="12240" w:h="15840"/>
          <w:pgMar w:top="1440" w:right="1440" w:bottom="1440" w:left="1440" w:header="720" w:footer="720" w:gutter="0"/>
          <w:cols w:space="720"/>
          <w:docGrid w:linePitch="360"/>
        </w:sectPr>
      </w:pPr>
      <w:r>
        <w:br w:type="page"/>
      </w:r>
    </w:p>
    <w:tbl>
      <w:tblPr>
        <w:tblW w:w="11105" w:type="dxa"/>
        <w:jc w:val="center"/>
        <w:tblInd w:w="93" w:type="dxa"/>
        <w:tblLook w:val="04A0" w:firstRow="1" w:lastRow="0" w:firstColumn="1" w:lastColumn="0" w:noHBand="0" w:noVBand="1"/>
      </w:tblPr>
      <w:tblGrid>
        <w:gridCol w:w="1753"/>
        <w:gridCol w:w="2708"/>
        <w:gridCol w:w="796"/>
        <w:gridCol w:w="796"/>
        <w:gridCol w:w="796"/>
        <w:gridCol w:w="796"/>
        <w:gridCol w:w="276"/>
        <w:gridCol w:w="796"/>
        <w:gridCol w:w="796"/>
        <w:gridCol w:w="796"/>
        <w:gridCol w:w="796"/>
      </w:tblGrid>
      <w:tr w:rsidR="00282B2D" w:rsidRPr="00282B2D" w14:paraId="73992088" w14:textId="77777777" w:rsidTr="00282B2D">
        <w:trPr>
          <w:trHeight w:val="600"/>
          <w:jc w:val="center"/>
        </w:trPr>
        <w:tc>
          <w:tcPr>
            <w:tcW w:w="11105" w:type="dxa"/>
            <w:gridSpan w:val="11"/>
            <w:tcBorders>
              <w:top w:val="nil"/>
              <w:left w:val="nil"/>
              <w:bottom w:val="single" w:sz="4" w:space="0" w:color="auto"/>
              <w:right w:val="nil"/>
            </w:tcBorders>
            <w:shd w:val="clear" w:color="auto" w:fill="auto"/>
            <w:vAlign w:val="bottom"/>
            <w:hideMark/>
          </w:tcPr>
          <w:p w14:paraId="59C19C61"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lastRenderedPageBreak/>
              <w:t>Table 3.3 Effect of overseeding species by transition type on percent green cover on a ‘TifEagle’ putting green during the spring transition period in Knoxville, TN.</w:t>
            </w:r>
          </w:p>
        </w:tc>
      </w:tr>
      <w:tr w:rsidR="00282B2D" w:rsidRPr="00282B2D" w14:paraId="23ED7C8F" w14:textId="77777777" w:rsidTr="00282B2D">
        <w:trPr>
          <w:trHeight w:val="300"/>
          <w:jc w:val="center"/>
        </w:trPr>
        <w:tc>
          <w:tcPr>
            <w:tcW w:w="1753" w:type="dxa"/>
            <w:tcBorders>
              <w:top w:val="nil"/>
              <w:left w:val="nil"/>
              <w:bottom w:val="nil"/>
              <w:right w:val="nil"/>
            </w:tcBorders>
            <w:shd w:val="clear" w:color="auto" w:fill="auto"/>
            <w:noWrap/>
            <w:vAlign w:val="bottom"/>
            <w:hideMark/>
          </w:tcPr>
          <w:p w14:paraId="548205CE"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2708" w:type="dxa"/>
            <w:tcBorders>
              <w:top w:val="nil"/>
              <w:left w:val="nil"/>
              <w:bottom w:val="nil"/>
              <w:right w:val="nil"/>
            </w:tcBorders>
            <w:shd w:val="clear" w:color="auto" w:fill="auto"/>
            <w:noWrap/>
            <w:vAlign w:val="bottom"/>
            <w:hideMark/>
          </w:tcPr>
          <w:p w14:paraId="1B25882E"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3184" w:type="dxa"/>
            <w:gridSpan w:val="4"/>
            <w:tcBorders>
              <w:top w:val="nil"/>
              <w:left w:val="nil"/>
              <w:bottom w:val="single" w:sz="4" w:space="0" w:color="auto"/>
              <w:right w:val="nil"/>
            </w:tcBorders>
            <w:shd w:val="clear" w:color="auto" w:fill="auto"/>
            <w:noWrap/>
            <w:vAlign w:val="bottom"/>
            <w:hideMark/>
          </w:tcPr>
          <w:p w14:paraId="09E6061C"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2010</w:t>
            </w:r>
          </w:p>
        </w:tc>
        <w:tc>
          <w:tcPr>
            <w:tcW w:w="276" w:type="dxa"/>
            <w:tcBorders>
              <w:top w:val="nil"/>
              <w:left w:val="nil"/>
              <w:bottom w:val="nil"/>
              <w:right w:val="nil"/>
            </w:tcBorders>
            <w:shd w:val="clear" w:color="auto" w:fill="auto"/>
            <w:noWrap/>
            <w:vAlign w:val="bottom"/>
            <w:hideMark/>
          </w:tcPr>
          <w:p w14:paraId="588518E4" w14:textId="77777777" w:rsidR="00282B2D" w:rsidRPr="00282B2D" w:rsidRDefault="00282B2D" w:rsidP="00282B2D">
            <w:pPr>
              <w:spacing w:after="0" w:line="240" w:lineRule="auto"/>
              <w:rPr>
                <w:rFonts w:ascii="Times New Roman" w:eastAsia="Times New Roman" w:hAnsi="Times New Roman" w:cs="Times New Roman"/>
                <w:b/>
                <w:sz w:val="24"/>
                <w:szCs w:val="24"/>
              </w:rPr>
            </w:pPr>
          </w:p>
        </w:tc>
        <w:tc>
          <w:tcPr>
            <w:tcW w:w="3184" w:type="dxa"/>
            <w:gridSpan w:val="4"/>
            <w:tcBorders>
              <w:top w:val="nil"/>
              <w:left w:val="nil"/>
              <w:bottom w:val="single" w:sz="4" w:space="0" w:color="auto"/>
              <w:right w:val="nil"/>
            </w:tcBorders>
            <w:shd w:val="clear" w:color="auto" w:fill="auto"/>
            <w:noWrap/>
            <w:vAlign w:val="bottom"/>
            <w:hideMark/>
          </w:tcPr>
          <w:p w14:paraId="0518CFED"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2011</w:t>
            </w:r>
          </w:p>
        </w:tc>
      </w:tr>
      <w:tr w:rsidR="00282B2D" w:rsidRPr="00282B2D" w14:paraId="15B35E45" w14:textId="77777777" w:rsidTr="00282B2D">
        <w:trPr>
          <w:trHeight w:val="300"/>
          <w:jc w:val="center"/>
        </w:trPr>
        <w:tc>
          <w:tcPr>
            <w:tcW w:w="1753" w:type="dxa"/>
            <w:tcBorders>
              <w:top w:val="nil"/>
              <w:left w:val="nil"/>
              <w:bottom w:val="nil"/>
              <w:right w:val="nil"/>
            </w:tcBorders>
            <w:shd w:val="clear" w:color="auto" w:fill="auto"/>
            <w:noWrap/>
            <w:vAlign w:val="bottom"/>
            <w:hideMark/>
          </w:tcPr>
          <w:p w14:paraId="68D03C09"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2708" w:type="dxa"/>
            <w:tcBorders>
              <w:top w:val="nil"/>
              <w:left w:val="nil"/>
              <w:bottom w:val="nil"/>
              <w:right w:val="nil"/>
            </w:tcBorders>
            <w:shd w:val="clear" w:color="auto" w:fill="auto"/>
            <w:noWrap/>
            <w:vAlign w:val="bottom"/>
            <w:hideMark/>
          </w:tcPr>
          <w:p w14:paraId="179C070E"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6644" w:type="dxa"/>
            <w:gridSpan w:val="9"/>
            <w:tcBorders>
              <w:top w:val="nil"/>
              <w:left w:val="nil"/>
              <w:bottom w:val="single" w:sz="4" w:space="0" w:color="auto"/>
              <w:right w:val="nil"/>
            </w:tcBorders>
            <w:shd w:val="clear" w:color="auto" w:fill="auto"/>
            <w:noWrap/>
            <w:vAlign w:val="bottom"/>
            <w:hideMark/>
          </w:tcPr>
          <w:p w14:paraId="57C7592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Weeks into transition period</w:t>
            </w:r>
          </w:p>
        </w:tc>
      </w:tr>
      <w:tr w:rsidR="00282B2D" w:rsidRPr="00282B2D" w14:paraId="7FCD566A" w14:textId="77777777" w:rsidTr="00282B2D">
        <w:trPr>
          <w:trHeight w:val="300"/>
          <w:jc w:val="center"/>
        </w:trPr>
        <w:tc>
          <w:tcPr>
            <w:tcW w:w="1753" w:type="dxa"/>
            <w:tcBorders>
              <w:top w:val="nil"/>
              <w:left w:val="nil"/>
              <w:bottom w:val="single" w:sz="4" w:space="0" w:color="auto"/>
              <w:right w:val="nil"/>
            </w:tcBorders>
            <w:shd w:val="clear" w:color="auto" w:fill="auto"/>
            <w:noWrap/>
            <w:vAlign w:val="bottom"/>
            <w:hideMark/>
          </w:tcPr>
          <w:p w14:paraId="1D344CA5"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Transition</w:t>
            </w:r>
            <w:r w:rsidRPr="00282B2D">
              <w:rPr>
                <w:rFonts w:ascii="Times New Roman" w:eastAsia="Times New Roman" w:hAnsi="Times New Roman" w:cs="Times New Roman"/>
                <w:b/>
                <w:bCs/>
                <w:color w:val="000000"/>
                <w:sz w:val="24"/>
                <w:szCs w:val="24"/>
                <w:vertAlign w:val="superscript"/>
              </w:rPr>
              <w:t>†</w:t>
            </w:r>
          </w:p>
        </w:tc>
        <w:tc>
          <w:tcPr>
            <w:tcW w:w="2708" w:type="dxa"/>
            <w:tcBorders>
              <w:top w:val="nil"/>
              <w:left w:val="nil"/>
              <w:bottom w:val="single" w:sz="4" w:space="0" w:color="auto"/>
              <w:right w:val="nil"/>
            </w:tcBorders>
            <w:shd w:val="clear" w:color="auto" w:fill="auto"/>
            <w:noWrap/>
            <w:vAlign w:val="bottom"/>
            <w:hideMark/>
          </w:tcPr>
          <w:p w14:paraId="7A6D05AB"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Species</w:t>
            </w:r>
          </w:p>
        </w:tc>
        <w:tc>
          <w:tcPr>
            <w:tcW w:w="796" w:type="dxa"/>
            <w:tcBorders>
              <w:top w:val="nil"/>
              <w:left w:val="nil"/>
              <w:bottom w:val="single" w:sz="4" w:space="0" w:color="auto"/>
              <w:right w:val="nil"/>
            </w:tcBorders>
            <w:shd w:val="clear" w:color="auto" w:fill="auto"/>
            <w:noWrap/>
            <w:vAlign w:val="bottom"/>
            <w:hideMark/>
          </w:tcPr>
          <w:p w14:paraId="437F660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2</w:t>
            </w:r>
          </w:p>
        </w:tc>
        <w:tc>
          <w:tcPr>
            <w:tcW w:w="796" w:type="dxa"/>
            <w:tcBorders>
              <w:top w:val="nil"/>
              <w:left w:val="nil"/>
              <w:bottom w:val="single" w:sz="4" w:space="0" w:color="auto"/>
              <w:right w:val="nil"/>
            </w:tcBorders>
            <w:shd w:val="clear" w:color="auto" w:fill="auto"/>
            <w:noWrap/>
            <w:vAlign w:val="bottom"/>
            <w:hideMark/>
          </w:tcPr>
          <w:p w14:paraId="0979425B"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3</w:t>
            </w:r>
          </w:p>
        </w:tc>
        <w:tc>
          <w:tcPr>
            <w:tcW w:w="796" w:type="dxa"/>
            <w:tcBorders>
              <w:top w:val="nil"/>
              <w:left w:val="nil"/>
              <w:bottom w:val="single" w:sz="4" w:space="0" w:color="auto"/>
              <w:right w:val="nil"/>
            </w:tcBorders>
            <w:shd w:val="clear" w:color="auto" w:fill="auto"/>
            <w:noWrap/>
            <w:vAlign w:val="bottom"/>
            <w:hideMark/>
          </w:tcPr>
          <w:p w14:paraId="0BF3588E"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6</w:t>
            </w:r>
          </w:p>
        </w:tc>
        <w:tc>
          <w:tcPr>
            <w:tcW w:w="796" w:type="dxa"/>
            <w:tcBorders>
              <w:top w:val="nil"/>
              <w:left w:val="nil"/>
              <w:bottom w:val="single" w:sz="4" w:space="0" w:color="auto"/>
              <w:right w:val="nil"/>
            </w:tcBorders>
            <w:shd w:val="clear" w:color="auto" w:fill="auto"/>
            <w:noWrap/>
            <w:vAlign w:val="bottom"/>
            <w:hideMark/>
          </w:tcPr>
          <w:p w14:paraId="1198FB9B"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w:t>
            </w:r>
          </w:p>
        </w:tc>
        <w:tc>
          <w:tcPr>
            <w:tcW w:w="276" w:type="dxa"/>
            <w:tcBorders>
              <w:top w:val="nil"/>
              <w:left w:val="nil"/>
              <w:bottom w:val="single" w:sz="4" w:space="0" w:color="auto"/>
              <w:right w:val="nil"/>
            </w:tcBorders>
            <w:shd w:val="clear" w:color="auto" w:fill="auto"/>
            <w:noWrap/>
            <w:vAlign w:val="bottom"/>
            <w:hideMark/>
          </w:tcPr>
          <w:p w14:paraId="34F92FBE"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 </w:t>
            </w:r>
          </w:p>
        </w:tc>
        <w:tc>
          <w:tcPr>
            <w:tcW w:w="796" w:type="dxa"/>
            <w:tcBorders>
              <w:top w:val="nil"/>
              <w:left w:val="nil"/>
              <w:bottom w:val="single" w:sz="4" w:space="0" w:color="auto"/>
              <w:right w:val="nil"/>
            </w:tcBorders>
            <w:shd w:val="clear" w:color="auto" w:fill="auto"/>
            <w:noWrap/>
            <w:vAlign w:val="bottom"/>
            <w:hideMark/>
          </w:tcPr>
          <w:p w14:paraId="56A95BF9"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2</w:t>
            </w:r>
          </w:p>
        </w:tc>
        <w:tc>
          <w:tcPr>
            <w:tcW w:w="796" w:type="dxa"/>
            <w:tcBorders>
              <w:top w:val="nil"/>
              <w:left w:val="nil"/>
              <w:bottom w:val="single" w:sz="4" w:space="0" w:color="auto"/>
              <w:right w:val="nil"/>
            </w:tcBorders>
            <w:shd w:val="clear" w:color="auto" w:fill="auto"/>
            <w:noWrap/>
            <w:vAlign w:val="bottom"/>
            <w:hideMark/>
          </w:tcPr>
          <w:p w14:paraId="3A3A3207"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3</w:t>
            </w:r>
          </w:p>
        </w:tc>
        <w:tc>
          <w:tcPr>
            <w:tcW w:w="796" w:type="dxa"/>
            <w:tcBorders>
              <w:top w:val="nil"/>
              <w:left w:val="nil"/>
              <w:bottom w:val="single" w:sz="4" w:space="0" w:color="auto"/>
              <w:right w:val="nil"/>
            </w:tcBorders>
            <w:shd w:val="clear" w:color="auto" w:fill="auto"/>
            <w:noWrap/>
            <w:vAlign w:val="bottom"/>
            <w:hideMark/>
          </w:tcPr>
          <w:p w14:paraId="659E16D3"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6</w:t>
            </w:r>
          </w:p>
        </w:tc>
        <w:tc>
          <w:tcPr>
            <w:tcW w:w="796" w:type="dxa"/>
            <w:tcBorders>
              <w:top w:val="nil"/>
              <w:left w:val="nil"/>
              <w:bottom w:val="single" w:sz="4" w:space="0" w:color="auto"/>
              <w:right w:val="nil"/>
            </w:tcBorders>
            <w:shd w:val="clear" w:color="auto" w:fill="auto"/>
            <w:noWrap/>
            <w:vAlign w:val="bottom"/>
            <w:hideMark/>
          </w:tcPr>
          <w:p w14:paraId="7CDE8626"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w:t>
            </w:r>
          </w:p>
        </w:tc>
      </w:tr>
      <w:tr w:rsidR="00282B2D" w:rsidRPr="00282B2D" w14:paraId="38DC11C9" w14:textId="77777777" w:rsidTr="00282B2D">
        <w:trPr>
          <w:trHeight w:val="300"/>
          <w:jc w:val="center"/>
        </w:trPr>
        <w:tc>
          <w:tcPr>
            <w:tcW w:w="1753" w:type="dxa"/>
            <w:vMerge w:val="restart"/>
            <w:tcBorders>
              <w:top w:val="nil"/>
              <w:left w:val="nil"/>
              <w:bottom w:val="nil"/>
              <w:right w:val="nil"/>
            </w:tcBorders>
            <w:shd w:val="clear" w:color="auto" w:fill="auto"/>
            <w:noWrap/>
            <w:hideMark/>
          </w:tcPr>
          <w:p w14:paraId="03790F08"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NT</w:t>
            </w:r>
          </w:p>
        </w:tc>
        <w:tc>
          <w:tcPr>
            <w:tcW w:w="2708" w:type="dxa"/>
            <w:tcBorders>
              <w:top w:val="nil"/>
              <w:left w:val="nil"/>
              <w:bottom w:val="nil"/>
              <w:right w:val="nil"/>
            </w:tcBorders>
            <w:shd w:val="clear" w:color="auto" w:fill="auto"/>
            <w:noWrap/>
            <w:vAlign w:val="bottom"/>
            <w:hideMark/>
          </w:tcPr>
          <w:p w14:paraId="56425662"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Control</w:t>
            </w:r>
            <w:r w:rsidRPr="00282B2D">
              <w:rPr>
                <w:rFonts w:ascii="Times New Roman" w:eastAsia="Times New Roman" w:hAnsi="Times New Roman" w:cs="Times New Roman"/>
                <w:b/>
                <w:bCs/>
                <w:color w:val="000000"/>
                <w:sz w:val="24"/>
                <w:szCs w:val="24"/>
                <w:vertAlign w:val="superscript"/>
              </w:rPr>
              <w:t>‡</w:t>
            </w:r>
          </w:p>
        </w:tc>
        <w:tc>
          <w:tcPr>
            <w:tcW w:w="796" w:type="dxa"/>
            <w:tcBorders>
              <w:top w:val="nil"/>
              <w:left w:val="nil"/>
              <w:bottom w:val="nil"/>
              <w:right w:val="nil"/>
            </w:tcBorders>
            <w:shd w:val="clear" w:color="auto" w:fill="auto"/>
            <w:noWrap/>
            <w:vAlign w:val="bottom"/>
            <w:hideMark/>
          </w:tcPr>
          <w:p w14:paraId="49F8DB7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98.4</w:t>
            </w:r>
          </w:p>
        </w:tc>
        <w:tc>
          <w:tcPr>
            <w:tcW w:w="796" w:type="dxa"/>
            <w:tcBorders>
              <w:top w:val="nil"/>
              <w:left w:val="nil"/>
              <w:bottom w:val="nil"/>
              <w:right w:val="nil"/>
            </w:tcBorders>
            <w:shd w:val="clear" w:color="auto" w:fill="auto"/>
            <w:noWrap/>
            <w:vAlign w:val="bottom"/>
            <w:hideMark/>
          </w:tcPr>
          <w:p w14:paraId="6B078931"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99.0</w:t>
            </w:r>
          </w:p>
        </w:tc>
        <w:tc>
          <w:tcPr>
            <w:tcW w:w="796" w:type="dxa"/>
            <w:tcBorders>
              <w:top w:val="nil"/>
              <w:left w:val="nil"/>
              <w:bottom w:val="nil"/>
              <w:right w:val="nil"/>
            </w:tcBorders>
            <w:shd w:val="clear" w:color="auto" w:fill="auto"/>
            <w:noWrap/>
            <w:vAlign w:val="bottom"/>
            <w:hideMark/>
          </w:tcPr>
          <w:p w14:paraId="1B270268"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99.0</w:t>
            </w:r>
          </w:p>
        </w:tc>
        <w:tc>
          <w:tcPr>
            <w:tcW w:w="796" w:type="dxa"/>
            <w:tcBorders>
              <w:top w:val="nil"/>
              <w:left w:val="nil"/>
              <w:bottom w:val="nil"/>
              <w:right w:val="nil"/>
            </w:tcBorders>
            <w:shd w:val="clear" w:color="auto" w:fill="auto"/>
            <w:noWrap/>
            <w:vAlign w:val="bottom"/>
            <w:hideMark/>
          </w:tcPr>
          <w:p w14:paraId="42940EF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99.9</w:t>
            </w:r>
          </w:p>
        </w:tc>
        <w:tc>
          <w:tcPr>
            <w:tcW w:w="276" w:type="dxa"/>
            <w:tcBorders>
              <w:top w:val="nil"/>
              <w:left w:val="nil"/>
              <w:bottom w:val="nil"/>
              <w:right w:val="nil"/>
            </w:tcBorders>
            <w:shd w:val="clear" w:color="auto" w:fill="auto"/>
            <w:noWrap/>
            <w:vAlign w:val="bottom"/>
            <w:hideMark/>
          </w:tcPr>
          <w:p w14:paraId="450E3879"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hideMark/>
          </w:tcPr>
          <w:p w14:paraId="4D995CA3"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94.6</w:t>
            </w:r>
          </w:p>
        </w:tc>
        <w:tc>
          <w:tcPr>
            <w:tcW w:w="796" w:type="dxa"/>
            <w:tcBorders>
              <w:top w:val="nil"/>
              <w:left w:val="nil"/>
              <w:bottom w:val="nil"/>
              <w:right w:val="nil"/>
            </w:tcBorders>
            <w:shd w:val="clear" w:color="auto" w:fill="auto"/>
            <w:noWrap/>
            <w:vAlign w:val="bottom"/>
            <w:hideMark/>
          </w:tcPr>
          <w:p w14:paraId="0F83BB86"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96.3</w:t>
            </w:r>
          </w:p>
        </w:tc>
        <w:tc>
          <w:tcPr>
            <w:tcW w:w="796" w:type="dxa"/>
            <w:tcBorders>
              <w:top w:val="nil"/>
              <w:left w:val="nil"/>
              <w:bottom w:val="nil"/>
              <w:right w:val="nil"/>
            </w:tcBorders>
            <w:shd w:val="clear" w:color="auto" w:fill="auto"/>
            <w:noWrap/>
            <w:vAlign w:val="bottom"/>
            <w:hideMark/>
          </w:tcPr>
          <w:p w14:paraId="4BBDC325"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97.1</w:t>
            </w:r>
          </w:p>
        </w:tc>
        <w:tc>
          <w:tcPr>
            <w:tcW w:w="796" w:type="dxa"/>
            <w:tcBorders>
              <w:top w:val="nil"/>
              <w:left w:val="nil"/>
              <w:bottom w:val="nil"/>
              <w:right w:val="nil"/>
            </w:tcBorders>
            <w:shd w:val="clear" w:color="auto" w:fill="auto"/>
            <w:noWrap/>
            <w:vAlign w:val="bottom"/>
            <w:hideMark/>
          </w:tcPr>
          <w:p w14:paraId="49F43683"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92.5</w:t>
            </w:r>
          </w:p>
        </w:tc>
      </w:tr>
      <w:tr w:rsidR="00282B2D" w:rsidRPr="00282B2D" w14:paraId="1F712BD3" w14:textId="77777777" w:rsidTr="00282B2D">
        <w:trPr>
          <w:trHeight w:val="300"/>
          <w:jc w:val="center"/>
        </w:trPr>
        <w:tc>
          <w:tcPr>
            <w:tcW w:w="1753" w:type="dxa"/>
            <w:vMerge/>
            <w:tcBorders>
              <w:top w:val="nil"/>
              <w:left w:val="nil"/>
              <w:bottom w:val="nil"/>
              <w:right w:val="nil"/>
            </w:tcBorders>
            <w:vAlign w:val="center"/>
            <w:hideMark/>
          </w:tcPr>
          <w:p w14:paraId="6DA32FD2"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2708" w:type="dxa"/>
            <w:tcBorders>
              <w:top w:val="nil"/>
              <w:left w:val="nil"/>
              <w:bottom w:val="nil"/>
              <w:right w:val="nil"/>
            </w:tcBorders>
            <w:shd w:val="clear" w:color="auto" w:fill="auto"/>
            <w:noWrap/>
            <w:vAlign w:val="bottom"/>
            <w:hideMark/>
          </w:tcPr>
          <w:p w14:paraId="286E8965"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Poa nemoralis</w:t>
            </w:r>
            <w:r w:rsidRPr="00282B2D">
              <w:rPr>
                <w:rFonts w:ascii="Times New Roman" w:eastAsia="Times New Roman" w:hAnsi="Times New Roman" w:cs="Times New Roman"/>
                <w:b/>
                <w:color w:val="000000"/>
                <w:sz w:val="24"/>
                <w:szCs w:val="24"/>
                <w:vertAlign w:val="superscript"/>
              </w:rPr>
              <w:t>§</w:t>
            </w:r>
          </w:p>
        </w:tc>
        <w:tc>
          <w:tcPr>
            <w:tcW w:w="796" w:type="dxa"/>
            <w:tcBorders>
              <w:top w:val="nil"/>
              <w:left w:val="nil"/>
              <w:bottom w:val="nil"/>
              <w:right w:val="nil"/>
            </w:tcBorders>
            <w:shd w:val="clear" w:color="auto" w:fill="auto"/>
            <w:noWrap/>
            <w:vAlign w:val="bottom"/>
            <w:hideMark/>
          </w:tcPr>
          <w:p w14:paraId="3399B624"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99.8</w:t>
            </w:r>
          </w:p>
        </w:tc>
        <w:tc>
          <w:tcPr>
            <w:tcW w:w="796" w:type="dxa"/>
            <w:tcBorders>
              <w:top w:val="nil"/>
              <w:left w:val="nil"/>
              <w:bottom w:val="nil"/>
              <w:right w:val="nil"/>
            </w:tcBorders>
            <w:shd w:val="clear" w:color="auto" w:fill="auto"/>
            <w:noWrap/>
            <w:vAlign w:val="bottom"/>
            <w:hideMark/>
          </w:tcPr>
          <w:p w14:paraId="2AED63BD"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99.5</w:t>
            </w:r>
          </w:p>
        </w:tc>
        <w:tc>
          <w:tcPr>
            <w:tcW w:w="796" w:type="dxa"/>
            <w:tcBorders>
              <w:top w:val="nil"/>
              <w:left w:val="nil"/>
              <w:bottom w:val="nil"/>
              <w:right w:val="nil"/>
            </w:tcBorders>
            <w:shd w:val="clear" w:color="auto" w:fill="auto"/>
            <w:noWrap/>
            <w:vAlign w:val="bottom"/>
            <w:hideMark/>
          </w:tcPr>
          <w:p w14:paraId="70180946"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96.5</w:t>
            </w:r>
          </w:p>
        </w:tc>
        <w:tc>
          <w:tcPr>
            <w:tcW w:w="796" w:type="dxa"/>
            <w:tcBorders>
              <w:top w:val="nil"/>
              <w:left w:val="nil"/>
              <w:bottom w:val="nil"/>
              <w:right w:val="nil"/>
            </w:tcBorders>
            <w:shd w:val="clear" w:color="auto" w:fill="auto"/>
            <w:noWrap/>
            <w:vAlign w:val="bottom"/>
            <w:hideMark/>
          </w:tcPr>
          <w:p w14:paraId="6528A46F"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99.6</w:t>
            </w:r>
          </w:p>
        </w:tc>
        <w:tc>
          <w:tcPr>
            <w:tcW w:w="276" w:type="dxa"/>
            <w:tcBorders>
              <w:top w:val="nil"/>
              <w:left w:val="nil"/>
              <w:bottom w:val="nil"/>
              <w:right w:val="nil"/>
            </w:tcBorders>
            <w:shd w:val="clear" w:color="auto" w:fill="auto"/>
            <w:noWrap/>
            <w:vAlign w:val="bottom"/>
            <w:hideMark/>
          </w:tcPr>
          <w:p w14:paraId="633926A4"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hideMark/>
          </w:tcPr>
          <w:p w14:paraId="228C4622"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95.8</w:t>
            </w:r>
          </w:p>
        </w:tc>
        <w:tc>
          <w:tcPr>
            <w:tcW w:w="796" w:type="dxa"/>
            <w:tcBorders>
              <w:top w:val="nil"/>
              <w:left w:val="nil"/>
              <w:bottom w:val="nil"/>
              <w:right w:val="nil"/>
            </w:tcBorders>
            <w:shd w:val="clear" w:color="auto" w:fill="auto"/>
            <w:noWrap/>
            <w:vAlign w:val="bottom"/>
            <w:hideMark/>
          </w:tcPr>
          <w:p w14:paraId="7A6B570C"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96.3</w:t>
            </w:r>
          </w:p>
        </w:tc>
        <w:tc>
          <w:tcPr>
            <w:tcW w:w="796" w:type="dxa"/>
            <w:tcBorders>
              <w:top w:val="nil"/>
              <w:left w:val="nil"/>
              <w:bottom w:val="nil"/>
              <w:right w:val="nil"/>
            </w:tcBorders>
            <w:shd w:val="clear" w:color="auto" w:fill="auto"/>
            <w:noWrap/>
            <w:vAlign w:val="bottom"/>
            <w:hideMark/>
          </w:tcPr>
          <w:p w14:paraId="02F75941"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97.4</w:t>
            </w:r>
          </w:p>
        </w:tc>
        <w:tc>
          <w:tcPr>
            <w:tcW w:w="796" w:type="dxa"/>
            <w:tcBorders>
              <w:top w:val="nil"/>
              <w:left w:val="nil"/>
              <w:bottom w:val="nil"/>
              <w:right w:val="nil"/>
            </w:tcBorders>
            <w:shd w:val="clear" w:color="auto" w:fill="auto"/>
            <w:noWrap/>
            <w:vAlign w:val="bottom"/>
            <w:hideMark/>
          </w:tcPr>
          <w:p w14:paraId="6627C9AF"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93.2</w:t>
            </w:r>
          </w:p>
        </w:tc>
      </w:tr>
      <w:tr w:rsidR="00282B2D" w:rsidRPr="00282B2D" w14:paraId="63E3D090" w14:textId="77777777" w:rsidTr="00282B2D">
        <w:trPr>
          <w:trHeight w:val="300"/>
          <w:jc w:val="center"/>
        </w:trPr>
        <w:tc>
          <w:tcPr>
            <w:tcW w:w="1753" w:type="dxa"/>
            <w:vMerge/>
            <w:tcBorders>
              <w:top w:val="nil"/>
              <w:left w:val="nil"/>
              <w:bottom w:val="nil"/>
              <w:right w:val="nil"/>
            </w:tcBorders>
            <w:vAlign w:val="center"/>
            <w:hideMark/>
          </w:tcPr>
          <w:p w14:paraId="53AB01B0"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2708" w:type="dxa"/>
            <w:tcBorders>
              <w:top w:val="nil"/>
              <w:left w:val="nil"/>
              <w:bottom w:val="nil"/>
              <w:right w:val="nil"/>
            </w:tcBorders>
            <w:shd w:val="clear" w:color="auto" w:fill="auto"/>
            <w:noWrap/>
            <w:vAlign w:val="bottom"/>
            <w:hideMark/>
          </w:tcPr>
          <w:p w14:paraId="626C9414"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P. trivialis</w:t>
            </w:r>
          </w:p>
        </w:tc>
        <w:tc>
          <w:tcPr>
            <w:tcW w:w="796" w:type="dxa"/>
            <w:tcBorders>
              <w:top w:val="nil"/>
              <w:left w:val="nil"/>
              <w:bottom w:val="nil"/>
              <w:right w:val="nil"/>
            </w:tcBorders>
            <w:shd w:val="clear" w:color="auto" w:fill="auto"/>
            <w:noWrap/>
            <w:vAlign w:val="bottom"/>
            <w:hideMark/>
          </w:tcPr>
          <w:p w14:paraId="7A79A69E"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99.2</w:t>
            </w:r>
          </w:p>
        </w:tc>
        <w:tc>
          <w:tcPr>
            <w:tcW w:w="796" w:type="dxa"/>
            <w:tcBorders>
              <w:top w:val="nil"/>
              <w:left w:val="nil"/>
              <w:bottom w:val="nil"/>
              <w:right w:val="nil"/>
            </w:tcBorders>
            <w:shd w:val="clear" w:color="auto" w:fill="auto"/>
            <w:noWrap/>
            <w:vAlign w:val="bottom"/>
            <w:hideMark/>
          </w:tcPr>
          <w:p w14:paraId="27F9F60F"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99.3</w:t>
            </w:r>
          </w:p>
        </w:tc>
        <w:tc>
          <w:tcPr>
            <w:tcW w:w="796" w:type="dxa"/>
            <w:tcBorders>
              <w:top w:val="nil"/>
              <w:left w:val="nil"/>
              <w:bottom w:val="nil"/>
              <w:right w:val="nil"/>
            </w:tcBorders>
            <w:shd w:val="clear" w:color="auto" w:fill="auto"/>
            <w:noWrap/>
            <w:vAlign w:val="bottom"/>
            <w:hideMark/>
          </w:tcPr>
          <w:p w14:paraId="3B615E43"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88.9</w:t>
            </w:r>
          </w:p>
        </w:tc>
        <w:tc>
          <w:tcPr>
            <w:tcW w:w="796" w:type="dxa"/>
            <w:tcBorders>
              <w:top w:val="nil"/>
              <w:left w:val="nil"/>
              <w:bottom w:val="nil"/>
              <w:right w:val="nil"/>
            </w:tcBorders>
            <w:shd w:val="clear" w:color="auto" w:fill="auto"/>
            <w:noWrap/>
            <w:vAlign w:val="bottom"/>
            <w:hideMark/>
          </w:tcPr>
          <w:p w14:paraId="216A0EC0"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98.4</w:t>
            </w:r>
          </w:p>
        </w:tc>
        <w:tc>
          <w:tcPr>
            <w:tcW w:w="276" w:type="dxa"/>
            <w:tcBorders>
              <w:top w:val="nil"/>
              <w:left w:val="nil"/>
              <w:bottom w:val="nil"/>
              <w:right w:val="nil"/>
            </w:tcBorders>
            <w:shd w:val="clear" w:color="auto" w:fill="auto"/>
            <w:noWrap/>
            <w:vAlign w:val="bottom"/>
            <w:hideMark/>
          </w:tcPr>
          <w:p w14:paraId="7CC4B07E"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hideMark/>
          </w:tcPr>
          <w:p w14:paraId="20B3BC53"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95.4</w:t>
            </w:r>
          </w:p>
        </w:tc>
        <w:tc>
          <w:tcPr>
            <w:tcW w:w="796" w:type="dxa"/>
            <w:tcBorders>
              <w:top w:val="nil"/>
              <w:left w:val="nil"/>
              <w:bottom w:val="nil"/>
              <w:right w:val="nil"/>
            </w:tcBorders>
            <w:shd w:val="clear" w:color="auto" w:fill="auto"/>
            <w:noWrap/>
            <w:vAlign w:val="bottom"/>
            <w:hideMark/>
          </w:tcPr>
          <w:p w14:paraId="2A4C7B05"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96.1</w:t>
            </w:r>
          </w:p>
        </w:tc>
        <w:tc>
          <w:tcPr>
            <w:tcW w:w="796" w:type="dxa"/>
            <w:tcBorders>
              <w:top w:val="nil"/>
              <w:left w:val="nil"/>
              <w:bottom w:val="nil"/>
              <w:right w:val="nil"/>
            </w:tcBorders>
            <w:shd w:val="clear" w:color="auto" w:fill="auto"/>
            <w:noWrap/>
            <w:vAlign w:val="bottom"/>
            <w:hideMark/>
          </w:tcPr>
          <w:p w14:paraId="53183180"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77.3</w:t>
            </w:r>
          </w:p>
        </w:tc>
        <w:tc>
          <w:tcPr>
            <w:tcW w:w="796" w:type="dxa"/>
            <w:tcBorders>
              <w:top w:val="nil"/>
              <w:left w:val="nil"/>
              <w:bottom w:val="nil"/>
              <w:right w:val="nil"/>
            </w:tcBorders>
            <w:shd w:val="clear" w:color="auto" w:fill="auto"/>
            <w:noWrap/>
            <w:vAlign w:val="bottom"/>
            <w:hideMark/>
          </w:tcPr>
          <w:p w14:paraId="622FEEAA"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84.9</w:t>
            </w:r>
          </w:p>
        </w:tc>
      </w:tr>
      <w:tr w:rsidR="00282B2D" w:rsidRPr="00282B2D" w14:paraId="123D8E66" w14:textId="77777777" w:rsidTr="00282B2D">
        <w:trPr>
          <w:trHeight w:val="300"/>
          <w:jc w:val="center"/>
        </w:trPr>
        <w:tc>
          <w:tcPr>
            <w:tcW w:w="1753" w:type="dxa"/>
            <w:vMerge/>
            <w:tcBorders>
              <w:top w:val="nil"/>
              <w:left w:val="nil"/>
              <w:bottom w:val="nil"/>
              <w:right w:val="nil"/>
            </w:tcBorders>
            <w:vAlign w:val="center"/>
            <w:hideMark/>
          </w:tcPr>
          <w:p w14:paraId="35C5183A"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2708" w:type="dxa"/>
            <w:tcBorders>
              <w:top w:val="nil"/>
              <w:left w:val="nil"/>
              <w:bottom w:val="nil"/>
              <w:right w:val="nil"/>
            </w:tcBorders>
            <w:shd w:val="clear" w:color="auto" w:fill="auto"/>
            <w:noWrap/>
            <w:vAlign w:val="bottom"/>
            <w:hideMark/>
          </w:tcPr>
          <w:p w14:paraId="653F42D5"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P. supina</w:t>
            </w:r>
          </w:p>
        </w:tc>
        <w:tc>
          <w:tcPr>
            <w:tcW w:w="796" w:type="dxa"/>
            <w:tcBorders>
              <w:top w:val="nil"/>
              <w:left w:val="nil"/>
              <w:bottom w:val="nil"/>
              <w:right w:val="nil"/>
            </w:tcBorders>
            <w:shd w:val="clear" w:color="auto" w:fill="auto"/>
            <w:noWrap/>
            <w:vAlign w:val="bottom"/>
            <w:hideMark/>
          </w:tcPr>
          <w:p w14:paraId="46F3D67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99.1</w:t>
            </w:r>
          </w:p>
        </w:tc>
        <w:tc>
          <w:tcPr>
            <w:tcW w:w="796" w:type="dxa"/>
            <w:tcBorders>
              <w:top w:val="nil"/>
              <w:left w:val="nil"/>
              <w:bottom w:val="nil"/>
              <w:right w:val="nil"/>
            </w:tcBorders>
            <w:shd w:val="clear" w:color="auto" w:fill="auto"/>
            <w:noWrap/>
            <w:vAlign w:val="bottom"/>
            <w:hideMark/>
          </w:tcPr>
          <w:p w14:paraId="1376B0ED"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98.5</w:t>
            </w:r>
          </w:p>
        </w:tc>
        <w:tc>
          <w:tcPr>
            <w:tcW w:w="796" w:type="dxa"/>
            <w:tcBorders>
              <w:top w:val="nil"/>
              <w:left w:val="nil"/>
              <w:bottom w:val="nil"/>
              <w:right w:val="nil"/>
            </w:tcBorders>
            <w:shd w:val="clear" w:color="auto" w:fill="auto"/>
            <w:noWrap/>
            <w:vAlign w:val="bottom"/>
            <w:hideMark/>
          </w:tcPr>
          <w:p w14:paraId="4B6E41F3"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98.9</w:t>
            </w:r>
          </w:p>
        </w:tc>
        <w:tc>
          <w:tcPr>
            <w:tcW w:w="796" w:type="dxa"/>
            <w:tcBorders>
              <w:top w:val="nil"/>
              <w:left w:val="nil"/>
              <w:bottom w:val="nil"/>
              <w:right w:val="nil"/>
            </w:tcBorders>
            <w:shd w:val="clear" w:color="auto" w:fill="auto"/>
            <w:noWrap/>
            <w:vAlign w:val="bottom"/>
            <w:hideMark/>
          </w:tcPr>
          <w:p w14:paraId="5FE4D68D"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99.6</w:t>
            </w:r>
          </w:p>
        </w:tc>
        <w:tc>
          <w:tcPr>
            <w:tcW w:w="276" w:type="dxa"/>
            <w:tcBorders>
              <w:top w:val="nil"/>
              <w:left w:val="nil"/>
              <w:bottom w:val="nil"/>
              <w:right w:val="nil"/>
            </w:tcBorders>
            <w:shd w:val="clear" w:color="auto" w:fill="auto"/>
            <w:noWrap/>
            <w:vAlign w:val="bottom"/>
            <w:hideMark/>
          </w:tcPr>
          <w:p w14:paraId="6907BFCE"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hideMark/>
          </w:tcPr>
          <w:p w14:paraId="695620D8"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99.0</w:t>
            </w:r>
          </w:p>
        </w:tc>
        <w:tc>
          <w:tcPr>
            <w:tcW w:w="796" w:type="dxa"/>
            <w:tcBorders>
              <w:top w:val="nil"/>
              <w:left w:val="nil"/>
              <w:bottom w:val="nil"/>
              <w:right w:val="nil"/>
            </w:tcBorders>
            <w:shd w:val="clear" w:color="auto" w:fill="auto"/>
            <w:noWrap/>
            <w:vAlign w:val="bottom"/>
            <w:hideMark/>
          </w:tcPr>
          <w:p w14:paraId="2836E499"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94.9</w:t>
            </w:r>
          </w:p>
        </w:tc>
        <w:tc>
          <w:tcPr>
            <w:tcW w:w="796" w:type="dxa"/>
            <w:tcBorders>
              <w:top w:val="nil"/>
              <w:left w:val="nil"/>
              <w:bottom w:val="nil"/>
              <w:right w:val="nil"/>
            </w:tcBorders>
            <w:shd w:val="clear" w:color="auto" w:fill="auto"/>
            <w:noWrap/>
            <w:vAlign w:val="bottom"/>
            <w:hideMark/>
          </w:tcPr>
          <w:p w14:paraId="5CEC8B29"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77.1</w:t>
            </w:r>
          </w:p>
        </w:tc>
        <w:tc>
          <w:tcPr>
            <w:tcW w:w="796" w:type="dxa"/>
            <w:tcBorders>
              <w:top w:val="nil"/>
              <w:left w:val="nil"/>
              <w:bottom w:val="nil"/>
              <w:right w:val="nil"/>
            </w:tcBorders>
            <w:shd w:val="clear" w:color="auto" w:fill="auto"/>
            <w:noWrap/>
            <w:vAlign w:val="bottom"/>
            <w:hideMark/>
          </w:tcPr>
          <w:p w14:paraId="79A38BF7"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77.6</w:t>
            </w:r>
          </w:p>
        </w:tc>
      </w:tr>
      <w:tr w:rsidR="00282B2D" w:rsidRPr="00282B2D" w14:paraId="4DE65E03" w14:textId="77777777" w:rsidTr="00282B2D">
        <w:trPr>
          <w:trHeight w:val="300"/>
          <w:jc w:val="center"/>
        </w:trPr>
        <w:tc>
          <w:tcPr>
            <w:tcW w:w="1753" w:type="dxa"/>
            <w:vMerge/>
            <w:tcBorders>
              <w:top w:val="nil"/>
              <w:left w:val="nil"/>
              <w:bottom w:val="nil"/>
              <w:right w:val="nil"/>
            </w:tcBorders>
            <w:vAlign w:val="center"/>
            <w:hideMark/>
          </w:tcPr>
          <w:p w14:paraId="5E8CA8B5"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2708" w:type="dxa"/>
            <w:tcBorders>
              <w:top w:val="nil"/>
              <w:left w:val="nil"/>
              <w:bottom w:val="nil"/>
              <w:right w:val="nil"/>
            </w:tcBorders>
            <w:shd w:val="clear" w:color="auto" w:fill="auto"/>
            <w:noWrap/>
            <w:vAlign w:val="bottom"/>
            <w:hideMark/>
          </w:tcPr>
          <w:p w14:paraId="553116CC"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Lolium perenne</w:t>
            </w:r>
          </w:p>
        </w:tc>
        <w:tc>
          <w:tcPr>
            <w:tcW w:w="796" w:type="dxa"/>
            <w:tcBorders>
              <w:top w:val="nil"/>
              <w:left w:val="nil"/>
              <w:bottom w:val="nil"/>
              <w:right w:val="nil"/>
            </w:tcBorders>
            <w:shd w:val="clear" w:color="auto" w:fill="auto"/>
            <w:noWrap/>
            <w:vAlign w:val="bottom"/>
            <w:hideMark/>
          </w:tcPr>
          <w:p w14:paraId="5744714A"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99.7</w:t>
            </w:r>
          </w:p>
        </w:tc>
        <w:tc>
          <w:tcPr>
            <w:tcW w:w="796" w:type="dxa"/>
            <w:tcBorders>
              <w:top w:val="nil"/>
              <w:left w:val="nil"/>
              <w:bottom w:val="nil"/>
              <w:right w:val="nil"/>
            </w:tcBorders>
            <w:shd w:val="clear" w:color="auto" w:fill="auto"/>
            <w:noWrap/>
            <w:vAlign w:val="bottom"/>
            <w:hideMark/>
          </w:tcPr>
          <w:p w14:paraId="77BB1446"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99.7</w:t>
            </w:r>
          </w:p>
        </w:tc>
        <w:tc>
          <w:tcPr>
            <w:tcW w:w="796" w:type="dxa"/>
            <w:tcBorders>
              <w:top w:val="nil"/>
              <w:left w:val="nil"/>
              <w:bottom w:val="nil"/>
              <w:right w:val="nil"/>
            </w:tcBorders>
            <w:shd w:val="clear" w:color="auto" w:fill="auto"/>
            <w:noWrap/>
            <w:vAlign w:val="bottom"/>
            <w:hideMark/>
          </w:tcPr>
          <w:p w14:paraId="5F05ACF3"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99.1</w:t>
            </w:r>
          </w:p>
        </w:tc>
        <w:tc>
          <w:tcPr>
            <w:tcW w:w="796" w:type="dxa"/>
            <w:tcBorders>
              <w:top w:val="nil"/>
              <w:left w:val="nil"/>
              <w:bottom w:val="nil"/>
              <w:right w:val="nil"/>
            </w:tcBorders>
            <w:shd w:val="clear" w:color="auto" w:fill="auto"/>
            <w:noWrap/>
            <w:vAlign w:val="bottom"/>
            <w:hideMark/>
          </w:tcPr>
          <w:p w14:paraId="77C8D94A"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99.7</w:t>
            </w:r>
          </w:p>
        </w:tc>
        <w:tc>
          <w:tcPr>
            <w:tcW w:w="276" w:type="dxa"/>
            <w:tcBorders>
              <w:top w:val="nil"/>
              <w:left w:val="nil"/>
              <w:bottom w:val="nil"/>
              <w:right w:val="nil"/>
            </w:tcBorders>
            <w:shd w:val="clear" w:color="auto" w:fill="auto"/>
            <w:noWrap/>
            <w:vAlign w:val="bottom"/>
            <w:hideMark/>
          </w:tcPr>
          <w:p w14:paraId="6F44E51D"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hideMark/>
          </w:tcPr>
          <w:p w14:paraId="411685D7"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95.7</w:t>
            </w:r>
          </w:p>
        </w:tc>
        <w:tc>
          <w:tcPr>
            <w:tcW w:w="796" w:type="dxa"/>
            <w:tcBorders>
              <w:top w:val="nil"/>
              <w:left w:val="nil"/>
              <w:bottom w:val="nil"/>
              <w:right w:val="nil"/>
            </w:tcBorders>
            <w:shd w:val="clear" w:color="auto" w:fill="auto"/>
            <w:noWrap/>
            <w:vAlign w:val="bottom"/>
            <w:hideMark/>
          </w:tcPr>
          <w:p w14:paraId="18197022"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91.6</w:t>
            </w:r>
          </w:p>
        </w:tc>
        <w:tc>
          <w:tcPr>
            <w:tcW w:w="796" w:type="dxa"/>
            <w:tcBorders>
              <w:top w:val="nil"/>
              <w:left w:val="nil"/>
              <w:bottom w:val="nil"/>
              <w:right w:val="nil"/>
            </w:tcBorders>
            <w:shd w:val="clear" w:color="auto" w:fill="auto"/>
            <w:noWrap/>
            <w:vAlign w:val="bottom"/>
            <w:hideMark/>
          </w:tcPr>
          <w:p w14:paraId="22EF98D4"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89.1</w:t>
            </w:r>
          </w:p>
        </w:tc>
        <w:tc>
          <w:tcPr>
            <w:tcW w:w="796" w:type="dxa"/>
            <w:tcBorders>
              <w:top w:val="nil"/>
              <w:left w:val="nil"/>
              <w:bottom w:val="nil"/>
              <w:right w:val="nil"/>
            </w:tcBorders>
            <w:shd w:val="clear" w:color="auto" w:fill="auto"/>
            <w:noWrap/>
            <w:vAlign w:val="bottom"/>
            <w:hideMark/>
          </w:tcPr>
          <w:p w14:paraId="5CC6B3A3"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88.6</w:t>
            </w:r>
          </w:p>
        </w:tc>
      </w:tr>
      <w:tr w:rsidR="00282B2D" w:rsidRPr="00282B2D" w14:paraId="4E9EBE4C" w14:textId="77777777" w:rsidTr="00282B2D">
        <w:trPr>
          <w:trHeight w:val="300"/>
          <w:jc w:val="center"/>
        </w:trPr>
        <w:tc>
          <w:tcPr>
            <w:tcW w:w="1753" w:type="dxa"/>
            <w:vMerge w:val="restart"/>
            <w:tcBorders>
              <w:top w:val="nil"/>
              <w:left w:val="nil"/>
              <w:bottom w:val="nil"/>
              <w:right w:val="nil"/>
            </w:tcBorders>
            <w:shd w:val="clear" w:color="auto" w:fill="auto"/>
            <w:noWrap/>
            <w:hideMark/>
          </w:tcPr>
          <w:p w14:paraId="19B18537"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TS</w:t>
            </w:r>
          </w:p>
        </w:tc>
        <w:tc>
          <w:tcPr>
            <w:tcW w:w="2708" w:type="dxa"/>
            <w:tcBorders>
              <w:top w:val="nil"/>
              <w:left w:val="nil"/>
              <w:bottom w:val="nil"/>
              <w:right w:val="nil"/>
            </w:tcBorders>
            <w:shd w:val="clear" w:color="auto" w:fill="auto"/>
            <w:noWrap/>
            <w:vAlign w:val="bottom"/>
            <w:hideMark/>
          </w:tcPr>
          <w:p w14:paraId="4A504694"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Control</w:t>
            </w:r>
          </w:p>
        </w:tc>
        <w:tc>
          <w:tcPr>
            <w:tcW w:w="796" w:type="dxa"/>
            <w:tcBorders>
              <w:top w:val="nil"/>
              <w:left w:val="nil"/>
              <w:bottom w:val="nil"/>
              <w:right w:val="nil"/>
            </w:tcBorders>
            <w:shd w:val="clear" w:color="auto" w:fill="auto"/>
            <w:noWrap/>
            <w:vAlign w:val="bottom"/>
            <w:hideMark/>
          </w:tcPr>
          <w:p w14:paraId="04B06D11"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89.9</w:t>
            </w:r>
          </w:p>
        </w:tc>
        <w:tc>
          <w:tcPr>
            <w:tcW w:w="796" w:type="dxa"/>
            <w:tcBorders>
              <w:top w:val="nil"/>
              <w:left w:val="nil"/>
              <w:bottom w:val="nil"/>
              <w:right w:val="nil"/>
            </w:tcBorders>
            <w:shd w:val="clear" w:color="auto" w:fill="auto"/>
            <w:noWrap/>
            <w:vAlign w:val="bottom"/>
            <w:hideMark/>
          </w:tcPr>
          <w:p w14:paraId="7F54DBB8"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93.7</w:t>
            </w:r>
          </w:p>
        </w:tc>
        <w:tc>
          <w:tcPr>
            <w:tcW w:w="796" w:type="dxa"/>
            <w:tcBorders>
              <w:top w:val="nil"/>
              <w:left w:val="nil"/>
              <w:bottom w:val="nil"/>
              <w:right w:val="nil"/>
            </w:tcBorders>
            <w:shd w:val="clear" w:color="auto" w:fill="auto"/>
            <w:noWrap/>
            <w:vAlign w:val="bottom"/>
            <w:hideMark/>
          </w:tcPr>
          <w:p w14:paraId="757E2B09"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98.2</w:t>
            </w:r>
          </w:p>
        </w:tc>
        <w:tc>
          <w:tcPr>
            <w:tcW w:w="796" w:type="dxa"/>
            <w:tcBorders>
              <w:top w:val="nil"/>
              <w:left w:val="nil"/>
              <w:bottom w:val="nil"/>
              <w:right w:val="nil"/>
            </w:tcBorders>
            <w:shd w:val="clear" w:color="auto" w:fill="auto"/>
            <w:noWrap/>
            <w:vAlign w:val="bottom"/>
            <w:hideMark/>
          </w:tcPr>
          <w:p w14:paraId="0445E897"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99.2</w:t>
            </w:r>
          </w:p>
        </w:tc>
        <w:tc>
          <w:tcPr>
            <w:tcW w:w="276" w:type="dxa"/>
            <w:tcBorders>
              <w:top w:val="nil"/>
              <w:left w:val="nil"/>
              <w:bottom w:val="nil"/>
              <w:right w:val="nil"/>
            </w:tcBorders>
            <w:shd w:val="clear" w:color="auto" w:fill="auto"/>
            <w:noWrap/>
            <w:vAlign w:val="bottom"/>
            <w:hideMark/>
          </w:tcPr>
          <w:p w14:paraId="08F8A720"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hideMark/>
          </w:tcPr>
          <w:p w14:paraId="463027EE"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96.3</w:t>
            </w:r>
          </w:p>
        </w:tc>
        <w:tc>
          <w:tcPr>
            <w:tcW w:w="796" w:type="dxa"/>
            <w:tcBorders>
              <w:top w:val="nil"/>
              <w:left w:val="nil"/>
              <w:bottom w:val="nil"/>
              <w:right w:val="nil"/>
            </w:tcBorders>
            <w:shd w:val="clear" w:color="auto" w:fill="auto"/>
            <w:noWrap/>
            <w:vAlign w:val="bottom"/>
            <w:hideMark/>
          </w:tcPr>
          <w:p w14:paraId="40789CDE"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96.3</w:t>
            </w:r>
          </w:p>
        </w:tc>
        <w:tc>
          <w:tcPr>
            <w:tcW w:w="796" w:type="dxa"/>
            <w:tcBorders>
              <w:top w:val="nil"/>
              <w:left w:val="nil"/>
              <w:bottom w:val="nil"/>
              <w:right w:val="nil"/>
            </w:tcBorders>
            <w:shd w:val="clear" w:color="auto" w:fill="auto"/>
            <w:noWrap/>
            <w:vAlign w:val="bottom"/>
            <w:hideMark/>
          </w:tcPr>
          <w:p w14:paraId="6E26CE75"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97.9</w:t>
            </w:r>
          </w:p>
        </w:tc>
        <w:tc>
          <w:tcPr>
            <w:tcW w:w="796" w:type="dxa"/>
            <w:tcBorders>
              <w:top w:val="nil"/>
              <w:left w:val="nil"/>
              <w:bottom w:val="nil"/>
              <w:right w:val="nil"/>
            </w:tcBorders>
            <w:shd w:val="clear" w:color="auto" w:fill="auto"/>
            <w:noWrap/>
            <w:vAlign w:val="bottom"/>
            <w:hideMark/>
          </w:tcPr>
          <w:p w14:paraId="61CB483A"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92.7</w:t>
            </w:r>
          </w:p>
        </w:tc>
      </w:tr>
      <w:tr w:rsidR="00282B2D" w:rsidRPr="00282B2D" w14:paraId="15B141A8" w14:textId="77777777" w:rsidTr="00282B2D">
        <w:trPr>
          <w:trHeight w:val="300"/>
          <w:jc w:val="center"/>
        </w:trPr>
        <w:tc>
          <w:tcPr>
            <w:tcW w:w="1753" w:type="dxa"/>
            <w:vMerge/>
            <w:tcBorders>
              <w:top w:val="nil"/>
              <w:left w:val="nil"/>
              <w:bottom w:val="nil"/>
              <w:right w:val="nil"/>
            </w:tcBorders>
            <w:vAlign w:val="center"/>
            <w:hideMark/>
          </w:tcPr>
          <w:p w14:paraId="3AF752A9"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2708" w:type="dxa"/>
            <w:tcBorders>
              <w:top w:val="nil"/>
              <w:left w:val="nil"/>
              <w:bottom w:val="nil"/>
              <w:right w:val="nil"/>
            </w:tcBorders>
            <w:shd w:val="clear" w:color="auto" w:fill="auto"/>
            <w:noWrap/>
            <w:vAlign w:val="bottom"/>
            <w:hideMark/>
          </w:tcPr>
          <w:p w14:paraId="3D2AEA32"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P. nemoralis</w:t>
            </w:r>
          </w:p>
        </w:tc>
        <w:tc>
          <w:tcPr>
            <w:tcW w:w="796" w:type="dxa"/>
            <w:tcBorders>
              <w:top w:val="nil"/>
              <w:left w:val="nil"/>
              <w:bottom w:val="nil"/>
              <w:right w:val="nil"/>
            </w:tcBorders>
            <w:shd w:val="clear" w:color="auto" w:fill="auto"/>
            <w:noWrap/>
            <w:vAlign w:val="bottom"/>
            <w:hideMark/>
          </w:tcPr>
          <w:p w14:paraId="326760F9"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89.3</w:t>
            </w:r>
          </w:p>
        </w:tc>
        <w:tc>
          <w:tcPr>
            <w:tcW w:w="796" w:type="dxa"/>
            <w:tcBorders>
              <w:top w:val="nil"/>
              <w:left w:val="nil"/>
              <w:bottom w:val="nil"/>
              <w:right w:val="nil"/>
            </w:tcBorders>
            <w:shd w:val="clear" w:color="auto" w:fill="auto"/>
            <w:noWrap/>
            <w:vAlign w:val="bottom"/>
            <w:hideMark/>
          </w:tcPr>
          <w:p w14:paraId="42FFFE0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86.1</w:t>
            </w:r>
          </w:p>
        </w:tc>
        <w:tc>
          <w:tcPr>
            <w:tcW w:w="796" w:type="dxa"/>
            <w:tcBorders>
              <w:top w:val="nil"/>
              <w:left w:val="nil"/>
              <w:bottom w:val="nil"/>
              <w:right w:val="nil"/>
            </w:tcBorders>
            <w:shd w:val="clear" w:color="auto" w:fill="auto"/>
            <w:noWrap/>
            <w:vAlign w:val="bottom"/>
            <w:hideMark/>
          </w:tcPr>
          <w:p w14:paraId="71C06C7D"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98.8</w:t>
            </w:r>
          </w:p>
        </w:tc>
        <w:tc>
          <w:tcPr>
            <w:tcW w:w="796" w:type="dxa"/>
            <w:tcBorders>
              <w:top w:val="nil"/>
              <w:left w:val="nil"/>
              <w:bottom w:val="nil"/>
              <w:right w:val="nil"/>
            </w:tcBorders>
            <w:shd w:val="clear" w:color="auto" w:fill="auto"/>
            <w:noWrap/>
            <w:vAlign w:val="bottom"/>
            <w:hideMark/>
          </w:tcPr>
          <w:p w14:paraId="7E0EE879"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99.6</w:t>
            </w:r>
          </w:p>
        </w:tc>
        <w:tc>
          <w:tcPr>
            <w:tcW w:w="276" w:type="dxa"/>
            <w:tcBorders>
              <w:top w:val="nil"/>
              <w:left w:val="nil"/>
              <w:bottom w:val="nil"/>
              <w:right w:val="nil"/>
            </w:tcBorders>
            <w:shd w:val="clear" w:color="auto" w:fill="auto"/>
            <w:noWrap/>
            <w:vAlign w:val="bottom"/>
            <w:hideMark/>
          </w:tcPr>
          <w:p w14:paraId="1CF96DE9"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hideMark/>
          </w:tcPr>
          <w:p w14:paraId="27FA322D"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92.8</w:t>
            </w:r>
          </w:p>
        </w:tc>
        <w:tc>
          <w:tcPr>
            <w:tcW w:w="796" w:type="dxa"/>
            <w:tcBorders>
              <w:top w:val="nil"/>
              <w:left w:val="nil"/>
              <w:bottom w:val="nil"/>
              <w:right w:val="nil"/>
            </w:tcBorders>
            <w:shd w:val="clear" w:color="auto" w:fill="auto"/>
            <w:noWrap/>
            <w:vAlign w:val="bottom"/>
            <w:hideMark/>
          </w:tcPr>
          <w:p w14:paraId="4463BA78"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94.0</w:t>
            </w:r>
          </w:p>
        </w:tc>
        <w:tc>
          <w:tcPr>
            <w:tcW w:w="796" w:type="dxa"/>
            <w:tcBorders>
              <w:top w:val="nil"/>
              <w:left w:val="nil"/>
              <w:bottom w:val="nil"/>
              <w:right w:val="nil"/>
            </w:tcBorders>
            <w:shd w:val="clear" w:color="auto" w:fill="auto"/>
            <w:noWrap/>
            <w:vAlign w:val="bottom"/>
            <w:hideMark/>
          </w:tcPr>
          <w:p w14:paraId="40F56A6E"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97.2</w:t>
            </w:r>
          </w:p>
        </w:tc>
        <w:tc>
          <w:tcPr>
            <w:tcW w:w="796" w:type="dxa"/>
            <w:tcBorders>
              <w:top w:val="nil"/>
              <w:left w:val="nil"/>
              <w:bottom w:val="nil"/>
              <w:right w:val="nil"/>
            </w:tcBorders>
            <w:shd w:val="clear" w:color="auto" w:fill="auto"/>
            <w:noWrap/>
            <w:vAlign w:val="bottom"/>
            <w:hideMark/>
          </w:tcPr>
          <w:p w14:paraId="2200D9D3"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87.9</w:t>
            </w:r>
          </w:p>
        </w:tc>
      </w:tr>
      <w:tr w:rsidR="00282B2D" w:rsidRPr="00282B2D" w14:paraId="2B57E3F5" w14:textId="77777777" w:rsidTr="00282B2D">
        <w:trPr>
          <w:trHeight w:val="300"/>
          <w:jc w:val="center"/>
        </w:trPr>
        <w:tc>
          <w:tcPr>
            <w:tcW w:w="1753" w:type="dxa"/>
            <w:vMerge/>
            <w:tcBorders>
              <w:top w:val="nil"/>
              <w:left w:val="nil"/>
              <w:bottom w:val="nil"/>
              <w:right w:val="nil"/>
            </w:tcBorders>
            <w:vAlign w:val="center"/>
            <w:hideMark/>
          </w:tcPr>
          <w:p w14:paraId="4C3080E1"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2708" w:type="dxa"/>
            <w:tcBorders>
              <w:top w:val="nil"/>
              <w:left w:val="nil"/>
              <w:bottom w:val="nil"/>
              <w:right w:val="nil"/>
            </w:tcBorders>
            <w:shd w:val="clear" w:color="auto" w:fill="auto"/>
            <w:noWrap/>
            <w:vAlign w:val="bottom"/>
            <w:hideMark/>
          </w:tcPr>
          <w:p w14:paraId="7BCD1013"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P. trivialis</w:t>
            </w:r>
          </w:p>
        </w:tc>
        <w:tc>
          <w:tcPr>
            <w:tcW w:w="796" w:type="dxa"/>
            <w:tcBorders>
              <w:top w:val="nil"/>
              <w:left w:val="nil"/>
              <w:bottom w:val="nil"/>
              <w:right w:val="nil"/>
            </w:tcBorders>
            <w:shd w:val="clear" w:color="auto" w:fill="auto"/>
            <w:noWrap/>
            <w:vAlign w:val="bottom"/>
            <w:hideMark/>
          </w:tcPr>
          <w:p w14:paraId="04EEAF07"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63.2</w:t>
            </w:r>
          </w:p>
        </w:tc>
        <w:tc>
          <w:tcPr>
            <w:tcW w:w="796" w:type="dxa"/>
            <w:tcBorders>
              <w:top w:val="nil"/>
              <w:left w:val="nil"/>
              <w:bottom w:val="nil"/>
              <w:right w:val="nil"/>
            </w:tcBorders>
            <w:shd w:val="clear" w:color="auto" w:fill="auto"/>
            <w:noWrap/>
            <w:vAlign w:val="bottom"/>
            <w:hideMark/>
          </w:tcPr>
          <w:p w14:paraId="53BD586A"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76.1</w:t>
            </w:r>
          </w:p>
        </w:tc>
        <w:tc>
          <w:tcPr>
            <w:tcW w:w="796" w:type="dxa"/>
            <w:tcBorders>
              <w:top w:val="nil"/>
              <w:left w:val="nil"/>
              <w:bottom w:val="nil"/>
              <w:right w:val="nil"/>
            </w:tcBorders>
            <w:shd w:val="clear" w:color="auto" w:fill="auto"/>
            <w:noWrap/>
            <w:vAlign w:val="bottom"/>
            <w:hideMark/>
          </w:tcPr>
          <w:p w14:paraId="21F5AF2E"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94.3</w:t>
            </w:r>
          </w:p>
        </w:tc>
        <w:tc>
          <w:tcPr>
            <w:tcW w:w="796" w:type="dxa"/>
            <w:tcBorders>
              <w:top w:val="nil"/>
              <w:left w:val="nil"/>
              <w:bottom w:val="nil"/>
              <w:right w:val="nil"/>
            </w:tcBorders>
            <w:shd w:val="clear" w:color="auto" w:fill="auto"/>
            <w:noWrap/>
            <w:vAlign w:val="bottom"/>
            <w:hideMark/>
          </w:tcPr>
          <w:p w14:paraId="694E34ED"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98.7</w:t>
            </w:r>
          </w:p>
        </w:tc>
        <w:tc>
          <w:tcPr>
            <w:tcW w:w="276" w:type="dxa"/>
            <w:tcBorders>
              <w:top w:val="nil"/>
              <w:left w:val="nil"/>
              <w:bottom w:val="nil"/>
              <w:right w:val="nil"/>
            </w:tcBorders>
            <w:shd w:val="clear" w:color="auto" w:fill="auto"/>
            <w:noWrap/>
            <w:vAlign w:val="bottom"/>
            <w:hideMark/>
          </w:tcPr>
          <w:p w14:paraId="7851514B"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hideMark/>
          </w:tcPr>
          <w:p w14:paraId="62A8AB59"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58.8</w:t>
            </w:r>
          </w:p>
        </w:tc>
        <w:tc>
          <w:tcPr>
            <w:tcW w:w="796" w:type="dxa"/>
            <w:tcBorders>
              <w:top w:val="nil"/>
              <w:left w:val="nil"/>
              <w:bottom w:val="nil"/>
              <w:right w:val="nil"/>
            </w:tcBorders>
            <w:shd w:val="clear" w:color="auto" w:fill="auto"/>
            <w:noWrap/>
            <w:vAlign w:val="bottom"/>
            <w:hideMark/>
          </w:tcPr>
          <w:p w14:paraId="7BC24DF8"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74.8</w:t>
            </w:r>
          </w:p>
        </w:tc>
        <w:tc>
          <w:tcPr>
            <w:tcW w:w="796" w:type="dxa"/>
            <w:tcBorders>
              <w:top w:val="nil"/>
              <w:left w:val="nil"/>
              <w:bottom w:val="nil"/>
              <w:right w:val="nil"/>
            </w:tcBorders>
            <w:shd w:val="clear" w:color="auto" w:fill="auto"/>
            <w:noWrap/>
            <w:vAlign w:val="bottom"/>
            <w:hideMark/>
          </w:tcPr>
          <w:p w14:paraId="68361EB9"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96.4</w:t>
            </w:r>
          </w:p>
        </w:tc>
        <w:tc>
          <w:tcPr>
            <w:tcW w:w="796" w:type="dxa"/>
            <w:tcBorders>
              <w:top w:val="nil"/>
              <w:left w:val="nil"/>
              <w:bottom w:val="nil"/>
              <w:right w:val="nil"/>
            </w:tcBorders>
            <w:shd w:val="clear" w:color="auto" w:fill="auto"/>
            <w:noWrap/>
            <w:vAlign w:val="bottom"/>
            <w:hideMark/>
          </w:tcPr>
          <w:p w14:paraId="7F459451"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92.1</w:t>
            </w:r>
          </w:p>
        </w:tc>
      </w:tr>
      <w:tr w:rsidR="00282B2D" w:rsidRPr="00282B2D" w14:paraId="65D722B1" w14:textId="77777777" w:rsidTr="00282B2D">
        <w:trPr>
          <w:trHeight w:val="300"/>
          <w:jc w:val="center"/>
        </w:trPr>
        <w:tc>
          <w:tcPr>
            <w:tcW w:w="1753" w:type="dxa"/>
            <w:vMerge/>
            <w:tcBorders>
              <w:top w:val="nil"/>
              <w:left w:val="nil"/>
              <w:bottom w:val="nil"/>
              <w:right w:val="nil"/>
            </w:tcBorders>
            <w:vAlign w:val="center"/>
            <w:hideMark/>
          </w:tcPr>
          <w:p w14:paraId="65D103A5"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2708" w:type="dxa"/>
            <w:tcBorders>
              <w:top w:val="nil"/>
              <w:left w:val="nil"/>
              <w:bottom w:val="nil"/>
              <w:right w:val="nil"/>
            </w:tcBorders>
            <w:shd w:val="clear" w:color="auto" w:fill="auto"/>
            <w:noWrap/>
            <w:vAlign w:val="bottom"/>
            <w:hideMark/>
          </w:tcPr>
          <w:p w14:paraId="1E85C263"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P. supina</w:t>
            </w:r>
          </w:p>
        </w:tc>
        <w:tc>
          <w:tcPr>
            <w:tcW w:w="796" w:type="dxa"/>
            <w:tcBorders>
              <w:top w:val="nil"/>
              <w:left w:val="nil"/>
              <w:bottom w:val="nil"/>
              <w:right w:val="nil"/>
            </w:tcBorders>
            <w:shd w:val="clear" w:color="auto" w:fill="auto"/>
            <w:noWrap/>
            <w:vAlign w:val="bottom"/>
            <w:hideMark/>
          </w:tcPr>
          <w:p w14:paraId="0C7F0398"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95.9</w:t>
            </w:r>
          </w:p>
        </w:tc>
        <w:tc>
          <w:tcPr>
            <w:tcW w:w="796" w:type="dxa"/>
            <w:tcBorders>
              <w:top w:val="nil"/>
              <w:left w:val="nil"/>
              <w:bottom w:val="nil"/>
              <w:right w:val="nil"/>
            </w:tcBorders>
            <w:shd w:val="clear" w:color="auto" w:fill="auto"/>
            <w:noWrap/>
            <w:vAlign w:val="bottom"/>
            <w:hideMark/>
          </w:tcPr>
          <w:p w14:paraId="7FB99776"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93.0</w:t>
            </w:r>
          </w:p>
        </w:tc>
        <w:tc>
          <w:tcPr>
            <w:tcW w:w="796" w:type="dxa"/>
            <w:tcBorders>
              <w:top w:val="nil"/>
              <w:left w:val="nil"/>
              <w:bottom w:val="nil"/>
              <w:right w:val="nil"/>
            </w:tcBorders>
            <w:shd w:val="clear" w:color="auto" w:fill="auto"/>
            <w:noWrap/>
            <w:vAlign w:val="bottom"/>
            <w:hideMark/>
          </w:tcPr>
          <w:p w14:paraId="0DF4816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96.9</w:t>
            </w:r>
          </w:p>
        </w:tc>
        <w:tc>
          <w:tcPr>
            <w:tcW w:w="796" w:type="dxa"/>
            <w:tcBorders>
              <w:top w:val="nil"/>
              <w:left w:val="nil"/>
              <w:bottom w:val="nil"/>
              <w:right w:val="nil"/>
            </w:tcBorders>
            <w:shd w:val="clear" w:color="auto" w:fill="auto"/>
            <w:noWrap/>
            <w:vAlign w:val="bottom"/>
            <w:hideMark/>
          </w:tcPr>
          <w:p w14:paraId="78143549"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99.1</w:t>
            </w:r>
          </w:p>
        </w:tc>
        <w:tc>
          <w:tcPr>
            <w:tcW w:w="276" w:type="dxa"/>
            <w:tcBorders>
              <w:top w:val="nil"/>
              <w:left w:val="nil"/>
              <w:bottom w:val="nil"/>
              <w:right w:val="nil"/>
            </w:tcBorders>
            <w:shd w:val="clear" w:color="auto" w:fill="auto"/>
            <w:noWrap/>
            <w:vAlign w:val="bottom"/>
            <w:hideMark/>
          </w:tcPr>
          <w:p w14:paraId="3A4D2390"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hideMark/>
          </w:tcPr>
          <w:p w14:paraId="3C5A1079"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70.8</w:t>
            </w:r>
          </w:p>
        </w:tc>
        <w:tc>
          <w:tcPr>
            <w:tcW w:w="796" w:type="dxa"/>
            <w:tcBorders>
              <w:top w:val="nil"/>
              <w:left w:val="nil"/>
              <w:bottom w:val="nil"/>
              <w:right w:val="nil"/>
            </w:tcBorders>
            <w:shd w:val="clear" w:color="auto" w:fill="auto"/>
            <w:noWrap/>
            <w:vAlign w:val="bottom"/>
            <w:hideMark/>
          </w:tcPr>
          <w:p w14:paraId="6636BE88"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90.7</w:t>
            </w:r>
          </w:p>
        </w:tc>
        <w:tc>
          <w:tcPr>
            <w:tcW w:w="796" w:type="dxa"/>
            <w:tcBorders>
              <w:top w:val="nil"/>
              <w:left w:val="nil"/>
              <w:bottom w:val="nil"/>
              <w:right w:val="nil"/>
            </w:tcBorders>
            <w:shd w:val="clear" w:color="auto" w:fill="auto"/>
            <w:noWrap/>
            <w:vAlign w:val="bottom"/>
            <w:hideMark/>
          </w:tcPr>
          <w:p w14:paraId="5D3859AC"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95.0</w:t>
            </w:r>
          </w:p>
        </w:tc>
        <w:tc>
          <w:tcPr>
            <w:tcW w:w="796" w:type="dxa"/>
            <w:tcBorders>
              <w:top w:val="nil"/>
              <w:left w:val="nil"/>
              <w:bottom w:val="nil"/>
              <w:right w:val="nil"/>
            </w:tcBorders>
            <w:shd w:val="clear" w:color="auto" w:fill="auto"/>
            <w:noWrap/>
            <w:vAlign w:val="bottom"/>
            <w:hideMark/>
          </w:tcPr>
          <w:p w14:paraId="55D4F566"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91.4</w:t>
            </w:r>
          </w:p>
        </w:tc>
      </w:tr>
      <w:tr w:rsidR="00282B2D" w:rsidRPr="00282B2D" w14:paraId="492528A4" w14:textId="77777777" w:rsidTr="00282B2D">
        <w:trPr>
          <w:trHeight w:val="300"/>
          <w:jc w:val="center"/>
        </w:trPr>
        <w:tc>
          <w:tcPr>
            <w:tcW w:w="1753" w:type="dxa"/>
            <w:vMerge/>
            <w:tcBorders>
              <w:top w:val="nil"/>
              <w:left w:val="nil"/>
              <w:bottom w:val="nil"/>
              <w:right w:val="nil"/>
            </w:tcBorders>
            <w:vAlign w:val="center"/>
            <w:hideMark/>
          </w:tcPr>
          <w:p w14:paraId="095ADBF0"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2708" w:type="dxa"/>
            <w:tcBorders>
              <w:top w:val="nil"/>
              <w:left w:val="nil"/>
              <w:bottom w:val="nil"/>
              <w:right w:val="nil"/>
            </w:tcBorders>
            <w:shd w:val="clear" w:color="auto" w:fill="auto"/>
            <w:noWrap/>
            <w:vAlign w:val="bottom"/>
            <w:hideMark/>
          </w:tcPr>
          <w:p w14:paraId="7DB42E6C"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L. perenne</w:t>
            </w:r>
          </w:p>
        </w:tc>
        <w:tc>
          <w:tcPr>
            <w:tcW w:w="796" w:type="dxa"/>
            <w:tcBorders>
              <w:top w:val="nil"/>
              <w:left w:val="nil"/>
              <w:bottom w:val="single" w:sz="4" w:space="0" w:color="auto"/>
              <w:right w:val="nil"/>
            </w:tcBorders>
            <w:shd w:val="clear" w:color="auto" w:fill="auto"/>
            <w:noWrap/>
            <w:vAlign w:val="bottom"/>
            <w:hideMark/>
          </w:tcPr>
          <w:p w14:paraId="0465D3D5"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82.6</w:t>
            </w:r>
          </w:p>
        </w:tc>
        <w:tc>
          <w:tcPr>
            <w:tcW w:w="796" w:type="dxa"/>
            <w:tcBorders>
              <w:top w:val="nil"/>
              <w:left w:val="nil"/>
              <w:bottom w:val="single" w:sz="4" w:space="0" w:color="auto"/>
              <w:right w:val="nil"/>
            </w:tcBorders>
            <w:shd w:val="clear" w:color="auto" w:fill="auto"/>
            <w:noWrap/>
            <w:vAlign w:val="bottom"/>
            <w:hideMark/>
          </w:tcPr>
          <w:p w14:paraId="517C49C0"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85.5</w:t>
            </w:r>
          </w:p>
        </w:tc>
        <w:tc>
          <w:tcPr>
            <w:tcW w:w="796" w:type="dxa"/>
            <w:tcBorders>
              <w:top w:val="nil"/>
              <w:left w:val="nil"/>
              <w:bottom w:val="single" w:sz="4" w:space="0" w:color="auto"/>
              <w:right w:val="nil"/>
            </w:tcBorders>
            <w:shd w:val="clear" w:color="auto" w:fill="auto"/>
            <w:noWrap/>
            <w:vAlign w:val="bottom"/>
            <w:hideMark/>
          </w:tcPr>
          <w:p w14:paraId="28262D8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95.5</w:t>
            </w:r>
          </w:p>
        </w:tc>
        <w:tc>
          <w:tcPr>
            <w:tcW w:w="796" w:type="dxa"/>
            <w:tcBorders>
              <w:top w:val="nil"/>
              <w:left w:val="nil"/>
              <w:bottom w:val="single" w:sz="4" w:space="0" w:color="auto"/>
              <w:right w:val="nil"/>
            </w:tcBorders>
            <w:shd w:val="clear" w:color="auto" w:fill="auto"/>
            <w:noWrap/>
            <w:vAlign w:val="bottom"/>
            <w:hideMark/>
          </w:tcPr>
          <w:p w14:paraId="5BAC9723"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99.5</w:t>
            </w:r>
          </w:p>
        </w:tc>
        <w:tc>
          <w:tcPr>
            <w:tcW w:w="276" w:type="dxa"/>
            <w:tcBorders>
              <w:top w:val="nil"/>
              <w:left w:val="nil"/>
              <w:bottom w:val="single" w:sz="4" w:space="0" w:color="auto"/>
              <w:right w:val="nil"/>
            </w:tcBorders>
            <w:shd w:val="clear" w:color="auto" w:fill="auto"/>
            <w:noWrap/>
            <w:vAlign w:val="bottom"/>
            <w:hideMark/>
          </w:tcPr>
          <w:p w14:paraId="072EFB6D"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 </w:t>
            </w:r>
          </w:p>
        </w:tc>
        <w:tc>
          <w:tcPr>
            <w:tcW w:w="796" w:type="dxa"/>
            <w:tcBorders>
              <w:top w:val="nil"/>
              <w:left w:val="nil"/>
              <w:bottom w:val="single" w:sz="4" w:space="0" w:color="auto"/>
              <w:right w:val="nil"/>
            </w:tcBorders>
            <w:shd w:val="clear" w:color="auto" w:fill="auto"/>
            <w:noWrap/>
            <w:vAlign w:val="bottom"/>
            <w:hideMark/>
          </w:tcPr>
          <w:p w14:paraId="307032AE"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66.2</w:t>
            </w:r>
          </w:p>
        </w:tc>
        <w:tc>
          <w:tcPr>
            <w:tcW w:w="796" w:type="dxa"/>
            <w:tcBorders>
              <w:top w:val="nil"/>
              <w:left w:val="nil"/>
              <w:bottom w:val="single" w:sz="4" w:space="0" w:color="auto"/>
              <w:right w:val="nil"/>
            </w:tcBorders>
            <w:shd w:val="clear" w:color="auto" w:fill="auto"/>
            <w:noWrap/>
            <w:vAlign w:val="bottom"/>
            <w:hideMark/>
          </w:tcPr>
          <w:p w14:paraId="5B550BE2"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71.2</w:t>
            </w:r>
          </w:p>
        </w:tc>
        <w:tc>
          <w:tcPr>
            <w:tcW w:w="796" w:type="dxa"/>
            <w:tcBorders>
              <w:top w:val="nil"/>
              <w:left w:val="nil"/>
              <w:bottom w:val="single" w:sz="4" w:space="0" w:color="auto"/>
              <w:right w:val="nil"/>
            </w:tcBorders>
            <w:shd w:val="clear" w:color="auto" w:fill="auto"/>
            <w:noWrap/>
            <w:vAlign w:val="bottom"/>
            <w:hideMark/>
          </w:tcPr>
          <w:p w14:paraId="68B5D2A9"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91.5</w:t>
            </w:r>
          </w:p>
        </w:tc>
        <w:tc>
          <w:tcPr>
            <w:tcW w:w="796" w:type="dxa"/>
            <w:tcBorders>
              <w:top w:val="nil"/>
              <w:left w:val="nil"/>
              <w:bottom w:val="single" w:sz="4" w:space="0" w:color="auto"/>
              <w:right w:val="nil"/>
            </w:tcBorders>
            <w:shd w:val="clear" w:color="auto" w:fill="auto"/>
            <w:noWrap/>
            <w:vAlign w:val="bottom"/>
            <w:hideMark/>
          </w:tcPr>
          <w:p w14:paraId="225F9D60"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85.2</w:t>
            </w:r>
          </w:p>
        </w:tc>
      </w:tr>
      <w:tr w:rsidR="00282B2D" w:rsidRPr="00282B2D" w14:paraId="27F57B30" w14:textId="77777777" w:rsidTr="00282B2D">
        <w:trPr>
          <w:trHeight w:val="300"/>
          <w:jc w:val="center"/>
        </w:trPr>
        <w:tc>
          <w:tcPr>
            <w:tcW w:w="1753" w:type="dxa"/>
            <w:tcBorders>
              <w:top w:val="nil"/>
              <w:left w:val="nil"/>
              <w:bottom w:val="single" w:sz="4" w:space="0" w:color="auto"/>
              <w:right w:val="nil"/>
            </w:tcBorders>
            <w:shd w:val="clear" w:color="auto" w:fill="auto"/>
            <w:noWrap/>
            <w:vAlign w:val="bottom"/>
            <w:hideMark/>
          </w:tcPr>
          <w:p w14:paraId="31950155"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 </w:t>
            </w:r>
          </w:p>
        </w:tc>
        <w:tc>
          <w:tcPr>
            <w:tcW w:w="2708" w:type="dxa"/>
            <w:tcBorders>
              <w:top w:val="nil"/>
              <w:left w:val="nil"/>
              <w:bottom w:val="single" w:sz="4" w:space="0" w:color="auto"/>
              <w:right w:val="nil"/>
            </w:tcBorders>
            <w:shd w:val="clear" w:color="auto" w:fill="auto"/>
            <w:noWrap/>
            <w:vAlign w:val="bottom"/>
            <w:hideMark/>
          </w:tcPr>
          <w:p w14:paraId="3C60E6FB"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 xml:space="preserve">    LSD  (0.05)</w:t>
            </w:r>
          </w:p>
        </w:tc>
        <w:tc>
          <w:tcPr>
            <w:tcW w:w="796" w:type="dxa"/>
            <w:tcBorders>
              <w:top w:val="nil"/>
              <w:left w:val="nil"/>
              <w:bottom w:val="single" w:sz="4" w:space="0" w:color="auto"/>
              <w:right w:val="nil"/>
            </w:tcBorders>
            <w:shd w:val="clear" w:color="auto" w:fill="auto"/>
            <w:noWrap/>
            <w:vAlign w:val="bottom"/>
            <w:hideMark/>
          </w:tcPr>
          <w:p w14:paraId="6C8A0180"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13.7</w:t>
            </w:r>
          </w:p>
        </w:tc>
        <w:tc>
          <w:tcPr>
            <w:tcW w:w="796" w:type="dxa"/>
            <w:tcBorders>
              <w:top w:val="nil"/>
              <w:left w:val="nil"/>
              <w:bottom w:val="single" w:sz="4" w:space="0" w:color="auto"/>
              <w:right w:val="nil"/>
            </w:tcBorders>
            <w:shd w:val="clear" w:color="auto" w:fill="auto"/>
            <w:noWrap/>
            <w:vAlign w:val="bottom"/>
            <w:hideMark/>
          </w:tcPr>
          <w:p w14:paraId="05686EEF"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13.2</w:t>
            </w:r>
          </w:p>
        </w:tc>
        <w:tc>
          <w:tcPr>
            <w:tcW w:w="796" w:type="dxa"/>
            <w:tcBorders>
              <w:top w:val="nil"/>
              <w:left w:val="nil"/>
              <w:bottom w:val="single" w:sz="4" w:space="0" w:color="auto"/>
              <w:right w:val="nil"/>
            </w:tcBorders>
            <w:shd w:val="clear" w:color="auto" w:fill="auto"/>
            <w:noWrap/>
            <w:vAlign w:val="bottom"/>
            <w:hideMark/>
          </w:tcPr>
          <w:p w14:paraId="12747BCD"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7.8</w:t>
            </w:r>
          </w:p>
        </w:tc>
        <w:tc>
          <w:tcPr>
            <w:tcW w:w="796" w:type="dxa"/>
            <w:tcBorders>
              <w:top w:val="nil"/>
              <w:left w:val="nil"/>
              <w:bottom w:val="single" w:sz="4" w:space="0" w:color="auto"/>
              <w:right w:val="nil"/>
            </w:tcBorders>
            <w:shd w:val="clear" w:color="auto" w:fill="auto"/>
            <w:noWrap/>
            <w:vAlign w:val="bottom"/>
            <w:hideMark/>
          </w:tcPr>
          <w:p w14:paraId="19BE2B10"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1.6</w:t>
            </w:r>
          </w:p>
        </w:tc>
        <w:tc>
          <w:tcPr>
            <w:tcW w:w="276" w:type="dxa"/>
            <w:tcBorders>
              <w:top w:val="nil"/>
              <w:left w:val="nil"/>
              <w:bottom w:val="single" w:sz="4" w:space="0" w:color="auto"/>
              <w:right w:val="nil"/>
            </w:tcBorders>
            <w:shd w:val="clear" w:color="auto" w:fill="auto"/>
            <w:noWrap/>
            <w:vAlign w:val="bottom"/>
            <w:hideMark/>
          </w:tcPr>
          <w:p w14:paraId="2F86B225"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 </w:t>
            </w:r>
          </w:p>
        </w:tc>
        <w:tc>
          <w:tcPr>
            <w:tcW w:w="796" w:type="dxa"/>
            <w:tcBorders>
              <w:top w:val="nil"/>
              <w:left w:val="nil"/>
              <w:bottom w:val="single" w:sz="4" w:space="0" w:color="auto"/>
              <w:right w:val="nil"/>
            </w:tcBorders>
            <w:shd w:val="clear" w:color="auto" w:fill="auto"/>
            <w:noWrap/>
            <w:vAlign w:val="bottom"/>
            <w:hideMark/>
          </w:tcPr>
          <w:p w14:paraId="5D6D0B28"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7.9</w:t>
            </w:r>
          </w:p>
        </w:tc>
        <w:tc>
          <w:tcPr>
            <w:tcW w:w="796" w:type="dxa"/>
            <w:tcBorders>
              <w:top w:val="nil"/>
              <w:left w:val="nil"/>
              <w:bottom w:val="single" w:sz="4" w:space="0" w:color="auto"/>
              <w:right w:val="nil"/>
            </w:tcBorders>
            <w:shd w:val="clear" w:color="auto" w:fill="auto"/>
            <w:noWrap/>
            <w:vAlign w:val="bottom"/>
            <w:hideMark/>
          </w:tcPr>
          <w:p w14:paraId="3B51F5F1"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5.5</w:t>
            </w:r>
          </w:p>
        </w:tc>
        <w:tc>
          <w:tcPr>
            <w:tcW w:w="796" w:type="dxa"/>
            <w:tcBorders>
              <w:top w:val="nil"/>
              <w:left w:val="nil"/>
              <w:bottom w:val="single" w:sz="4" w:space="0" w:color="auto"/>
              <w:right w:val="nil"/>
            </w:tcBorders>
            <w:shd w:val="clear" w:color="auto" w:fill="auto"/>
            <w:noWrap/>
            <w:vAlign w:val="bottom"/>
            <w:hideMark/>
          </w:tcPr>
          <w:p w14:paraId="5254F46B"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10.8</w:t>
            </w:r>
          </w:p>
        </w:tc>
        <w:tc>
          <w:tcPr>
            <w:tcW w:w="796" w:type="dxa"/>
            <w:tcBorders>
              <w:top w:val="nil"/>
              <w:left w:val="nil"/>
              <w:bottom w:val="single" w:sz="4" w:space="0" w:color="auto"/>
              <w:right w:val="nil"/>
            </w:tcBorders>
            <w:shd w:val="clear" w:color="auto" w:fill="auto"/>
            <w:noWrap/>
            <w:vAlign w:val="bottom"/>
            <w:hideMark/>
          </w:tcPr>
          <w:p w14:paraId="20318CDB"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7.9</w:t>
            </w:r>
          </w:p>
        </w:tc>
      </w:tr>
      <w:tr w:rsidR="00282B2D" w:rsidRPr="00282B2D" w14:paraId="46D6BDC8" w14:textId="77777777" w:rsidTr="00282B2D">
        <w:trPr>
          <w:trHeight w:val="300"/>
          <w:jc w:val="center"/>
        </w:trPr>
        <w:tc>
          <w:tcPr>
            <w:tcW w:w="11105" w:type="dxa"/>
            <w:gridSpan w:val="11"/>
            <w:tcBorders>
              <w:top w:val="single" w:sz="4" w:space="0" w:color="auto"/>
              <w:left w:val="nil"/>
              <w:right w:val="nil"/>
            </w:tcBorders>
            <w:shd w:val="clear" w:color="auto" w:fill="auto"/>
            <w:noWrap/>
            <w:vAlign w:val="bottom"/>
          </w:tcPr>
          <w:p w14:paraId="0F839ACF" w14:textId="77777777" w:rsidR="00282B2D" w:rsidRPr="00282B2D" w:rsidRDefault="00282B2D" w:rsidP="00282B2D">
            <w:pPr>
              <w:spacing w:after="0" w:line="240" w:lineRule="auto"/>
              <w:rPr>
                <w:rFonts w:ascii="Times New Roman" w:eastAsia="Times New Roman" w:hAnsi="Times New Roman" w:cs="Times New Roman"/>
                <w:b/>
                <w:sz w:val="24"/>
                <w:szCs w:val="24"/>
              </w:rPr>
            </w:pPr>
            <w:r w:rsidRPr="00282B2D">
              <w:rPr>
                <w:rFonts w:ascii="Times New Roman" w:eastAsia="Times New Roman" w:hAnsi="Times New Roman" w:cs="Times New Roman"/>
                <w:b/>
                <w:bCs/>
                <w:color w:val="000000"/>
                <w:sz w:val="24"/>
                <w:szCs w:val="24"/>
                <w:vertAlign w:val="superscript"/>
              </w:rPr>
              <w:t xml:space="preserve">† </w:t>
            </w:r>
            <w:r w:rsidRPr="00282B2D">
              <w:rPr>
                <w:rFonts w:ascii="Times New Roman" w:eastAsia="Times New Roman" w:hAnsi="Times New Roman" w:cs="Times New Roman"/>
                <w:b/>
                <w:bCs/>
                <w:color w:val="000000"/>
                <w:sz w:val="24"/>
                <w:szCs w:val="24"/>
              </w:rPr>
              <w:t>Transition types were either natural transition (NT) or herbicide transition with trifloxysulfuron-sodium (TS) applied at 29 g a.i. ha</w:t>
            </w:r>
            <w:r w:rsidRPr="00282B2D">
              <w:rPr>
                <w:rFonts w:ascii="Times New Roman" w:eastAsia="Times New Roman" w:hAnsi="Times New Roman" w:cs="Times New Roman"/>
                <w:b/>
                <w:bCs/>
                <w:color w:val="000000"/>
                <w:sz w:val="24"/>
                <w:szCs w:val="24"/>
                <w:vertAlign w:val="superscript"/>
              </w:rPr>
              <w:t>-1</w:t>
            </w:r>
            <w:r w:rsidRPr="00282B2D">
              <w:rPr>
                <w:rFonts w:ascii="Times New Roman" w:eastAsia="Times New Roman" w:hAnsi="Times New Roman" w:cs="Times New Roman"/>
                <w:b/>
                <w:bCs/>
                <w:color w:val="000000"/>
                <w:sz w:val="24"/>
                <w:szCs w:val="24"/>
              </w:rPr>
              <w:t xml:space="preserve"> on 6 May 2011 and 2 May 2012.</w:t>
            </w:r>
          </w:p>
        </w:tc>
      </w:tr>
      <w:tr w:rsidR="00282B2D" w:rsidRPr="00282B2D" w14:paraId="0098C1D4" w14:textId="77777777" w:rsidTr="00282B2D">
        <w:trPr>
          <w:trHeight w:val="300"/>
          <w:jc w:val="center"/>
        </w:trPr>
        <w:tc>
          <w:tcPr>
            <w:tcW w:w="11105" w:type="dxa"/>
            <w:gridSpan w:val="11"/>
            <w:tcBorders>
              <w:left w:val="nil"/>
              <w:right w:val="nil"/>
            </w:tcBorders>
            <w:shd w:val="clear" w:color="auto" w:fill="auto"/>
            <w:noWrap/>
            <w:vAlign w:val="bottom"/>
          </w:tcPr>
          <w:p w14:paraId="373B7F8B" w14:textId="77777777" w:rsidR="00282B2D" w:rsidRPr="00282B2D" w:rsidRDefault="00282B2D" w:rsidP="00282B2D">
            <w:pPr>
              <w:spacing w:after="0" w:line="240" w:lineRule="auto"/>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vertAlign w:val="superscript"/>
              </w:rPr>
              <w:t xml:space="preserve">‡ </w:t>
            </w:r>
            <w:r w:rsidRPr="00282B2D">
              <w:rPr>
                <w:rFonts w:ascii="Times New Roman" w:eastAsia="Times New Roman" w:hAnsi="Times New Roman" w:cs="Times New Roman"/>
                <w:b/>
                <w:bCs/>
                <w:color w:val="000000"/>
                <w:sz w:val="24"/>
                <w:szCs w:val="24"/>
              </w:rPr>
              <w:t>Control was represented as non-overseeded bermudagrass.</w:t>
            </w:r>
          </w:p>
        </w:tc>
      </w:tr>
      <w:tr w:rsidR="00282B2D" w:rsidRPr="00282B2D" w14:paraId="5297C808" w14:textId="77777777" w:rsidTr="00282B2D">
        <w:trPr>
          <w:trHeight w:val="300"/>
          <w:jc w:val="center"/>
        </w:trPr>
        <w:tc>
          <w:tcPr>
            <w:tcW w:w="11105" w:type="dxa"/>
            <w:gridSpan w:val="11"/>
            <w:tcBorders>
              <w:left w:val="nil"/>
              <w:right w:val="nil"/>
            </w:tcBorders>
            <w:shd w:val="clear" w:color="auto" w:fill="auto"/>
            <w:noWrap/>
            <w:vAlign w:val="bottom"/>
          </w:tcPr>
          <w:p w14:paraId="7F509CAE" w14:textId="77777777" w:rsidR="00282B2D" w:rsidRPr="00282B2D" w:rsidRDefault="00282B2D" w:rsidP="00282B2D">
            <w:pPr>
              <w:spacing w:after="0" w:line="240" w:lineRule="auto"/>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color w:val="000000"/>
                <w:sz w:val="24"/>
                <w:szCs w:val="24"/>
                <w:vertAlign w:val="superscript"/>
              </w:rPr>
              <w:t>§</w:t>
            </w:r>
            <w:r w:rsidRPr="00282B2D">
              <w:rPr>
                <w:rFonts w:ascii="Times New Roman" w:eastAsia="Times New Roman" w:hAnsi="Times New Roman" w:cs="Times New Roman"/>
                <w:b/>
                <w:color w:val="000000"/>
                <w:sz w:val="24"/>
                <w:szCs w:val="24"/>
              </w:rPr>
              <w:t xml:space="preserve"> </w:t>
            </w:r>
            <w:r w:rsidRPr="00282B2D">
              <w:rPr>
                <w:rFonts w:ascii="Times New Roman" w:eastAsia="Times New Roman" w:hAnsi="Times New Roman" w:cs="Times New Roman"/>
                <w:b/>
                <w:bCs/>
                <w:color w:val="000000"/>
                <w:sz w:val="24"/>
                <w:szCs w:val="24"/>
              </w:rPr>
              <w:t xml:space="preserve">Cultivars consisted of ‘SRX 2NEM' </w:t>
            </w:r>
            <w:r w:rsidRPr="00282B2D">
              <w:rPr>
                <w:rFonts w:ascii="Times New Roman" w:eastAsia="Times New Roman" w:hAnsi="Times New Roman" w:cs="Times New Roman"/>
                <w:b/>
                <w:bCs/>
                <w:i/>
                <w:iCs/>
                <w:color w:val="000000"/>
                <w:sz w:val="24"/>
                <w:szCs w:val="24"/>
              </w:rPr>
              <w:t>Poa nemoralis</w:t>
            </w:r>
            <w:r w:rsidRPr="00282B2D">
              <w:rPr>
                <w:rFonts w:ascii="Times New Roman" w:eastAsia="Times New Roman" w:hAnsi="Times New Roman" w:cs="Times New Roman"/>
                <w:b/>
                <w:bCs/>
                <w:color w:val="000000"/>
                <w:sz w:val="24"/>
                <w:szCs w:val="24"/>
              </w:rPr>
              <w:t xml:space="preserve">, 'Quasar' </w:t>
            </w:r>
            <w:r w:rsidRPr="00282B2D">
              <w:rPr>
                <w:rFonts w:ascii="Times New Roman" w:eastAsia="Times New Roman" w:hAnsi="Times New Roman" w:cs="Times New Roman"/>
                <w:b/>
                <w:bCs/>
                <w:i/>
                <w:iCs/>
                <w:color w:val="000000"/>
                <w:sz w:val="24"/>
                <w:szCs w:val="24"/>
              </w:rPr>
              <w:t>P. trivialis, '</w:t>
            </w:r>
            <w:r w:rsidRPr="00282B2D">
              <w:rPr>
                <w:rFonts w:ascii="Times New Roman" w:eastAsia="Times New Roman" w:hAnsi="Times New Roman" w:cs="Times New Roman"/>
                <w:b/>
                <w:bCs/>
                <w:color w:val="000000"/>
                <w:sz w:val="24"/>
                <w:szCs w:val="24"/>
              </w:rPr>
              <w:t xml:space="preserve">Supranova' </w:t>
            </w:r>
            <w:r w:rsidRPr="00282B2D">
              <w:rPr>
                <w:rFonts w:ascii="Times New Roman" w:eastAsia="Times New Roman" w:hAnsi="Times New Roman" w:cs="Times New Roman"/>
                <w:b/>
                <w:bCs/>
                <w:i/>
                <w:iCs/>
                <w:color w:val="000000"/>
                <w:sz w:val="24"/>
                <w:szCs w:val="24"/>
              </w:rPr>
              <w:t xml:space="preserve">P. supina, </w:t>
            </w:r>
            <w:r w:rsidRPr="00282B2D">
              <w:rPr>
                <w:rFonts w:ascii="Times New Roman" w:eastAsia="Times New Roman" w:hAnsi="Times New Roman" w:cs="Times New Roman"/>
                <w:b/>
                <w:bCs/>
                <w:color w:val="000000"/>
                <w:sz w:val="24"/>
                <w:szCs w:val="24"/>
              </w:rPr>
              <w:t xml:space="preserve">and Champion GQ blend </w:t>
            </w:r>
            <w:r w:rsidRPr="00282B2D">
              <w:rPr>
                <w:rFonts w:ascii="Times New Roman" w:eastAsia="Times New Roman" w:hAnsi="Times New Roman" w:cs="Times New Roman"/>
                <w:b/>
                <w:bCs/>
                <w:i/>
                <w:iCs/>
                <w:color w:val="000000"/>
                <w:sz w:val="24"/>
                <w:szCs w:val="24"/>
              </w:rPr>
              <w:t>Lolium perenne.</w:t>
            </w:r>
          </w:p>
        </w:tc>
      </w:tr>
    </w:tbl>
    <w:p w14:paraId="23E1B3D9" w14:textId="77777777" w:rsidR="00282B2D" w:rsidRDefault="00282B2D">
      <w:pPr>
        <w:sectPr w:rsidR="00282B2D" w:rsidSect="00282B2D">
          <w:pgSz w:w="15840" w:h="12240" w:orient="landscape"/>
          <w:pgMar w:top="1440" w:right="1440" w:bottom="1440" w:left="1440" w:header="720" w:footer="720" w:gutter="0"/>
          <w:cols w:space="720"/>
          <w:docGrid w:linePitch="360"/>
        </w:sectPr>
      </w:pPr>
    </w:p>
    <w:tbl>
      <w:tblPr>
        <w:tblW w:w="5698" w:type="dxa"/>
        <w:jc w:val="center"/>
        <w:tblInd w:w="-1188" w:type="dxa"/>
        <w:tblLook w:val="04A0" w:firstRow="1" w:lastRow="0" w:firstColumn="1" w:lastColumn="0" w:noHBand="0" w:noVBand="1"/>
      </w:tblPr>
      <w:tblGrid>
        <w:gridCol w:w="3032"/>
        <w:gridCol w:w="1325"/>
        <w:gridCol w:w="1341"/>
      </w:tblGrid>
      <w:tr w:rsidR="00282B2D" w:rsidRPr="00282B2D" w14:paraId="0EB08327" w14:textId="77777777" w:rsidTr="00282B2D">
        <w:trPr>
          <w:trHeight w:val="1785"/>
          <w:jc w:val="center"/>
        </w:trPr>
        <w:tc>
          <w:tcPr>
            <w:tcW w:w="5698" w:type="dxa"/>
            <w:gridSpan w:val="3"/>
            <w:tcBorders>
              <w:top w:val="nil"/>
              <w:left w:val="nil"/>
              <w:bottom w:val="single" w:sz="4" w:space="0" w:color="auto"/>
              <w:right w:val="nil"/>
            </w:tcBorders>
            <w:shd w:val="clear" w:color="auto" w:fill="auto"/>
            <w:vAlign w:val="bottom"/>
            <w:hideMark/>
          </w:tcPr>
          <w:p w14:paraId="24BD569D" w14:textId="77777777" w:rsidR="00282B2D" w:rsidRPr="00282B2D" w:rsidRDefault="00282B2D" w:rsidP="00282B2D">
            <w:pPr>
              <w:spacing w:after="0" w:line="240" w:lineRule="auto"/>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lastRenderedPageBreak/>
              <w:t>Table 3.4. Effects of overseeded species on percent green cover throughout the overseeding season displayed as area under the percent green cover curve (AUPGCC) on a 'Riviera' bermudagrass fairway in Knoxville, TN.</w:t>
            </w:r>
          </w:p>
        </w:tc>
      </w:tr>
      <w:tr w:rsidR="00282B2D" w:rsidRPr="00282B2D" w14:paraId="4A136AF4" w14:textId="77777777" w:rsidTr="00282B2D">
        <w:trPr>
          <w:trHeight w:val="300"/>
          <w:jc w:val="center"/>
        </w:trPr>
        <w:tc>
          <w:tcPr>
            <w:tcW w:w="3032" w:type="dxa"/>
            <w:tcBorders>
              <w:top w:val="nil"/>
              <w:left w:val="nil"/>
              <w:bottom w:val="single" w:sz="4" w:space="0" w:color="auto"/>
              <w:right w:val="nil"/>
            </w:tcBorders>
            <w:shd w:val="clear" w:color="auto" w:fill="auto"/>
            <w:noWrap/>
            <w:vAlign w:val="bottom"/>
            <w:hideMark/>
          </w:tcPr>
          <w:p w14:paraId="24A438E6" w14:textId="77777777" w:rsidR="00282B2D" w:rsidRPr="00282B2D" w:rsidRDefault="00282B2D" w:rsidP="00282B2D">
            <w:pPr>
              <w:spacing w:after="0" w:line="240" w:lineRule="auto"/>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Treatments</w:t>
            </w:r>
            <w:r w:rsidRPr="00282B2D">
              <w:rPr>
                <w:rFonts w:ascii="Times New Roman" w:eastAsia="Times New Roman" w:hAnsi="Times New Roman" w:cs="Times New Roman"/>
                <w:b/>
                <w:bCs/>
                <w:color w:val="000000"/>
                <w:sz w:val="24"/>
                <w:szCs w:val="24"/>
                <w:vertAlign w:val="superscript"/>
              </w:rPr>
              <w:t>†</w:t>
            </w:r>
          </w:p>
        </w:tc>
        <w:tc>
          <w:tcPr>
            <w:tcW w:w="2666" w:type="dxa"/>
            <w:gridSpan w:val="2"/>
            <w:tcBorders>
              <w:top w:val="single" w:sz="4" w:space="0" w:color="auto"/>
              <w:left w:val="nil"/>
              <w:bottom w:val="single" w:sz="4" w:space="0" w:color="auto"/>
              <w:right w:val="nil"/>
            </w:tcBorders>
            <w:shd w:val="clear" w:color="auto" w:fill="auto"/>
            <w:noWrap/>
            <w:vAlign w:val="bottom"/>
            <w:hideMark/>
          </w:tcPr>
          <w:p w14:paraId="4B279F34"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AUPGCC</w:t>
            </w:r>
          </w:p>
        </w:tc>
      </w:tr>
      <w:tr w:rsidR="00282B2D" w:rsidRPr="00282B2D" w14:paraId="62CC683B" w14:textId="77777777" w:rsidTr="00282B2D">
        <w:trPr>
          <w:trHeight w:val="300"/>
          <w:jc w:val="center"/>
        </w:trPr>
        <w:tc>
          <w:tcPr>
            <w:tcW w:w="3032" w:type="dxa"/>
            <w:tcBorders>
              <w:top w:val="nil"/>
              <w:left w:val="nil"/>
              <w:bottom w:val="single" w:sz="4" w:space="0" w:color="auto"/>
              <w:right w:val="nil"/>
            </w:tcBorders>
            <w:shd w:val="clear" w:color="auto" w:fill="auto"/>
            <w:noWrap/>
            <w:vAlign w:val="bottom"/>
            <w:hideMark/>
          </w:tcPr>
          <w:p w14:paraId="65FADD0B"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p>
        </w:tc>
        <w:tc>
          <w:tcPr>
            <w:tcW w:w="1325" w:type="dxa"/>
            <w:tcBorders>
              <w:top w:val="nil"/>
              <w:left w:val="nil"/>
              <w:bottom w:val="single" w:sz="4" w:space="0" w:color="auto"/>
              <w:right w:val="nil"/>
            </w:tcBorders>
            <w:shd w:val="clear" w:color="auto" w:fill="auto"/>
            <w:noWrap/>
            <w:vAlign w:val="bottom"/>
            <w:hideMark/>
          </w:tcPr>
          <w:p w14:paraId="63FED6FF"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2010</w:t>
            </w:r>
          </w:p>
        </w:tc>
        <w:tc>
          <w:tcPr>
            <w:tcW w:w="1341" w:type="dxa"/>
            <w:tcBorders>
              <w:top w:val="nil"/>
              <w:left w:val="nil"/>
              <w:bottom w:val="single" w:sz="4" w:space="0" w:color="auto"/>
              <w:right w:val="nil"/>
            </w:tcBorders>
            <w:shd w:val="clear" w:color="auto" w:fill="auto"/>
            <w:noWrap/>
            <w:vAlign w:val="bottom"/>
            <w:hideMark/>
          </w:tcPr>
          <w:p w14:paraId="428AD2F9"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2011</w:t>
            </w:r>
          </w:p>
        </w:tc>
      </w:tr>
      <w:tr w:rsidR="00282B2D" w:rsidRPr="00282B2D" w14:paraId="30626256" w14:textId="77777777" w:rsidTr="00282B2D">
        <w:trPr>
          <w:trHeight w:val="300"/>
          <w:jc w:val="center"/>
        </w:trPr>
        <w:tc>
          <w:tcPr>
            <w:tcW w:w="3032" w:type="dxa"/>
            <w:tcBorders>
              <w:top w:val="nil"/>
              <w:left w:val="nil"/>
              <w:bottom w:val="nil"/>
              <w:right w:val="nil"/>
            </w:tcBorders>
            <w:shd w:val="clear" w:color="auto" w:fill="auto"/>
            <w:noWrap/>
            <w:vAlign w:val="bottom"/>
            <w:hideMark/>
          </w:tcPr>
          <w:p w14:paraId="56C78E1A" w14:textId="77777777" w:rsidR="00282B2D" w:rsidRPr="00282B2D" w:rsidRDefault="00282B2D" w:rsidP="00282B2D">
            <w:pPr>
              <w:spacing w:after="0" w:line="240" w:lineRule="auto"/>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Control</w:t>
            </w:r>
            <w:r w:rsidRPr="00282B2D">
              <w:rPr>
                <w:rFonts w:ascii="Times New Roman" w:eastAsia="Times New Roman" w:hAnsi="Times New Roman" w:cs="Times New Roman"/>
                <w:b/>
                <w:bCs/>
                <w:color w:val="000000"/>
                <w:sz w:val="24"/>
                <w:szCs w:val="24"/>
                <w:vertAlign w:val="superscript"/>
              </w:rPr>
              <w:t>‡</w:t>
            </w:r>
          </w:p>
        </w:tc>
        <w:tc>
          <w:tcPr>
            <w:tcW w:w="1325" w:type="dxa"/>
            <w:tcBorders>
              <w:top w:val="nil"/>
              <w:left w:val="nil"/>
              <w:bottom w:val="nil"/>
              <w:right w:val="nil"/>
            </w:tcBorders>
            <w:shd w:val="clear" w:color="auto" w:fill="auto"/>
            <w:noWrap/>
            <w:vAlign w:val="bottom"/>
          </w:tcPr>
          <w:p w14:paraId="40A36026"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5634</w:t>
            </w:r>
          </w:p>
        </w:tc>
        <w:tc>
          <w:tcPr>
            <w:tcW w:w="1341" w:type="dxa"/>
            <w:tcBorders>
              <w:top w:val="nil"/>
              <w:left w:val="nil"/>
              <w:bottom w:val="nil"/>
              <w:right w:val="nil"/>
            </w:tcBorders>
            <w:shd w:val="clear" w:color="auto" w:fill="auto"/>
            <w:noWrap/>
            <w:vAlign w:val="bottom"/>
          </w:tcPr>
          <w:p w14:paraId="56AC7070"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10987</w:t>
            </w:r>
          </w:p>
        </w:tc>
      </w:tr>
      <w:tr w:rsidR="00282B2D" w:rsidRPr="00282B2D" w14:paraId="62BF82C5" w14:textId="77777777" w:rsidTr="00282B2D">
        <w:trPr>
          <w:trHeight w:val="300"/>
          <w:jc w:val="center"/>
        </w:trPr>
        <w:tc>
          <w:tcPr>
            <w:tcW w:w="3032" w:type="dxa"/>
            <w:tcBorders>
              <w:top w:val="nil"/>
              <w:left w:val="nil"/>
              <w:bottom w:val="nil"/>
              <w:right w:val="nil"/>
            </w:tcBorders>
            <w:shd w:val="clear" w:color="auto" w:fill="auto"/>
            <w:noWrap/>
            <w:vAlign w:val="bottom"/>
            <w:hideMark/>
          </w:tcPr>
          <w:p w14:paraId="49635B6D"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bCs/>
                <w:i/>
                <w:color w:val="000000"/>
                <w:sz w:val="24"/>
                <w:szCs w:val="24"/>
              </w:rPr>
              <w:t>Lolium multiflorum</w:t>
            </w:r>
          </w:p>
        </w:tc>
        <w:tc>
          <w:tcPr>
            <w:tcW w:w="1325" w:type="dxa"/>
            <w:tcBorders>
              <w:top w:val="nil"/>
              <w:left w:val="nil"/>
              <w:bottom w:val="nil"/>
              <w:right w:val="nil"/>
            </w:tcBorders>
            <w:shd w:val="clear" w:color="auto" w:fill="auto"/>
            <w:noWrap/>
            <w:vAlign w:val="bottom"/>
          </w:tcPr>
          <w:p w14:paraId="03B74ACE"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10492</w:t>
            </w:r>
          </w:p>
        </w:tc>
        <w:tc>
          <w:tcPr>
            <w:tcW w:w="1341" w:type="dxa"/>
            <w:tcBorders>
              <w:top w:val="nil"/>
              <w:left w:val="nil"/>
              <w:bottom w:val="nil"/>
              <w:right w:val="nil"/>
            </w:tcBorders>
            <w:shd w:val="clear" w:color="auto" w:fill="auto"/>
            <w:noWrap/>
            <w:vAlign w:val="bottom"/>
          </w:tcPr>
          <w:p w14:paraId="29BD6B06"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14526</w:t>
            </w:r>
          </w:p>
        </w:tc>
      </w:tr>
      <w:tr w:rsidR="00282B2D" w:rsidRPr="00282B2D" w14:paraId="7002FAAA" w14:textId="77777777" w:rsidTr="00282B2D">
        <w:trPr>
          <w:trHeight w:val="300"/>
          <w:jc w:val="center"/>
        </w:trPr>
        <w:tc>
          <w:tcPr>
            <w:tcW w:w="3032" w:type="dxa"/>
            <w:tcBorders>
              <w:top w:val="nil"/>
              <w:left w:val="nil"/>
              <w:bottom w:val="nil"/>
              <w:right w:val="nil"/>
            </w:tcBorders>
            <w:shd w:val="clear" w:color="auto" w:fill="auto"/>
            <w:noWrap/>
            <w:vAlign w:val="bottom"/>
            <w:hideMark/>
          </w:tcPr>
          <w:p w14:paraId="6808A53E"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i/>
                <w:color w:val="000000"/>
                <w:sz w:val="24"/>
                <w:szCs w:val="24"/>
              </w:rPr>
              <w:t>L. perenne</w:t>
            </w:r>
            <w:r w:rsidRPr="00282B2D">
              <w:rPr>
                <w:rFonts w:ascii="Times New Roman" w:eastAsia="Times New Roman" w:hAnsi="Times New Roman" w:cs="Times New Roman"/>
                <w:b/>
                <w:color w:val="000000"/>
                <w:sz w:val="24"/>
                <w:szCs w:val="24"/>
              </w:rPr>
              <w:t xml:space="preserve"> × </w:t>
            </w:r>
            <w:r w:rsidRPr="00282B2D">
              <w:rPr>
                <w:rFonts w:ascii="Times New Roman" w:eastAsia="Times New Roman" w:hAnsi="Times New Roman" w:cs="Times New Roman"/>
                <w:b/>
                <w:i/>
                <w:color w:val="000000"/>
                <w:sz w:val="24"/>
                <w:szCs w:val="24"/>
              </w:rPr>
              <w:t>L. multiflorum</w:t>
            </w:r>
          </w:p>
        </w:tc>
        <w:tc>
          <w:tcPr>
            <w:tcW w:w="1325" w:type="dxa"/>
            <w:tcBorders>
              <w:top w:val="nil"/>
              <w:left w:val="nil"/>
              <w:bottom w:val="nil"/>
              <w:right w:val="nil"/>
            </w:tcBorders>
            <w:shd w:val="clear" w:color="auto" w:fill="auto"/>
            <w:noWrap/>
            <w:vAlign w:val="bottom"/>
          </w:tcPr>
          <w:p w14:paraId="2EB82805"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13046</w:t>
            </w:r>
          </w:p>
        </w:tc>
        <w:tc>
          <w:tcPr>
            <w:tcW w:w="1341" w:type="dxa"/>
            <w:tcBorders>
              <w:top w:val="nil"/>
              <w:left w:val="nil"/>
              <w:bottom w:val="nil"/>
              <w:right w:val="nil"/>
            </w:tcBorders>
            <w:shd w:val="clear" w:color="auto" w:fill="auto"/>
            <w:noWrap/>
            <w:vAlign w:val="bottom"/>
          </w:tcPr>
          <w:p w14:paraId="69E42241"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15733</w:t>
            </w:r>
          </w:p>
        </w:tc>
      </w:tr>
      <w:tr w:rsidR="00282B2D" w:rsidRPr="00282B2D" w14:paraId="27EEFEAE" w14:textId="77777777" w:rsidTr="00282B2D">
        <w:trPr>
          <w:trHeight w:val="300"/>
          <w:jc w:val="center"/>
        </w:trPr>
        <w:tc>
          <w:tcPr>
            <w:tcW w:w="3032" w:type="dxa"/>
            <w:tcBorders>
              <w:top w:val="nil"/>
              <w:left w:val="nil"/>
              <w:right w:val="nil"/>
            </w:tcBorders>
            <w:shd w:val="clear" w:color="auto" w:fill="auto"/>
            <w:noWrap/>
            <w:vAlign w:val="bottom"/>
            <w:hideMark/>
          </w:tcPr>
          <w:p w14:paraId="3D5750E8"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bCs/>
                <w:i/>
                <w:color w:val="000000"/>
                <w:sz w:val="24"/>
                <w:szCs w:val="24"/>
              </w:rPr>
              <w:t>L. perenne</w:t>
            </w:r>
          </w:p>
        </w:tc>
        <w:tc>
          <w:tcPr>
            <w:tcW w:w="1325" w:type="dxa"/>
            <w:tcBorders>
              <w:top w:val="nil"/>
              <w:left w:val="nil"/>
              <w:bottom w:val="nil"/>
              <w:right w:val="nil"/>
            </w:tcBorders>
            <w:shd w:val="clear" w:color="auto" w:fill="auto"/>
            <w:noWrap/>
            <w:vAlign w:val="bottom"/>
          </w:tcPr>
          <w:p w14:paraId="59C7A594"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12497</w:t>
            </w:r>
          </w:p>
        </w:tc>
        <w:tc>
          <w:tcPr>
            <w:tcW w:w="1341" w:type="dxa"/>
            <w:tcBorders>
              <w:top w:val="nil"/>
              <w:left w:val="nil"/>
              <w:bottom w:val="nil"/>
              <w:right w:val="nil"/>
            </w:tcBorders>
            <w:shd w:val="clear" w:color="auto" w:fill="auto"/>
            <w:noWrap/>
            <w:vAlign w:val="bottom"/>
          </w:tcPr>
          <w:p w14:paraId="5B27FBAD"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16329</w:t>
            </w:r>
          </w:p>
        </w:tc>
      </w:tr>
      <w:tr w:rsidR="00282B2D" w:rsidRPr="00282B2D" w14:paraId="08A9A7AB" w14:textId="77777777" w:rsidTr="00282B2D">
        <w:trPr>
          <w:trHeight w:val="300"/>
          <w:jc w:val="center"/>
        </w:trPr>
        <w:tc>
          <w:tcPr>
            <w:tcW w:w="3032" w:type="dxa"/>
            <w:tcBorders>
              <w:top w:val="nil"/>
              <w:left w:val="nil"/>
              <w:right w:val="nil"/>
            </w:tcBorders>
            <w:shd w:val="clear" w:color="auto" w:fill="auto"/>
            <w:noWrap/>
            <w:vAlign w:val="bottom"/>
            <w:hideMark/>
          </w:tcPr>
          <w:p w14:paraId="16AD2318"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bCs/>
                <w:i/>
                <w:color w:val="000000"/>
                <w:sz w:val="24"/>
                <w:szCs w:val="24"/>
              </w:rPr>
              <w:t>Poa trivialis</w:t>
            </w:r>
          </w:p>
        </w:tc>
        <w:tc>
          <w:tcPr>
            <w:tcW w:w="1325" w:type="dxa"/>
            <w:tcBorders>
              <w:top w:val="nil"/>
              <w:left w:val="nil"/>
              <w:bottom w:val="nil"/>
              <w:right w:val="nil"/>
            </w:tcBorders>
            <w:shd w:val="clear" w:color="auto" w:fill="auto"/>
            <w:noWrap/>
            <w:vAlign w:val="bottom"/>
          </w:tcPr>
          <w:p w14:paraId="0B2806F2"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11785</w:t>
            </w:r>
          </w:p>
        </w:tc>
        <w:tc>
          <w:tcPr>
            <w:tcW w:w="1341" w:type="dxa"/>
            <w:tcBorders>
              <w:top w:val="nil"/>
              <w:left w:val="nil"/>
              <w:bottom w:val="nil"/>
              <w:right w:val="nil"/>
            </w:tcBorders>
            <w:shd w:val="clear" w:color="auto" w:fill="auto"/>
            <w:noWrap/>
            <w:vAlign w:val="bottom"/>
          </w:tcPr>
          <w:p w14:paraId="199F205F"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14835</w:t>
            </w:r>
          </w:p>
        </w:tc>
      </w:tr>
      <w:tr w:rsidR="00282B2D" w:rsidRPr="00282B2D" w14:paraId="505E5FB9" w14:textId="77777777" w:rsidTr="00282B2D">
        <w:trPr>
          <w:trHeight w:val="300"/>
          <w:jc w:val="center"/>
        </w:trPr>
        <w:tc>
          <w:tcPr>
            <w:tcW w:w="3032" w:type="dxa"/>
            <w:tcBorders>
              <w:left w:val="nil"/>
              <w:bottom w:val="single" w:sz="4" w:space="0" w:color="auto"/>
              <w:right w:val="nil"/>
            </w:tcBorders>
            <w:shd w:val="clear" w:color="auto" w:fill="auto"/>
            <w:noWrap/>
            <w:vAlign w:val="bottom"/>
          </w:tcPr>
          <w:p w14:paraId="6F9205B6"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bCs/>
                <w:i/>
                <w:color w:val="000000"/>
                <w:sz w:val="24"/>
                <w:szCs w:val="24"/>
              </w:rPr>
              <w:t>P. nemoralis</w:t>
            </w:r>
          </w:p>
        </w:tc>
        <w:tc>
          <w:tcPr>
            <w:tcW w:w="1325" w:type="dxa"/>
            <w:tcBorders>
              <w:top w:val="nil"/>
              <w:left w:val="nil"/>
              <w:bottom w:val="nil"/>
              <w:right w:val="nil"/>
            </w:tcBorders>
            <w:shd w:val="clear" w:color="auto" w:fill="auto"/>
            <w:noWrap/>
            <w:vAlign w:val="bottom"/>
          </w:tcPr>
          <w:p w14:paraId="4FF218F8"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8564</w:t>
            </w:r>
          </w:p>
        </w:tc>
        <w:tc>
          <w:tcPr>
            <w:tcW w:w="1341" w:type="dxa"/>
            <w:tcBorders>
              <w:top w:val="nil"/>
              <w:left w:val="nil"/>
              <w:bottom w:val="nil"/>
              <w:right w:val="nil"/>
            </w:tcBorders>
            <w:shd w:val="clear" w:color="auto" w:fill="auto"/>
            <w:noWrap/>
            <w:vAlign w:val="bottom"/>
          </w:tcPr>
          <w:p w14:paraId="15B4B3B2"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11795</w:t>
            </w:r>
          </w:p>
        </w:tc>
      </w:tr>
      <w:tr w:rsidR="00282B2D" w:rsidRPr="00282B2D" w14:paraId="7F32B58E" w14:textId="77777777" w:rsidTr="00282B2D">
        <w:trPr>
          <w:trHeight w:val="300"/>
          <w:jc w:val="center"/>
        </w:trPr>
        <w:tc>
          <w:tcPr>
            <w:tcW w:w="3032" w:type="dxa"/>
            <w:tcBorders>
              <w:top w:val="nil"/>
              <w:left w:val="nil"/>
              <w:bottom w:val="single" w:sz="4" w:space="0" w:color="auto"/>
              <w:right w:val="nil"/>
            </w:tcBorders>
            <w:shd w:val="clear" w:color="auto" w:fill="auto"/>
            <w:noWrap/>
            <w:vAlign w:val="bottom"/>
            <w:hideMark/>
          </w:tcPr>
          <w:p w14:paraId="4F8B0E8D" w14:textId="77777777" w:rsidR="00282B2D" w:rsidRPr="00282B2D" w:rsidRDefault="00282B2D" w:rsidP="00282B2D">
            <w:pPr>
              <w:spacing w:after="0" w:line="240" w:lineRule="auto"/>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LSD (0.05)</w:t>
            </w:r>
          </w:p>
        </w:tc>
        <w:tc>
          <w:tcPr>
            <w:tcW w:w="1325" w:type="dxa"/>
            <w:tcBorders>
              <w:top w:val="single" w:sz="4" w:space="0" w:color="auto"/>
              <w:left w:val="nil"/>
              <w:bottom w:val="single" w:sz="4" w:space="0" w:color="auto"/>
              <w:right w:val="nil"/>
            </w:tcBorders>
            <w:shd w:val="clear" w:color="auto" w:fill="auto"/>
            <w:noWrap/>
            <w:vAlign w:val="bottom"/>
          </w:tcPr>
          <w:p w14:paraId="24BA28F7"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1005</w:t>
            </w:r>
          </w:p>
        </w:tc>
        <w:tc>
          <w:tcPr>
            <w:tcW w:w="1341" w:type="dxa"/>
            <w:tcBorders>
              <w:top w:val="single" w:sz="4" w:space="0" w:color="auto"/>
              <w:left w:val="nil"/>
              <w:bottom w:val="single" w:sz="4" w:space="0" w:color="auto"/>
              <w:right w:val="nil"/>
            </w:tcBorders>
            <w:shd w:val="clear" w:color="auto" w:fill="auto"/>
            <w:noWrap/>
            <w:vAlign w:val="bottom"/>
          </w:tcPr>
          <w:p w14:paraId="14C25B3B" w14:textId="77777777" w:rsidR="00282B2D" w:rsidRPr="00282B2D" w:rsidRDefault="00282B2D" w:rsidP="00282B2D">
            <w:pPr>
              <w:spacing w:after="0" w:line="240" w:lineRule="auto"/>
              <w:jc w:val="center"/>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rPr>
              <w:t>571</w:t>
            </w:r>
          </w:p>
        </w:tc>
      </w:tr>
      <w:tr w:rsidR="00282B2D" w:rsidRPr="00282B2D" w14:paraId="65860B8B" w14:textId="77777777" w:rsidTr="00282B2D">
        <w:trPr>
          <w:trHeight w:val="300"/>
          <w:jc w:val="center"/>
        </w:trPr>
        <w:tc>
          <w:tcPr>
            <w:tcW w:w="5698" w:type="dxa"/>
            <w:gridSpan w:val="3"/>
            <w:tcBorders>
              <w:top w:val="single" w:sz="4" w:space="0" w:color="auto"/>
              <w:left w:val="nil"/>
              <w:right w:val="nil"/>
            </w:tcBorders>
            <w:shd w:val="clear" w:color="auto" w:fill="auto"/>
            <w:noWrap/>
            <w:vAlign w:val="bottom"/>
            <w:hideMark/>
          </w:tcPr>
          <w:p w14:paraId="576C0198" w14:textId="77777777" w:rsidR="00282B2D" w:rsidRPr="00282B2D" w:rsidRDefault="00282B2D" w:rsidP="00282B2D">
            <w:pPr>
              <w:spacing w:after="0" w:line="240" w:lineRule="auto"/>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vertAlign w:val="superscript"/>
              </w:rPr>
              <w:t>†</w:t>
            </w:r>
            <w:r w:rsidRPr="00282B2D">
              <w:rPr>
                <w:rFonts w:ascii="Times New Roman" w:eastAsia="Times New Roman" w:hAnsi="Times New Roman" w:cs="Times New Roman"/>
                <w:b/>
                <w:bCs/>
                <w:color w:val="000000"/>
                <w:sz w:val="24"/>
                <w:szCs w:val="24"/>
              </w:rPr>
              <w:t xml:space="preserve"> Cultivars consisted of ‘Gulf' </w:t>
            </w:r>
            <w:r w:rsidRPr="00282B2D">
              <w:rPr>
                <w:rFonts w:ascii="Times New Roman" w:eastAsia="Times New Roman" w:hAnsi="Times New Roman" w:cs="Times New Roman"/>
                <w:b/>
                <w:bCs/>
                <w:i/>
                <w:iCs/>
                <w:color w:val="000000"/>
                <w:sz w:val="24"/>
                <w:szCs w:val="24"/>
              </w:rPr>
              <w:t>L. multiflorum</w:t>
            </w:r>
            <w:r w:rsidRPr="00282B2D">
              <w:rPr>
                <w:rFonts w:ascii="Times New Roman" w:eastAsia="Times New Roman" w:hAnsi="Times New Roman" w:cs="Times New Roman"/>
                <w:b/>
                <w:bCs/>
                <w:color w:val="000000"/>
                <w:sz w:val="24"/>
                <w:szCs w:val="24"/>
              </w:rPr>
              <w:t>, ‘Transcend’</w:t>
            </w:r>
            <w:r w:rsidRPr="00282B2D">
              <w:rPr>
                <w:rFonts w:ascii="Times New Roman" w:eastAsia="Times New Roman" w:hAnsi="Times New Roman" w:cs="Times New Roman"/>
                <w:b/>
                <w:i/>
                <w:color w:val="000000"/>
                <w:sz w:val="24"/>
                <w:szCs w:val="24"/>
              </w:rPr>
              <w:t xml:space="preserve"> L. perenne</w:t>
            </w:r>
            <w:r w:rsidRPr="00282B2D">
              <w:rPr>
                <w:rFonts w:ascii="Times New Roman" w:eastAsia="Times New Roman" w:hAnsi="Times New Roman" w:cs="Times New Roman"/>
                <w:b/>
                <w:color w:val="000000"/>
                <w:sz w:val="24"/>
                <w:szCs w:val="24"/>
              </w:rPr>
              <w:t xml:space="preserve"> × </w:t>
            </w:r>
            <w:r w:rsidRPr="00282B2D">
              <w:rPr>
                <w:rFonts w:ascii="Times New Roman" w:eastAsia="Times New Roman" w:hAnsi="Times New Roman" w:cs="Times New Roman"/>
                <w:b/>
                <w:i/>
                <w:color w:val="000000"/>
                <w:sz w:val="24"/>
                <w:szCs w:val="24"/>
              </w:rPr>
              <w:t>L. multiflorum</w:t>
            </w:r>
            <w:r w:rsidRPr="00282B2D">
              <w:rPr>
                <w:rFonts w:ascii="Times New Roman" w:eastAsia="Times New Roman" w:hAnsi="Times New Roman" w:cs="Times New Roman"/>
                <w:b/>
                <w:bCs/>
                <w:color w:val="000000"/>
                <w:sz w:val="24"/>
                <w:szCs w:val="24"/>
              </w:rPr>
              <w:t>,</w:t>
            </w:r>
            <w:r w:rsidRPr="00282B2D">
              <w:rPr>
                <w:rFonts w:ascii="Times New Roman" w:eastAsia="Times New Roman" w:hAnsi="Times New Roman" w:cs="Times New Roman"/>
                <w:b/>
                <w:bCs/>
                <w:i/>
                <w:iCs/>
                <w:color w:val="000000"/>
                <w:sz w:val="24"/>
                <w:szCs w:val="24"/>
              </w:rPr>
              <w:t xml:space="preserve"> </w:t>
            </w:r>
            <w:r w:rsidRPr="00282B2D">
              <w:rPr>
                <w:rFonts w:ascii="Times New Roman" w:eastAsia="Times New Roman" w:hAnsi="Times New Roman" w:cs="Times New Roman"/>
                <w:b/>
                <w:bCs/>
                <w:color w:val="000000"/>
                <w:sz w:val="24"/>
                <w:szCs w:val="24"/>
              </w:rPr>
              <w:t xml:space="preserve">Champion GQ </w:t>
            </w:r>
            <w:r w:rsidRPr="00282B2D">
              <w:rPr>
                <w:rFonts w:ascii="Times New Roman" w:eastAsia="Times New Roman" w:hAnsi="Times New Roman" w:cs="Times New Roman"/>
                <w:b/>
                <w:bCs/>
                <w:i/>
                <w:iCs/>
                <w:color w:val="000000"/>
                <w:sz w:val="24"/>
                <w:szCs w:val="24"/>
              </w:rPr>
              <w:t>L. perenne,</w:t>
            </w:r>
            <w:r w:rsidRPr="00282B2D">
              <w:rPr>
                <w:rFonts w:ascii="Times New Roman" w:eastAsia="Times New Roman" w:hAnsi="Times New Roman" w:cs="Times New Roman"/>
                <w:b/>
                <w:bCs/>
                <w:color w:val="000000"/>
                <w:sz w:val="24"/>
                <w:szCs w:val="24"/>
              </w:rPr>
              <w:t xml:space="preserve"> ‘Quasar’ </w:t>
            </w:r>
            <w:r w:rsidRPr="00282B2D">
              <w:rPr>
                <w:rFonts w:ascii="Times New Roman" w:eastAsia="Times New Roman" w:hAnsi="Times New Roman" w:cs="Times New Roman"/>
                <w:b/>
                <w:bCs/>
                <w:i/>
                <w:color w:val="000000"/>
                <w:sz w:val="24"/>
                <w:szCs w:val="24"/>
              </w:rPr>
              <w:t>Poa trivialis</w:t>
            </w:r>
            <w:r w:rsidRPr="00282B2D">
              <w:rPr>
                <w:rFonts w:ascii="Times New Roman" w:eastAsia="Times New Roman" w:hAnsi="Times New Roman" w:cs="Times New Roman"/>
                <w:b/>
                <w:bCs/>
                <w:color w:val="000000"/>
                <w:sz w:val="24"/>
                <w:szCs w:val="24"/>
              </w:rPr>
              <w:t xml:space="preserve">, and SRX 2NEM </w:t>
            </w:r>
            <w:r w:rsidRPr="00282B2D">
              <w:rPr>
                <w:rFonts w:ascii="Times New Roman" w:eastAsia="Times New Roman" w:hAnsi="Times New Roman" w:cs="Times New Roman"/>
                <w:b/>
                <w:bCs/>
                <w:i/>
                <w:color w:val="000000"/>
                <w:sz w:val="24"/>
                <w:szCs w:val="24"/>
              </w:rPr>
              <w:t>P. nemoralis.</w:t>
            </w:r>
          </w:p>
        </w:tc>
      </w:tr>
      <w:tr w:rsidR="00282B2D" w:rsidRPr="00282B2D" w14:paraId="5A4D8DF8" w14:textId="77777777" w:rsidTr="00282B2D">
        <w:trPr>
          <w:trHeight w:val="300"/>
          <w:jc w:val="center"/>
        </w:trPr>
        <w:tc>
          <w:tcPr>
            <w:tcW w:w="5698" w:type="dxa"/>
            <w:gridSpan w:val="3"/>
            <w:tcBorders>
              <w:top w:val="nil"/>
              <w:left w:val="nil"/>
              <w:right w:val="nil"/>
            </w:tcBorders>
            <w:shd w:val="clear" w:color="auto" w:fill="auto"/>
            <w:noWrap/>
            <w:vAlign w:val="bottom"/>
          </w:tcPr>
          <w:p w14:paraId="6275BFD7" w14:textId="77777777" w:rsidR="00282B2D" w:rsidRPr="00282B2D" w:rsidRDefault="00282B2D" w:rsidP="00282B2D">
            <w:pPr>
              <w:spacing w:after="0" w:line="240" w:lineRule="auto"/>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vertAlign w:val="superscript"/>
              </w:rPr>
              <w:t xml:space="preserve">‡ </w:t>
            </w:r>
            <w:r w:rsidRPr="00282B2D">
              <w:rPr>
                <w:rFonts w:ascii="Times New Roman" w:eastAsia="Times New Roman" w:hAnsi="Times New Roman" w:cs="Times New Roman"/>
                <w:b/>
                <w:bCs/>
                <w:color w:val="000000"/>
                <w:sz w:val="24"/>
                <w:szCs w:val="24"/>
              </w:rPr>
              <w:t>Control was represented as non-overseeded bermudagrass.</w:t>
            </w:r>
          </w:p>
        </w:tc>
      </w:tr>
    </w:tbl>
    <w:p w14:paraId="6C4C4E64" w14:textId="77777777" w:rsidR="00282B2D" w:rsidRDefault="00282B2D">
      <w:pPr>
        <w:sectPr w:rsidR="00282B2D" w:rsidSect="00282B2D">
          <w:pgSz w:w="12240" w:h="15840"/>
          <w:pgMar w:top="1440" w:right="1440" w:bottom="1440" w:left="1440" w:header="720" w:footer="720" w:gutter="0"/>
          <w:cols w:space="720"/>
          <w:docGrid w:linePitch="360"/>
        </w:sectPr>
      </w:pPr>
    </w:p>
    <w:tbl>
      <w:tblPr>
        <w:tblW w:w="11105" w:type="dxa"/>
        <w:jc w:val="center"/>
        <w:tblInd w:w="93" w:type="dxa"/>
        <w:tblLook w:val="04A0" w:firstRow="1" w:lastRow="0" w:firstColumn="1" w:lastColumn="0" w:noHBand="0" w:noVBand="1"/>
      </w:tblPr>
      <w:tblGrid>
        <w:gridCol w:w="1413"/>
        <w:gridCol w:w="3048"/>
        <w:gridCol w:w="796"/>
        <w:gridCol w:w="796"/>
        <w:gridCol w:w="796"/>
        <w:gridCol w:w="796"/>
        <w:gridCol w:w="276"/>
        <w:gridCol w:w="796"/>
        <w:gridCol w:w="796"/>
        <w:gridCol w:w="796"/>
        <w:gridCol w:w="796"/>
      </w:tblGrid>
      <w:tr w:rsidR="00282B2D" w:rsidRPr="00282B2D" w14:paraId="26143821" w14:textId="77777777" w:rsidTr="00282B2D">
        <w:trPr>
          <w:trHeight w:val="600"/>
          <w:jc w:val="center"/>
        </w:trPr>
        <w:tc>
          <w:tcPr>
            <w:tcW w:w="11105" w:type="dxa"/>
            <w:gridSpan w:val="11"/>
            <w:tcBorders>
              <w:top w:val="nil"/>
              <w:left w:val="nil"/>
              <w:bottom w:val="single" w:sz="4" w:space="0" w:color="auto"/>
              <w:right w:val="nil"/>
            </w:tcBorders>
            <w:shd w:val="clear" w:color="auto" w:fill="auto"/>
            <w:vAlign w:val="bottom"/>
            <w:hideMark/>
          </w:tcPr>
          <w:p w14:paraId="4668305D"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lastRenderedPageBreak/>
              <w:t>Table 3.5. Effect of overseeding species by transition type on percent green cover on a ‘Riviera’ fairway during the spring transition period in Knoxville, TN.</w:t>
            </w:r>
          </w:p>
        </w:tc>
      </w:tr>
      <w:tr w:rsidR="00282B2D" w:rsidRPr="00282B2D" w14:paraId="286BF5FC" w14:textId="77777777" w:rsidTr="00282B2D">
        <w:trPr>
          <w:trHeight w:val="300"/>
          <w:jc w:val="center"/>
        </w:trPr>
        <w:tc>
          <w:tcPr>
            <w:tcW w:w="1413" w:type="dxa"/>
            <w:tcBorders>
              <w:top w:val="nil"/>
              <w:left w:val="nil"/>
              <w:bottom w:val="nil"/>
              <w:right w:val="nil"/>
            </w:tcBorders>
            <w:shd w:val="clear" w:color="auto" w:fill="auto"/>
            <w:noWrap/>
            <w:vAlign w:val="bottom"/>
            <w:hideMark/>
          </w:tcPr>
          <w:p w14:paraId="70BA0361"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3048" w:type="dxa"/>
            <w:tcBorders>
              <w:top w:val="nil"/>
              <w:left w:val="nil"/>
              <w:bottom w:val="nil"/>
              <w:right w:val="nil"/>
            </w:tcBorders>
            <w:shd w:val="clear" w:color="auto" w:fill="auto"/>
            <w:noWrap/>
            <w:vAlign w:val="bottom"/>
            <w:hideMark/>
          </w:tcPr>
          <w:p w14:paraId="2B20A5B0"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3184" w:type="dxa"/>
            <w:gridSpan w:val="4"/>
            <w:tcBorders>
              <w:top w:val="nil"/>
              <w:left w:val="nil"/>
              <w:bottom w:val="single" w:sz="4" w:space="0" w:color="auto"/>
              <w:right w:val="nil"/>
            </w:tcBorders>
            <w:shd w:val="clear" w:color="auto" w:fill="auto"/>
            <w:noWrap/>
            <w:vAlign w:val="bottom"/>
            <w:hideMark/>
          </w:tcPr>
          <w:p w14:paraId="1E8117BF"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2010</w:t>
            </w:r>
          </w:p>
        </w:tc>
        <w:tc>
          <w:tcPr>
            <w:tcW w:w="276" w:type="dxa"/>
            <w:tcBorders>
              <w:top w:val="nil"/>
              <w:left w:val="nil"/>
              <w:bottom w:val="nil"/>
              <w:right w:val="nil"/>
            </w:tcBorders>
            <w:shd w:val="clear" w:color="auto" w:fill="auto"/>
            <w:noWrap/>
            <w:vAlign w:val="bottom"/>
            <w:hideMark/>
          </w:tcPr>
          <w:p w14:paraId="5978C6D0" w14:textId="77777777" w:rsidR="00282B2D" w:rsidRPr="00282B2D" w:rsidRDefault="00282B2D" w:rsidP="00282B2D">
            <w:pPr>
              <w:spacing w:after="0" w:line="240" w:lineRule="auto"/>
              <w:rPr>
                <w:rFonts w:ascii="Times New Roman" w:eastAsia="Times New Roman" w:hAnsi="Times New Roman" w:cs="Times New Roman"/>
                <w:b/>
                <w:sz w:val="24"/>
                <w:szCs w:val="24"/>
              </w:rPr>
            </w:pPr>
          </w:p>
        </w:tc>
        <w:tc>
          <w:tcPr>
            <w:tcW w:w="3184" w:type="dxa"/>
            <w:gridSpan w:val="4"/>
            <w:tcBorders>
              <w:top w:val="nil"/>
              <w:left w:val="nil"/>
              <w:bottom w:val="single" w:sz="4" w:space="0" w:color="auto"/>
              <w:right w:val="nil"/>
            </w:tcBorders>
            <w:shd w:val="clear" w:color="auto" w:fill="auto"/>
            <w:noWrap/>
            <w:vAlign w:val="bottom"/>
            <w:hideMark/>
          </w:tcPr>
          <w:p w14:paraId="096FFDE5"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2011</w:t>
            </w:r>
          </w:p>
        </w:tc>
      </w:tr>
      <w:tr w:rsidR="00282B2D" w:rsidRPr="00282B2D" w14:paraId="7FAE8642" w14:textId="77777777" w:rsidTr="00282B2D">
        <w:trPr>
          <w:trHeight w:val="300"/>
          <w:jc w:val="center"/>
        </w:trPr>
        <w:tc>
          <w:tcPr>
            <w:tcW w:w="1413" w:type="dxa"/>
            <w:tcBorders>
              <w:top w:val="nil"/>
              <w:left w:val="nil"/>
              <w:bottom w:val="nil"/>
              <w:right w:val="nil"/>
            </w:tcBorders>
            <w:shd w:val="clear" w:color="auto" w:fill="auto"/>
            <w:noWrap/>
            <w:vAlign w:val="bottom"/>
            <w:hideMark/>
          </w:tcPr>
          <w:p w14:paraId="50C89C70"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3048" w:type="dxa"/>
            <w:tcBorders>
              <w:top w:val="nil"/>
              <w:left w:val="nil"/>
              <w:bottom w:val="nil"/>
              <w:right w:val="nil"/>
            </w:tcBorders>
            <w:shd w:val="clear" w:color="auto" w:fill="auto"/>
            <w:noWrap/>
            <w:vAlign w:val="bottom"/>
            <w:hideMark/>
          </w:tcPr>
          <w:p w14:paraId="3B265100"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6644" w:type="dxa"/>
            <w:gridSpan w:val="9"/>
            <w:tcBorders>
              <w:top w:val="nil"/>
              <w:left w:val="nil"/>
              <w:bottom w:val="single" w:sz="4" w:space="0" w:color="auto"/>
              <w:right w:val="nil"/>
            </w:tcBorders>
            <w:shd w:val="clear" w:color="auto" w:fill="auto"/>
            <w:noWrap/>
            <w:vAlign w:val="bottom"/>
            <w:hideMark/>
          </w:tcPr>
          <w:p w14:paraId="47FE3E7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Weeks into transition period</w:t>
            </w:r>
          </w:p>
        </w:tc>
      </w:tr>
      <w:tr w:rsidR="00282B2D" w:rsidRPr="00282B2D" w14:paraId="0B22842E" w14:textId="77777777" w:rsidTr="00282B2D">
        <w:trPr>
          <w:trHeight w:val="300"/>
          <w:jc w:val="center"/>
        </w:trPr>
        <w:tc>
          <w:tcPr>
            <w:tcW w:w="1413" w:type="dxa"/>
            <w:tcBorders>
              <w:top w:val="nil"/>
              <w:left w:val="nil"/>
              <w:bottom w:val="single" w:sz="4" w:space="0" w:color="auto"/>
              <w:right w:val="nil"/>
            </w:tcBorders>
            <w:shd w:val="clear" w:color="auto" w:fill="auto"/>
            <w:noWrap/>
            <w:vAlign w:val="bottom"/>
            <w:hideMark/>
          </w:tcPr>
          <w:p w14:paraId="656192ED"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Transition</w:t>
            </w:r>
            <w:r w:rsidRPr="00282B2D">
              <w:rPr>
                <w:rFonts w:ascii="Times New Roman" w:eastAsia="Times New Roman" w:hAnsi="Times New Roman" w:cs="Times New Roman"/>
                <w:b/>
                <w:bCs/>
                <w:color w:val="000000"/>
                <w:sz w:val="24"/>
                <w:szCs w:val="24"/>
                <w:vertAlign w:val="superscript"/>
              </w:rPr>
              <w:t>†</w:t>
            </w:r>
          </w:p>
        </w:tc>
        <w:tc>
          <w:tcPr>
            <w:tcW w:w="3048" w:type="dxa"/>
            <w:tcBorders>
              <w:top w:val="nil"/>
              <w:left w:val="nil"/>
              <w:bottom w:val="single" w:sz="4" w:space="0" w:color="auto"/>
              <w:right w:val="nil"/>
            </w:tcBorders>
            <w:shd w:val="clear" w:color="auto" w:fill="auto"/>
            <w:noWrap/>
            <w:vAlign w:val="bottom"/>
            <w:hideMark/>
          </w:tcPr>
          <w:p w14:paraId="6B4E7F2A"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Species</w:t>
            </w:r>
          </w:p>
        </w:tc>
        <w:tc>
          <w:tcPr>
            <w:tcW w:w="796" w:type="dxa"/>
            <w:tcBorders>
              <w:top w:val="nil"/>
              <w:left w:val="nil"/>
              <w:bottom w:val="single" w:sz="4" w:space="0" w:color="auto"/>
              <w:right w:val="nil"/>
            </w:tcBorders>
            <w:shd w:val="clear" w:color="auto" w:fill="auto"/>
            <w:noWrap/>
            <w:vAlign w:val="bottom"/>
            <w:hideMark/>
          </w:tcPr>
          <w:p w14:paraId="3D714BC5"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2</w:t>
            </w:r>
          </w:p>
        </w:tc>
        <w:tc>
          <w:tcPr>
            <w:tcW w:w="796" w:type="dxa"/>
            <w:tcBorders>
              <w:top w:val="nil"/>
              <w:left w:val="nil"/>
              <w:bottom w:val="single" w:sz="4" w:space="0" w:color="auto"/>
              <w:right w:val="nil"/>
            </w:tcBorders>
            <w:shd w:val="clear" w:color="auto" w:fill="auto"/>
            <w:noWrap/>
            <w:vAlign w:val="bottom"/>
            <w:hideMark/>
          </w:tcPr>
          <w:p w14:paraId="3E74926B"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3</w:t>
            </w:r>
          </w:p>
        </w:tc>
        <w:tc>
          <w:tcPr>
            <w:tcW w:w="796" w:type="dxa"/>
            <w:tcBorders>
              <w:top w:val="nil"/>
              <w:left w:val="nil"/>
              <w:bottom w:val="single" w:sz="4" w:space="0" w:color="auto"/>
              <w:right w:val="nil"/>
            </w:tcBorders>
            <w:shd w:val="clear" w:color="auto" w:fill="auto"/>
            <w:noWrap/>
            <w:vAlign w:val="bottom"/>
            <w:hideMark/>
          </w:tcPr>
          <w:p w14:paraId="1921E226"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6</w:t>
            </w:r>
          </w:p>
        </w:tc>
        <w:tc>
          <w:tcPr>
            <w:tcW w:w="796" w:type="dxa"/>
            <w:tcBorders>
              <w:top w:val="nil"/>
              <w:left w:val="nil"/>
              <w:bottom w:val="single" w:sz="4" w:space="0" w:color="auto"/>
              <w:right w:val="nil"/>
            </w:tcBorders>
            <w:shd w:val="clear" w:color="auto" w:fill="auto"/>
            <w:noWrap/>
            <w:vAlign w:val="bottom"/>
            <w:hideMark/>
          </w:tcPr>
          <w:p w14:paraId="43ED8606"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w:t>
            </w:r>
          </w:p>
        </w:tc>
        <w:tc>
          <w:tcPr>
            <w:tcW w:w="276" w:type="dxa"/>
            <w:tcBorders>
              <w:top w:val="nil"/>
              <w:left w:val="nil"/>
              <w:bottom w:val="single" w:sz="4" w:space="0" w:color="auto"/>
              <w:right w:val="nil"/>
            </w:tcBorders>
            <w:shd w:val="clear" w:color="auto" w:fill="auto"/>
            <w:noWrap/>
            <w:vAlign w:val="bottom"/>
            <w:hideMark/>
          </w:tcPr>
          <w:p w14:paraId="0A3B7331"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 </w:t>
            </w:r>
          </w:p>
        </w:tc>
        <w:tc>
          <w:tcPr>
            <w:tcW w:w="796" w:type="dxa"/>
            <w:tcBorders>
              <w:top w:val="nil"/>
              <w:left w:val="nil"/>
              <w:bottom w:val="single" w:sz="4" w:space="0" w:color="auto"/>
              <w:right w:val="nil"/>
            </w:tcBorders>
            <w:shd w:val="clear" w:color="auto" w:fill="auto"/>
            <w:noWrap/>
            <w:vAlign w:val="bottom"/>
            <w:hideMark/>
          </w:tcPr>
          <w:p w14:paraId="25BEDE91"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2</w:t>
            </w:r>
          </w:p>
        </w:tc>
        <w:tc>
          <w:tcPr>
            <w:tcW w:w="796" w:type="dxa"/>
            <w:tcBorders>
              <w:top w:val="nil"/>
              <w:left w:val="nil"/>
              <w:bottom w:val="single" w:sz="4" w:space="0" w:color="auto"/>
              <w:right w:val="nil"/>
            </w:tcBorders>
            <w:shd w:val="clear" w:color="auto" w:fill="auto"/>
            <w:noWrap/>
            <w:vAlign w:val="bottom"/>
            <w:hideMark/>
          </w:tcPr>
          <w:p w14:paraId="266D2A4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3</w:t>
            </w:r>
          </w:p>
        </w:tc>
        <w:tc>
          <w:tcPr>
            <w:tcW w:w="796" w:type="dxa"/>
            <w:tcBorders>
              <w:top w:val="nil"/>
              <w:left w:val="nil"/>
              <w:bottom w:val="single" w:sz="4" w:space="0" w:color="auto"/>
              <w:right w:val="nil"/>
            </w:tcBorders>
            <w:shd w:val="clear" w:color="auto" w:fill="auto"/>
            <w:noWrap/>
            <w:vAlign w:val="bottom"/>
            <w:hideMark/>
          </w:tcPr>
          <w:p w14:paraId="44FAE7B0"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6</w:t>
            </w:r>
          </w:p>
        </w:tc>
        <w:tc>
          <w:tcPr>
            <w:tcW w:w="796" w:type="dxa"/>
            <w:tcBorders>
              <w:top w:val="nil"/>
              <w:left w:val="nil"/>
              <w:bottom w:val="single" w:sz="4" w:space="0" w:color="auto"/>
              <w:right w:val="nil"/>
            </w:tcBorders>
            <w:shd w:val="clear" w:color="auto" w:fill="auto"/>
            <w:noWrap/>
            <w:vAlign w:val="bottom"/>
            <w:hideMark/>
          </w:tcPr>
          <w:p w14:paraId="6897303D"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w:t>
            </w:r>
          </w:p>
        </w:tc>
      </w:tr>
      <w:tr w:rsidR="00282B2D" w:rsidRPr="00282B2D" w14:paraId="16B6FB10" w14:textId="77777777" w:rsidTr="00282B2D">
        <w:trPr>
          <w:trHeight w:val="300"/>
          <w:jc w:val="center"/>
        </w:trPr>
        <w:tc>
          <w:tcPr>
            <w:tcW w:w="1413" w:type="dxa"/>
            <w:vMerge w:val="restart"/>
            <w:tcBorders>
              <w:top w:val="nil"/>
              <w:left w:val="nil"/>
              <w:right w:val="nil"/>
            </w:tcBorders>
            <w:shd w:val="clear" w:color="auto" w:fill="auto"/>
            <w:noWrap/>
            <w:hideMark/>
          </w:tcPr>
          <w:p w14:paraId="4635A164"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NT</w:t>
            </w:r>
          </w:p>
        </w:tc>
        <w:tc>
          <w:tcPr>
            <w:tcW w:w="3048" w:type="dxa"/>
            <w:tcBorders>
              <w:top w:val="nil"/>
              <w:left w:val="nil"/>
              <w:bottom w:val="nil"/>
              <w:right w:val="nil"/>
            </w:tcBorders>
            <w:shd w:val="clear" w:color="auto" w:fill="auto"/>
            <w:noWrap/>
            <w:vAlign w:val="bottom"/>
            <w:hideMark/>
          </w:tcPr>
          <w:p w14:paraId="127D5A83"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Control</w:t>
            </w:r>
            <w:r w:rsidRPr="00282B2D">
              <w:rPr>
                <w:rFonts w:ascii="Times New Roman" w:eastAsia="Times New Roman" w:hAnsi="Times New Roman" w:cs="Times New Roman"/>
                <w:b/>
                <w:bCs/>
                <w:color w:val="000000"/>
                <w:sz w:val="24"/>
                <w:szCs w:val="24"/>
                <w:vertAlign w:val="superscript"/>
              </w:rPr>
              <w:t>‡</w:t>
            </w:r>
          </w:p>
        </w:tc>
        <w:tc>
          <w:tcPr>
            <w:tcW w:w="796" w:type="dxa"/>
            <w:tcBorders>
              <w:top w:val="nil"/>
              <w:left w:val="nil"/>
              <w:bottom w:val="nil"/>
              <w:right w:val="nil"/>
            </w:tcBorders>
            <w:shd w:val="clear" w:color="auto" w:fill="auto"/>
            <w:noWrap/>
            <w:vAlign w:val="bottom"/>
          </w:tcPr>
          <w:p w14:paraId="6E061D9E"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90.7</w:t>
            </w:r>
          </w:p>
        </w:tc>
        <w:tc>
          <w:tcPr>
            <w:tcW w:w="796" w:type="dxa"/>
            <w:tcBorders>
              <w:top w:val="nil"/>
              <w:left w:val="nil"/>
              <w:bottom w:val="nil"/>
              <w:right w:val="nil"/>
            </w:tcBorders>
            <w:shd w:val="clear" w:color="auto" w:fill="auto"/>
            <w:noWrap/>
            <w:vAlign w:val="bottom"/>
          </w:tcPr>
          <w:p w14:paraId="7BAB21EB"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94.0</w:t>
            </w:r>
          </w:p>
        </w:tc>
        <w:tc>
          <w:tcPr>
            <w:tcW w:w="796" w:type="dxa"/>
            <w:tcBorders>
              <w:top w:val="nil"/>
              <w:left w:val="nil"/>
              <w:bottom w:val="nil"/>
              <w:right w:val="nil"/>
            </w:tcBorders>
            <w:shd w:val="clear" w:color="auto" w:fill="auto"/>
            <w:noWrap/>
            <w:vAlign w:val="bottom"/>
          </w:tcPr>
          <w:p w14:paraId="6F41276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99.3</w:t>
            </w:r>
          </w:p>
        </w:tc>
        <w:tc>
          <w:tcPr>
            <w:tcW w:w="796" w:type="dxa"/>
            <w:tcBorders>
              <w:top w:val="nil"/>
              <w:left w:val="nil"/>
              <w:bottom w:val="nil"/>
              <w:right w:val="nil"/>
            </w:tcBorders>
            <w:shd w:val="clear" w:color="auto" w:fill="auto"/>
            <w:noWrap/>
            <w:vAlign w:val="bottom"/>
          </w:tcPr>
          <w:p w14:paraId="3190D3E9"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98.1</w:t>
            </w:r>
          </w:p>
        </w:tc>
        <w:tc>
          <w:tcPr>
            <w:tcW w:w="276" w:type="dxa"/>
            <w:tcBorders>
              <w:top w:val="nil"/>
              <w:left w:val="nil"/>
              <w:bottom w:val="nil"/>
              <w:right w:val="nil"/>
            </w:tcBorders>
            <w:shd w:val="clear" w:color="auto" w:fill="auto"/>
            <w:noWrap/>
            <w:vAlign w:val="bottom"/>
          </w:tcPr>
          <w:p w14:paraId="1C1E6E7C"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tcPr>
          <w:p w14:paraId="5681408B"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91.5</w:t>
            </w:r>
          </w:p>
        </w:tc>
        <w:tc>
          <w:tcPr>
            <w:tcW w:w="796" w:type="dxa"/>
            <w:tcBorders>
              <w:top w:val="nil"/>
              <w:left w:val="nil"/>
              <w:bottom w:val="nil"/>
              <w:right w:val="nil"/>
            </w:tcBorders>
            <w:shd w:val="clear" w:color="auto" w:fill="auto"/>
            <w:noWrap/>
            <w:vAlign w:val="bottom"/>
          </w:tcPr>
          <w:p w14:paraId="379608DC"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89.2</w:t>
            </w:r>
          </w:p>
        </w:tc>
        <w:tc>
          <w:tcPr>
            <w:tcW w:w="796" w:type="dxa"/>
            <w:tcBorders>
              <w:top w:val="nil"/>
              <w:left w:val="nil"/>
              <w:bottom w:val="nil"/>
              <w:right w:val="nil"/>
            </w:tcBorders>
            <w:shd w:val="clear" w:color="auto" w:fill="auto"/>
            <w:noWrap/>
            <w:vAlign w:val="bottom"/>
          </w:tcPr>
          <w:p w14:paraId="11DEBD23"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90.8</w:t>
            </w:r>
          </w:p>
        </w:tc>
        <w:tc>
          <w:tcPr>
            <w:tcW w:w="796" w:type="dxa"/>
            <w:tcBorders>
              <w:top w:val="nil"/>
              <w:left w:val="nil"/>
              <w:bottom w:val="nil"/>
              <w:right w:val="nil"/>
            </w:tcBorders>
            <w:shd w:val="clear" w:color="auto" w:fill="auto"/>
            <w:noWrap/>
            <w:vAlign w:val="bottom"/>
          </w:tcPr>
          <w:p w14:paraId="290A99B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98.3</w:t>
            </w:r>
          </w:p>
        </w:tc>
      </w:tr>
      <w:tr w:rsidR="00282B2D" w:rsidRPr="00282B2D" w14:paraId="49BEF9D8" w14:textId="77777777" w:rsidTr="00282B2D">
        <w:trPr>
          <w:trHeight w:val="300"/>
          <w:jc w:val="center"/>
        </w:trPr>
        <w:tc>
          <w:tcPr>
            <w:tcW w:w="1413" w:type="dxa"/>
            <w:vMerge/>
            <w:tcBorders>
              <w:left w:val="nil"/>
              <w:right w:val="nil"/>
            </w:tcBorders>
            <w:vAlign w:val="center"/>
            <w:hideMark/>
          </w:tcPr>
          <w:p w14:paraId="04CA4D8A"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3048" w:type="dxa"/>
            <w:tcBorders>
              <w:top w:val="nil"/>
              <w:left w:val="nil"/>
              <w:bottom w:val="nil"/>
              <w:right w:val="nil"/>
            </w:tcBorders>
            <w:shd w:val="clear" w:color="auto" w:fill="auto"/>
            <w:noWrap/>
            <w:vAlign w:val="bottom"/>
          </w:tcPr>
          <w:p w14:paraId="600D4780"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bCs/>
                <w:i/>
                <w:color w:val="000000"/>
                <w:sz w:val="24"/>
                <w:szCs w:val="24"/>
              </w:rPr>
              <w:t>Lolium multiflorum</w:t>
            </w:r>
          </w:p>
        </w:tc>
        <w:tc>
          <w:tcPr>
            <w:tcW w:w="796" w:type="dxa"/>
            <w:tcBorders>
              <w:top w:val="nil"/>
              <w:left w:val="nil"/>
              <w:bottom w:val="nil"/>
              <w:right w:val="nil"/>
            </w:tcBorders>
            <w:shd w:val="clear" w:color="auto" w:fill="auto"/>
            <w:noWrap/>
            <w:vAlign w:val="bottom"/>
          </w:tcPr>
          <w:p w14:paraId="787CE55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87.0</w:t>
            </w:r>
          </w:p>
        </w:tc>
        <w:tc>
          <w:tcPr>
            <w:tcW w:w="796" w:type="dxa"/>
            <w:tcBorders>
              <w:top w:val="nil"/>
              <w:left w:val="nil"/>
              <w:bottom w:val="nil"/>
              <w:right w:val="nil"/>
            </w:tcBorders>
            <w:shd w:val="clear" w:color="auto" w:fill="auto"/>
            <w:noWrap/>
            <w:vAlign w:val="bottom"/>
          </w:tcPr>
          <w:p w14:paraId="6A76633D"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91.8</w:t>
            </w:r>
          </w:p>
        </w:tc>
        <w:tc>
          <w:tcPr>
            <w:tcW w:w="796" w:type="dxa"/>
            <w:tcBorders>
              <w:top w:val="nil"/>
              <w:left w:val="nil"/>
              <w:bottom w:val="nil"/>
              <w:right w:val="nil"/>
            </w:tcBorders>
            <w:shd w:val="clear" w:color="auto" w:fill="auto"/>
            <w:noWrap/>
            <w:vAlign w:val="bottom"/>
          </w:tcPr>
          <w:p w14:paraId="5AC9FD17"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99.2</w:t>
            </w:r>
          </w:p>
        </w:tc>
        <w:tc>
          <w:tcPr>
            <w:tcW w:w="796" w:type="dxa"/>
            <w:tcBorders>
              <w:top w:val="nil"/>
              <w:left w:val="nil"/>
              <w:bottom w:val="nil"/>
              <w:right w:val="nil"/>
            </w:tcBorders>
            <w:shd w:val="clear" w:color="auto" w:fill="auto"/>
            <w:noWrap/>
            <w:vAlign w:val="bottom"/>
          </w:tcPr>
          <w:p w14:paraId="11FF44B5"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98.3</w:t>
            </w:r>
          </w:p>
        </w:tc>
        <w:tc>
          <w:tcPr>
            <w:tcW w:w="276" w:type="dxa"/>
            <w:tcBorders>
              <w:top w:val="nil"/>
              <w:left w:val="nil"/>
              <w:bottom w:val="nil"/>
              <w:right w:val="nil"/>
            </w:tcBorders>
            <w:shd w:val="clear" w:color="auto" w:fill="auto"/>
            <w:noWrap/>
            <w:vAlign w:val="bottom"/>
          </w:tcPr>
          <w:p w14:paraId="08FB961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tcPr>
          <w:p w14:paraId="36B8DA80"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66.6</w:t>
            </w:r>
          </w:p>
        </w:tc>
        <w:tc>
          <w:tcPr>
            <w:tcW w:w="796" w:type="dxa"/>
            <w:tcBorders>
              <w:top w:val="nil"/>
              <w:left w:val="nil"/>
              <w:bottom w:val="nil"/>
              <w:right w:val="nil"/>
            </w:tcBorders>
            <w:shd w:val="clear" w:color="auto" w:fill="auto"/>
            <w:noWrap/>
            <w:vAlign w:val="bottom"/>
          </w:tcPr>
          <w:p w14:paraId="6CA32F8C"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65.8</w:t>
            </w:r>
          </w:p>
        </w:tc>
        <w:tc>
          <w:tcPr>
            <w:tcW w:w="796" w:type="dxa"/>
            <w:tcBorders>
              <w:top w:val="nil"/>
              <w:left w:val="nil"/>
              <w:bottom w:val="nil"/>
              <w:right w:val="nil"/>
            </w:tcBorders>
            <w:shd w:val="clear" w:color="auto" w:fill="auto"/>
            <w:noWrap/>
            <w:vAlign w:val="bottom"/>
          </w:tcPr>
          <w:p w14:paraId="4B63FFE6"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90.0</w:t>
            </w:r>
          </w:p>
        </w:tc>
        <w:tc>
          <w:tcPr>
            <w:tcW w:w="796" w:type="dxa"/>
            <w:tcBorders>
              <w:top w:val="nil"/>
              <w:left w:val="nil"/>
              <w:bottom w:val="nil"/>
              <w:right w:val="nil"/>
            </w:tcBorders>
            <w:shd w:val="clear" w:color="auto" w:fill="auto"/>
            <w:noWrap/>
            <w:vAlign w:val="bottom"/>
          </w:tcPr>
          <w:p w14:paraId="565D0613"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98.7</w:t>
            </w:r>
          </w:p>
        </w:tc>
      </w:tr>
      <w:tr w:rsidR="00282B2D" w:rsidRPr="00282B2D" w14:paraId="157D37C2" w14:textId="77777777" w:rsidTr="00282B2D">
        <w:trPr>
          <w:trHeight w:val="300"/>
          <w:jc w:val="center"/>
        </w:trPr>
        <w:tc>
          <w:tcPr>
            <w:tcW w:w="1413" w:type="dxa"/>
            <w:vMerge/>
            <w:tcBorders>
              <w:left w:val="nil"/>
              <w:right w:val="nil"/>
            </w:tcBorders>
            <w:vAlign w:val="center"/>
            <w:hideMark/>
          </w:tcPr>
          <w:p w14:paraId="3E839F5F"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3048" w:type="dxa"/>
            <w:tcBorders>
              <w:top w:val="nil"/>
              <w:left w:val="nil"/>
              <w:bottom w:val="nil"/>
              <w:right w:val="nil"/>
            </w:tcBorders>
            <w:shd w:val="clear" w:color="auto" w:fill="auto"/>
            <w:noWrap/>
            <w:vAlign w:val="bottom"/>
          </w:tcPr>
          <w:p w14:paraId="5A85D96D"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i/>
                <w:color w:val="000000"/>
                <w:sz w:val="24"/>
                <w:szCs w:val="24"/>
              </w:rPr>
              <w:t>L. perenne</w:t>
            </w:r>
            <w:r w:rsidRPr="00282B2D">
              <w:rPr>
                <w:rFonts w:ascii="Times New Roman" w:eastAsia="Times New Roman" w:hAnsi="Times New Roman" w:cs="Times New Roman"/>
                <w:b/>
                <w:color w:val="000000"/>
                <w:sz w:val="24"/>
                <w:szCs w:val="24"/>
              </w:rPr>
              <w:t xml:space="preserve"> × </w:t>
            </w:r>
            <w:r w:rsidRPr="00282B2D">
              <w:rPr>
                <w:rFonts w:ascii="Times New Roman" w:eastAsia="Times New Roman" w:hAnsi="Times New Roman" w:cs="Times New Roman"/>
                <w:b/>
                <w:i/>
                <w:color w:val="000000"/>
                <w:sz w:val="24"/>
                <w:szCs w:val="24"/>
              </w:rPr>
              <w:t>L. multiflorum</w:t>
            </w:r>
          </w:p>
        </w:tc>
        <w:tc>
          <w:tcPr>
            <w:tcW w:w="796" w:type="dxa"/>
            <w:tcBorders>
              <w:top w:val="nil"/>
              <w:left w:val="nil"/>
              <w:bottom w:val="nil"/>
              <w:right w:val="nil"/>
            </w:tcBorders>
            <w:shd w:val="clear" w:color="auto" w:fill="auto"/>
            <w:noWrap/>
            <w:vAlign w:val="bottom"/>
          </w:tcPr>
          <w:p w14:paraId="5BF3033D"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94.8</w:t>
            </w:r>
          </w:p>
        </w:tc>
        <w:tc>
          <w:tcPr>
            <w:tcW w:w="796" w:type="dxa"/>
            <w:tcBorders>
              <w:top w:val="nil"/>
              <w:left w:val="nil"/>
              <w:bottom w:val="nil"/>
              <w:right w:val="nil"/>
            </w:tcBorders>
            <w:shd w:val="clear" w:color="auto" w:fill="auto"/>
            <w:noWrap/>
            <w:vAlign w:val="bottom"/>
          </w:tcPr>
          <w:p w14:paraId="14D0106E"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94.5</w:t>
            </w:r>
          </w:p>
        </w:tc>
        <w:tc>
          <w:tcPr>
            <w:tcW w:w="796" w:type="dxa"/>
            <w:tcBorders>
              <w:top w:val="nil"/>
              <w:left w:val="nil"/>
              <w:bottom w:val="nil"/>
              <w:right w:val="nil"/>
            </w:tcBorders>
            <w:shd w:val="clear" w:color="auto" w:fill="auto"/>
            <w:noWrap/>
            <w:vAlign w:val="bottom"/>
          </w:tcPr>
          <w:p w14:paraId="0D131A90"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97.2</w:t>
            </w:r>
          </w:p>
        </w:tc>
        <w:tc>
          <w:tcPr>
            <w:tcW w:w="796" w:type="dxa"/>
            <w:tcBorders>
              <w:top w:val="nil"/>
              <w:left w:val="nil"/>
              <w:bottom w:val="nil"/>
              <w:right w:val="nil"/>
            </w:tcBorders>
            <w:shd w:val="clear" w:color="auto" w:fill="auto"/>
            <w:noWrap/>
            <w:vAlign w:val="bottom"/>
          </w:tcPr>
          <w:p w14:paraId="30EECE8B"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95.1</w:t>
            </w:r>
          </w:p>
        </w:tc>
        <w:tc>
          <w:tcPr>
            <w:tcW w:w="276" w:type="dxa"/>
            <w:tcBorders>
              <w:top w:val="nil"/>
              <w:left w:val="nil"/>
              <w:bottom w:val="nil"/>
              <w:right w:val="nil"/>
            </w:tcBorders>
            <w:shd w:val="clear" w:color="auto" w:fill="auto"/>
            <w:noWrap/>
            <w:vAlign w:val="bottom"/>
          </w:tcPr>
          <w:p w14:paraId="5476883B"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tcPr>
          <w:p w14:paraId="62552230"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78.7</w:t>
            </w:r>
          </w:p>
        </w:tc>
        <w:tc>
          <w:tcPr>
            <w:tcW w:w="796" w:type="dxa"/>
            <w:tcBorders>
              <w:top w:val="nil"/>
              <w:left w:val="nil"/>
              <w:bottom w:val="nil"/>
              <w:right w:val="nil"/>
            </w:tcBorders>
            <w:shd w:val="clear" w:color="auto" w:fill="auto"/>
            <w:noWrap/>
            <w:vAlign w:val="bottom"/>
          </w:tcPr>
          <w:p w14:paraId="770D74B5"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60.5</w:t>
            </w:r>
          </w:p>
        </w:tc>
        <w:tc>
          <w:tcPr>
            <w:tcW w:w="796" w:type="dxa"/>
            <w:tcBorders>
              <w:top w:val="nil"/>
              <w:left w:val="nil"/>
              <w:bottom w:val="nil"/>
              <w:right w:val="nil"/>
            </w:tcBorders>
            <w:shd w:val="clear" w:color="auto" w:fill="auto"/>
            <w:noWrap/>
            <w:vAlign w:val="bottom"/>
          </w:tcPr>
          <w:p w14:paraId="5A434BD3"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83.3</w:t>
            </w:r>
          </w:p>
        </w:tc>
        <w:tc>
          <w:tcPr>
            <w:tcW w:w="796" w:type="dxa"/>
            <w:tcBorders>
              <w:top w:val="nil"/>
              <w:left w:val="nil"/>
              <w:bottom w:val="nil"/>
              <w:right w:val="nil"/>
            </w:tcBorders>
            <w:shd w:val="clear" w:color="auto" w:fill="auto"/>
            <w:noWrap/>
            <w:vAlign w:val="bottom"/>
          </w:tcPr>
          <w:p w14:paraId="62C0B218"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96.9</w:t>
            </w:r>
          </w:p>
        </w:tc>
      </w:tr>
      <w:tr w:rsidR="00282B2D" w:rsidRPr="00282B2D" w14:paraId="1AECF3DB" w14:textId="77777777" w:rsidTr="00282B2D">
        <w:trPr>
          <w:trHeight w:val="300"/>
          <w:jc w:val="center"/>
        </w:trPr>
        <w:tc>
          <w:tcPr>
            <w:tcW w:w="1413" w:type="dxa"/>
            <w:vMerge/>
            <w:tcBorders>
              <w:left w:val="nil"/>
              <w:right w:val="nil"/>
            </w:tcBorders>
            <w:vAlign w:val="center"/>
            <w:hideMark/>
          </w:tcPr>
          <w:p w14:paraId="7FD0DCAC"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3048" w:type="dxa"/>
            <w:tcBorders>
              <w:top w:val="nil"/>
              <w:left w:val="nil"/>
              <w:bottom w:val="nil"/>
              <w:right w:val="nil"/>
            </w:tcBorders>
            <w:shd w:val="clear" w:color="auto" w:fill="auto"/>
            <w:noWrap/>
            <w:vAlign w:val="bottom"/>
          </w:tcPr>
          <w:p w14:paraId="0AAEB277"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bCs/>
                <w:i/>
                <w:color w:val="000000"/>
                <w:sz w:val="24"/>
                <w:szCs w:val="24"/>
              </w:rPr>
              <w:t>L. perenne</w:t>
            </w:r>
          </w:p>
        </w:tc>
        <w:tc>
          <w:tcPr>
            <w:tcW w:w="796" w:type="dxa"/>
            <w:tcBorders>
              <w:top w:val="nil"/>
              <w:left w:val="nil"/>
              <w:bottom w:val="nil"/>
              <w:right w:val="nil"/>
            </w:tcBorders>
            <w:shd w:val="clear" w:color="auto" w:fill="auto"/>
            <w:noWrap/>
            <w:vAlign w:val="bottom"/>
          </w:tcPr>
          <w:p w14:paraId="6B013BFF"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98.0</w:t>
            </w:r>
          </w:p>
        </w:tc>
        <w:tc>
          <w:tcPr>
            <w:tcW w:w="796" w:type="dxa"/>
            <w:tcBorders>
              <w:top w:val="nil"/>
              <w:left w:val="nil"/>
              <w:bottom w:val="nil"/>
              <w:right w:val="nil"/>
            </w:tcBorders>
            <w:shd w:val="clear" w:color="auto" w:fill="auto"/>
            <w:noWrap/>
            <w:vAlign w:val="bottom"/>
          </w:tcPr>
          <w:p w14:paraId="29678B64"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98.0</w:t>
            </w:r>
          </w:p>
        </w:tc>
        <w:tc>
          <w:tcPr>
            <w:tcW w:w="796" w:type="dxa"/>
            <w:tcBorders>
              <w:top w:val="nil"/>
              <w:left w:val="nil"/>
              <w:bottom w:val="nil"/>
              <w:right w:val="nil"/>
            </w:tcBorders>
            <w:shd w:val="clear" w:color="auto" w:fill="auto"/>
            <w:noWrap/>
            <w:vAlign w:val="bottom"/>
          </w:tcPr>
          <w:p w14:paraId="045B4895"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98.8</w:t>
            </w:r>
          </w:p>
        </w:tc>
        <w:tc>
          <w:tcPr>
            <w:tcW w:w="796" w:type="dxa"/>
            <w:tcBorders>
              <w:top w:val="nil"/>
              <w:left w:val="nil"/>
              <w:bottom w:val="nil"/>
              <w:right w:val="nil"/>
            </w:tcBorders>
            <w:shd w:val="clear" w:color="auto" w:fill="auto"/>
            <w:noWrap/>
            <w:vAlign w:val="bottom"/>
          </w:tcPr>
          <w:p w14:paraId="3CFC3A05"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96.0</w:t>
            </w:r>
          </w:p>
        </w:tc>
        <w:tc>
          <w:tcPr>
            <w:tcW w:w="276" w:type="dxa"/>
            <w:tcBorders>
              <w:top w:val="nil"/>
              <w:left w:val="nil"/>
              <w:bottom w:val="nil"/>
              <w:right w:val="nil"/>
            </w:tcBorders>
            <w:shd w:val="clear" w:color="auto" w:fill="auto"/>
            <w:noWrap/>
            <w:vAlign w:val="bottom"/>
          </w:tcPr>
          <w:p w14:paraId="334AAD01"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tcPr>
          <w:p w14:paraId="52DBDB60"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95.6</w:t>
            </w:r>
          </w:p>
        </w:tc>
        <w:tc>
          <w:tcPr>
            <w:tcW w:w="796" w:type="dxa"/>
            <w:tcBorders>
              <w:top w:val="nil"/>
              <w:left w:val="nil"/>
              <w:bottom w:val="nil"/>
              <w:right w:val="nil"/>
            </w:tcBorders>
            <w:shd w:val="clear" w:color="auto" w:fill="auto"/>
            <w:noWrap/>
            <w:vAlign w:val="bottom"/>
          </w:tcPr>
          <w:p w14:paraId="577BCDD0"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90.6</w:t>
            </w:r>
          </w:p>
        </w:tc>
        <w:tc>
          <w:tcPr>
            <w:tcW w:w="796" w:type="dxa"/>
            <w:tcBorders>
              <w:top w:val="nil"/>
              <w:left w:val="nil"/>
              <w:bottom w:val="nil"/>
              <w:right w:val="nil"/>
            </w:tcBorders>
            <w:shd w:val="clear" w:color="auto" w:fill="auto"/>
            <w:noWrap/>
            <w:vAlign w:val="bottom"/>
          </w:tcPr>
          <w:p w14:paraId="43937988"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91.0</w:t>
            </w:r>
          </w:p>
        </w:tc>
        <w:tc>
          <w:tcPr>
            <w:tcW w:w="796" w:type="dxa"/>
            <w:tcBorders>
              <w:top w:val="nil"/>
              <w:left w:val="nil"/>
              <w:bottom w:val="nil"/>
              <w:right w:val="nil"/>
            </w:tcBorders>
            <w:shd w:val="clear" w:color="auto" w:fill="auto"/>
            <w:noWrap/>
            <w:vAlign w:val="bottom"/>
          </w:tcPr>
          <w:p w14:paraId="0BAA2F80"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98.3</w:t>
            </w:r>
          </w:p>
        </w:tc>
      </w:tr>
      <w:tr w:rsidR="00282B2D" w:rsidRPr="00282B2D" w14:paraId="41EF95CE" w14:textId="77777777" w:rsidTr="00282B2D">
        <w:trPr>
          <w:trHeight w:val="300"/>
          <w:jc w:val="center"/>
        </w:trPr>
        <w:tc>
          <w:tcPr>
            <w:tcW w:w="1413" w:type="dxa"/>
            <w:vMerge/>
            <w:tcBorders>
              <w:left w:val="nil"/>
              <w:right w:val="nil"/>
            </w:tcBorders>
            <w:vAlign w:val="center"/>
            <w:hideMark/>
          </w:tcPr>
          <w:p w14:paraId="0F53CE6F"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3048" w:type="dxa"/>
            <w:tcBorders>
              <w:top w:val="nil"/>
              <w:left w:val="nil"/>
              <w:bottom w:val="nil"/>
              <w:right w:val="nil"/>
            </w:tcBorders>
            <w:shd w:val="clear" w:color="auto" w:fill="auto"/>
            <w:noWrap/>
            <w:vAlign w:val="bottom"/>
          </w:tcPr>
          <w:p w14:paraId="1D2342CE"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bCs/>
                <w:i/>
                <w:color w:val="000000"/>
                <w:sz w:val="24"/>
                <w:szCs w:val="24"/>
              </w:rPr>
              <w:t>Poa trivialis</w:t>
            </w:r>
          </w:p>
        </w:tc>
        <w:tc>
          <w:tcPr>
            <w:tcW w:w="796" w:type="dxa"/>
            <w:tcBorders>
              <w:top w:val="nil"/>
              <w:left w:val="nil"/>
              <w:bottom w:val="nil"/>
              <w:right w:val="nil"/>
            </w:tcBorders>
            <w:shd w:val="clear" w:color="auto" w:fill="auto"/>
            <w:noWrap/>
            <w:vAlign w:val="bottom"/>
          </w:tcPr>
          <w:p w14:paraId="6CC6A170"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98.4</w:t>
            </w:r>
          </w:p>
        </w:tc>
        <w:tc>
          <w:tcPr>
            <w:tcW w:w="796" w:type="dxa"/>
            <w:tcBorders>
              <w:top w:val="nil"/>
              <w:left w:val="nil"/>
              <w:bottom w:val="nil"/>
              <w:right w:val="nil"/>
            </w:tcBorders>
            <w:shd w:val="clear" w:color="auto" w:fill="auto"/>
            <w:noWrap/>
            <w:vAlign w:val="bottom"/>
          </w:tcPr>
          <w:p w14:paraId="1B2C4644"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98.4</w:t>
            </w:r>
          </w:p>
        </w:tc>
        <w:tc>
          <w:tcPr>
            <w:tcW w:w="796" w:type="dxa"/>
            <w:tcBorders>
              <w:top w:val="nil"/>
              <w:left w:val="nil"/>
              <w:bottom w:val="nil"/>
              <w:right w:val="nil"/>
            </w:tcBorders>
            <w:shd w:val="clear" w:color="auto" w:fill="auto"/>
            <w:noWrap/>
            <w:vAlign w:val="bottom"/>
          </w:tcPr>
          <w:p w14:paraId="0C906CDB"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89.3</w:t>
            </w:r>
          </w:p>
        </w:tc>
        <w:tc>
          <w:tcPr>
            <w:tcW w:w="796" w:type="dxa"/>
            <w:tcBorders>
              <w:top w:val="nil"/>
              <w:left w:val="nil"/>
              <w:bottom w:val="nil"/>
              <w:right w:val="nil"/>
            </w:tcBorders>
            <w:shd w:val="clear" w:color="auto" w:fill="auto"/>
            <w:noWrap/>
            <w:vAlign w:val="bottom"/>
          </w:tcPr>
          <w:p w14:paraId="1BACD258"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89.2</w:t>
            </w:r>
          </w:p>
        </w:tc>
        <w:tc>
          <w:tcPr>
            <w:tcW w:w="276" w:type="dxa"/>
            <w:tcBorders>
              <w:top w:val="nil"/>
              <w:left w:val="nil"/>
              <w:bottom w:val="nil"/>
              <w:right w:val="nil"/>
            </w:tcBorders>
            <w:shd w:val="clear" w:color="auto" w:fill="auto"/>
            <w:noWrap/>
            <w:vAlign w:val="bottom"/>
          </w:tcPr>
          <w:p w14:paraId="500E4A11"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tcPr>
          <w:p w14:paraId="4F3C4EAF"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89.7</w:t>
            </w:r>
          </w:p>
        </w:tc>
        <w:tc>
          <w:tcPr>
            <w:tcW w:w="796" w:type="dxa"/>
            <w:tcBorders>
              <w:top w:val="nil"/>
              <w:left w:val="nil"/>
              <w:bottom w:val="nil"/>
              <w:right w:val="nil"/>
            </w:tcBorders>
            <w:shd w:val="clear" w:color="auto" w:fill="auto"/>
            <w:noWrap/>
            <w:vAlign w:val="bottom"/>
          </w:tcPr>
          <w:p w14:paraId="57A3679D"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73.9</w:t>
            </w:r>
          </w:p>
        </w:tc>
        <w:tc>
          <w:tcPr>
            <w:tcW w:w="796" w:type="dxa"/>
            <w:tcBorders>
              <w:top w:val="nil"/>
              <w:left w:val="nil"/>
              <w:bottom w:val="nil"/>
              <w:right w:val="nil"/>
            </w:tcBorders>
            <w:shd w:val="clear" w:color="auto" w:fill="auto"/>
            <w:noWrap/>
            <w:vAlign w:val="bottom"/>
          </w:tcPr>
          <w:p w14:paraId="32CADC49"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85.4</w:t>
            </w:r>
          </w:p>
        </w:tc>
        <w:tc>
          <w:tcPr>
            <w:tcW w:w="796" w:type="dxa"/>
            <w:tcBorders>
              <w:top w:val="nil"/>
              <w:left w:val="nil"/>
              <w:bottom w:val="nil"/>
              <w:right w:val="nil"/>
            </w:tcBorders>
            <w:shd w:val="clear" w:color="auto" w:fill="auto"/>
            <w:noWrap/>
            <w:vAlign w:val="bottom"/>
          </w:tcPr>
          <w:p w14:paraId="2B71A5BA"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95.2</w:t>
            </w:r>
          </w:p>
        </w:tc>
      </w:tr>
      <w:tr w:rsidR="00282B2D" w:rsidRPr="00282B2D" w14:paraId="4E97A1B4" w14:textId="77777777" w:rsidTr="00282B2D">
        <w:trPr>
          <w:trHeight w:val="300"/>
          <w:jc w:val="center"/>
        </w:trPr>
        <w:tc>
          <w:tcPr>
            <w:tcW w:w="1413" w:type="dxa"/>
            <w:vMerge/>
            <w:tcBorders>
              <w:left w:val="nil"/>
              <w:bottom w:val="nil"/>
              <w:right w:val="nil"/>
            </w:tcBorders>
            <w:vAlign w:val="center"/>
          </w:tcPr>
          <w:p w14:paraId="1F52D362"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3048" w:type="dxa"/>
            <w:tcBorders>
              <w:top w:val="nil"/>
              <w:left w:val="nil"/>
              <w:bottom w:val="nil"/>
              <w:right w:val="nil"/>
            </w:tcBorders>
            <w:shd w:val="clear" w:color="auto" w:fill="auto"/>
            <w:noWrap/>
            <w:vAlign w:val="bottom"/>
          </w:tcPr>
          <w:p w14:paraId="47841E62"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bCs/>
                <w:i/>
                <w:color w:val="000000"/>
                <w:sz w:val="24"/>
                <w:szCs w:val="24"/>
              </w:rPr>
              <w:t>P. nemoralis</w:t>
            </w:r>
          </w:p>
        </w:tc>
        <w:tc>
          <w:tcPr>
            <w:tcW w:w="796" w:type="dxa"/>
            <w:tcBorders>
              <w:top w:val="nil"/>
              <w:left w:val="nil"/>
              <w:bottom w:val="nil"/>
              <w:right w:val="nil"/>
            </w:tcBorders>
            <w:shd w:val="clear" w:color="auto" w:fill="auto"/>
            <w:noWrap/>
            <w:vAlign w:val="bottom"/>
          </w:tcPr>
          <w:p w14:paraId="328E6FE4"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94.3</w:t>
            </w:r>
          </w:p>
        </w:tc>
        <w:tc>
          <w:tcPr>
            <w:tcW w:w="796" w:type="dxa"/>
            <w:tcBorders>
              <w:top w:val="nil"/>
              <w:left w:val="nil"/>
              <w:bottom w:val="nil"/>
              <w:right w:val="nil"/>
            </w:tcBorders>
            <w:shd w:val="clear" w:color="auto" w:fill="auto"/>
            <w:noWrap/>
            <w:vAlign w:val="bottom"/>
          </w:tcPr>
          <w:p w14:paraId="1D6752F3"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94.3</w:t>
            </w:r>
          </w:p>
        </w:tc>
        <w:tc>
          <w:tcPr>
            <w:tcW w:w="796" w:type="dxa"/>
            <w:tcBorders>
              <w:top w:val="nil"/>
              <w:left w:val="nil"/>
              <w:bottom w:val="nil"/>
              <w:right w:val="nil"/>
            </w:tcBorders>
            <w:shd w:val="clear" w:color="auto" w:fill="auto"/>
            <w:noWrap/>
            <w:vAlign w:val="bottom"/>
          </w:tcPr>
          <w:p w14:paraId="1FE5F4F1"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99.3</w:t>
            </w:r>
          </w:p>
        </w:tc>
        <w:tc>
          <w:tcPr>
            <w:tcW w:w="796" w:type="dxa"/>
            <w:tcBorders>
              <w:top w:val="nil"/>
              <w:left w:val="nil"/>
              <w:bottom w:val="nil"/>
              <w:right w:val="nil"/>
            </w:tcBorders>
            <w:shd w:val="clear" w:color="auto" w:fill="auto"/>
            <w:noWrap/>
            <w:vAlign w:val="bottom"/>
          </w:tcPr>
          <w:p w14:paraId="53F29206"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98.0</w:t>
            </w:r>
          </w:p>
        </w:tc>
        <w:tc>
          <w:tcPr>
            <w:tcW w:w="276" w:type="dxa"/>
            <w:tcBorders>
              <w:top w:val="nil"/>
              <w:left w:val="nil"/>
              <w:bottom w:val="nil"/>
              <w:right w:val="nil"/>
            </w:tcBorders>
            <w:shd w:val="clear" w:color="auto" w:fill="auto"/>
            <w:noWrap/>
            <w:vAlign w:val="bottom"/>
          </w:tcPr>
          <w:p w14:paraId="1BD8CD2B"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tcPr>
          <w:p w14:paraId="6743AE0E"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90.0</w:t>
            </w:r>
          </w:p>
        </w:tc>
        <w:tc>
          <w:tcPr>
            <w:tcW w:w="796" w:type="dxa"/>
            <w:tcBorders>
              <w:top w:val="nil"/>
              <w:left w:val="nil"/>
              <w:bottom w:val="nil"/>
              <w:right w:val="nil"/>
            </w:tcBorders>
            <w:shd w:val="clear" w:color="auto" w:fill="auto"/>
            <w:noWrap/>
            <w:vAlign w:val="bottom"/>
          </w:tcPr>
          <w:p w14:paraId="2A793B36"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84.5</w:t>
            </w:r>
          </w:p>
        </w:tc>
        <w:tc>
          <w:tcPr>
            <w:tcW w:w="796" w:type="dxa"/>
            <w:tcBorders>
              <w:top w:val="nil"/>
              <w:left w:val="nil"/>
              <w:bottom w:val="nil"/>
              <w:right w:val="nil"/>
            </w:tcBorders>
            <w:shd w:val="clear" w:color="auto" w:fill="auto"/>
            <w:noWrap/>
            <w:vAlign w:val="bottom"/>
          </w:tcPr>
          <w:p w14:paraId="07E13E38"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92.3</w:t>
            </w:r>
          </w:p>
        </w:tc>
        <w:tc>
          <w:tcPr>
            <w:tcW w:w="796" w:type="dxa"/>
            <w:tcBorders>
              <w:top w:val="nil"/>
              <w:left w:val="nil"/>
              <w:bottom w:val="nil"/>
              <w:right w:val="nil"/>
            </w:tcBorders>
            <w:shd w:val="clear" w:color="auto" w:fill="auto"/>
            <w:noWrap/>
            <w:vAlign w:val="bottom"/>
          </w:tcPr>
          <w:p w14:paraId="671C9547"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98.2</w:t>
            </w:r>
          </w:p>
        </w:tc>
      </w:tr>
      <w:tr w:rsidR="00282B2D" w:rsidRPr="00282B2D" w14:paraId="41AEA4D7" w14:textId="77777777" w:rsidTr="00282B2D">
        <w:trPr>
          <w:trHeight w:val="300"/>
          <w:jc w:val="center"/>
        </w:trPr>
        <w:tc>
          <w:tcPr>
            <w:tcW w:w="1413" w:type="dxa"/>
            <w:vMerge w:val="restart"/>
            <w:tcBorders>
              <w:top w:val="nil"/>
              <w:left w:val="nil"/>
              <w:right w:val="nil"/>
            </w:tcBorders>
            <w:shd w:val="clear" w:color="auto" w:fill="auto"/>
            <w:noWrap/>
            <w:hideMark/>
          </w:tcPr>
          <w:p w14:paraId="2A235939"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TS</w:t>
            </w:r>
          </w:p>
        </w:tc>
        <w:tc>
          <w:tcPr>
            <w:tcW w:w="3048" w:type="dxa"/>
            <w:tcBorders>
              <w:top w:val="nil"/>
              <w:left w:val="nil"/>
              <w:bottom w:val="nil"/>
              <w:right w:val="nil"/>
            </w:tcBorders>
            <w:shd w:val="clear" w:color="auto" w:fill="auto"/>
            <w:noWrap/>
            <w:vAlign w:val="bottom"/>
            <w:hideMark/>
          </w:tcPr>
          <w:p w14:paraId="2922A997"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Control</w:t>
            </w:r>
          </w:p>
        </w:tc>
        <w:tc>
          <w:tcPr>
            <w:tcW w:w="796" w:type="dxa"/>
            <w:tcBorders>
              <w:top w:val="nil"/>
              <w:left w:val="nil"/>
              <w:bottom w:val="nil"/>
              <w:right w:val="nil"/>
            </w:tcBorders>
            <w:shd w:val="clear" w:color="auto" w:fill="auto"/>
            <w:noWrap/>
            <w:vAlign w:val="bottom"/>
          </w:tcPr>
          <w:p w14:paraId="31D0BD14"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83.3</w:t>
            </w:r>
          </w:p>
        </w:tc>
        <w:tc>
          <w:tcPr>
            <w:tcW w:w="796" w:type="dxa"/>
            <w:tcBorders>
              <w:top w:val="nil"/>
              <w:left w:val="nil"/>
              <w:bottom w:val="nil"/>
              <w:right w:val="nil"/>
            </w:tcBorders>
            <w:shd w:val="clear" w:color="auto" w:fill="auto"/>
            <w:noWrap/>
            <w:vAlign w:val="bottom"/>
          </w:tcPr>
          <w:p w14:paraId="2FF27D16"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88.3</w:t>
            </w:r>
          </w:p>
        </w:tc>
        <w:tc>
          <w:tcPr>
            <w:tcW w:w="796" w:type="dxa"/>
            <w:tcBorders>
              <w:top w:val="nil"/>
              <w:left w:val="nil"/>
              <w:bottom w:val="nil"/>
              <w:right w:val="nil"/>
            </w:tcBorders>
            <w:shd w:val="clear" w:color="auto" w:fill="auto"/>
            <w:noWrap/>
            <w:vAlign w:val="bottom"/>
          </w:tcPr>
          <w:p w14:paraId="04B58026"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98.1</w:t>
            </w:r>
          </w:p>
        </w:tc>
        <w:tc>
          <w:tcPr>
            <w:tcW w:w="796" w:type="dxa"/>
            <w:tcBorders>
              <w:top w:val="nil"/>
              <w:left w:val="nil"/>
              <w:bottom w:val="nil"/>
              <w:right w:val="nil"/>
            </w:tcBorders>
            <w:shd w:val="clear" w:color="auto" w:fill="auto"/>
            <w:noWrap/>
            <w:vAlign w:val="bottom"/>
          </w:tcPr>
          <w:p w14:paraId="4201EC66"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98.1</w:t>
            </w:r>
          </w:p>
        </w:tc>
        <w:tc>
          <w:tcPr>
            <w:tcW w:w="276" w:type="dxa"/>
            <w:tcBorders>
              <w:top w:val="nil"/>
              <w:left w:val="nil"/>
              <w:bottom w:val="nil"/>
              <w:right w:val="nil"/>
            </w:tcBorders>
            <w:shd w:val="clear" w:color="auto" w:fill="auto"/>
            <w:noWrap/>
            <w:vAlign w:val="bottom"/>
          </w:tcPr>
          <w:p w14:paraId="5ED6E08A"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tcPr>
          <w:p w14:paraId="74710604"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91.5</w:t>
            </w:r>
          </w:p>
        </w:tc>
        <w:tc>
          <w:tcPr>
            <w:tcW w:w="796" w:type="dxa"/>
            <w:tcBorders>
              <w:top w:val="nil"/>
              <w:left w:val="nil"/>
              <w:bottom w:val="nil"/>
              <w:right w:val="nil"/>
            </w:tcBorders>
            <w:shd w:val="clear" w:color="auto" w:fill="auto"/>
            <w:noWrap/>
            <w:vAlign w:val="bottom"/>
          </w:tcPr>
          <w:p w14:paraId="2F00B945"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91.4</w:t>
            </w:r>
          </w:p>
        </w:tc>
        <w:tc>
          <w:tcPr>
            <w:tcW w:w="796" w:type="dxa"/>
            <w:tcBorders>
              <w:top w:val="nil"/>
              <w:left w:val="nil"/>
              <w:bottom w:val="nil"/>
              <w:right w:val="nil"/>
            </w:tcBorders>
            <w:shd w:val="clear" w:color="auto" w:fill="auto"/>
            <w:noWrap/>
            <w:vAlign w:val="bottom"/>
          </w:tcPr>
          <w:p w14:paraId="49D0629C"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90.9</w:t>
            </w:r>
          </w:p>
        </w:tc>
        <w:tc>
          <w:tcPr>
            <w:tcW w:w="796" w:type="dxa"/>
            <w:tcBorders>
              <w:top w:val="nil"/>
              <w:left w:val="nil"/>
              <w:bottom w:val="nil"/>
              <w:right w:val="nil"/>
            </w:tcBorders>
            <w:shd w:val="clear" w:color="auto" w:fill="auto"/>
            <w:noWrap/>
            <w:vAlign w:val="bottom"/>
          </w:tcPr>
          <w:p w14:paraId="5A63CCA4"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97.7</w:t>
            </w:r>
          </w:p>
        </w:tc>
      </w:tr>
      <w:tr w:rsidR="00282B2D" w:rsidRPr="00282B2D" w14:paraId="21F916B8" w14:textId="77777777" w:rsidTr="00282B2D">
        <w:trPr>
          <w:trHeight w:val="300"/>
          <w:jc w:val="center"/>
        </w:trPr>
        <w:tc>
          <w:tcPr>
            <w:tcW w:w="1413" w:type="dxa"/>
            <w:vMerge/>
            <w:tcBorders>
              <w:left w:val="nil"/>
              <w:right w:val="nil"/>
            </w:tcBorders>
            <w:vAlign w:val="center"/>
            <w:hideMark/>
          </w:tcPr>
          <w:p w14:paraId="63F6B035"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3048" w:type="dxa"/>
            <w:tcBorders>
              <w:top w:val="nil"/>
              <w:left w:val="nil"/>
              <w:bottom w:val="nil"/>
              <w:right w:val="nil"/>
            </w:tcBorders>
            <w:shd w:val="clear" w:color="auto" w:fill="auto"/>
            <w:noWrap/>
            <w:vAlign w:val="bottom"/>
          </w:tcPr>
          <w:p w14:paraId="09D2D4DF"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bCs/>
                <w:i/>
                <w:color w:val="000000"/>
                <w:sz w:val="24"/>
                <w:szCs w:val="24"/>
              </w:rPr>
              <w:t>Lolium multiflorum</w:t>
            </w:r>
          </w:p>
        </w:tc>
        <w:tc>
          <w:tcPr>
            <w:tcW w:w="796" w:type="dxa"/>
            <w:tcBorders>
              <w:top w:val="nil"/>
              <w:left w:val="nil"/>
              <w:bottom w:val="nil"/>
              <w:right w:val="nil"/>
            </w:tcBorders>
            <w:shd w:val="clear" w:color="auto" w:fill="auto"/>
            <w:noWrap/>
            <w:vAlign w:val="bottom"/>
          </w:tcPr>
          <w:p w14:paraId="783D2CE6"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73.0</w:t>
            </w:r>
          </w:p>
        </w:tc>
        <w:tc>
          <w:tcPr>
            <w:tcW w:w="796" w:type="dxa"/>
            <w:tcBorders>
              <w:top w:val="nil"/>
              <w:left w:val="nil"/>
              <w:bottom w:val="nil"/>
              <w:right w:val="nil"/>
            </w:tcBorders>
            <w:shd w:val="clear" w:color="auto" w:fill="auto"/>
            <w:noWrap/>
            <w:vAlign w:val="bottom"/>
          </w:tcPr>
          <w:p w14:paraId="5DF0751B"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86.9</w:t>
            </w:r>
          </w:p>
        </w:tc>
        <w:tc>
          <w:tcPr>
            <w:tcW w:w="796" w:type="dxa"/>
            <w:tcBorders>
              <w:top w:val="nil"/>
              <w:left w:val="nil"/>
              <w:bottom w:val="nil"/>
              <w:right w:val="nil"/>
            </w:tcBorders>
            <w:shd w:val="clear" w:color="auto" w:fill="auto"/>
            <w:noWrap/>
            <w:vAlign w:val="bottom"/>
          </w:tcPr>
          <w:p w14:paraId="6CC968E5"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98.4</w:t>
            </w:r>
          </w:p>
        </w:tc>
        <w:tc>
          <w:tcPr>
            <w:tcW w:w="796" w:type="dxa"/>
            <w:tcBorders>
              <w:top w:val="nil"/>
              <w:left w:val="nil"/>
              <w:bottom w:val="nil"/>
              <w:right w:val="nil"/>
            </w:tcBorders>
            <w:shd w:val="clear" w:color="auto" w:fill="auto"/>
            <w:noWrap/>
            <w:vAlign w:val="bottom"/>
          </w:tcPr>
          <w:p w14:paraId="05C9FC1A"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98.4</w:t>
            </w:r>
          </w:p>
        </w:tc>
        <w:tc>
          <w:tcPr>
            <w:tcW w:w="276" w:type="dxa"/>
            <w:tcBorders>
              <w:top w:val="nil"/>
              <w:left w:val="nil"/>
              <w:bottom w:val="nil"/>
              <w:right w:val="nil"/>
            </w:tcBorders>
            <w:shd w:val="clear" w:color="auto" w:fill="auto"/>
            <w:noWrap/>
            <w:vAlign w:val="bottom"/>
          </w:tcPr>
          <w:p w14:paraId="30D91BEE"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tcPr>
          <w:p w14:paraId="141152EE"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58.2</w:t>
            </w:r>
          </w:p>
        </w:tc>
        <w:tc>
          <w:tcPr>
            <w:tcW w:w="796" w:type="dxa"/>
            <w:tcBorders>
              <w:top w:val="nil"/>
              <w:left w:val="nil"/>
              <w:bottom w:val="nil"/>
              <w:right w:val="nil"/>
            </w:tcBorders>
            <w:shd w:val="clear" w:color="auto" w:fill="auto"/>
            <w:noWrap/>
            <w:vAlign w:val="bottom"/>
          </w:tcPr>
          <w:p w14:paraId="77A7234A"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74.3</w:t>
            </w:r>
          </w:p>
        </w:tc>
        <w:tc>
          <w:tcPr>
            <w:tcW w:w="796" w:type="dxa"/>
            <w:tcBorders>
              <w:top w:val="nil"/>
              <w:left w:val="nil"/>
              <w:bottom w:val="nil"/>
              <w:right w:val="nil"/>
            </w:tcBorders>
            <w:shd w:val="clear" w:color="auto" w:fill="auto"/>
            <w:noWrap/>
            <w:vAlign w:val="bottom"/>
          </w:tcPr>
          <w:p w14:paraId="6201BBE0"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91.8</w:t>
            </w:r>
          </w:p>
        </w:tc>
        <w:tc>
          <w:tcPr>
            <w:tcW w:w="796" w:type="dxa"/>
            <w:tcBorders>
              <w:top w:val="nil"/>
              <w:left w:val="nil"/>
              <w:bottom w:val="nil"/>
              <w:right w:val="nil"/>
            </w:tcBorders>
            <w:shd w:val="clear" w:color="auto" w:fill="auto"/>
            <w:noWrap/>
            <w:vAlign w:val="bottom"/>
          </w:tcPr>
          <w:p w14:paraId="77917316"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97.9</w:t>
            </w:r>
          </w:p>
        </w:tc>
      </w:tr>
      <w:tr w:rsidR="00282B2D" w:rsidRPr="00282B2D" w14:paraId="387F37C8" w14:textId="77777777" w:rsidTr="00282B2D">
        <w:trPr>
          <w:trHeight w:val="300"/>
          <w:jc w:val="center"/>
        </w:trPr>
        <w:tc>
          <w:tcPr>
            <w:tcW w:w="1413" w:type="dxa"/>
            <w:vMerge/>
            <w:tcBorders>
              <w:left w:val="nil"/>
              <w:right w:val="nil"/>
            </w:tcBorders>
            <w:vAlign w:val="center"/>
            <w:hideMark/>
          </w:tcPr>
          <w:p w14:paraId="6BE950E8"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3048" w:type="dxa"/>
            <w:tcBorders>
              <w:top w:val="nil"/>
              <w:left w:val="nil"/>
              <w:bottom w:val="nil"/>
              <w:right w:val="nil"/>
            </w:tcBorders>
            <w:shd w:val="clear" w:color="auto" w:fill="auto"/>
            <w:noWrap/>
            <w:vAlign w:val="bottom"/>
          </w:tcPr>
          <w:p w14:paraId="70D1B9BB"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i/>
                <w:color w:val="000000"/>
                <w:sz w:val="24"/>
                <w:szCs w:val="24"/>
              </w:rPr>
              <w:t>L. perenne</w:t>
            </w:r>
            <w:r w:rsidRPr="00282B2D">
              <w:rPr>
                <w:rFonts w:ascii="Times New Roman" w:eastAsia="Times New Roman" w:hAnsi="Times New Roman" w:cs="Times New Roman"/>
                <w:b/>
                <w:color w:val="000000"/>
                <w:sz w:val="24"/>
                <w:szCs w:val="24"/>
              </w:rPr>
              <w:t xml:space="preserve"> × </w:t>
            </w:r>
            <w:r w:rsidRPr="00282B2D">
              <w:rPr>
                <w:rFonts w:ascii="Times New Roman" w:eastAsia="Times New Roman" w:hAnsi="Times New Roman" w:cs="Times New Roman"/>
                <w:b/>
                <w:i/>
                <w:color w:val="000000"/>
                <w:sz w:val="24"/>
                <w:szCs w:val="24"/>
              </w:rPr>
              <w:t>L. multiflorum</w:t>
            </w:r>
          </w:p>
        </w:tc>
        <w:tc>
          <w:tcPr>
            <w:tcW w:w="796" w:type="dxa"/>
            <w:tcBorders>
              <w:top w:val="nil"/>
              <w:left w:val="nil"/>
              <w:bottom w:val="nil"/>
              <w:right w:val="nil"/>
            </w:tcBorders>
            <w:shd w:val="clear" w:color="auto" w:fill="auto"/>
            <w:noWrap/>
            <w:vAlign w:val="bottom"/>
          </w:tcPr>
          <w:p w14:paraId="38CF390A"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75.0</w:t>
            </w:r>
          </w:p>
        </w:tc>
        <w:tc>
          <w:tcPr>
            <w:tcW w:w="796" w:type="dxa"/>
            <w:tcBorders>
              <w:top w:val="nil"/>
              <w:left w:val="nil"/>
              <w:bottom w:val="nil"/>
              <w:right w:val="nil"/>
            </w:tcBorders>
            <w:shd w:val="clear" w:color="auto" w:fill="auto"/>
            <w:noWrap/>
            <w:vAlign w:val="bottom"/>
          </w:tcPr>
          <w:p w14:paraId="00CC0316"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79.6</w:t>
            </w:r>
          </w:p>
        </w:tc>
        <w:tc>
          <w:tcPr>
            <w:tcW w:w="796" w:type="dxa"/>
            <w:tcBorders>
              <w:top w:val="nil"/>
              <w:left w:val="nil"/>
              <w:bottom w:val="nil"/>
              <w:right w:val="nil"/>
            </w:tcBorders>
            <w:shd w:val="clear" w:color="auto" w:fill="auto"/>
            <w:noWrap/>
            <w:vAlign w:val="bottom"/>
          </w:tcPr>
          <w:p w14:paraId="2D9F1D4A"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97.4</w:t>
            </w:r>
          </w:p>
        </w:tc>
        <w:tc>
          <w:tcPr>
            <w:tcW w:w="796" w:type="dxa"/>
            <w:tcBorders>
              <w:top w:val="nil"/>
              <w:left w:val="nil"/>
              <w:bottom w:val="nil"/>
              <w:right w:val="nil"/>
            </w:tcBorders>
            <w:shd w:val="clear" w:color="auto" w:fill="auto"/>
            <w:noWrap/>
            <w:vAlign w:val="bottom"/>
          </w:tcPr>
          <w:p w14:paraId="4C335F7F"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97.4</w:t>
            </w:r>
          </w:p>
        </w:tc>
        <w:tc>
          <w:tcPr>
            <w:tcW w:w="276" w:type="dxa"/>
            <w:tcBorders>
              <w:top w:val="nil"/>
              <w:left w:val="nil"/>
              <w:bottom w:val="nil"/>
              <w:right w:val="nil"/>
            </w:tcBorders>
            <w:shd w:val="clear" w:color="auto" w:fill="auto"/>
            <w:noWrap/>
            <w:vAlign w:val="bottom"/>
          </w:tcPr>
          <w:p w14:paraId="69E378A4"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bottom w:val="nil"/>
              <w:right w:val="nil"/>
            </w:tcBorders>
            <w:shd w:val="clear" w:color="auto" w:fill="auto"/>
            <w:noWrap/>
            <w:vAlign w:val="bottom"/>
          </w:tcPr>
          <w:p w14:paraId="56982A81"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58.4</w:t>
            </w:r>
          </w:p>
        </w:tc>
        <w:tc>
          <w:tcPr>
            <w:tcW w:w="796" w:type="dxa"/>
            <w:tcBorders>
              <w:top w:val="nil"/>
              <w:left w:val="nil"/>
              <w:bottom w:val="nil"/>
              <w:right w:val="nil"/>
            </w:tcBorders>
            <w:shd w:val="clear" w:color="auto" w:fill="auto"/>
            <w:noWrap/>
            <w:vAlign w:val="bottom"/>
          </w:tcPr>
          <w:p w14:paraId="26A38B87"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63.3</w:t>
            </w:r>
          </w:p>
        </w:tc>
        <w:tc>
          <w:tcPr>
            <w:tcW w:w="796" w:type="dxa"/>
            <w:tcBorders>
              <w:top w:val="nil"/>
              <w:left w:val="nil"/>
              <w:bottom w:val="nil"/>
              <w:right w:val="nil"/>
            </w:tcBorders>
            <w:shd w:val="clear" w:color="auto" w:fill="auto"/>
            <w:noWrap/>
            <w:vAlign w:val="bottom"/>
          </w:tcPr>
          <w:p w14:paraId="6B2C8CC3"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91.2</w:t>
            </w:r>
          </w:p>
        </w:tc>
        <w:tc>
          <w:tcPr>
            <w:tcW w:w="796" w:type="dxa"/>
            <w:tcBorders>
              <w:top w:val="nil"/>
              <w:left w:val="nil"/>
              <w:bottom w:val="nil"/>
              <w:right w:val="nil"/>
            </w:tcBorders>
            <w:shd w:val="clear" w:color="auto" w:fill="auto"/>
            <w:noWrap/>
            <w:vAlign w:val="bottom"/>
          </w:tcPr>
          <w:p w14:paraId="27210310"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98.1</w:t>
            </w:r>
          </w:p>
        </w:tc>
      </w:tr>
      <w:tr w:rsidR="00282B2D" w:rsidRPr="00282B2D" w14:paraId="592ED56C" w14:textId="77777777" w:rsidTr="00282B2D">
        <w:trPr>
          <w:trHeight w:val="300"/>
          <w:jc w:val="center"/>
        </w:trPr>
        <w:tc>
          <w:tcPr>
            <w:tcW w:w="1413" w:type="dxa"/>
            <w:vMerge/>
            <w:tcBorders>
              <w:left w:val="nil"/>
              <w:right w:val="nil"/>
            </w:tcBorders>
            <w:vAlign w:val="center"/>
            <w:hideMark/>
          </w:tcPr>
          <w:p w14:paraId="038BCBA0"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3048" w:type="dxa"/>
            <w:tcBorders>
              <w:top w:val="nil"/>
              <w:left w:val="nil"/>
              <w:bottom w:val="nil"/>
              <w:right w:val="nil"/>
            </w:tcBorders>
            <w:shd w:val="clear" w:color="auto" w:fill="auto"/>
            <w:noWrap/>
            <w:vAlign w:val="bottom"/>
          </w:tcPr>
          <w:p w14:paraId="250F760B"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bCs/>
                <w:i/>
                <w:color w:val="000000"/>
                <w:sz w:val="24"/>
                <w:szCs w:val="24"/>
              </w:rPr>
              <w:t>L. perenne</w:t>
            </w:r>
          </w:p>
        </w:tc>
        <w:tc>
          <w:tcPr>
            <w:tcW w:w="796" w:type="dxa"/>
            <w:tcBorders>
              <w:top w:val="nil"/>
              <w:left w:val="nil"/>
              <w:right w:val="nil"/>
            </w:tcBorders>
            <w:shd w:val="clear" w:color="auto" w:fill="auto"/>
            <w:noWrap/>
            <w:vAlign w:val="bottom"/>
          </w:tcPr>
          <w:p w14:paraId="5D305152"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91.8</w:t>
            </w:r>
          </w:p>
        </w:tc>
        <w:tc>
          <w:tcPr>
            <w:tcW w:w="796" w:type="dxa"/>
            <w:tcBorders>
              <w:top w:val="nil"/>
              <w:left w:val="nil"/>
              <w:right w:val="nil"/>
            </w:tcBorders>
            <w:shd w:val="clear" w:color="auto" w:fill="auto"/>
            <w:noWrap/>
            <w:vAlign w:val="bottom"/>
          </w:tcPr>
          <w:p w14:paraId="21ACA203"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90.4</w:t>
            </w:r>
          </w:p>
        </w:tc>
        <w:tc>
          <w:tcPr>
            <w:tcW w:w="796" w:type="dxa"/>
            <w:tcBorders>
              <w:top w:val="nil"/>
              <w:left w:val="nil"/>
              <w:right w:val="nil"/>
            </w:tcBorders>
            <w:shd w:val="clear" w:color="auto" w:fill="auto"/>
            <w:noWrap/>
            <w:vAlign w:val="bottom"/>
          </w:tcPr>
          <w:p w14:paraId="76D02427"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98.2</w:t>
            </w:r>
          </w:p>
        </w:tc>
        <w:tc>
          <w:tcPr>
            <w:tcW w:w="796" w:type="dxa"/>
            <w:tcBorders>
              <w:top w:val="nil"/>
              <w:left w:val="nil"/>
              <w:right w:val="nil"/>
            </w:tcBorders>
            <w:shd w:val="clear" w:color="auto" w:fill="auto"/>
            <w:noWrap/>
            <w:vAlign w:val="bottom"/>
          </w:tcPr>
          <w:p w14:paraId="2A07EEEB"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98.2</w:t>
            </w:r>
          </w:p>
        </w:tc>
        <w:tc>
          <w:tcPr>
            <w:tcW w:w="276" w:type="dxa"/>
            <w:tcBorders>
              <w:top w:val="nil"/>
              <w:left w:val="nil"/>
              <w:right w:val="nil"/>
            </w:tcBorders>
            <w:shd w:val="clear" w:color="auto" w:fill="auto"/>
            <w:noWrap/>
            <w:vAlign w:val="bottom"/>
          </w:tcPr>
          <w:p w14:paraId="0D6585DD"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right w:val="nil"/>
            </w:tcBorders>
            <w:shd w:val="clear" w:color="auto" w:fill="auto"/>
            <w:noWrap/>
            <w:vAlign w:val="bottom"/>
          </w:tcPr>
          <w:p w14:paraId="0ACD369F"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83.9</w:t>
            </w:r>
          </w:p>
        </w:tc>
        <w:tc>
          <w:tcPr>
            <w:tcW w:w="796" w:type="dxa"/>
            <w:tcBorders>
              <w:top w:val="nil"/>
              <w:left w:val="nil"/>
              <w:right w:val="nil"/>
            </w:tcBorders>
            <w:shd w:val="clear" w:color="auto" w:fill="auto"/>
            <w:noWrap/>
            <w:vAlign w:val="bottom"/>
          </w:tcPr>
          <w:p w14:paraId="7DB5223D"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75.5</w:t>
            </w:r>
          </w:p>
        </w:tc>
        <w:tc>
          <w:tcPr>
            <w:tcW w:w="796" w:type="dxa"/>
            <w:tcBorders>
              <w:top w:val="nil"/>
              <w:left w:val="nil"/>
              <w:right w:val="nil"/>
            </w:tcBorders>
            <w:shd w:val="clear" w:color="auto" w:fill="auto"/>
            <w:noWrap/>
            <w:vAlign w:val="bottom"/>
          </w:tcPr>
          <w:p w14:paraId="28EF6C02"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86.0</w:t>
            </w:r>
          </w:p>
        </w:tc>
        <w:tc>
          <w:tcPr>
            <w:tcW w:w="796" w:type="dxa"/>
            <w:tcBorders>
              <w:top w:val="nil"/>
              <w:left w:val="nil"/>
              <w:right w:val="nil"/>
            </w:tcBorders>
            <w:shd w:val="clear" w:color="auto" w:fill="auto"/>
            <w:noWrap/>
            <w:vAlign w:val="bottom"/>
          </w:tcPr>
          <w:p w14:paraId="040F474C"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98.6</w:t>
            </w:r>
          </w:p>
        </w:tc>
      </w:tr>
      <w:tr w:rsidR="00282B2D" w:rsidRPr="00282B2D" w14:paraId="1D447DB2" w14:textId="77777777" w:rsidTr="00282B2D">
        <w:trPr>
          <w:trHeight w:val="300"/>
          <w:jc w:val="center"/>
        </w:trPr>
        <w:tc>
          <w:tcPr>
            <w:tcW w:w="1413" w:type="dxa"/>
            <w:vMerge/>
            <w:tcBorders>
              <w:left w:val="nil"/>
              <w:right w:val="nil"/>
            </w:tcBorders>
            <w:vAlign w:val="center"/>
            <w:hideMark/>
          </w:tcPr>
          <w:p w14:paraId="74BE6D84"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3048" w:type="dxa"/>
            <w:tcBorders>
              <w:top w:val="nil"/>
              <w:left w:val="nil"/>
              <w:bottom w:val="nil"/>
              <w:right w:val="nil"/>
            </w:tcBorders>
            <w:shd w:val="clear" w:color="auto" w:fill="auto"/>
            <w:noWrap/>
            <w:vAlign w:val="bottom"/>
          </w:tcPr>
          <w:p w14:paraId="487C66A0"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bCs/>
                <w:i/>
                <w:color w:val="000000"/>
                <w:sz w:val="24"/>
                <w:szCs w:val="24"/>
              </w:rPr>
              <w:t>Poa trivialis</w:t>
            </w:r>
          </w:p>
        </w:tc>
        <w:tc>
          <w:tcPr>
            <w:tcW w:w="796" w:type="dxa"/>
            <w:tcBorders>
              <w:top w:val="nil"/>
              <w:left w:val="nil"/>
              <w:right w:val="nil"/>
            </w:tcBorders>
            <w:shd w:val="clear" w:color="auto" w:fill="auto"/>
            <w:noWrap/>
            <w:vAlign w:val="bottom"/>
          </w:tcPr>
          <w:p w14:paraId="6779E3C3"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74.2</w:t>
            </w:r>
          </w:p>
        </w:tc>
        <w:tc>
          <w:tcPr>
            <w:tcW w:w="796" w:type="dxa"/>
            <w:tcBorders>
              <w:top w:val="nil"/>
              <w:left w:val="nil"/>
              <w:right w:val="nil"/>
            </w:tcBorders>
            <w:shd w:val="clear" w:color="auto" w:fill="auto"/>
            <w:noWrap/>
            <w:vAlign w:val="bottom"/>
          </w:tcPr>
          <w:p w14:paraId="4A238F4C"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77.1</w:t>
            </w:r>
          </w:p>
        </w:tc>
        <w:tc>
          <w:tcPr>
            <w:tcW w:w="796" w:type="dxa"/>
            <w:tcBorders>
              <w:top w:val="nil"/>
              <w:left w:val="nil"/>
              <w:right w:val="nil"/>
            </w:tcBorders>
            <w:shd w:val="clear" w:color="auto" w:fill="auto"/>
            <w:noWrap/>
            <w:vAlign w:val="bottom"/>
          </w:tcPr>
          <w:p w14:paraId="513D402F"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98.1</w:t>
            </w:r>
          </w:p>
        </w:tc>
        <w:tc>
          <w:tcPr>
            <w:tcW w:w="796" w:type="dxa"/>
            <w:tcBorders>
              <w:top w:val="nil"/>
              <w:left w:val="nil"/>
              <w:right w:val="nil"/>
            </w:tcBorders>
            <w:shd w:val="clear" w:color="auto" w:fill="auto"/>
            <w:noWrap/>
            <w:vAlign w:val="bottom"/>
          </w:tcPr>
          <w:p w14:paraId="35D4224B"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98.1</w:t>
            </w:r>
          </w:p>
        </w:tc>
        <w:tc>
          <w:tcPr>
            <w:tcW w:w="276" w:type="dxa"/>
            <w:tcBorders>
              <w:top w:val="nil"/>
              <w:left w:val="nil"/>
              <w:right w:val="nil"/>
            </w:tcBorders>
            <w:shd w:val="clear" w:color="auto" w:fill="auto"/>
            <w:noWrap/>
            <w:vAlign w:val="bottom"/>
          </w:tcPr>
          <w:p w14:paraId="26345B35"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top w:val="nil"/>
              <w:left w:val="nil"/>
              <w:right w:val="nil"/>
            </w:tcBorders>
            <w:shd w:val="clear" w:color="auto" w:fill="auto"/>
            <w:noWrap/>
            <w:vAlign w:val="bottom"/>
          </w:tcPr>
          <w:p w14:paraId="419BD06D"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63.5</w:t>
            </w:r>
          </w:p>
        </w:tc>
        <w:tc>
          <w:tcPr>
            <w:tcW w:w="796" w:type="dxa"/>
            <w:tcBorders>
              <w:top w:val="nil"/>
              <w:left w:val="nil"/>
              <w:right w:val="nil"/>
            </w:tcBorders>
            <w:shd w:val="clear" w:color="auto" w:fill="auto"/>
            <w:noWrap/>
            <w:vAlign w:val="bottom"/>
          </w:tcPr>
          <w:p w14:paraId="1197CD14"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57.5</w:t>
            </w:r>
          </w:p>
        </w:tc>
        <w:tc>
          <w:tcPr>
            <w:tcW w:w="796" w:type="dxa"/>
            <w:tcBorders>
              <w:top w:val="nil"/>
              <w:left w:val="nil"/>
              <w:right w:val="nil"/>
            </w:tcBorders>
            <w:shd w:val="clear" w:color="auto" w:fill="auto"/>
            <w:noWrap/>
            <w:vAlign w:val="bottom"/>
          </w:tcPr>
          <w:p w14:paraId="07A325D3"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82.5</w:t>
            </w:r>
          </w:p>
        </w:tc>
        <w:tc>
          <w:tcPr>
            <w:tcW w:w="796" w:type="dxa"/>
            <w:tcBorders>
              <w:top w:val="nil"/>
              <w:left w:val="nil"/>
              <w:right w:val="nil"/>
            </w:tcBorders>
            <w:shd w:val="clear" w:color="auto" w:fill="auto"/>
            <w:noWrap/>
            <w:vAlign w:val="bottom"/>
          </w:tcPr>
          <w:p w14:paraId="18EED3EA"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98.4</w:t>
            </w:r>
          </w:p>
        </w:tc>
      </w:tr>
      <w:tr w:rsidR="00282B2D" w:rsidRPr="00282B2D" w14:paraId="26C5BF93" w14:textId="77777777" w:rsidTr="00282B2D">
        <w:trPr>
          <w:trHeight w:val="300"/>
          <w:jc w:val="center"/>
        </w:trPr>
        <w:tc>
          <w:tcPr>
            <w:tcW w:w="1413" w:type="dxa"/>
            <w:vMerge/>
            <w:tcBorders>
              <w:left w:val="nil"/>
              <w:bottom w:val="nil"/>
              <w:right w:val="nil"/>
            </w:tcBorders>
            <w:vAlign w:val="center"/>
          </w:tcPr>
          <w:p w14:paraId="6796C64A"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p>
        </w:tc>
        <w:tc>
          <w:tcPr>
            <w:tcW w:w="3048" w:type="dxa"/>
            <w:tcBorders>
              <w:top w:val="nil"/>
              <w:left w:val="nil"/>
              <w:bottom w:val="nil"/>
              <w:right w:val="nil"/>
            </w:tcBorders>
            <w:shd w:val="clear" w:color="auto" w:fill="auto"/>
            <w:noWrap/>
            <w:vAlign w:val="bottom"/>
          </w:tcPr>
          <w:p w14:paraId="1E4200AB" w14:textId="77777777" w:rsidR="00282B2D" w:rsidRPr="00282B2D" w:rsidRDefault="00282B2D" w:rsidP="00282B2D">
            <w:pPr>
              <w:spacing w:after="0" w:line="240" w:lineRule="auto"/>
              <w:rPr>
                <w:rFonts w:ascii="Times New Roman" w:eastAsia="Times New Roman" w:hAnsi="Times New Roman" w:cs="Times New Roman"/>
                <w:b/>
                <w:bCs/>
                <w:i/>
                <w:color w:val="000000"/>
                <w:sz w:val="24"/>
                <w:szCs w:val="24"/>
              </w:rPr>
            </w:pPr>
            <w:r w:rsidRPr="00282B2D">
              <w:rPr>
                <w:rFonts w:ascii="Times New Roman" w:eastAsia="Times New Roman" w:hAnsi="Times New Roman" w:cs="Times New Roman"/>
                <w:b/>
                <w:bCs/>
                <w:i/>
                <w:color w:val="000000"/>
                <w:sz w:val="24"/>
                <w:szCs w:val="24"/>
              </w:rPr>
              <w:t>P. nemoralis</w:t>
            </w:r>
          </w:p>
        </w:tc>
        <w:tc>
          <w:tcPr>
            <w:tcW w:w="796" w:type="dxa"/>
            <w:tcBorders>
              <w:left w:val="nil"/>
              <w:bottom w:val="single" w:sz="4" w:space="0" w:color="auto"/>
              <w:right w:val="nil"/>
            </w:tcBorders>
            <w:shd w:val="clear" w:color="auto" w:fill="auto"/>
            <w:noWrap/>
            <w:vAlign w:val="bottom"/>
          </w:tcPr>
          <w:p w14:paraId="6520564B"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85.9</w:t>
            </w:r>
          </w:p>
        </w:tc>
        <w:tc>
          <w:tcPr>
            <w:tcW w:w="796" w:type="dxa"/>
            <w:tcBorders>
              <w:left w:val="nil"/>
              <w:bottom w:val="single" w:sz="4" w:space="0" w:color="auto"/>
              <w:right w:val="nil"/>
            </w:tcBorders>
            <w:shd w:val="clear" w:color="auto" w:fill="auto"/>
            <w:noWrap/>
            <w:vAlign w:val="bottom"/>
          </w:tcPr>
          <w:p w14:paraId="249B619A"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91.2</w:t>
            </w:r>
          </w:p>
        </w:tc>
        <w:tc>
          <w:tcPr>
            <w:tcW w:w="796" w:type="dxa"/>
            <w:tcBorders>
              <w:left w:val="nil"/>
              <w:bottom w:val="single" w:sz="4" w:space="0" w:color="auto"/>
              <w:right w:val="nil"/>
            </w:tcBorders>
            <w:shd w:val="clear" w:color="auto" w:fill="auto"/>
            <w:noWrap/>
            <w:vAlign w:val="bottom"/>
          </w:tcPr>
          <w:p w14:paraId="77FC0910"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98.5</w:t>
            </w:r>
          </w:p>
        </w:tc>
        <w:tc>
          <w:tcPr>
            <w:tcW w:w="796" w:type="dxa"/>
            <w:tcBorders>
              <w:left w:val="nil"/>
              <w:bottom w:val="single" w:sz="4" w:space="0" w:color="auto"/>
              <w:right w:val="nil"/>
            </w:tcBorders>
            <w:shd w:val="clear" w:color="auto" w:fill="auto"/>
            <w:noWrap/>
            <w:vAlign w:val="bottom"/>
          </w:tcPr>
          <w:p w14:paraId="1AF4ACE4"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98.5</w:t>
            </w:r>
          </w:p>
        </w:tc>
        <w:tc>
          <w:tcPr>
            <w:tcW w:w="276" w:type="dxa"/>
            <w:tcBorders>
              <w:left w:val="nil"/>
              <w:bottom w:val="single" w:sz="4" w:space="0" w:color="auto"/>
              <w:right w:val="nil"/>
            </w:tcBorders>
            <w:shd w:val="clear" w:color="auto" w:fill="auto"/>
            <w:noWrap/>
            <w:vAlign w:val="bottom"/>
          </w:tcPr>
          <w:p w14:paraId="379966E5"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p>
        </w:tc>
        <w:tc>
          <w:tcPr>
            <w:tcW w:w="796" w:type="dxa"/>
            <w:tcBorders>
              <w:left w:val="nil"/>
              <w:bottom w:val="single" w:sz="4" w:space="0" w:color="auto"/>
              <w:right w:val="nil"/>
            </w:tcBorders>
            <w:shd w:val="clear" w:color="auto" w:fill="auto"/>
            <w:noWrap/>
            <w:vAlign w:val="bottom"/>
          </w:tcPr>
          <w:p w14:paraId="130D1E49"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83.9</w:t>
            </w:r>
          </w:p>
        </w:tc>
        <w:tc>
          <w:tcPr>
            <w:tcW w:w="796" w:type="dxa"/>
            <w:tcBorders>
              <w:left w:val="nil"/>
              <w:bottom w:val="single" w:sz="4" w:space="0" w:color="auto"/>
              <w:right w:val="nil"/>
            </w:tcBorders>
            <w:shd w:val="clear" w:color="auto" w:fill="auto"/>
            <w:noWrap/>
            <w:vAlign w:val="bottom"/>
          </w:tcPr>
          <w:p w14:paraId="794F87BF"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83.5</w:t>
            </w:r>
          </w:p>
        </w:tc>
        <w:tc>
          <w:tcPr>
            <w:tcW w:w="796" w:type="dxa"/>
            <w:tcBorders>
              <w:left w:val="nil"/>
              <w:bottom w:val="single" w:sz="4" w:space="0" w:color="auto"/>
              <w:right w:val="nil"/>
            </w:tcBorders>
            <w:shd w:val="clear" w:color="auto" w:fill="auto"/>
            <w:noWrap/>
            <w:vAlign w:val="bottom"/>
          </w:tcPr>
          <w:p w14:paraId="7B17912F"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93.8</w:t>
            </w:r>
          </w:p>
        </w:tc>
        <w:tc>
          <w:tcPr>
            <w:tcW w:w="796" w:type="dxa"/>
            <w:tcBorders>
              <w:left w:val="nil"/>
              <w:bottom w:val="single" w:sz="4" w:space="0" w:color="auto"/>
              <w:right w:val="nil"/>
            </w:tcBorders>
            <w:shd w:val="clear" w:color="auto" w:fill="auto"/>
            <w:noWrap/>
            <w:vAlign w:val="bottom"/>
          </w:tcPr>
          <w:p w14:paraId="5229C05E"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98.4</w:t>
            </w:r>
          </w:p>
        </w:tc>
      </w:tr>
      <w:tr w:rsidR="00282B2D" w:rsidRPr="00282B2D" w14:paraId="18260E33" w14:textId="77777777" w:rsidTr="00282B2D">
        <w:trPr>
          <w:trHeight w:val="300"/>
          <w:jc w:val="center"/>
        </w:trPr>
        <w:tc>
          <w:tcPr>
            <w:tcW w:w="1413" w:type="dxa"/>
            <w:tcBorders>
              <w:top w:val="nil"/>
              <w:left w:val="nil"/>
              <w:bottom w:val="single" w:sz="4" w:space="0" w:color="auto"/>
              <w:right w:val="nil"/>
            </w:tcBorders>
            <w:shd w:val="clear" w:color="auto" w:fill="auto"/>
            <w:noWrap/>
            <w:vAlign w:val="bottom"/>
            <w:hideMark/>
          </w:tcPr>
          <w:p w14:paraId="0B5333B0"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 </w:t>
            </w:r>
          </w:p>
        </w:tc>
        <w:tc>
          <w:tcPr>
            <w:tcW w:w="3048" w:type="dxa"/>
            <w:tcBorders>
              <w:top w:val="nil"/>
              <w:left w:val="nil"/>
              <w:bottom w:val="single" w:sz="4" w:space="0" w:color="auto"/>
              <w:right w:val="nil"/>
            </w:tcBorders>
            <w:shd w:val="clear" w:color="auto" w:fill="auto"/>
            <w:noWrap/>
            <w:vAlign w:val="bottom"/>
            <w:hideMark/>
          </w:tcPr>
          <w:p w14:paraId="11F28CC8" w14:textId="77777777" w:rsidR="00282B2D" w:rsidRPr="00282B2D" w:rsidRDefault="00282B2D" w:rsidP="00282B2D">
            <w:pPr>
              <w:spacing w:after="0" w:line="240" w:lineRule="auto"/>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 xml:space="preserve">    LSD  (0.05)</w:t>
            </w:r>
          </w:p>
        </w:tc>
        <w:tc>
          <w:tcPr>
            <w:tcW w:w="796" w:type="dxa"/>
            <w:tcBorders>
              <w:top w:val="nil"/>
              <w:left w:val="nil"/>
              <w:bottom w:val="single" w:sz="4" w:space="0" w:color="auto"/>
              <w:right w:val="nil"/>
            </w:tcBorders>
            <w:shd w:val="clear" w:color="auto" w:fill="auto"/>
            <w:noWrap/>
            <w:vAlign w:val="bottom"/>
            <w:hideMark/>
          </w:tcPr>
          <w:p w14:paraId="210F7DB8"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13.7</w:t>
            </w:r>
          </w:p>
        </w:tc>
        <w:tc>
          <w:tcPr>
            <w:tcW w:w="796" w:type="dxa"/>
            <w:tcBorders>
              <w:top w:val="nil"/>
              <w:left w:val="nil"/>
              <w:bottom w:val="single" w:sz="4" w:space="0" w:color="auto"/>
              <w:right w:val="nil"/>
            </w:tcBorders>
            <w:shd w:val="clear" w:color="auto" w:fill="auto"/>
            <w:noWrap/>
            <w:vAlign w:val="bottom"/>
            <w:hideMark/>
          </w:tcPr>
          <w:p w14:paraId="6A56C3FF"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13.2</w:t>
            </w:r>
          </w:p>
        </w:tc>
        <w:tc>
          <w:tcPr>
            <w:tcW w:w="796" w:type="dxa"/>
            <w:tcBorders>
              <w:top w:val="nil"/>
              <w:left w:val="nil"/>
              <w:bottom w:val="single" w:sz="4" w:space="0" w:color="auto"/>
              <w:right w:val="nil"/>
            </w:tcBorders>
            <w:shd w:val="clear" w:color="auto" w:fill="auto"/>
            <w:noWrap/>
            <w:vAlign w:val="bottom"/>
            <w:hideMark/>
          </w:tcPr>
          <w:p w14:paraId="1DAA0AC5"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7.8</w:t>
            </w:r>
          </w:p>
        </w:tc>
        <w:tc>
          <w:tcPr>
            <w:tcW w:w="796" w:type="dxa"/>
            <w:tcBorders>
              <w:top w:val="nil"/>
              <w:left w:val="nil"/>
              <w:bottom w:val="single" w:sz="4" w:space="0" w:color="auto"/>
              <w:right w:val="nil"/>
            </w:tcBorders>
            <w:shd w:val="clear" w:color="auto" w:fill="auto"/>
            <w:noWrap/>
            <w:vAlign w:val="bottom"/>
            <w:hideMark/>
          </w:tcPr>
          <w:p w14:paraId="1F6BE815"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1.6</w:t>
            </w:r>
          </w:p>
        </w:tc>
        <w:tc>
          <w:tcPr>
            <w:tcW w:w="276" w:type="dxa"/>
            <w:tcBorders>
              <w:top w:val="nil"/>
              <w:left w:val="nil"/>
              <w:bottom w:val="single" w:sz="4" w:space="0" w:color="auto"/>
              <w:right w:val="nil"/>
            </w:tcBorders>
            <w:shd w:val="clear" w:color="auto" w:fill="auto"/>
            <w:noWrap/>
            <w:vAlign w:val="bottom"/>
            <w:hideMark/>
          </w:tcPr>
          <w:p w14:paraId="09B3302B" w14:textId="77777777" w:rsidR="00282B2D" w:rsidRPr="00282B2D" w:rsidRDefault="00282B2D" w:rsidP="00282B2D">
            <w:pPr>
              <w:spacing w:after="0" w:line="240" w:lineRule="auto"/>
              <w:jc w:val="center"/>
              <w:rPr>
                <w:rFonts w:ascii="Times New Roman" w:eastAsia="Times New Roman" w:hAnsi="Times New Roman" w:cs="Times New Roman"/>
                <w:b/>
                <w:color w:val="000000"/>
                <w:sz w:val="24"/>
                <w:szCs w:val="24"/>
              </w:rPr>
            </w:pPr>
            <w:r w:rsidRPr="00282B2D">
              <w:rPr>
                <w:rFonts w:ascii="Times New Roman" w:eastAsia="Times New Roman" w:hAnsi="Times New Roman" w:cs="Times New Roman"/>
                <w:b/>
                <w:color w:val="000000"/>
                <w:sz w:val="24"/>
                <w:szCs w:val="24"/>
              </w:rPr>
              <w:t> </w:t>
            </w:r>
          </w:p>
        </w:tc>
        <w:tc>
          <w:tcPr>
            <w:tcW w:w="796" w:type="dxa"/>
            <w:tcBorders>
              <w:top w:val="nil"/>
              <w:left w:val="nil"/>
              <w:bottom w:val="single" w:sz="4" w:space="0" w:color="auto"/>
              <w:right w:val="nil"/>
            </w:tcBorders>
            <w:shd w:val="clear" w:color="auto" w:fill="auto"/>
            <w:noWrap/>
            <w:vAlign w:val="bottom"/>
            <w:hideMark/>
          </w:tcPr>
          <w:p w14:paraId="3A4BA07D"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7.9</w:t>
            </w:r>
          </w:p>
        </w:tc>
        <w:tc>
          <w:tcPr>
            <w:tcW w:w="796" w:type="dxa"/>
            <w:tcBorders>
              <w:top w:val="nil"/>
              <w:left w:val="nil"/>
              <w:bottom w:val="single" w:sz="4" w:space="0" w:color="auto"/>
              <w:right w:val="nil"/>
            </w:tcBorders>
            <w:shd w:val="clear" w:color="auto" w:fill="auto"/>
            <w:noWrap/>
            <w:vAlign w:val="bottom"/>
            <w:hideMark/>
          </w:tcPr>
          <w:p w14:paraId="02589E1A"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5.5</w:t>
            </w:r>
          </w:p>
        </w:tc>
        <w:tc>
          <w:tcPr>
            <w:tcW w:w="796" w:type="dxa"/>
            <w:tcBorders>
              <w:top w:val="nil"/>
              <w:left w:val="nil"/>
              <w:bottom w:val="single" w:sz="4" w:space="0" w:color="auto"/>
              <w:right w:val="nil"/>
            </w:tcBorders>
            <w:shd w:val="clear" w:color="auto" w:fill="auto"/>
            <w:noWrap/>
            <w:vAlign w:val="bottom"/>
            <w:hideMark/>
          </w:tcPr>
          <w:p w14:paraId="1CB5F1E3"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10.8</w:t>
            </w:r>
          </w:p>
        </w:tc>
        <w:tc>
          <w:tcPr>
            <w:tcW w:w="796" w:type="dxa"/>
            <w:tcBorders>
              <w:top w:val="nil"/>
              <w:left w:val="nil"/>
              <w:bottom w:val="single" w:sz="4" w:space="0" w:color="auto"/>
              <w:right w:val="nil"/>
            </w:tcBorders>
            <w:shd w:val="clear" w:color="auto" w:fill="auto"/>
            <w:noWrap/>
            <w:vAlign w:val="bottom"/>
            <w:hideMark/>
          </w:tcPr>
          <w:p w14:paraId="0B0D4BEA" w14:textId="77777777" w:rsidR="00282B2D" w:rsidRPr="00282B2D" w:rsidRDefault="00282B2D" w:rsidP="00282B2D">
            <w:pPr>
              <w:spacing w:after="0" w:line="240" w:lineRule="auto"/>
              <w:jc w:val="center"/>
              <w:rPr>
                <w:rFonts w:ascii="Times New Roman" w:eastAsia="Times New Roman" w:hAnsi="Times New Roman" w:cs="Times New Roman"/>
                <w:b/>
                <w:sz w:val="24"/>
                <w:szCs w:val="24"/>
              </w:rPr>
            </w:pPr>
            <w:r w:rsidRPr="00282B2D">
              <w:rPr>
                <w:rFonts w:ascii="Times New Roman" w:eastAsia="Times New Roman" w:hAnsi="Times New Roman" w:cs="Times New Roman"/>
                <w:b/>
                <w:sz w:val="24"/>
                <w:szCs w:val="24"/>
              </w:rPr>
              <w:t>7.9</w:t>
            </w:r>
          </w:p>
        </w:tc>
      </w:tr>
      <w:tr w:rsidR="00282B2D" w:rsidRPr="00282B2D" w14:paraId="7B18FB98" w14:textId="77777777" w:rsidTr="00282B2D">
        <w:trPr>
          <w:trHeight w:val="300"/>
          <w:jc w:val="center"/>
        </w:trPr>
        <w:tc>
          <w:tcPr>
            <w:tcW w:w="11105" w:type="dxa"/>
            <w:gridSpan w:val="11"/>
            <w:tcBorders>
              <w:top w:val="single" w:sz="4" w:space="0" w:color="auto"/>
              <w:left w:val="nil"/>
              <w:right w:val="nil"/>
            </w:tcBorders>
            <w:shd w:val="clear" w:color="auto" w:fill="auto"/>
            <w:noWrap/>
            <w:vAlign w:val="bottom"/>
          </w:tcPr>
          <w:p w14:paraId="06FB8B3B" w14:textId="77777777" w:rsidR="00282B2D" w:rsidRPr="00282B2D" w:rsidRDefault="00282B2D" w:rsidP="00282B2D">
            <w:pPr>
              <w:spacing w:after="0" w:line="240" w:lineRule="auto"/>
              <w:rPr>
                <w:rFonts w:ascii="Times New Roman" w:eastAsia="Times New Roman" w:hAnsi="Times New Roman" w:cs="Times New Roman"/>
                <w:b/>
                <w:sz w:val="24"/>
                <w:szCs w:val="24"/>
              </w:rPr>
            </w:pPr>
            <w:r w:rsidRPr="00282B2D">
              <w:rPr>
                <w:rFonts w:ascii="Times New Roman" w:eastAsia="Times New Roman" w:hAnsi="Times New Roman" w:cs="Times New Roman"/>
                <w:b/>
                <w:bCs/>
                <w:color w:val="000000"/>
                <w:sz w:val="24"/>
                <w:szCs w:val="24"/>
                <w:vertAlign w:val="superscript"/>
              </w:rPr>
              <w:t xml:space="preserve">† </w:t>
            </w:r>
            <w:r w:rsidRPr="00282B2D">
              <w:rPr>
                <w:rFonts w:ascii="Times New Roman" w:eastAsia="Times New Roman" w:hAnsi="Times New Roman" w:cs="Times New Roman"/>
                <w:b/>
                <w:bCs/>
                <w:color w:val="000000"/>
                <w:sz w:val="24"/>
                <w:szCs w:val="24"/>
              </w:rPr>
              <w:t>Transition types were either natural transition (NT) or herbicide transition with trifloxysulfuron-sodium (TS) applied at 29 g a.i. ha</w:t>
            </w:r>
            <w:r w:rsidRPr="00282B2D">
              <w:rPr>
                <w:rFonts w:ascii="Times New Roman" w:eastAsia="Times New Roman" w:hAnsi="Times New Roman" w:cs="Times New Roman"/>
                <w:b/>
                <w:bCs/>
                <w:color w:val="000000"/>
                <w:sz w:val="24"/>
                <w:szCs w:val="24"/>
                <w:vertAlign w:val="superscript"/>
              </w:rPr>
              <w:t>-1</w:t>
            </w:r>
            <w:r w:rsidRPr="00282B2D">
              <w:rPr>
                <w:rFonts w:ascii="Times New Roman" w:eastAsia="Times New Roman" w:hAnsi="Times New Roman" w:cs="Times New Roman"/>
                <w:b/>
                <w:bCs/>
                <w:color w:val="000000"/>
                <w:sz w:val="24"/>
                <w:szCs w:val="24"/>
              </w:rPr>
              <w:t xml:space="preserve"> on 6 May 2011 and 2 May 2012.</w:t>
            </w:r>
          </w:p>
        </w:tc>
      </w:tr>
      <w:tr w:rsidR="00282B2D" w:rsidRPr="00282B2D" w14:paraId="241C58C7" w14:textId="77777777" w:rsidTr="00282B2D">
        <w:trPr>
          <w:trHeight w:val="300"/>
          <w:jc w:val="center"/>
        </w:trPr>
        <w:tc>
          <w:tcPr>
            <w:tcW w:w="11105" w:type="dxa"/>
            <w:gridSpan w:val="11"/>
            <w:tcBorders>
              <w:left w:val="nil"/>
              <w:right w:val="nil"/>
            </w:tcBorders>
            <w:shd w:val="clear" w:color="auto" w:fill="auto"/>
            <w:noWrap/>
            <w:vAlign w:val="bottom"/>
          </w:tcPr>
          <w:p w14:paraId="0878FA05" w14:textId="77777777" w:rsidR="00282B2D" w:rsidRPr="00282B2D" w:rsidRDefault="00282B2D" w:rsidP="00282B2D">
            <w:pPr>
              <w:spacing w:after="0" w:line="240" w:lineRule="auto"/>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bCs/>
                <w:color w:val="000000"/>
                <w:sz w:val="24"/>
                <w:szCs w:val="24"/>
                <w:vertAlign w:val="superscript"/>
              </w:rPr>
              <w:t xml:space="preserve">‡ </w:t>
            </w:r>
            <w:r w:rsidRPr="00282B2D">
              <w:rPr>
                <w:rFonts w:ascii="Times New Roman" w:eastAsia="Times New Roman" w:hAnsi="Times New Roman" w:cs="Times New Roman"/>
                <w:b/>
                <w:bCs/>
                <w:color w:val="000000"/>
                <w:sz w:val="24"/>
                <w:szCs w:val="24"/>
              </w:rPr>
              <w:t>Control was represented as non-overseeded bermudagrass.</w:t>
            </w:r>
          </w:p>
        </w:tc>
      </w:tr>
      <w:tr w:rsidR="00282B2D" w:rsidRPr="00282B2D" w14:paraId="38A7DF55" w14:textId="77777777" w:rsidTr="00282B2D">
        <w:trPr>
          <w:trHeight w:val="300"/>
          <w:jc w:val="center"/>
        </w:trPr>
        <w:tc>
          <w:tcPr>
            <w:tcW w:w="11105" w:type="dxa"/>
            <w:gridSpan w:val="11"/>
            <w:tcBorders>
              <w:left w:val="nil"/>
              <w:right w:val="nil"/>
            </w:tcBorders>
            <w:shd w:val="clear" w:color="auto" w:fill="auto"/>
            <w:noWrap/>
            <w:vAlign w:val="bottom"/>
          </w:tcPr>
          <w:p w14:paraId="6E867E4A" w14:textId="77777777" w:rsidR="00282B2D" w:rsidRPr="00282B2D" w:rsidRDefault="00282B2D" w:rsidP="00282B2D">
            <w:pPr>
              <w:spacing w:after="0" w:line="240" w:lineRule="auto"/>
              <w:rPr>
                <w:rFonts w:ascii="Times New Roman" w:eastAsia="Times New Roman" w:hAnsi="Times New Roman" w:cs="Times New Roman"/>
                <w:b/>
                <w:bCs/>
                <w:color w:val="000000"/>
                <w:sz w:val="24"/>
                <w:szCs w:val="24"/>
              </w:rPr>
            </w:pPr>
            <w:r w:rsidRPr="00282B2D">
              <w:rPr>
                <w:rFonts w:ascii="Times New Roman" w:eastAsia="Times New Roman" w:hAnsi="Times New Roman" w:cs="Times New Roman"/>
                <w:b/>
                <w:color w:val="000000"/>
                <w:sz w:val="24"/>
                <w:szCs w:val="24"/>
                <w:vertAlign w:val="superscript"/>
              </w:rPr>
              <w:t>§</w:t>
            </w:r>
            <w:r w:rsidRPr="00282B2D">
              <w:rPr>
                <w:rFonts w:ascii="Times New Roman" w:eastAsia="Times New Roman" w:hAnsi="Times New Roman" w:cs="Times New Roman"/>
                <w:b/>
                <w:color w:val="000000"/>
                <w:sz w:val="24"/>
                <w:szCs w:val="24"/>
              </w:rPr>
              <w:t xml:space="preserve"> </w:t>
            </w:r>
            <w:r w:rsidRPr="00282B2D">
              <w:rPr>
                <w:rFonts w:ascii="Times New Roman" w:eastAsia="Times New Roman" w:hAnsi="Times New Roman" w:cs="Times New Roman"/>
                <w:b/>
                <w:bCs/>
                <w:color w:val="000000"/>
                <w:sz w:val="24"/>
                <w:szCs w:val="24"/>
              </w:rPr>
              <w:t xml:space="preserve">Cultivars consisted of ‘SRX 2NEM' </w:t>
            </w:r>
            <w:r w:rsidRPr="00282B2D">
              <w:rPr>
                <w:rFonts w:ascii="Times New Roman" w:eastAsia="Times New Roman" w:hAnsi="Times New Roman" w:cs="Times New Roman"/>
                <w:b/>
                <w:bCs/>
                <w:i/>
                <w:iCs/>
                <w:color w:val="000000"/>
                <w:sz w:val="24"/>
                <w:szCs w:val="24"/>
              </w:rPr>
              <w:t>Poa nemoralis</w:t>
            </w:r>
            <w:r w:rsidRPr="00282B2D">
              <w:rPr>
                <w:rFonts w:ascii="Times New Roman" w:eastAsia="Times New Roman" w:hAnsi="Times New Roman" w:cs="Times New Roman"/>
                <w:b/>
                <w:bCs/>
                <w:color w:val="000000"/>
                <w:sz w:val="24"/>
                <w:szCs w:val="24"/>
              </w:rPr>
              <w:t xml:space="preserve">, 'Quasar' </w:t>
            </w:r>
            <w:r w:rsidRPr="00282B2D">
              <w:rPr>
                <w:rFonts w:ascii="Times New Roman" w:eastAsia="Times New Roman" w:hAnsi="Times New Roman" w:cs="Times New Roman"/>
                <w:b/>
                <w:bCs/>
                <w:i/>
                <w:iCs/>
                <w:color w:val="000000"/>
                <w:sz w:val="24"/>
                <w:szCs w:val="24"/>
              </w:rPr>
              <w:t>P. trivialis, '</w:t>
            </w:r>
            <w:r w:rsidRPr="00282B2D">
              <w:rPr>
                <w:rFonts w:ascii="Times New Roman" w:eastAsia="Times New Roman" w:hAnsi="Times New Roman" w:cs="Times New Roman"/>
                <w:b/>
                <w:bCs/>
                <w:color w:val="000000"/>
                <w:sz w:val="24"/>
                <w:szCs w:val="24"/>
              </w:rPr>
              <w:t xml:space="preserve">Supranova' </w:t>
            </w:r>
            <w:r w:rsidRPr="00282B2D">
              <w:rPr>
                <w:rFonts w:ascii="Times New Roman" w:eastAsia="Times New Roman" w:hAnsi="Times New Roman" w:cs="Times New Roman"/>
                <w:b/>
                <w:bCs/>
                <w:i/>
                <w:iCs/>
                <w:color w:val="000000"/>
                <w:sz w:val="24"/>
                <w:szCs w:val="24"/>
              </w:rPr>
              <w:t xml:space="preserve">P. supina, </w:t>
            </w:r>
            <w:r w:rsidRPr="00282B2D">
              <w:rPr>
                <w:rFonts w:ascii="Times New Roman" w:eastAsia="Times New Roman" w:hAnsi="Times New Roman" w:cs="Times New Roman"/>
                <w:b/>
                <w:bCs/>
                <w:color w:val="000000"/>
                <w:sz w:val="24"/>
                <w:szCs w:val="24"/>
              </w:rPr>
              <w:t xml:space="preserve">and Champion GQ blend </w:t>
            </w:r>
            <w:r w:rsidRPr="00282B2D">
              <w:rPr>
                <w:rFonts w:ascii="Times New Roman" w:eastAsia="Times New Roman" w:hAnsi="Times New Roman" w:cs="Times New Roman"/>
                <w:b/>
                <w:bCs/>
                <w:i/>
                <w:iCs/>
                <w:color w:val="000000"/>
                <w:sz w:val="24"/>
                <w:szCs w:val="24"/>
              </w:rPr>
              <w:t>Lolium perenne.</w:t>
            </w:r>
          </w:p>
        </w:tc>
      </w:tr>
    </w:tbl>
    <w:p w14:paraId="1B2FA2DD" w14:textId="77777777" w:rsidR="00BA4C4E" w:rsidRDefault="00BA4C4E">
      <w:pPr>
        <w:sectPr w:rsidR="00BA4C4E" w:rsidSect="00282B2D">
          <w:pgSz w:w="15840" w:h="12240" w:orient="landscape"/>
          <w:pgMar w:top="1440" w:right="1440" w:bottom="1440" w:left="1440" w:header="720" w:footer="720" w:gutter="0"/>
          <w:cols w:space="720"/>
          <w:docGrid w:linePitch="360"/>
        </w:sectPr>
      </w:pPr>
    </w:p>
    <w:tbl>
      <w:tblPr>
        <w:tblW w:w="5698" w:type="dxa"/>
        <w:jc w:val="center"/>
        <w:tblInd w:w="-1188" w:type="dxa"/>
        <w:tblLook w:val="04A0" w:firstRow="1" w:lastRow="0" w:firstColumn="1" w:lastColumn="0" w:noHBand="0" w:noVBand="1"/>
      </w:tblPr>
      <w:tblGrid>
        <w:gridCol w:w="3032"/>
        <w:gridCol w:w="1325"/>
        <w:gridCol w:w="1341"/>
      </w:tblGrid>
      <w:tr w:rsidR="00BA4C4E" w:rsidRPr="00C02233" w14:paraId="28878D01" w14:textId="77777777" w:rsidTr="00DC4D0A">
        <w:trPr>
          <w:trHeight w:val="1785"/>
          <w:jc w:val="center"/>
        </w:trPr>
        <w:tc>
          <w:tcPr>
            <w:tcW w:w="5698" w:type="dxa"/>
            <w:gridSpan w:val="3"/>
            <w:tcBorders>
              <w:top w:val="nil"/>
              <w:left w:val="nil"/>
              <w:bottom w:val="single" w:sz="4" w:space="0" w:color="auto"/>
              <w:right w:val="nil"/>
            </w:tcBorders>
            <w:shd w:val="clear" w:color="auto" w:fill="auto"/>
            <w:vAlign w:val="bottom"/>
            <w:hideMark/>
          </w:tcPr>
          <w:p w14:paraId="0D87A9BE" w14:textId="77777777" w:rsidR="00BA4C4E" w:rsidRPr="00C02233" w:rsidRDefault="00BA4C4E" w:rsidP="00BA4C4E">
            <w:pPr>
              <w:spacing w:after="0" w:line="240" w:lineRule="auto"/>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lastRenderedPageBreak/>
              <w:t>Table 3.6. Effects of overseeded species on percent green cover throughout the overseeding season displayed as area under the percent green cover curve (AUPGCC) on a 'Tifway' bermudagrass sports turf with traffic in Knoxville, TN.</w:t>
            </w:r>
          </w:p>
        </w:tc>
      </w:tr>
      <w:tr w:rsidR="00BA4C4E" w:rsidRPr="00C02233" w14:paraId="311C4703" w14:textId="77777777" w:rsidTr="00DC4D0A">
        <w:trPr>
          <w:trHeight w:val="300"/>
          <w:jc w:val="center"/>
        </w:trPr>
        <w:tc>
          <w:tcPr>
            <w:tcW w:w="3032" w:type="dxa"/>
            <w:tcBorders>
              <w:top w:val="nil"/>
              <w:left w:val="nil"/>
              <w:bottom w:val="single" w:sz="4" w:space="0" w:color="auto"/>
              <w:right w:val="nil"/>
            </w:tcBorders>
            <w:shd w:val="clear" w:color="auto" w:fill="auto"/>
            <w:noWrap/>
            <w:vAlign w:val="bottom"/>
            <w:hideMark/>
          </w:tcPr>
          <w:p w14:paraId="733934EE" w14:textId="77777777" w:rsidR="00BA4C4E" w:rsidRPr="00C02233" w:rsidRDefault="00BA4C4E" w:rsidP="00BA4C4E">
            <w:pPr>
              <w:spacing w:after="0" w:line="240" w:lineRule="auto"/>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Treatments</w:t>
            </w:r>
            <w:r w:rsidRPr="00C02233">
              <w:rPr>
                <w:rFonts w:ascii="Times New Roman" w:eastAsia="Times New Roman" w:hAnsi="Times New Roman" w:cs="Times New Roman"/>
                <w:b/>
                <w:bCs/>
                <w:sz w:val="24"/>
                <w:szCs w:val="24"/>
                <w:vertAlign w:val="superscript"/>
              </w:rPr>
              <w:t>†</w:t>
            </w:r>
          </w:p>
        </w:tc>
        <w:tc>
          <w:tcPr>
            <w:tcW w:w="2666" w:type="dxa"/>
            <w:gridSpan w:val="2"/>
            <w:tcBorders>
              <w:top w:val="single" w:sz="4" w:space="0" w:color="auto"/>
              <w:left w:val="nil"/>
              <w:bottom w:val="single" w:sz="4" w:space="0" w:color="auto"/>
              <w:right w:val="nil"/>
            </w:tcBorders>
            <w:shd w:val="clear" w:color="auto" w:fill="auto"/>
            <w:noWrap/>
            <w:vAlign w:val="bottom"/>
            <w:hideMark/>
          </w:tcPr>
          <w:p w14:paraId="74B078EE" w14:textId="77777777" w:rsidR="00BA4C4E" w:rsidRPr="00C02233" w:rsidRDefault="00BA4C4E"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percent green cover</w:t>
            </w:r>
          </w:p>
        </w:tc>
      </w:tr>
      <w:tr w:rsidR="00BA4C4E" w:rsidRPr="00C02233" w14:paraId="35363D18" w14:textId="77777777" w:rsidTr="00DC4D0A">
        <w:trPr>
          <w:trHeight w:val="300"/>
          <w:jc w:val="center"/>
        </w:trPr>
        <w:tc>
          <w:tcPr>
            <w:tcW w:w="3032" w:type="dxa"/>
            <w:tcBorders>
              <w:top w:val="nil"/>
              <w:left w:val="nil"/>
              <w:bottom w:val="single" w:sz="4" w:space="0" w:color="auto"/>
              <w:right w:val="nil"/>
            </w:tcBorders>
            <w:shd w:val="clear" w:color="auto" w:fill="auto"/>
            <w:noWrap/>
            <w:vAlign w:val="bottom"/>
            <w:hideMark/>
          </w:tcPr>
          <w:p w14:paraId="24DCFE01" w14:textId="77777777" w:rsidR="00BA4C4E" w:rsidRPr="00C02233" w:rsidRDefault="00BA4C4E" w:rsidP="00BA4C4E">
            <w:pPr>
              <w:spacing w:after="0" w:line="240" w:lineRule="auto"/>
              <w:jc w:val="center"/>
              <w:rPr>
                <w:rFonts w:ascii="Times New Roman" w:eastAsia="Times New Roman" w:hAnsi="Times New Roman" w:cs="Times New Roman"/>
                <w:b/>
                <w:bCs/>
                <w:sz w:val="24"/>
                <w:szCs w:val="24"/>
              </w:rPr>
            </w:pPr>
          </w:p>
        </w:tc>
        <w:tc>
          <w:tcPr>
            <w:tcW w:w="1325" w:type="dxa"/>
            <w:tcBorders>
              <w:top w:val="nil"/>
              <w:left w:val="nil"/>
              <w:bottom w:val="single" w:sz="4" w:space="0" w:color="auto"/>
              <w:right w:val="nil"/>
            </w:tcBorders>
            <w:shd w:val="clear" w:color="auto" w:fill="auto"/>
            <w:noWrap/>
            <w:vAlign w:val="bottom"/>
            <w:hideMark/>
          </w:tcPr>
          <w:p w14:paraId="4D0943E1" w14:textId="77777777" w:rsidR="00BA4C4E" w:rsidRPr="00C02233" w:rsidRDefault="00BA4C4E"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2010</w:t>
            </w:r>
          </w:p>
        </w:tc>
        <w:tc>
          <w:tcPr>
            <w:tcW w:w="1341" w:type="dxa"/>
            <w:tcBorders>
              <w:top w:val="nil"/>
              <w:left w:val="nil"/>
              <w:bottom w:val="single" w:sz="4" w:space="0" w:color="auto"/>
              <w:right w:val="nil"/>
            </w:tcBorders>
            <w:shd w:val="clear" w:color="auto" w:fill="auto"/>
            <w:noWrap/>
            <w:vAlign w:val="bottom"/>
            <w:hideMark/>
          </w:tcPr>
          <w:p w14:paraId="777DEE92" w14:textId="77777777" w:rsidR="00BA4C4E" w:rsidRPr="00C02233" w:rsidRDefault="00BA4C4E"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2011</w:t>
            </w:r>
          </w:p>
        </w:tc>
      </w:tr>
      <w:tr w:rsidR="00BA4C4E" w:rsidRPr="00C02233" w14:paraId="42E43EAF" w14:textId="77777777" w:rsidTr="00DC4D0A">
        <w:trPr>
          <w:trHeight w:val="300"/>
          <w:jc w:val="center"/>
        </w:trPr>
        <w:tc>
          <w:tcPr>
            <w:tcW w:w="3032" w:type="dxa"/>
            <w:tcBorders>
              <w:top w:val="nil"/>
              <w:left w:val="nil"/>
              <w:bottom w:val="nil"/>
              <w:right w:val="nil"/>
            </w:tcBorders>
            <w:shd w:val="clear" w:color="auto" w:fill="auto"/>
            <w:noWrap/>
            <w:vAlign w:val="bottom"/>
            <w:hideMark/>
          </w:tcPr>
          <w:p w14:paraId="7CD2847A" w14:textId="77777777" w:rsidR="00BA4C4E" w:rsidRPr="00C02233" w:rsidRDefault="00BA4C4E" w:rsidP="00BA4C4E">
            <w:pPr>
              <w:spacing w:after="0" w:line="240" w:lineRule="auto"/>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Control</w:t>
            </w:r>
            <w:r w:rsidRPr="00C02233">
              <w:rPr>
                <w:rFonts w:ascii="Times New Roman" w:eastAsia="Times New Roman" w:hAnsi="Times New Roman" w:cs="Times New Roman"/>
                <w:b/>
                <w:bCs/>
                <w:sz w:val="24"/>
                <w:szCs w:val="24"/>
                <w:vertAlign w:val="superscript"/>
              </w:rPr>
              <w:t>‡</w:t>
            </w:r>
          </w:p>
        </w:tc>
        <w:tc>
          <w:tcPr>
            <w:tcW w:w="1325" w:type="dxa"/>
            <w:tcBorders>
              <w:top w:val="nil"/>
              <w:left w:val="nil"/>
              <w:bottom w:val="nil"/>
              <w:right w:val="nil"/>
            </w:tcBorders>
            <w:shd w:val="clear" w:color="auto" w:fill="auto"/>
            <w:noWrap/>
            <w:vAlign w:val="bottom"/>
            <w:hideMark/>
          </w:tcPr>
          <w:p w14:paraId="33313674" w14:textId="77777777" w:rsidR="00BA4C4E" w:rsidRPr="00C02233" w:rsidRDefault="00655977"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6624</w:t>
            </w:r>
          </w:p>
        </w:tc>
        <w:tc>
          <w:tcPr>
            <w:tcW w:w="1341" w:type="dxa"/>
            <w:tcBorders>
              <w:top w:val="nil"/>
              <w:left w:val="nil"/>
              <w:bottom w:val="nil"/>
              <w:right w:val="nil"/>
            </w:tcBorders>
            <w:shd w:val="clear" w:color="auto" w:fill="auto"/>
            <w:noWrap/>
            <w:vAlign w:val="bottom"/>
          </w:tcPr>
          <w:p w14:paraId="0202DCFB" w14:textId="77777777" w:rsidR="00BA4C4E" w:rsidRPr="00C02233" w:rsidRDefault="00C02233"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8940</w:t>
            </w:r>
          </w:p>
        </w:tc>
      </w:tr>
      <w:tr w:rsidR="00BA4C4E" w:rsidRPr="00C02233" w14:paraId="44198711" w14:textId="77777777" w:rsidTr="00DC4D0A">
        <w:trPr>
          <w:trHeight w:val="300"/>
          <w:jc w:val="center"/>
        </w:trPr>
        <w:tc>
          <w:tcPr>
            <w:tcW w:w="3032" w:type="dxa"/>
            <w:tcBorders>
              <w:top w:val="nil"/>
              <w:left w:val="nil"/>
              <w:bottom w:val="nil"/>
              <w:right w:val="nil"/>
            </w:tcBorders>
            <w:shd w:val="clear" w:color="auto" w:fill="auto"/>
            <w:noWrap/>
            <w:vAlign w:val="bottom"/>
            <w:hideMark/>
          </w:tcPr>
          <w:p w14:paraId="49458D94" w14:textId="77777777" w:rsidR="00BA4C4E" w:rsidRPr="00C02233" w:rsidRDefault="00BA4C4E" w:rsidP="00BA4C4E">
            <w:pPr>
              <w:spacing w:after="0" w:line="240" w:lineRule="auto"/>
              <w:rPr>
                <w:rFonts w:ascii="Times New Roman" w:eastAsia="Times New Roman" w:hAnsi="Times New Roman" w:cs="Times New Roman"/>
                <w:b/>
                <w:bCs/>
                <w:i/>
                <w:sz w:val="24"/>
                <w:szCs w:val="24"/>
              </w:rPr>
            </w:pPr>
            <w:r w:rsidRPr="00C02233">
              <w:rPr>
                <w:rFonts w:ascii="Times New Roman" w:eastAsia="Times New Roman" w:hAnsi="Times New Roman" w:cs="Times New Roman"/>
                <w:b/>
                <w:bCs/>
                <w:i/>
                <w:sz w:val="24"/>
                <w:szCs w:val="24"/>
              </w:rPr>
              <w:t>Lolium multiflorum</w:t>
            </w:r>
          </w:p>
        </w:tc>
        <w:tc>
          <w:tcPr>
            <w:tcW w:w="1325" w:type="dxa"/>
            <w:tcBorders>
              <w:top w:val="nil"/>
              <w:left w:val="nil"/>
              <w:bottom w:val="nil"/>
              <w:right w:val="nil"/>
            </w:tcBorders>
            <w:shd w:val="clear" w:color="auto" w:fill="auto"/>
            <w:noWrap/>
            <w:vAlign w:val="bottom"/>
            <w:hideMark/>
          </w:tcPr>
          <w:p w14:paraId="0C55349F" w14:textId="77777777" w:rsidR="00BA4C4E" w:rsidRPr="00C02233" w:rsidRDefault="00655977"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11891</w:t>
            </w:r>
          </w:p>
        </w:tc>
        <w:tc>
          <w:tcPr>
            <w:tcW w:w="1341" w:type="dxa"/>
            <w:tcBorders>
              <w:top w:val="nil"/>
              <w:left w:val="nil"/>
              <w:bottom w:val="nil"/>
              <w:right w:val="nil"/>
            </w:tcBorders>
            <w:shd w:val="clear" w:color="auto" w:fill="auto"/>
            <w:noWrap/>
            <w:vAlign w:val="bottom"/>
          </w:tcPr>
          <w:p w14:paraId="3BD060AC" w14:textId="77777777" w:rsidR="00BA4C4E" w:rsidRPr="00C02233" w:rsidRDefault="00C02233"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11084</w:t>
            </w:r>
          </w:p>
        </w:tc>
      </w:tr>
      <w:tr w:rsidR="00BA4C4E" w:rsidRPr="00C02233" w14:paraId="4C332EAB" w14:textId="77777777" w:rsidTr="00DC4D0A">
        <w:trPr>
          <w:trHeight w:val="300"/>
          <w:jc w:val="center"/>
        </w:trPr>
        <w:tc>
          <w:tcPr>
            <w:tcW w:w="3032" w:type="dxa"/>
            <w:tcBorders>
              <w:top w:val="nil"/>
              <w:left w:val="nil"/>
              <w:bottom w:val="nil"/>
              <w:right w:val="nil"/>
            </w:tcBorders>
            <w:shd w:val="clear" w:color="auto" w:fill="auto"/>
            <w:noWrap/>
            <w:vAlign w:val="bottom"/>
            <w:hideMark/>
          </w:tcPr>
          <w:p w14:paraId="225F7630" w14:textId="77777777" w:rsidR="00BA4C4E" w:rsidRPr="00C02233" w:rsidRDefault="00BA4C4E" w:rsidP="00BA4C4E">
            <w:pPr>
              <w:spacing w:after="0" w:line="240" w:lineRule="auto"/>
              <w:rPr>
                <w:rFonts w:ascii="Times New Roman" w:eastAsia="Times New Roman" w:hAnsi="Times New Roman" w:cs="Times New Roman"/>
                <w:b/>
                <w:bCs/>
                <w:i/>
                <w:sz w:val="24"/>
                <w:szCs w:val="24"/>
              </w:rPr>
            </w:pPr>
            <w:r w:rsidRPr="00C02233">
              <w:rPr>
                <w:rFonts w:ascii="Times New Roman" w:eastAsia="Times New Roman" w:hAnsi="Times New Roman" w:cs="Times New Roman"/>
                <w:b/>
                <w:i/>
                <w:sz w:val="24"/>
                <w:szCs w:val="24"/>
              </w:rPr>
              <w:t>L. perenne</w:t>
            </w:r>
            <w:r w:rsidRPr="00C02233">
              <w:rPr>
                <w:rFonts w:ascii="Times New Roman" w:eastAsia="Times New Roman" w:hAnsi="Times New Roman" w:cs="Times New Roman"/>
                <w:b/>
                <w:sz w:val="24"/>
                <w:szCs w:val="24"/>
              </w:rPr>
              <w:t xml:space="preserve"> × </w:t>
            </w:r>
            <w:r w:rsidRPr="00C02233">
              <w:rPr>
                <w:rFonts w:ascii="Times New Roman" w:eastAsia="Times New Roman" w:hAnsi="Times New Roman" w:cs="Times New Roman"/>
                <w:b/>
                <w:i/>
                <w:sz w:val="24"/>
                <w:szCs w:val="24"/>
              </w:rPr>
              <w:t>L. multiflorum</w:t>
            </w:r>
          </w:p>
        </w:tc>
        <w:tc>
          <w:tcPr>
            <w:tcW w:w="1325" w:type="dxa"/>
            <w:tcBorders>
              <w:top w:val="nil"/>
              <w:left w:val="nil"/>
              <w:bottom w:val="nil"/>
              <w:right w:val="nil"/>
            </w:tcBorders>
            <w:shd w:val="clear" w:color="auto" w:fill="auto"/>
            <w:noWrap/>
            <w:vAlign w:val="bottom"/>
            <w:hideMark/>
          </w:tcPr>
          <w:p w14:paraId="4345CF34" w14:textId="77777777" w:rsidR="00BA4C4E" w:rsidRPr="00C02233" w:rsidRDefault="00655977"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13899</w:t>
            </w:r>
          </w:p>
        </w:tc>
        <w:tc>
          <w:tcPr>
            <w:tcW w:w="1341" w:type="dxa"/>
            <w:tcBorders>
              <w:top w:val="nil"/>
              <w:left w:val="nil"/>
              <w:bottom w:val="nil"/>
              <w:right w:val="nil"/>
            </w:tcBorders>
            <w:shd w:val="clear" w:color="auto" w:fill="auto"/>
            <w:noWrap/>
            <w:vAlign w:val="bottom"/>
          </w:tcPr>
          <w:p w14:paraId="682AC778" w14:textId="77777777" w:rsidR="00BA4C4E" w:rsidRPr="00C02233" w:rsidRDefault="00C02233"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13587</w:t>
            </w:r>
          </w:p>
        </w:tc>
      </w:tr>
      <w:tr w:rsidR="00BA4C4E" w:rsidRPr="00C02233" w14:paraId="00DE4A6F" w14:textId="77777777" w:rsidTr="00DC4D0A">
        <w:trPr>
          <w:trHeight w:val="300"/>
          <w:jc w:val="center"/>
        </w:trPr>
        <w:tc>
          <w:tcPr>
            <w:tcW w:w="3032" w:type="dxa"/>
            <w:tcBorders>
              <w:top w:val="nil"/>
              <w:left w:val="nil"/>
              <w:right w:val="nil"/>
            </w:tcBorders>
            <w:shd w:val="clear" w:color="auto" w:fill="auto"/>
            <w:noWrap/>
            <w:vAlign w:val="bottom"/>
            <w:hideMark/>
          </w:tcPr>
          <w:p w14:paraId="62923B6C" w14:textId="77777777" w:rsidR="00BA4C4E" w:rsidRPr="00C02233" w:rsidRDefault="00BA4C4E" w:rsidP="00BA4C4E">
            <w:pPr>
              <w:spacing w:after="0" w:line="240" w:lineRule="auto"/>
              <w:rPr>
                <w:rFonts w:ascii="Times New Roman" w:eastAsia="Times New Roman" w:hAnsi="Times New Roman" w:cs="Times New Roman"/>
                <w:b/>
                <w:bCs/>
                <w:i/>
                <w:sz w:val="24"/>
                <w:szCs w:val="24"/>
              </w:rPr>
            </w:pPr>
            <w:r w:rsidRPr="00C02233">
              <w:rPr>
                <w:rFonts w:ascii="Times New Roman" w:eastAsia="Times New Roman" w:hAnsi="Times New Roman" w:cs="Times New Roman"/>
                <w:b/>
                <w:bCs/>
                <w:i/>
                <w:sz w:val="24"/>
                <w:szCs w:val="24"/>
              </w:rPr>
              <w:t>L. perenne</w:t>
            </w:r>
          </w:p>
        </w:tc>
        <w:tc>
          <w:tcPr>
            <w:tcW w:w="1325" w:type="dxa"/>
            <w:tcBorders>
              <w:top w:val="nil"/>
              <w:left w:val="nil"/>
              <w:bottom w:val="nil"/>
              <w:right w:val="nil"/>
            </w:tcBorders>
            <w:shd w:val="clear" w:color="auto" w:fill="auto"/>
            <w:noWrap/>
            <w:vAlign w:val="bottom"/>
            <w:hideMark/>
          </w:tcPr>
          <w:p w14:paraId="1EFE8E41" w14:textId="77777777" w:rsidR="00BA4C4E" w:rsidRPr="00C02233" w:rsidRDefault="00655977"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13660</w:t>
            </w:r>
          </w:p>
        </w:tc>
        <w:tc>
          <w:tcPr>
            <w:tcW w:w="1341" w:type="dxa"/>
            <w:tcBorders>
              <w:top w:val="nil"/>
              <w:left w:val="nil"/>
              <w:bottom w:val="nil"/>
              <w:right w:val="nil"/>
            </w:tcBorders>
            <w:shd w:val="clear" w:color="auto" w:fill="auto"/>
            <w:noWrap/>
            <w:vAlign w:val="bottom"/>
          </w:tcPr>
          <w:p w14:paraId="26A41C4C" w14:textId="77777777" w:rsidR="00BA4C4E" w:rsidRPr="00C02233" w:rsidRDefault="00C02233"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14170</w:t>
            </w:r>
          </w:p>
        </w:tc>
      </w:tr>
      <w:tr w:rsidR="00BA4C4E" w:rsidRPr="00C02233" w14:paraId="4BD6EBC6" w14:textId="77777777" w:rsidTr="00DC4D0A">
        <w:trPr>
          <w:trHeight w:val="300"/>
          <w:jc w:val="center"/>
        </w:trPr>
        <w:tc>
          <w:tcPr>
            <w:tcW w:w="3032" w:type="dxa"/>
            <w:tcBorders>
              <w:top w:val="nil"/>
              <w:left w:val="nil"/>
              <w:right w:val="nil"/>
            </w:tcBorders>
            <w:shd w:val="clear" w:color="auto" w:fill="auto"/>
            <w:noWrap/>
            <w:vAlign w:val="bottom"/>
            <w:hideMark/>
          </w:tcPr>
          <w:p w14:paraId="6ADA27FD" w14:textId="77777777" w:rsidR="00BA4C4E" w:rsidRPr="00C02233" w:rsidRDefault="00BA4C4E" w:rsidP="00BA4C4E">
            <w:pPr>
              <w:spacing w:after="0" w:line="240" w:lineRule="auto"/>
              <w:rPr>
                <w:rFonts w:ascii="Times New Roman" w:eastAsia="Times New Roman" w:hAnsi="Times New Roman" w:cs="Times New Roman"/>
                <w:b/>
                <w:bCs/>
                <w:i/>
                <w:sz w:val="24"/>
                <w:szCs w:val="24"/>
              </w:rPr>
            </w:pPr>
            <w:r w:rsidRPr="00C02233">
              <w:rPr>
                <w:rFonts w:ascii="Times New Roman" w:eastAsia="Times New Roman" w:hAnsi="Times New Roman" w:cs="Times New Roman"/>
                <w:b/>
                <w:bCs/>
                <w:i/>
                <w:sz w:val="24"/>
                <w:szCs w:val="24"/>
              </w:rPr>
              <w:t>Poa trivialis</w:t>
            </w:r>
          </w:p>
        </w:tc>
        <w:tc>
          <w:tcPr>
            <w:tcW w:w="1325" w:type="dxa"/>
            <w:tcBorders>
              <w:top w:val="nil"/>
              <w:left w:val="nil"/>
              <w:bottom w:val="nil"/>
              <w:right w:val="nil"/>
            </w:tcBorders>
            <w:shd w:val="clear" w:color="auto" w:fill="auto"/>
            <w:noWrap/>
            <w:vAlign w:val="bottom"/>
            <w:hideMark/>
          </w:tcPr>
          <w:p w14:paraId="4E3D006F" w14:textId="77777777" w:rsidR="00BA4C4E" w:rsidRPr="00C02233" w:rsidRDefault="00C02233"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9073</w:t>
            </w:r>
          </w:p>
        </w:tc>
        <w:tc>
          <w:tcPr>
            <w:tcW w:w="1341" w:type="dxa"/>
            <w:tcBorders>
              <w:top w:val="nil"/>
              <w:left w:val="nil"/>
              <w:bottom w:val="nil"/>
              <w:right w:val="nil"/>
            </w:tcBorders>
            <w:shd w:val="clear" w:color="auto" w:fill="auto"/>
            <w:noWrap/>
            <w:vAlign w:val="bottom"/>
          </w:tcPr>
          <w:p w14:paraId="15467A85" w14:textId="77777777" w:rsidR="00BA4C4E" w:rsidRPr="00C02233" w:rsidRDefault="00C02233"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10896</w:t>
            </w:r>
          </w:p>
        </w:tc>
      </w:tr>
      <w:tr w:rsidR="00BA4C4E" w:rsidRPr="00C02233" w14:paraId="288DFFF3" w14:textId="77777777" w:rsidTr="00DC4D0A">
        <w:trPr>
          <w:trHeight w:val="300"/>
          <w:jc w:val="center"/>
        </w:trPr>
        <w:tc>
          <w:tcPr>
            <w:tcW w:w="3032" w:type="dxa"/>
            <w:tcBorders>
              <w:left w:val="nil"/>
              <w:bottom w:val="single" w:sz="4" w:space="0" w:color="auto"/>
              <w:right w:val="nil"/>
            </w:tcBorders>
            <w:shd w:val="clear" w:color="auto" w:fill="auto"/>
            <w:noWrap/>
            <w:vAlign w:val="bottom"/>
          </w:tcPr>
          <w:p w14:paraId="0F1FF242" w14:textId="77777777" w:rsidR="00BA4C4E" w:rsidRPr="00C02233" w:rsidRDefault="00BA4C4E" w:rsidP="00BA4C4E">
            <w:pPr>
              <w:spacing w:after="0" w:line="240" w:lineRule="auto"/>
              <w:rPr>
                <w:rFonts w:ascii="Times New Roman" w:eastAsia="Times New Roman" w:hAnsi="Times New Roman" w:cs="Times New Roman"/>
                <w:b/>
                <w:bCs/>
                <w:i/>
                <w:sz w:val="24"/>
                <w:szCs w:val="24"/>
              </w:rPr>
            </w:pPr>
            <w:r w:rsidRPr="00C02233">
              <w:rPr>
                <w:rFonts w:ascii="Times New Roman" w:eastAsia="Times New Roman" w:hAnsi="Times New Roman" w:cs="Times New Roman"/>
                <w:b/>
                <w:bCs/>
                <w:i/>
                <w:sz w:val="24"/>
                <w:szCs w:val="24"/>
              </w:rPr>
              <w:t>P. nemoralis</w:t>
            </w:r>
          </w:p>
        </w:tc>
        <w:tc>
          <w:tcPr>
            <w:tcW w:w="1325" w:type="dxa"/>
            <w:tcBorders>
              <w:top w:val="nil"/>
              <w:left w:val="nil"/>
              <w:bottom w:val="nil"/>
              <w:right w:val="nil"/>
            </w:tcBorders>
            <w:shd w:val="clear" w:color="auto" w:fill="auto"/>
            <w:noWrap/>
            <w:vAlign w:val="bottom"/>
          </w:tcPr>
          <w:p w14:paraId="579D93F5" w14:textId="77777777" w:rsidR="00BA4C4E" w:rsidRPr="00C02233" w:rsidRDefault="00C02233"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7364</w:t>
            </w:r>
          </w:p>
        </w:tc>
        <w:tc>
          <w:tcPr>
            <w:tcW w:w="1341" w:type="dxa"/>
            <w:tcBorders>
              <w:top w:val="nil"/>
              <w:left w:val="nil"/>
              <w:bottom w:val="nil"/>
              <w:right w:val="nil"/>
            </w:tcBorders>
            <w:shd w:val="clear" w:color="auto" w:fill="auto"/>
            <w:noWrap/>
            <w:vAlign w:val="bottom"/>
          </w:tcPr>
          <w:p w14:paraId="534210DE" w14:textId="77777777" w:rsidR="00BA4C4E" w:rsidRPr="00C02233" w:rsidRDefault="00C02233"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9042</w:t>
            </w:r>
          </w:p>
        </w:tc>
      </w:tr>
      <w:tr w:rsidR="00BA4C4E" w:rsidRPr="00C02233" w14:paraId="25AC52BA" w14:textId="77777777" w:rsidTr="00DC4D0A">
        <w:trPr>
          <w:trHeight w:val="300"/>
          <w:jc w:val="center"/>
        </w:trPr>
        <w:tc>
          <w:tcPr>
            <w:tcW w:w="3032" w:type="dxa"/>
            <w:tcBorders>
              <w:top w:val="nil"/>
              <w:left w:val="nil"/>
              <w:bottom w:val="single" w:sz="4" w:space="0" w:color="auto"/>
              <w:right w:val="nil"/>
            </w:tcBorders>
            <w:shd w:val="clear" w:color="auto" w:fill="auto"/>
            <w:noWrap/>
            <w:vAlign w:val="bottom"/>
            <w:hideMark/>
          </w:tcPr>
          <w:p w14:paraId="6AA0C4F2" w14:textId="77777777" w:rsidR="00BA4C4E" w:rsidRPr="00C02233" w:rsidRDefault="00BA4C4E" w:rsidP="00BA4C4E">
            <w:pPr>
              <w:spacing w:after="0" w:line="240" w:lineRule="auto"/>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LSD (0.05)</w:t>
            </w:r>
          </w:p>
        </w:tc>
        <w:tc>
          <w:tcPr>
            <w:tcW w:w="1325" w:type="dxa"/>
            <w:tcBorders>
              <w:top w:val="single" w:sz="4" w:space="0" w:color="auto"/>
              <w:left w:val="nil"/>
              <w:bottom w:val="single" w:sz="4" w:space="0" w:color="auto"/>
              <w:right w:val="nil"/>
            </w:tcBorders>
            <w:shd w:val="clear" w:color="auto" w:fill="auto"/>
            <w:noWrap/>
            <w:vAlign w:val="bottom"/>
            <w:hideMark/>
          </w:tcPr>
          <w:p w14:paraId="34B0768B" w14:textId="77777777" w:rsidR="00BA4C4E" w:rsidRPr="00C02233" w:rsidRDefault="00C02233"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826</w:t>
            </w:r>
          </w:p>
        </w:tc>
        <w:tc>
          <w:tcPr>
            <w:tcW w:w="1341" w:type="dxa"/>
            <w:tcBorders>
              <w:top w:val="single" w:sz="4" w:space="0" w:color="auto"/>
              <w:left w:val="nil"/>
              <w:bottom w:val="single" w:sz="4" w:space="0" w:color="auto"/>
              <w:right w:val="nil"/>
            </w:tcBorders>
            <w:shd w:val="clear" w:color="auto" w:fill="auto"/>
            <w:noWrap/>
            <w:vAlign w:val="bottom"/>
          </w:tcPr>
          <w:p w14:paraId="70C08B49" w14:textId="77777777" w:rsidR="00BA4C4E" w:rsidRPr="00C02233" w:rsidRDefault="00C02233" w:rsidP="00BA4C4E">
            <w:pPr>
              <w:spacing w:after="0" w:line="240" w:lineRule="auto"/>
              <w:jc w:val="center"/>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rPr>
              <w:t>594</w:t>
            </w:r>
          </w:p>
        </w:tc>
      </w:tr>
      <w:tr w:rsidR="00BA4C4E" w:rsidRPr="00C02233" w14:paraId="7C48C670" w14:textId="77777777" w:rsidTr="00DC4D0A">
        <w:trPr>
          <w:trHeight w:val="300"/>
          <w:jc w:val="center"/>
        </w:trPr>
        <w:tc>
          <w:tcPr>
            <w:tcW w:w="5698" w:type="dxa"/>
            <w:gridSpan w:val="3"/>
            <w:tcBorders>
              <w:top w:val="single" w:sz="4" w:space="0" w:color="auto"/>
              <w:left w:val="nil"/>
              <w:right w:val="nil"/>
            </w:tcBorders>
            <w:shd w:val="clear" w:color="auto" w:fill="auto"/>
            <w:noWrap/>
            <w:vAlign w:val="bottom"/>
            <w:hideMark/>
          </w:tcPr>
          <w:p w14:paraId="5EEE6FED" w14:textId="77777777" w:rsidR="00BA4C4E" w:rsidRPr="00C02233" w:rsidRDefault="00BA4C4E" w:rsidP="00BA4C4E">
            <w:pPr>
              <w:spacing w:after="0" w:line="240" w:lineRule="auto"/>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vertAlign w:val="superscript"/>
              </w:rPr>
              <w:t>†</w:t>
            </w:r>
            <w:r w:rsidRPr="00C02233">
              <w:rPr>
                <w:rFonts w:ascii="Times New Roman" w:eastAsia="Times New Roman" w:hAnsi="Times New Roman" w:cs="Times New Roman"/>
                <w:b/>
                <w:bCs/>
                <w:sz w:val="24"/>
                <w:szCs w:val="24"/>
              </w:rPr>
              <w:t xml:space="preserve"> Cultivars consisted of ‘Gulf' </w:t>
            </w:r>
            <w:r w:rsidRPr="00C02233">
              <w:rPr>
                <w:rFonts w:ascii="Times New Roman" w:eastAsia="Times New Roman" w:hAnsi="Times New Roman" w:cs="Times New Roman"/>
                <w:b/>
                <w:bCs/>
                <w:i/>
                <w:iCs/>
                <w:sz w:val="24"/>
                <w:szCs w:val="24"/>
              </w:rPr>
              <w:t>L. multiflorum</w:t>
            </w:r>
            <w:r w:rsidRPr="00C02233">
              <w:rPr>
                <w:rFonts w:ascii="Times New Roman" w:eastAsia="Times New Roman" w:hAnsi="Times New Roman" w:cs="Times New Roman"/>
                <w:b/>
                <w:bCs/>
                <w:sz w:val="24"/>
                <w:szCs w:val="24"/>
              </w:rPr>
              <w:t>, ‘Transcend’</w:t>
            </w:r>
            <w:r w:rsidRPr="00C02233">
              <w:rPr>
                <w:rFonts w:ascii="Times New Roman" w:eastAsia="Times New Roman" w:hAnsi="Times New Roman" w:cs="Times New Roman"/>
                <w:b/>
                <w:i/>
                <w:sz w:val="24"/>
                <w:szCs w:val="24"/>
              </w:rPr>
              <w:t xml:space="preserve"> L. perenne</w:t>
            </w:r>
            <w:r w:rsidRPr="00C02233">
              <w:rPr>
                <w:rFonts w:ascii="Times New Roman" w:eastAsia="Times New Roman" w:hAnsi="Times New Roman" w:cs="Times New Roman"/>
                <w:b/>
                <w:sz w:val="24"/>
                <w:szCs w:val="24"/>
              </w:rPr>
              <w:t xml:space="preserve"> × </w:t>
            </w:r>
            <w:r w:rsidRPr="00C02233">
              <w:rPr>
                <w:rFonts w:ascii="Times New Roman" w:eastAsia="Times New Roman" w:hAnsi="Times New Roman" w:cs="Times New Roman"/>
                <w:b/>
                <w:i/>
                <w:sz w:val="24"/>
                <w:szCs w:val="24"/>
              </w:rPr>
              <w:t>L. multiflorum</w:t>
            </w:r>
            <w:r w:rsidRPr="00C02233">
              <w:rPr>
                <w:rFonts w:ascii="Times New Roman" w:eastAsia="Times New Roman" w:hAnsi="Times New Roman" w:cs="Times New Roman"/>
                <w:b/>
                <w:bCs/>
                <w:sz w:val="24"/>
                <w:szCs w:val="24"/>
              </w:rPr>
              <w:t>,</w:t>
            </w:r>
            <w:r w:rsidRPr="00C02233">
              <w:rPr>
                <w:rFonts w:ascii="Times New Roman" w:eastAsia="Times New Roman" w:hAnsi="Times New Roman" w:cs="Times New Roman"/>
                <w:b/>
                <w:bCs/>
                <w:i/>
                <w:iCs/>
                <w:sz w:val="24"/>
                <w:szCs w:val="24"/>
              </w:rPr>
              <w:t xml:space="preserve"> '</w:t>
            </w:r>
            <w:r w:rsidRPr="00C02233">
              <w:rPr>
                <w:rFonts w:ascii="Times New Roman" w:eastAsia="Times New Roman" w:hAnsi="Times New Roman" w:cs="Times New Roman"/>
                <w:b/>
                <w:bCs/>
                <w:sz w:val="24"/>
                <w:szCs w:val="24"/>
              </w:rPr>
              <w:t xml:space="preserve">Champion GQ' </w:t>
            </w:r>
            <w:r w:rsidRPr="00C02233">
              <w:rPr>
                <w:rFonts w:ascii="Times New Roman" w:eastAsia="Times New Roman" w:hAnsi="Times New Roman" w:cs="Times New Roman"/>
                <w:b/>
                <w:bCs/>
                <w:i/>
                <w:iCs/>
                <w:sz w:val="24"/>
                <w:szCs w:val="24"/>
              </w:rPr>
              <w:t>L. perenne,</w:t>
            </w:r>
            <w:r w:rsidRPr="00C02233">
              <w:rPr>
                <w:rFonts w:ascii="Times New Roman" w:eastAsia="Times New Roman" w:hAnsi="Times New Roman" w:cs="Times New Roman"/>
                <w:b/>
                <w:bCs/>
                <w:sz w:val="24"/>
                <w:szCs w:val="24"/>
              </w:rPr>
              <w:t xml:space="preserve"> ‘Quasar’ </w:t>
            </w:r>
            <w:r w:rsidRPr="00C02233">
              <w:rPr>
                <w:rFonts w:ascii="Times New Roman" w:eastAsia="Times New Roman" w:hAnsi="Times New Roman" w:cs="Times New Roman"/>
                <w:b/>
                <w:bCs/>
                <w:i/>
                <w:sz w:val="24"/>
                <w:szCs w:val="24"/>
              </w:rPr>
              <w:t>Poa trivialis</w:t>
            </w:r>
            <w:r w:rsidRPr="00C02233">
              <w:rPr>
                <w:rFonts w:ascii="Times New Roman" w:eastAsia="Times New Roman" w:hAnsi="Times New Roman" w:cs="Times New Roman"/>
                <w:b/>
                <w:bCs/>
                <w:sz w:val="24"/>
                <w:szCs w:val="24"/>
              </w:rPr>
              <w:t xml:space="preserve">, and SRX 2NEM </w:t>
            </w:r>
            <w:r w:rsidRPr="00C02233">
              <w:rPr>
                <w:rFonts w:ascii="Times New Roman" w:eastAsia="Times New Roman" w:hAnsi="Times New Roman" w:cs="Times New Roman"/>
                <w:b/>
                <w:bCs/>
                <w:i/>
                <w:sz w:val="24"/>
                <w:szCs w:val="24"/>
              </w:rPr>
              <w:t>P. nemoralis.</w:t>
            </w:r>
          </w:p>
        </w:tc>
      </w:tr>
      <w:tr w:rsidR="00BA4C4E" w:rsidRPr="00C02233" w14:paraId="69896001" w14:textId="77777777" w:rsidTr="00DC4D0A">
        <w:trPr>
          <w:trHeight w:val="300"/>
          <w:jc w:val="center"/>
        </w:trPr>
        <w:tc>
          <w:tcPr>
            <w:tcW w:w="5698" w:type="dxa"/>
            <w:gridSpan w:val="3"/>
            <w:tcBorders>
              <w:top w:val="nil"/>
              <w:left w:val="nil"/>
              <w:bottom w:val="nil"/>
              <w:right w:val="nil"/>
            </w:tcBorders>
            <w:shd w:val="clear" w:color="auto" w:fill="auto"/>
            <w:noWrap/>
            <w:vAlign w:val="bottom"/>
          </w:tcPr>
          <w:p w14:paraId="0EF1B3BF" w14:textId="77777777" w:rsidR="00BA4C4E" w:rsidRPr="00C02233" w:rsidRDefault="00BA4C4E" w:rsidP="00BA4C4E">
            <w:pPr>
              <w:spacing w:after="0" w:line="240" w:lineRule="auto"/>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vertAlign w:val="superscript"/>
              </w:rPr>
              <w:t xml:space="preserve">‡ </w:t>
            </w:r>
            <w:r w:rsidRPr="00C02233">
              <w:rPr>
                <w:rFonts w:ascii="Times New Roman" w:eastAsia="Times New Roman" w:hAnsi="Times New Roman" w:cs="Times New Roman"/>
                <w:b/>
                <w:bCs/>
                <w:sz w:val="24"/>
                <w:szCs w:val="24"/>
              </w:rPr>
              <w:t>Control was represented as non-overseeded bermudagrass.</w:t>
            </w:r>
          </w:p>
        </w:tc>
      </w:tr>
      <w:tr w:rsidR="00BA4C4E" w:rsidRPr="00C02233" w14:paraId="49752F6D" w14:textId="77777777" w:rsidTr="00DC4D0A">
        <w:trPr>
          <w:trHeight w:val="300"/>
          <w:jc w:val="center"/>
        </w:trPr>
        <w:tc>
          <w:tcPr>
            <w:tcW w:w="5698" w:type="dxa"/>
            <w:gridSpan w:val="3"/>
            <w:tcBorders>
              <w:top w:val="nil"/>
              <w:left w:val="nil"/>
              <w:right w:val="nil"/>
            </w:tcBorders>
            <w:shd w:val="clear" w:color="auto" w:fill="auto"/>
            <w:noWrap/>
            <w:vAlign w:val="bottom"/>
          </w:tcPr>
          <w:p w14:paraId="5634FA5A" w14:textId="77777777" w:rsidR="00BA4C4E" w:rsidRPr="00C02233" w:rsidRDefault="00BA4C4E" w:rsidP="00BA4C4E">
            <w:pPr>
              <w:spacing w:after="0" w:line="240" w:lineRule="auto"/>
              <w:rPr>
                <w:rFonts w:ascii="Times New Roman" w:eastAsia="Times New Roman" w:hAnsi="Times New Roman" w:cs="Times New Roman"/>
                <w:b/>
                <w:bCs/>
                <w:sz w:val="24"/>
                <w:szCs w:val="24"/>
              </w:rPr>
            </w:pPr>
            <w:r w:rsidRPr="00C02233">
              <w:rPr>
                <w:rFonts w:ascii="Times New Roman" w:eastAsia="Times New Roman" w:hAnsi="Times New Roman" w:cs="Times New Roman"/>
                <w:b/>
                <w:bCs/>
                <w:sz w:val="24"/>
                <w:szCs w:val="24"/>
                <w:vertAlign w:val="superscript"/>
              </w:rPr>
              <w:t xml:space="preserve">§ </w:t>
            </w:r>
            <w:r w:rsidRPr="00C02233">
              <w:rPr>
                <w:rFonts w:ascii="Times New Roman" w:eastAsia="Times New Roman" w:hAnsi="Times New Roman" w:cs="Times New Roman"/>
                <w:b/>
                <w:bCs/>
                <w:sz w:val="24"/>
                <w:szCs w:val="24"/>
              </w:rPr>
              <w:t>10 simulated football games were applied over a month period beginning two weeks after seeding with the Cady traffic simulator.</w:t>
            </w:r>
          </w:p>
        </w:tc>
      </w:tr>
    </w:tbl>
    <w:p w14:paraId="2FA9558B" w14:textId="77777777" w:rsidR="00BA4C4E" w:rsidRDefault="00BA4C4E">
      <w:pPr>
        <w:sectPr w:rsidR="00BA4C4E" w:rsidSect="00BA4C4E">
          <w:pgSz w:w="12240" w:h="15840"/>
          <w:pgMar w:top="1440" w:right="1440" w:bottom="1440" w:left="1440" w:header="720" w:footer="720" w:gutter="0"/>
          <w:cols w:space="720"/>
          <w:docGrid w:linePitch="360"/>
        </w:sectPr>
      </w:pPr>
    </w:p>
    <w:tbl>
      <w:tblPr>
        <w:tblStyle w:val="TableGrid"/>
        <w:tblW w:w="0" w:type="auto"/>
        <w:jc w:val="center"/>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4"/>
        <w:gridCol w:w="2468"/>
        <w:gridCol w:w="686"/>
        <w:gridCol w:w="687"/>
        <w:gridCol w:w="688"/>
        <w:gridCol w:w="688"/>
        <w:gridCol w:w="276"/>
        <w:gridCol w:w="688"/>
        <w:gridCol w:w="688"/>
        <w:gridCol w:w="688"/>
        <w:gridCol w:w="688"/>
      </w:tblGrid>
      <w:tr w:rsidR="00BA4C4E" w:rsidRPr="00BA4C4E" w14:paraId="5179E0EE" w14:textId="77777777" w:rsidTr="00BA4C4E">
        <w:trPr>
          <w:trHeight w:val="690"/>
          <w:jc w:val="center"/>
        </w:trPr>
        <w:tc>
          <w:tcPr>
            <w:tcW w:w="9648" w:type="dxa"/>
            <w:gridSpan w:val="11"/>
            <w:hideMark/>
          </w:tcPr>
          <w:p w14:paraId="0E439362"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lastRenderedPageBreak/>
              <w:t>Table 3.7 Effect of overseeding species by transition type on percent green cover on a ‘Tifway’ sports turf with traffic</w:t>
            </w:r>
            <w:r w:rsidRPr="00BA4C4E">
              <w:rPr>
                <w:rFonts w:ascii="Times New Roman" w:hAnsi="Times New Roman" w:cs="Times New Roman"/>
                <w:b/>
                <w:bCs/>
                <w:sz w:val="24"/>
                <w:szCs w:val="24"/>
                <w:vertAlign w:val="superscript"/>
              </w:rPr>
              <w:t>¶</w:t>
            </w:r>
            <w:r w:rsidRPr="00BA4C4E">
              <w:rPr>
                <w:rFonts w:ascii="Times New Roman" w:hAnsi="Times New Roman" w:cs="Times New Roman"/>
                <w:b/>
                <w:bCs/>
                <w:sz w:val="24"/>
                <w:szCs w:val="24"/>
              </w:rPr>
              <w:t xml:space="preserve"> during the spring transition period in Knoxville, TN.</w:t>
            </w:r>
          </w:p>
        </w:tc>
      </w:tr>
      <w:tr w:rsidR="00BA4C4E" w:rsidRPr="00BA4C4E" w14:paraId="2504F34F" w14:textId="77777777" w:rsidTr="00BA4C4E">
        <w:trPr>
          <w:trHeight w:val="330"/>
          <w:jc w:val="center"/>
        </w:trPr>
        <w:tc>
          <w:tcPr>
            <w:tcW w:w="1404" w:type="dxa"/>
            <w:noWrap/>
            <w:hideMark/>
          </w:tcPr>
          <w:p w14:paraId="4BB6EB7E" w14:textId="77777777" w:rsidR="00BA4C4E" w:rsidRPr="00BA4C4E" w:rsidRDefault="00BA4C4E" w:rsidP="00BA4C4E">
            <w:pPr>
              <w:rPr>
                <w:rFonts w:ascii="Times New Roman" w:hAnsi="Times New Roman" w:cs="Times New Roman"/>
                <w:b/>
                <w:sz w:val="24"/>
                <w:szCs w:val="24"/>
              </w:rPr>
            </w:pPr>
          </w:p>
        </w:tc>
        <w:tc>
          <w:tcPr>
            <w:tcW w:w="2468" w:type="dxa"/>
            <w:noWrap/>
            <w:hideMark/>
          </w:tcPr>
          <w:p w14:paraId="4375233B" w14:textId="77777777" w:rsidR="00BA4C4E" w:rsidRPr="00BA4C4E" w:rsidRDefault="00BA4C4E" w:rsidP="00BA4C4E">
            <w:pPr>
              <w:rPr>
                <w:rFonts w:ascii="Times New Roman" w:hAnsi="Times New Roman" w:cs="Times New Roman"/>
                <w:b/>
                <w:sz w:val="24"/>
                <w:szCs w:val="24"/>
              </w:rPr>
            </w:pPr>
          </w:p>
        </w:tc>
        <w:tc>
          <w:tcPr>
            <w:tcW w:w="2749" w:type="dxa"/>
            <w:gridSpan w:val="4"/>
            <w:noWrap/>
            <w:hideMark/>
          </w:tcPr>
          <w:p w14:paraId="7FD55BD5"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2010</w:t>
            </w:r>
          </w:p>
        </w:tc>
        <w:tc>
          <w:tcPr>
            <w:tcW w:w="275" w:type="dxa"/>
            <w:noWrap/>
            <w:hideMark/>
          </w:tcPr>
          <w:p w14:paraId="3730EC92" w14:textId="77777777" w:rsidR="00BA4C4E" w:rsidRPr="00BA4C4E" w:rsidRDefault="00BA4C4E" w:rsidP="00BA4C4E">
            <w:pPr>
              <w:rPr>
                <w:rFonts w:ascii="Times New Roman" w:hAnsi="Times New Roman" w:cs="Times New Roman"/>
                <w:b/>
                <w:sz w:val="24"/>
                <w:szCs w:val="24"/>
              </w:rPr>
            </w:pPr>
          </w:p>
        </w:tc>
        <w:tc>
          <w:tcPr>
            <w:tcW w:w="2752" w:type="dxa"/>
            <w:gridSpan w:val="4"/>
            <w:noWrap/>
            <w:hideMark/>
          </w:tcPr>
          <w:p w14:paraId="6AF06FFB"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2011</w:t>
            </w:r>
          </w:p>
        </w:tc>
      </w:tr>
      <w:tr w:rsidR="00BA4C4E" w:rsidRPr="00BA4C4E" w14:paraId="650DD451" w14:textId="77777777" w:rsidTr="00BA4C4E">
        <w:trPr>
          <w:trHeight w:val="330"/>
          <w:jc w:val="center"/>
        </w:trPr>
        <w:tc>
          <w:tcPr>
            <w:tcW w:w="1404" w:type="dxa"/>
            <w:noWrap/>
            <w:hideMark/>
          </w:tcPr>
          <w:p w14:paraId="49F6F2BE" w14:textId="77777777" w:rsidR="00BA4C4E" w:rsidRPr="00BA4C4E" w:rsidRDefault="00BA4C4E" w:rsidP="00BA4C4E">
            <w:pPr>
              <w:rPr>
                <w:rFonts w:ascii="Times New Roman" w:hAnsi="Times New Roman" w:cs="Times New Roman"/>
                <w:b/>
                <w:sz w:val="24"/>
                <w:szCs w:val="24"/>
              </w:rPr>
            </w:pPr>
          </w:p>
        </w:tc>
        <w:tc>
          <w:tcPr>
            <w:tcW w:w="2468" w:type="dxa"/>
            <w:noWrap/>
            <w:hideMark/>
          </w:tcPr>
          <w:p w14:paraId="21CB4315" w14:textId="77777777" w:rsidR="00BA4C4E" w:rsidRPr="00BA4C4E" w:rsidRDefault="00BA4C4E" w:rsidP="00BA4C4E">
            <w:pPr>
              <w:rPr>
                <w:rFonts w:ascii="Times New Roman" w:hAnsi="Times New Roman" w:cs="Times New Roman"/>
                <w:b/>
                <w:sz w:val="24"/>
                <w:szCs w:val="24"/>
              </w:rPr>
            </w:pPr>
          </w:p>
        </w:tc>
        <w:tc>
          <w:tcPr>
            <w:tcW w:w="5776" w:type="dxa"/>
            <w:gridSpan w:val="9"/>
            <w:noWrap/>
            <w:hideMark/>
          </w:tcPr>
          <w:p w14:paraId="0DD9513A"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Weeks into transition period</w:t>
            </w:r>
          </w:p>
        </w:tc>
      </w:tr>
      <w:tr w:rsidR="00BA4C4E" w:rsidRPr="00BA4C4E" w14:paraId="2F9684F5" w14:textId="77777777" w:rsidTr="00BA4C4E">
        <w:trPr>
          <w:trHeight w:val="390"/>
          <w:jc w:val="center"/>
        </w:trPr>
        <w:tc>
          <w:tcPr>
            <w:tcW w:w="1404" w:type="dxa"/>
            <w:noWrap/>
            <w:hideMark/>
          </w:tcPr>
          <w:p w14:paraId="5E9714BF"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Transition</w:t>
            </w:r>
            <w:r w:rsidRPr="00BA4C4E">
              <w:rPr>
                <w:rFonts w:ascii="Times New Roman" w:hAnsi="Times New Roman" w:cs="Times New Roman"/>
                <w:b/>
                <w:bCs/>
                <w:sz w:val="24"/>
                <w:szCs w:val="24"/>
                <w:vertAlign w:val="superscript"/>
              </w:rPr>
              <w:t>†</w:t>
            </w:r>
          </w:p>
        </w:tc>
        <w:tc>
          <w:tcPr>
            <w:tcW w:w="2468" w:type="dxa"/>
            <w:noWrap/>
            <w:hideMark/>
          </w:tcPr>
          <w:p w14:paraId="6503BDC0"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Species</w:t>
            </w:r>
          </w:p>
        </w:tc>
        <w:tc>
          <w:tcPr>
            <w:tcW w:w="686" w:type="dxa"/>
            <w:noWrap/>
            <w:hideMark/>
          </w:tcPr>
          <w:p w14:paraId="5B934AD6"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2</w:t>
            </w:r>
          </w:p>
        </w:tc>
        <w:tc>
          <w:tcPr>
            <w:tcW w:w="687" w:type="dxa"/>
            <w:noWrap/>
            <w:hideMark/>
          </w:tcPr>
          <w:p w14:paraId="3CAAD6A6"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3</w:t>
            </w:r>
          </w:p>
        </w:tc>
        <w:tc>
          <w:tcPr>
            <w:tcW w:w="688" w:type="dxa"/>
            <w:noWrap/>
            <w:hideMark/>
          </w:tcPr>
          <w:p w14:paraId="00F96F28"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6</w:t>
            </w:r>
          </w:p>
        </w:tc>
        <w:tc>
          <w:tcPr>
            <w:tcW w:w="688" w:type="dxa"/>
            <w:noWrap/>
            <w:hideMark/>
          </w:tcPr>
          <w:p w14:paraId="7C2A04A1"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w:t>
            </w:r>
          </w:p>
        </w:tc>
        <w:tc>
          <w:tcPr>
            <w:tcW w:w="275" w:type="dxa"/>
            <w:noWrap/>
            <w:hideMark/>
          </w:tcPr>
          <w:p w14:paraId="7300900B"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 </w:t>
            </w:r>
          </w:p>
        </w:tc>
        <w:tc>
          <w:tcPr>
            <w:tcW w:w="688" w:type="dxa"/>
            <w:noWrap/>
            <w:hideMark/>
          </w:tcPr>
          <w:p w14:paraId="77A2EF9A"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2</w:t>
            </w:r>
          </w:p>
        </w:tc>
        <w:tc>
          <w:tcPr>
            <w:tcW w:w="688" w:type="dxa"/>
            <w:noWrap/>
            <w:hideMark/>
          </w:tcPr>
          <w:p w14:paraId="40CEDFA8"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3</w:t>
            </w:r>
          </w:p>
        </w:tc>
        <w:tc>
          <w:tcPr>
            <w:tcW w:w="688" w:type="dxa"/>
            <w:noWrap/>
            <w:hideMark/>
          </w:tcPr>
          <w:p w14:paraId="5B66FB7C"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6</w:t>
            </w:r>
          </w:p>
        </w:tc>
        <w:tc>
          <w:tcPr>
            <w:tcW w:w="688" w:type="dxa"/>
            <w:noWrap/>
            <w:hideMark/>
          </w:tcPr>
          <w:p w14:paraId="18CA9A84"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w:t>
            </w:r>
          </w:p>
        </w:tc>
      </w:tr>
      <w:tr w:rsidR="00BA4C4E" w:rsidRPr="00BA4C4E" w14:paraId="0DECF02A" w14:textId="77777777" w:rsidTr="00BA4C4E">
        <w:trPr>
          <w:trHeight w:val="375"/>
          <w:jc w:val="center"/>
        </w:trPr>
        <w:tc>
          <w:tcPr>
            <w:tcW w:w="1404" w:type="dxa"/>
            <w:vMerge w:val="restart"/>
            <w:noWrap/>
            <w:hideMark/>
          </w:tcPr>
          <w:p w14:paraId="3C777E06"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NT</w:t>
            </w:r>
          </w:p>
        </w:tc>
        <w:tc>
          <w:tcPr>
            <w:tcW w:w="2468" w:type="dxa"/>
            <w:noWrap/>
            <w:hideMark/>
          </w:tcPr>
          <w:p w14:paraId="4F2A8FE9"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Control</w:t>
            </w:r>
            <w:r w:rsidRPr="00BA4C4E">
              <w:rPr>
                <w:rFonts w:ascii="Times New Roman" w:hAnsi="Times New Roman" w:cs="Times New Roman"/>
                <w:b/>
                <w:bCs/>
                <w:sz w:val="24"/>
                <w:szCs w:val="24"/>
                <w:vertAlign w:val="superscript"/>
              </w:rPr>
              <w:t>‡</w:t>
            </w:r>
          </w:p>
        </w:tc>
        <w:tc>
          <w:tcPr>
            <w:tcW w:w="686" w:type="dxa"/>
            <w:noWrap/>
            <w:hideMark/>
          </w:tcPr>
          <w:p w14:paraId="2EDFAE6B"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95.4</w:t>
            </w:r>
          </w:p>
        </w:tc>
        <w:tc>
          <w:tcPr>
            <w:tcW w:w="687" w:type="dxa"/>
            <w:noWrap/>
            <w:hideMark/>
          </w:tcPr>
          <w:p w14:paraId="5633115E"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99.6</w:t>
            </w:r>
          </w:p>
        </w:tc>
        <w:tc>
          <w:tcPr>
            <w:tcW w:w="688" w:type="dxa"/>
            <w:noWrap/>
            <w:hideMark/>
          </w:tcPr>
          <w:p w14:paraId="002E1C78"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97.7</w:t>
            </w:r>
          </w:p>
        </w:tc>
        <w:tc>
          <w:tcPr>
            <w:tcW w:w="688" w:type="dxa"/>
            <w:noWrap/>
            <w:hideMark/>
          </w:tcPr>
          <w:p w14:paraId="0406C87E"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99.5</w:t>
            </w:r>
          </w:p>
        </w:tc>
        <w:tc>
          <w:tcPr>
            <w:tcW w:w="275" w:type="dxa"/>
            <w:noWrap/>
            <w:hideMark/>
          </w:tcPr>
          <w:p w14:paraId="1346334A" w14:textId="77777777" w:rsidR="00BA4C4E" w:rsidRPr="00BA4C4E" w:rsidRDefault="00BA4C4E" w:rsidP="00BA4C4E">
            <w:pPr>
              <w:rPr>
                <w:rFonts w:ascii="Times New Roman" w:hAnsi="Times New Roman" w:cs="Times New Roman"/>
                <w:b/>
                <w:bCs/>
                <w:sz w:val="24"/>
                <w:szCs w:val="24"/>
              </w:rPr>
            </w:pPr>
          </w:p>
        </w:tc>
        <w:tc>
          <w:tcPr>
            <w:tcW w:w="688" w:type="dxa"/>
            <w:noWrap/>
            <w:hideMark/>
          </w:tcPr>
          <w:p w14:paraId="072A5180"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86.5</w:t>
            </w:r>
          </w:p>
        </w:tc>
        <w:tc>
          <w:tcPr>
            <w:tcW w:w="688" w:type="dxa"/>
            <w:noWrap/>
            <w:hideMark/>
          </w:tcPr>
          <w:p w14:paraId="7D853DDA"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88.2</w:t>
            </w:r>
          </w:p>
        </w:tc>
        <w:tc>
          <w:tcPr>
            <w:tcW w:w="688" w:type="dxa"/>
            <w:noWrap/>
            <w:hideMark/>
          </w:tcPr>
          <w:p w14:paraId="7BA2CC0A"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88.5</w:t>
            </w:r>
          </w:p>
        </w:tc>
        <w:tc>
          <w:tcPr>
            <w:tcW w:w="688" w:type="dxa"/>
            <w:noWrap/>
            <w:hideMark/>
          </w:tcPr>
          <w:p w14:paraId="2F7A9D2F"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95.9</w:t>
            </w:r>
          </w:p>
        </w:tc>
      </w:tr>
      <w:tr w:rsidR="00BA4C4E" w:rsidRPr="00BA4C4E" w14:paraId="0528A061" w14:textId="77777777" w:rsidTr="00BA4C4E">
        <w:trPr>
          <w:trHeight w:val="315"/>
          <w:jc w:val="center"/>
        </w:trPr>
        <w:tc>
          <w:tcPr>
            <w:tcW w:w="1404" w:type="dxa"/>
            <w:vMerge/>
            <w:hideMark/>
          </w:tcPr>
          <w:p w14:paraId="55C637CD" w14:textId="77777777" w:rsidR="00BA4C4E" w:rsidRPr="00BA4C4E" w:rsidRDefault="00BA4C4E" w:rsidP="00BA4C4E">
            <w:pPr>
              <w:rPr>
                <w:rFonts w:ascii="Times New Roman" w:hAnsi="Times New Roman" w:cs="Times New Roman"/>
                <w:b/>
                <w:bCs/>
                <w:sz w:val="24"/>
                <w:szCs w:val="24"/>
              </w:rPr>
            </w:pPr>
          </w:p>
        </w:tc>
        <w:tc>
          <w:tcPr>
            <w:tcW w:w="2468" w:type="dxa"/>
            <w:noWrap/>
            <w:hideMark/>
          </w:tcPr>
          <w:p w14:paraId="30578452" w14:textId="77777777" w:rsidR="00BA4C4E" w:rsidRPr="00BA4C4E" w:rsidRDefault="00BA4C4E" w:rsidP="00BA4C4E">
            <w:pPr>
              <w:rPr>
                <w:rFonts w:ascii="Times New Roman" w:hAnsi="Times New Roman" w:cs="Times New Roman"/>
                <w:b/>
                <w:bCs/>
                <w:i/>
                <w:iCs/>
                <w:sz w:val="24"/>
                <w:szCs w:val="24"/>
              </w:rPr>
            </w:pPr>
            <w:r w:rsidRPr="00BA4C4E">
              <w:rPr>
                <w:rFonts w:ascii="Times New Roman" w:hAnsi="Times New Roman" w:cs="Times New Roman"/>
                <w:b/>
                <w:bCs/>
                <w:i/>
                <w:iCs/>
                <w:sz w:val="24"/>
                <w:szCs w:val="24"/>
              </w:rPr>
              <w:t>Lolium multiflorum</w:t>
            </w:r>
          </w:p>
        </w:tc>
        <w:tc>
          <w:tcPr>
            <w:tcW w:w="686" w:type="dxa"/>
            <w:noWrap/>
            <w:hideMark/>
          </w:tcPr>
          <w:p w14:paraId="287C1741"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91.5</w:t>
            </w:r>
          </w:p>
        </w:tc>
        <w:tc>
          <w:tcPr>
            <w:tcW w:w="687" w:type="dxa"/>
            <w:noWrap/>
            <w:hideMark/>
          </w:tcPr>
          <w:p w14:paraId="3B94EDCF"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99.7</w:t>
            </w:r>
          </w:p>
        </w:tc>
        <w:tc>
          <w:tcPr>
            <w:tcW w:w="688" w:type="dxa"/>
            <w:noWrap/>
            <w:hideMark/>
          </w:tcPr>
          <w:p w14:paraId="5B73E5D4"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94.8</w:t>
            </w:r>
          </w:p>
        </w:tc>
        <w:tc>
          <w:tcPr>
            <w:tcW w:w="688" w:type="dxa"/>
            <w:noWrap/>
            <w:hideMark/>
          </w:tcPr>
          <w:p w14:paraId="0844E8BC"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99.7</w:t>
            </w:r>
          </w:p>
        </w:tc>
        <w:tc>
          <w:tcPr>
            <w:tcW w:w="275" w:type="dxa"/>
            <w:noWrap/>
            <w:hideMark/>
          </w:tcPr>
          <w:p w14:paraId="56A12B4B" w14:textId="77777777" w:rsidR="00BA4C4E" w:rsidRPr="00BA4C4E" w:rsidRDefault="00BA4C4E" w:rsidP="00BA4C4E">
            <w:pPr>
              <w:rPr>
                <w:rFonts w:ascii="Times New Roman" w:hAnsi="Times New Roman" w:cs="Times New Roman"/>
                <w:b/>
                <w:bCs/>
                <w:sz w:val="24"/>
                <w:szCs w:val="24"/>
              </w:rPr>
            </w:pPr>
          </w:p>
        </w:tc>
        <w:tc>
          <w:tcPr>
            <w:tcW w:w="688" w:type="dxa"/>
            <w:noWrap/>
            <w:hideMark/>
          </w:tcPr>
          <w:p w14:paraId="0006C287"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66.1</w:t>
            </w:r>
          </w:p>
        </w:tc>
        <w:tc>
          <w:tcPr>
            <w:tcW w:w="688" w:type="dxa"/>
            <w:noWrap/>
            <w:hideMark/>
          </w:tcPr>
          <w:p w14:paraId="1E616633"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67.5</w:t>
            </w:r>
          </w:p>
        </w:tc>
        <w:tc>
          <w:tcPr>
            <w:tcW w:w="688" w:type="dxa"/>
            <w:noWrap/>
            <w:hideMark/>
          </w:tcPr>
          <w:p w14:paraId="199A6C00"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82.0</w:t>
            </w:r>
          </w:p>
        </w:tc>
        <w:tc>
          <w:tcPr>
            <w:tcW w:w="688" w:type="dxa"/>
            <w:noWrap/>
            <w:hideMark/>
          </w:tcPr>
          <w:p w14:paraId="542E0953"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89.4</w:t>
            </w:r>
          </w:p>
        </w:tc>
      </w:tr>
      <w:tr w:rsidR="00BA4C4E" w:rsidRPr="00BA4C4E" w14:paraId="6B879266" w14:textId="77777777" w:rsidTr="00BA4C4E">
        <w:trPr>
          <w:trHeight w:val="315"/>
          <w:jc w:val="center"/>
        </w:trPr>
        <w:tc>
          <w:tcPr>
            <w:tcW w:w="1404" w:type="dxa"/>
            <w:vMerge/>
            <w:hideMark/>
          </w:tcPr>
          <w:p w14:paraId="029D59F2" w14:textId="77777777" w:rsidR="00BA4C4E" w:rsidRPr="00BA4C4E" w:rsidRDefault="00BA4C4E" w:rsidP="00BA4C4E">
            <w:pPr>
              <w:rPr>
                <w:rFonts w:ascii="Times New Roman" w:hAnsi="Times New Roman" w:cs="Times New Roman"/>
                <w:b/>
                <w:bCs/>
                <w:sz w:val="24"/>
                <w:szCs w:val="24"/>
              </w:rPr>
            </w:pPr>
          </w:p>
        </w:tc>
        <w:tc>
          <w:tcPr>
            <w:tcW w:w="2468" w:type="dxa"/>
            <w:noWrap/>
            <w:hideMark/>
          </w:tcPr>
          <w:p w14:paraId="69904EEF" w14:textId="77777777" w:rsidR="00BA4C4E" w:rsidRPr="00BA4C4E" w:rsidRDefault="00BA4C4E" w:rsidP="00BA4C4E">
            <w:pPr>
              <w:rPr>
                <w:rFonts w:ascii="Times New Roman" w:hAnsi="Times New Roman" w:cs="Times New Roman"/>
                <w:b/>
                <w:bCs/>
                <w:i/>
                <w:iCs/>
                <w:sz w:val="24"/>
                <w:szCs w:val="24"/>
              </w:rPr>
            </w:pPr>
            <w:r w:rsidRPr="00BA4C4E">
              <w:rPr>
                <w:rFonts w:ascii="Times New Roman" w:hAnsi="Times New Roman" w:cs="Times New Roman"/>
                <w:b/>
                <w:bCs/>
                <w:i/>
                <w:iCs/>
                <w:sz w:val="24"/>
                <w:szCs w:val="24"/>
              </w:rPr>
              <w:t>L. perenne</w:t>
            </w:r>
            <w:r w:rsidRPr="00BA4C4E">
              <w:rPr>
                <w:rFonts w:ascii="Times New Roman" w:hAnsi="Times New Roman" w:cs="Times New Roman"/>
                <w:b/>
                <w:bCs/>
                <w:sz w:val="24"/>
                <w:szCs w:val="24"/>
              </w:rPr>
              <w:t xml:space="preserve"> × </w:t>
            </w:r>
            <w:r w:rsidRPr="00BA4C4E">
              <w:rPr>
                <w:rFonts w:ascii="Times New Roman" w:hAnsi="Times New Roman" w:cs="Times New Roman"/>
                <w:b/>
                <w:bCs/>
                <w:i/>
                <w:iCs/>
                <w:sz w:val="24"/>
                <w:szCs w:val="24"/>
              </w:rPr>
              <w:t>L. multiflorum</w:t>
            </w:r>
          </w:p>
        </w:tc>
        <w:tc>
          <w:tcPr>
            <w:tcW w:w="686" w:type="dxa"/>
            <w:noWrap/>
            <w:hideMark/>
          </w:tcPr>
          <w:p w14:paraId="6031259B"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93.8</w:t>
            </w:r>
          </w:p>
        </w:tc>
        <w:tc>
          <w:tcPr>
            <w:tcW w:w="687" w:type="dxa"/>
            <w:noWrap/>
            <w:hideMark/>
          </w:tcPr>
          <w:p w14:paraId="587C82AC"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99.3</w:t>
            </w:r>
          </w:p>
        </w:tc>
        <w:tc>
          <w:tcPr>
            <w:tcW w:w="688" w:type="dxa"/>
            <w:noWrap/>
            <w:hideMark/>
          </w:tcPr>
          <w:p w14:paraId="3BADF8BF"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97.7</w:t>
            </w:r>
          </w:p>
        </w:tc>
        <w:tc>
          <w:tcPr>
            <w:tcW w:w="688" w:type="dxa"/>
            <w:noWrap/>
            <w:hideMark/>
          </w:tcPr>
          <w:p w14:paraId="1C2C7F52"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99.7</w:t>
            </w:r>
          </w:p>
        </w:tc>
        <w:tc>
          <w:tcPr>
            <w:tcW w:w="275" w:type="dxa"/>
            <w:noWrap/>
            <w:hideMark/>
          </w:tcPr>
          <w:p w14:paraId="721D2EA6" w14:textId="77777777" w:rsidR="00BA4C4E" w:rsidRPr="00BA4C4E" w:rsidRDefault="00BA4C4E" w:rsidP="00BA4C4E">
            <w:pPr>
              <w:rPr>
                <w:rFonts w:ascii="Times New Roman" w:hAnsi="Times New Roman" w:cs="Times New Roman"/>
                <w:b/>
                <w:bCs/>
                <w:sz w:val="24"/>
                <w:szCs w:val="24"/>
              </w:rPr>
            </w:pPr>
          </w:p>
        </w:tc>
        <w:tc>
          <w:tcPr>
            <w:tcW w:w="688" w:type="dxa"/>
            <w:noWrap/>
            <w:hideMark/>
          </w:tcPr>
          <w:p w14:paraId="6493898B"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78.0</w:t>
            </w:r>
          </w:p>
        </w:tc>
        <w:tc>
          <w:tcPr>
            <w:tcW w:w="688" w:type="dxa"/>
            <w:noWrap/>
            <w:hideMark/>
          </w:tcPr>
          <w:p w14:paraId="0B10816D"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65.7</w:t>
            </w:r>
          </w:p>
        </w:tc>
        <w:tc>
          <w:tcPr>
            <w:tcW w:w="688" w:type="dxa"/>
            <w:noWrap/>
            <w:hideMark/>
          </w:tcPr>
          <w:p w14:paraId="1341E39B"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70.9</w:t>
            </w:r>
          </w:p>
        </w:tc>
        <w:tc>
          <w:tcPr>
            <w:tcW w:w="688" w:type="dxa"/>
            <w:noWrap/>
            <w:hideMark/>
          </w:tcPr>
          <w:p w14:paraId="61C55CD7"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76.8</w:t>
            </w:r>
          </w:p>
        </w:tc>
      </w:tr>
      <w:tr w:rsidR="00BA4C4E" w:rsidRPr="00BA4C4E" w14:paraId="72BBEC75" w14:textId="77777777" w:rsidTr="00BA4C4E">
        <w:trPr>
          <w:trHeight w:val="315"/>
          <w:jc w:val="center"/>
        </w:trPr>
        <w:tc>
          <w:tcPr>
            <w:tcW w:w="1404" w:type="dxa"/>
            <w:vMerge/>
            <w:hideMark/>
          </w:tcPr>
          <w:p w14:paraId="4B083B48" w14:textId="77777777" w:rsidR="00BA4C4E" w:rsidRPr="00BA4C4E" w:rsidRDefault="00BA4C4E" w:rsidP="00BA4C4E">
            <w:pPr>
              <w:rPr>
                <w:rFonts w:ascii="Times New Roman" w:hAnsi="Times New Roman" w:cs="Times New Roman"/>
                <w:b/>
                <w:bCs/>
                <w:sz w:val="24"/>
                <w:szCs w:val="24"/>
              </w:rPr>
            </w:pPr>
          </w:p>
        </w:tc>
        <w:tc>
          <w:tcPr>
            <w:tcW w:w="2468" w:type="dxa"/>
            <w:noWrap/>
            <w:hideMark/>
          </w:tcPr>
          <w:p w14:paraId="15D7061C" w14:textId="77777777" w:rsidR="00BA4C4E" w:rsidRPr="00BA4C4E" w:rsidRDefault="00BA4C4E" w:rsidP="00BA4C4E">
            <w:pPr>
              <w:rPr>
                <w:rFonts w:ascii="Times New Roman" w:hAnsi="Times New Roman" w:cs="Times New Roman"/>
                <w:b/>
                <w:bCs/>
                <w:i/>
                <w:iCs/>
                <w:sz w:val="24"/>
                <w:szCs w:val="24"/>
              </w:rPr>
            </w:pPr>
            <w:r w:rsidRPr="00BA4C4E">
              <w:rPr>
                <w:rFonts w:ascii="Times New Roman" w:hAnsi="Times New Roman" w:cs="Times New Roman"/>
                <w:b/>
                <w:bCs/>
                <w:i/>
                <w:iCs/>
                <w:sz w:val="24"/>
                <w:szCs w:val="24"/>
              </w:rPr>
              <w:t>L. perenne</w:t>
            </w:r>
          </w:p>
        </w:tc>
        <w:tc>
          <w:tcPr>
            <w:tcW w:w="686" w:type="dxa"/>
            <w:noWrap/>
            <w:hideMark/>
          </w:tcPr>
          <w:p w14:paraId="7512288D"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95.9</w:t>
            </w:r>
          </w:p>
        </w:tc>
        <w:tc>
          <w:tcPr>
            <w:tcW w:w="687" w:type="dxa"/>
            <w:noWrap/>
            <w:hideMark/>
          </w:tcPr>
          <w:p w14:paraId="54AA94E5"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99.5</w:t>
            </w:r>
          </w:p>
        </w:tc>
        <w:tc>
          <w:tcPr>
            <w:tcW w:w="688" w:type="dxa"/>
            <w:noWrap/>
            <w:hideMark/>
          </w:tcPr>
          <w:p w14:paraId="2F1EEFC8"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98.4</w:t>
            </w:r>
          </w:p>
        </w:tc>
        <w:tc>
          <w:tcPr>
            <w:tcW w:w="688" w:type="dxa"/>
            <w:noWrap/>
            <w:hideMark/>
          </w:tcPr>
          <w:p w14:paraId="50E19649"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99.6</w:t>
            </w:r>
          </w:p>
        </w:tc>
        <w:tc>
          <w:tcPr>
            <w:tcW w:w="275" w:type="dxa"/>
            <w:noWrap/>
            <w:hideMark/>
          </w:tcPr>
          <w:p w14:paraId="794F450F" w14:textId="77777777" w:rsidR="00BA4C4E" w:rsidRPr="00BA4C4E" w:rsidRDefault="00BA4C4E" w:rsidP="00BA4C4E">
            <w:pPr>
              <w:rPr>
                <w:rFonts w:ascii="Times New Roman" w:hAnsi="Times New Roman" w:cs="Times New Roman"/>
                <w:b/>
                <w:bCs/>
                <w:sz w:val="24"/>
                <w:szCs w:val="24"/>
              </w:rPr>
            </w:pPr>
          </w:p>
        </w:tc>
        <w:tc>
          <w:tcPr>
            <w:tcW w:w="688" w:type="dxa"/>
            <w:noWrap/>
            <w:hideMark/>
          </w:tcPr>
          <w:p w14:paraId="711948C8"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96.5</w:t>
            </w:r>
          </w:p>
        </w:tc>
        <w:tc>
          <w:tcPr>
            <w:tcW w:w="688" w:type="dxa"/>
            <w:noWrap/>
            <w:hideMark/>
          </w:tcPr>
          <w:p w14:paraId="720A1611"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92.7</w:t>
            </w:r>
          </w:p>
        </w:tc>
        <w:tc>
          <w:tcPr>
            <w:tcW w:w="688" w:type="dxa"/>
            <w:noWrap/>
            <w:hideMark/>
          </w:tcPr>
          <w:p w14:paraId="07FD7C4C"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90.1</w:t>
            </w:r>
          </w:p>
        </w:tc>
        <w:tc>
          <w:tcPr>
            <w:tcW w:w="688" w:type="dxa"/>
            <w:noWrap/>
            <w:hideMark/>
          </w:tcPr>
          <w:p w14:paraId="2296154D"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87.5</w:t>
            </w:r>
          </w:p>
        </w:tc>
      </w:tr>
      <w:tr w:rsidR="00BA4C4E" w:rsidRPr="00BA4C4E" w14:paraId="163A70D3" w14:textId="77777777" w:rsidTr="00BA4C4E">
        <w:trPr>
          <w:trHeight w:val="315"/>
          <w:jc w:val="center"/>
        </w:trPr>
        <w:tc>
          <w:tcPr>
            <w:tcW w:w="1404" w:type="dxa"/>
            <w:vMerge/>
            <w:hideMark/>
          </w:tcPr>
          <w:p w14:paraId="2E6B3B44" w14:textId="77777777" w:rsidR="00BA4C4E" w:rsidRPr="00BA4C4E" w:rsidRDefault="00BA4C4E" w:rsidP="00BA4C4E">
            <w:pPr>
              <w:rPr>
                <w:rFonts w:ascii="Times New Roman" w:hAnsi="Times New Roman" w:cs="Times New Roman"/>
                <w:b/>
                <w:bCs/>
                <w:sz w:val="24"/>
                <w:szCs w:val="24"/>
              </w:rPr>
            </w:pPr>
          </w:p>
        </w:tc>
        <w:tc>
          <w:tcPr>
            <w:tcW w:w="2468" w:type="dxa"/>
            <w:noWrap/>
            <w:hideMark/>
          </w:tcPr>
          <w:p w14:paraId="62CD75CB" w14:textId="77777777" w:rsidR="00BA4C4E" w:rsidRPr="00BA4C4E" w:rsidRDefault="00BA4C4E" w:rsidP="00BA4C4E">
            <w:pPr>
              <w:rPr>
                <w:rFonts w:ascii="Times New Roman" w:hAnsi="Times New Roman" w:cs="Times New Roman"/>
                <w:b/>
                <w:bCs/>
                <w:i/>
                <w:iCs/>
                <w:sz w:val="24"/>
                <w:szCs w:val="24"/>
              </w:rPr>
            </w:pPr>
            <w:r w:rsidRPr="00BA4C4E">
              <w:rPr>
                <w:rFonts w:ascii="Times New Roman" w:hAnsi="Times New Roman" w:cs="Times New Roman"/>
                <w:b/>
                <w:bCs/>
                <w:i/>
                <w:iCs/>
                <w:sz w:val="24"/>
                <w:szCs w:val="24"/>
              </w:rPr>
              <w:t>Poa trivialis</w:t>
            </w:r>
          </w:p>
        </w:tc>
        <w:tc>
          <w:tcPr>
            <w:tcW w:w="686" w:type="dxa"/>
            <w:noWrap/>
            <w:hideMark/>
          </w:tcPr>
          <w:p w14:paraId="7F2CE1A1"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99.1</w:t>
            </w:r>
          </w:p>
        </w:tc>
        <w:tc>
          <w:tcPr>
            <w:tcW w:w="687" w:type="dxa"/>
            <w:noWrap/>
            <w:hideMark/>
          </w:tcPr>
          <w:p w14:paraId="77D8EB79"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99.6</w:t>
            </w:r>
          </w:p>
        </w:tc>
        <w:tc>
          <w:tcPr>
            <w:tcW w:w="688" w:type="dxa"/>
            <w:noWrap/>
            <w:hideMark/>
          </w:tcPr>
          <w:p w14:paraId="57CE8940"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94.3</w:t>
            </w:r>
          </w:p>
        </w:tc>
        <w:tc>
          <w:tcPr>
            <w:tcW w:w="688" w:type="dxa"/>
            <w:noWrap/>
            <w:hideMark/>
          </w:tcPr>
          <w:p w14:paraId="297445AD"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99.7</w:t>
            </w:r>
          </w:p>
        </w:tc>
        <w:tc>
          <w:tcPr>
            <w:tcW w:w="275" w:type="dxa"/>
            <w:noWrap/>
            <w:hideMark/>
          </w:tcPr>
          <w:p w14:paraId="6CA1C720" w14:textId="77777777" w:rsidR="00BA4C4E" w:rsidRPr="00BA4C4E" w:rsidRDefault="00BA4C4E" w:rsidP="00BA4C4E">
            <w:pPr>
              <w:rPr>
                <w:rFonts w:ascii="Times New Roman" w:hAnsi="Times New Roman" w:cs="Times New Roman"/>
                <w:b/>
                <w:bCs/>
                <w:sz w:val="24"/>
                <w:szCs w:val="24"/>
              </w:rPr>
            </w:pPr>
          </w:p>
        </w:tc>
        <w:tc>
          <w:tcPr>
            <w:tcW w:w="688" w:type="dxa"/>
            <w:noWrap/>
            <w:hideMark/>
          </w:tcPr>
          <w:p w14:paraId="15610931"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93.3</w:t>
            </w:r>
          </w:p>
        </w:tc>
        <w:tc>
          <w:tcPr>
            <w:tcW w:w="688" w:type="dxa"/>
            <w:noWrap/>
            <w:hideMark/>
          </w:tcPr>
          <w:p w14:paraId="46AA6C4D"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89.0</w:t>
            </w:r>
          </w:p>
        </w:tc>
        <w:tc>
          <w:tcPr>
            <w:tcW w:w="688" w:type="dxa"/>
            <w:noWrap/>
            <w:hideMark/>
          </w:tcPr>
          <w:p w14:paraId="1309951A"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62.2</w:t>
            </w:r>
          </w:p>
        </w:tc>
        <w:tc>
          <w:tcPr>
            <w:tcW w:w="688" w:type="dxa"/>
            <w:noWrap/>
            <w:hideMark/>
          </w:tcPr>
          <w:p w14:paraId="71A9B2BA"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70.8</w:t>
            </w:r>
          </w:p>
        </w:tc>
      </w:tr>
      <w:tr w:rsidR="00BA4C4E" w:rsidRPr="00BA4C4E" w14:paraId="747B129C" w14:textId="77777777" w:rsidTr="00BA4C4E">
        <w:trPr>
          <w:trHeight w:val="315"/>
          <w:jc w:val="center"/>
        </w:trPr>
        <w:tc>
          <w:tcPr>
            <w:tcW w:w="1404" w:type="dxa"/>
            <w:vMerge/>
            <w:hideMark/>
          </w:tcPr>
          <w:p w14:paraId="5B070DD1" w14:textId="77777777" w:rsidR="00BA4C4E" w:rsidRPr="00BA4C4E" w:rsidRDefault="00BA4C4E" w:rsidP="00BA4C4E">
            <w:pPr>
              <w:rPr>
                <w:rFonts w:ascii="Times New Roman" w:hAnsi="Times New Roman" w:cs="Times New Roman"/>
                <w:b/>
                <w:bCs/>
                <w:sz w:val="24"/>
                <w:szCs w:val="24"/>
              </w:rPr>
            </w:pPr>
          </w:p>
        </w:tc>
        <w:tc>
          <w:tcPr>
            <w:tcW w:w="2468" w:type="dxa"/>
            <w:noWrap/>
            <w:hideMark/>
          </w:tcPr>
          <w:p w14:paraId="38A9E97C" w14:textId="77777777" w:rsidR="00BA4C4E" w:rsidRPr="00BA4C4E" w:rsidRDefault="00BA4C4E" w:rsidP="00BA4C4E">
            <w:pPr>
              <w:rPr>
                <w:rFonts w:ascii="Times New Roman" w:hAnsi="Times New Roman" w:cs="Times New Roman"/>
                <w:b/>
                <w:bCs/>
                <w:i/>
                <w:iCs/>
                <w:sz w:val="24"/>
                <w:szCs w:val="24"/>
              </w:rPr>
            </w:pPr>
            <w:r w:rsidRPr="00BA4C4E">
              <w:rPr>
                <w:rFonts w:ascii="Times New Roman" w:hAnsi="Times New Roman" w:cs="Times New Roman"/>
                <w:b/>
                <w:bCs/>
                <w:i/>
                <w:iCs/>
                <w:sz w:val="24"/>
                <w:szCs w:val="24"/>
              </w:rPr>
              <w:t>P. nemoralis</w:t>
            </w:r>
          </w:p>
        </w:tc>
        <w:tc>
          <w:tcPr>
            <w:tcW w:w="686" w:type="dxa"/>
            <w:noWrap/>
            <w:hideMark/>
          </w:tcPr>
          <w:p w14:paraId="696F1CBA"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94.2</w:t>
            </w:r>
          </w:p>
        </w:tc>
        <w:tc>
          <w:tcPr>
            <w:tcW w:w="687" w:type="dxa"/>
            <w:noWrap/>
            <w:hideMark/>
          </w:tcPr>
          <w:p w14:paraId="66ADEDE0"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99.6</w:t>
            </w:r>
          </w:p>
        </w:tc>
        <w:tc>
          <w:tcPr>
            <w:tcW w:w="688" w:type="dxa"/>
            <w:noWrap/>
            <w:hideMark/>
          </w:tcPr>
          <w:p w14:paraId="398B9034"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98.3</w:t>
            </w:r>
          </w:p>
        </w:tc>
        <w:tc>
          <w:tcPr>
            <w:tcW w:w="688" w:type="dxa"/>
            <w:noWrap/>
            <w:hideMark/>
          </w:tcPr>
          <w:p w14:paraId="3A27EEF6"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99.6</w:t>
            </w:r>
          </w:p>
        </w:tc>
        <w:tc>
          <w:tcPr>
            <w:tcW w:w="275" w:type="dxa"/>
            <w:noWrap/>
            <w:hideMark/>
          </w:tcPr>
          <w:p w14:paraId="29072591" w14:textId="77777777" w:rsidR="00BA4C4E" w:rsidRPr="00BA4C4E" w:rsidRDefault="00BA4C4E" w:rsidP="00BA4C4E">
            <w:pPr>
              <w:rPr>
                <w:rFonts w:ascii="Times New Roman" w:hAnsi="Times New Roman" w:cs="Times New Roman"/>
                <w:b/>
                <w:bCs/>
                <w:sz w:val="24"/>
                <w:szCs w:val="24"/>
              </w:rPr>
            </w:pPr>
          </w:p>
        </w:tc>
        <w:tc>
          <w:tcPr>
            <w:tcW w:w="688" w:type="dxa"/>
            <w:noWrap/>
            <w:hideMark/>
          </w:tcPr>
          <w:p w14:paraId="1238E91F"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84.9</w:t>
            </w:r>
          </w:p>
        </w:tc>
        <w:tc>
          <w:tcPr>
            <w:tcW w:w="688" w:type="dxa"/>
            <w:noWrap/>
            <w:hideMark/>
          </w:tcPr>
          <w:p w14:paraId="2C53FBA4"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88.9</w:t>
            </w:r>
          </w:p>
        </w:tc>
        <w:tc>
          <w:tcPr>
            <w:tcW w:w="688" w:type="dxa"/>
            <w:noWrap/>
            <w:hideMark/>
          </w:tcPr>
          <w:p w14:paraId="2CE990F4"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85.4</w:t>
            </w:r>
          </w:p>
        </w:tc>
        <w:tc>
          <w:tcPr>
            <w:tcW w:w="688" w:type="dxa"/>
            <w:noWrap/>
            <w:hideMark/>
          </w:tcPr>
          <w:p w14:paraId="176ABA55"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93.6</w:t>
            </w:r>
          </w:p>
        </w:tc>
      </w:tr>
      <w:tr w:rsidR="00BA4C4E" w:rsidRPr="00BA4C4E" w14:paraId="058CC7BB" w14:textId="77777777" w:rsidTr="00BA4C4E">
        <w:trPr>
          <w:trHeight w:val="315"/>
          <w:jc w:val="center"/>
        </w:trPr>
        <w:tc>
          <w:tcPr>
            <w:tcW w:w="1404" w:type="dxa"/>
            <w:vMerge w:val="restart"/>
            <w:noWrap/>
            <w:hideMark/>
          </w:tcPr>
          <w:p w14:paraId="3085F2AB"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TS</w:t>
            </w:r>
          </w:p>
        </w:tc>
        <w:tc>
          <w:tcPr>
            <w:tcW w:w="2468" w:type="dxa"/>
            <w:noWrap/>
            <w:hideMark/>
          </w:tcPr>
          <w:p w14:paraId="1DBB57AD"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Control</w:t>
            </w:r>
          </w:p>
        </w:tc>
        <w:tc>
          <w:tcPr>
            <w:tcW w:w="686" w:type="dxa"/>
            <w:noWrap/>
            <w:hideMark/>
          </w:tcPr>
          <w:p w14:paraId="371F3B40"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94.2</w:t>
            </w:r>
          </w:p>
        </w:tc>
        <w:tc>
          <w:tcPr>
            <w:tcW w:w="687" w:type="dxa"/>
            <w:noWrap/>
            <w:hideMark/>
          </w:tcPr>
          <w:p w14:paraId="4430D0F4"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99.7</w:t>
            </w:r>
          </w:p>
        </w:tc>
        <w:tc>
          <w:tcPr>
            <w:tcW w:w="688" w:type="dxa"/>
            <w:noWrap/>
            <w:hideMark/>
          </w:tcPr>
          <w:p w14:paraId="1FCCFE27"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97.4</w:t>
            </w:r>
          </w:p>
        </w:tc>
        <w:tc>
          <w:tcPr>
            <w:tcW w:w="688" w:type="dxa"/>
            <w:noWrap/>
            <w:hideMark/>
          </w:tcPr>
          <w:p w14:paraId="163EEC05"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99.7</w:t>
            </w:r>
          </w:p>
        </w:tc>
        <w:tc>
          <w:tcPr>
            <w:tcW w:w="275" w:type="dxa"/>
            <w:noWrap/>
            <w:hideMark/>
          </w:tcPr>
          <w:p w14:paraId="06F14B18" w14:textId="77777777" w:rsidR="00BA4C4E" w:rsidRPr="00BA4C4E" w:rsidRDefault="00BA4C4E" w:rsidP="00BA4C4E">
            <w:pPr>
              <w:rPr>
                <w:rFonts w:ascii="Times New Roman" w:hAnsi="Times New Roman" w:cs="Times New Roman"/>
                <w:b/>
                <w:bCs/>
                <w:sz w:val="24"/>
                <w:szCs w:val="24"/>
              </w:rPr>
            </w:pPr>
          </w:p>
        </w:tc>
        <w:tc>
          <w:tcPr>
            <w:tcW w:w="688" w:type="dxa"/>
            <w:noWrap/>
            <w:hideMark/>
          </w:tcPr>
          <w:p w14:paraId="71DA91EF"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81.9</w:t>
            </w:r>
          </w:p>
        </w:tc>
        <w:tc>
          <w:tcPr>
            <w:tcW w:w="688" w:type="dxa"/>
            <w:noWrap/>
            <w:hideMark/>
          </w:tcPr>
          <w:p w14:paraId="691D8332"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88.6</w:t>
            </w:r>
          </w:p>
        </w:tc>
        <w:tc>
          <w:tcPr>
            <w:tcW w:w="688" w:type="dxa"/>
            <w:noWrap/>
            <w:hideMark/>
          </w:tcPr>
          <w:p w14:paraId="2C3EFB4B"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90.1</w:t>
            </w:r>
          </w:p>
        </w:tc>
        <w:tc>
          <w:tcPr>
            <w:tcW w:w="688" w:type="dxa"/>
            <w:noWrap/>
            <w:hideMark/>
          </w:tcPr>
          <w:p w14:paraId="073B35D4"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95.0</w:t>
            </w:r>
          </w:p>
        </w:tc>
      </w:tr>
      <w:tr w:rsidR="00BA4C4E" w:rsidRPr="00BA4C4E" w14:paraId="1F098B12" w14:textId="77777777" w:rsidTr="00BA4C4E">
        <w:trPr>
          <w:trHeight w:val="315"/>
          <w:jc w:val="center"/>
        </w:trPr>
        <w:tc>
          <w:tcPr>
            <w:tcW w:w="1404" w:type="dxa"/>
            <w:vMerge/>
            <w:hideMark/>
          </w:tcPr>
          <w:p w14:paraId="04D70FE1" w14:textId="77777777" w:rsidR="00BA4C4E" w:rsidRPr="00BA4C4E" w:rsidRDefault="00BA4C4E" w:rsidP="00BA4C4E">
            <w:pPr>
              <w:rPr>
                <w:rFonts w:ascii="Times New Roman" w:hAnsi="Times New Roman" w:cs="Times New Roman"/>
                <w:b/>
                <w:bCs/>
                <w:sz w:val="24"/>
                <w:szCs w:val="24"/>
              </w:rPr>
            </w:pPr>
          </w:p>
        </w:tc>
        <w:tc>
          <w:tcPr>
            <w:tcW w:w="2468" w:type="dxa"/>
            <w:noWrap/>
            <w:hideMark/>
          </w:tcPr>
          <w:p w14:paraId="4988CE07" w14:textId="77777777" w:rsidR="00BA4C4E" w:rsidRPr="00BA4C4E" w:rsidRDefault="00BA4C4E" w:rsidP="00BA4C4E">
            <w:pPr>
              <w:rPr>
                <w:rFonts w:ascii="Times New Roman" w:hAnsi="Times New Roman" w:cs="Times New Roman"/>
                <w:b/>
                <w:bCs/>
                <w:i/>
                <w:iCs/>
                <w:sz w:val="24"/>
                <w:szCs w:val="24"/>
              </w:rPr>
            </w:pPr>
            <w:r w:rsidRPr="00BA4C4E">
              <w:rPr>
                <w:rFonts w:ascii="Times New Roman" w:hAnsi="Times New Roman" w:cs="Times New Roman"/>
                <w:b/>
                <w:bCs/>
                <w:i/>
                <w:iCs/>
                <w:sz w:val="24"/>
                <w:szCs w:val="24"/>
              </w:rPr>
              <w:t>Lolium multiflorum</w:t>
            </w:r>
          </w:p>
        </w:tc>
        <w:tc>
          <w:tcPr>
            <w:tcW w:w="686" w:type="dxa"/>
            <w:noWrap/>
            <w:hideMark/>
          </w:tcPr>
          <w:p w14:paraId="2054D197"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89.2</w:t>
            </w:r>
          </w:p>
        </w:tc>
        <w:tc>
          <w:tcPr>
            <w:tcW w:w="687" w:type="dxa"/>
            <w:noWrap/>
            <w:hideMark/>
          </w:tcPr>
          <w:p w14:paraId="70F948AC"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99.8</w:t>
            </w:r>
          </w:p>
        </w:tc>
        <w:tc>
          <w:tcPr>
            <w:tcW w:w="688" w:type="dxa"/>
            <w:noWrap/>
            <w:hideMark/>
          </w:tcPr>
          <w:p w14:paraId="2665DEE1"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96.3</w:t>
            </w:r>
          </w:p>
        </w:tc>
        <w:tc>
          <w:tcPr>
            <w:tcW w:w="688" w:type="dxa"/>
            <w:noWrap/>
            <w:hideMark/>
          </w:tcPr>
          <w:p w14:paraId="2D2422E6"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99.6</w:t>
            </w:r>
          </w:p>
        </w:tc>
        <w:tc>
          <w:tcPr>
            <w:tcW w:w="275" w:type="dxa"/>
            <w:noWrap/>
            <w:hideMark/>
          </w:tcPr>
          <w:p w14:paraId="5E5B9E21" w14:textId="77777777" w:rsidR="00BA4C4E" w:rsidRPr="00BA4C4E" w:rsidRDefault="00BA4C4E" w:rsidP="00BA4C4E">
            <w:pPr>
              <w:rPr>
                <w:rFonts w:ascii="Times New Roman" w:hAnsi="Times New Roman" w:cs="Times New Roman"/>
                <w:b/>
                <w:bCs/>
                <w:sz w:val="24"/>
                <w:szCs w:val="24"/>
              </w:rPr>
            </w:pPr>
          </w:p>
        </w:tc>
        <w:tc>
          <w:tcPr>
            <w:tcW w:w="688" w:type="dxa"/>
            <w:noWrap/>
            <w:hideMark/>
          </w:tcPr>
          <w:p w14:paraId="7BCE4A40"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62.5</w:t>
            </w:r>
          </w:p>
        </w:tc>
        <w:tc>
          <w:tcPr>
            <w:tcW w:w="688" w:type="dxa"/>
            <w:noWrap/>
            <w:hideMark/>
          </w:tcPr>
          <w:p w14:paraId="34037987"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69.1</w:t>
            </w:r>
          </w:p>
        </w:tc>
        <w:tc>
          <w:tcPr>
            <w:tcW w:w="688" w:type="dxa"/>
            <w:noWrap/>
            <w:hideMark/>
          </w:tcPr>
          <w:p w14:paraId="045A08B0"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88.1</w:t>
            </w:r>
          </w:p>
        </w:tc>
        <w:tc>
          <w:tcPr>
            <w:tcW w:w="688" w:type="dxa"/>
            <w:noWrap/>
            <w:hideMark/>
          </w:tcPr>
          <w:p w14:paraId="0D0BF6D9"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94.7</w:t>
            </w:r>
          </w:p>
        </w:tc>
      </w:tr>
      <w:tr w:rsidR="00BA4C4E" w:rsidRPr="00BA4C4E" w14:paraId="1BA05017" w14:textId="77777777" w:rsidTr="00BA4C4E">
        <w:trPr>
          <w:trHeight w:val="315"/>
          <w:jc w:val="center"/>
        </w:trPr>
        <w:tc>
          <w:tcPr>
            <w:tcW w:w="1404" w:type="dxa"/>
            <w:vMerge/>
            <w:hideMark/>
          </w:tcPr>
          <w:p w14:paraId="4C28F9C5" w14:textId="77777777" w:rsidR="00BA4C4E" w:rsidRPr="00BA4C4E" w:rsidRDefault="00BA4C4E" w:rsidP="00BA4C4E">
            <w:pPr>
              <w:rPr>
                <w:rFonts w:ascii="Times New Roman" w:hAnsi="Times New Roman" w:cs="Times New Roman"/>
                <w:b/>
                <w:bCs/>
                <w:sz w:val="24"/>
                <w:szCs w:val="24"/>
              </w:rPr>
            </w:pPr>
          </w:p>
        </w:tc>
        <w:tc>
          <w:tcPr>
            <w:tcW w:w="2468" w:type="dxa"/>
            <w:noWrap/>
            <w:hideMark/>
          </w:tcPr>
          <w:p w14:paraId="5B02D84D" w14:textId="77777777" w:rsidR="00BA4C4E" w:rsidRPr="00BA4C4E" w:rsidRDefault="00BA4C4E" w:rsidP="00BA4C4E">
            <w:pPr>
              <w:rPr>
                <w:rFonts w:ascii="Times New Roman" w:hAnsi="Times New Roman" w:cs="Times New Roman"/>
                <w:b/>
                <w:bCs/>
                <w:i/>
                <w:iCs/>
                <w:sz w:val="24"/>
                <w:szCs w:val="24"/>
              </w:rPr>
            </w:pPr>
            <w:r w:rsidRPr="00BA4C4E">
              <w:rPr>
                <w:rFonts w:ascii="Times New Roman" w:hAnsi="Times New Roman" w:cs="Times New Roman"/>
                <w:b/>
                <w:bCs/>
                <w:i/>
                <w:iCs/>
                <w:sz w:val="24"/>
                <w:szCs w:val="24"/>
              </w:rPr>
              <w:t>L. perenne</w:t>
            </w:r>
            <w:r w:rsidRPr="00BA4C4E">
              <w:rPr>
                <w:rFonts w:ascii="Times New Roman" w:hAnsi="Times New Roman" w:cs="Times New Roman"/>
                <w:b/>
                <w:bCs/>
                <w:sz w:val="24"/>
                <w:szCs w:val="24"/>
              </w:rPr>
              <w:t xml:space="preserve"> × </w:t>
            </w:r>
            <w:r w:rsidRPr="00BA4C4E">
              <w:rPr>
                <w:rFonts w:ascii="Times New Roman" w:hAnsi="Times New Roman" w:cs="Times New Roman"/>
                <w:b/>
                <w:bCs/>
                <w:i/>
                <w:iCs/>
                <w:sz w:val="24"/>
                <w:szCs w:val="24"/>
              </w:rPr>
              <w:t>L. multiflorum</w:t>
            </w:r>
          </w:p>
        </w:tc>
        <w:tc>
          <w:tcPr>
            <w:tcW w:w="686" w:type="dxa"/>
            <w:noWrap/>
            <w:hideMark/>
          </w:tcPr>
          <w:p w14:paraId="1730E4BB"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81.7</w:t>
            </w:r>
          </w:p>
        </w:tc>
        <w:tc>
          <w:tcPr>
            <w:tcW w:w="687" w:type="dxa"/>
            <w:noWrap/>
            <w:hideMark/>
          </w:tcPr>
          <w:p w14:paraId="49C39CD8"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99.6</w:t>
            </w:r>
          </w:p>
        </w:tc>
        <w:tc>
          <w:tcPr>
            <w:tcW w:w="688" w:type="dxa"/>
            <w:noWrap/>
            <w:hideMark/>
          </w:tcPr>
          <w:p w14:paraId="7064EC2C"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98.8</w:t>
            </w:r>
          </w:p>
        </w:tc>
        <w:tc>
          <w:tcPr>
            <w:tcW w:w="688" w:type="dxa"/>
            <w:noWrap/>
            <w:hideMark/>
          </w:tcPr>
          <w:p w14:paraId="6AC54ECA"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99.6</w:t>
            </w:r>
          </w:p>
        </w:tc>
        <w:tc>
          <w:tcPr>
            <w:tcW w:w="275" w:type="dxa"/>
            <w:noWrap/>
            <w:hideMark/>
          </w:tcPr>
          <w:p w14:paraId="2E6C907F" w14:textId="77777777" w:rsidR="00BA4C4E" w:rsidRPr="00BA4C4E" w:rsidRDefault="00BA4C4E" w:rsidP="00BA4C4E">
            <w:pPr>
              <w:rPr>
                <w:rFonts w:ascii="Times New Roman" w:hAnsi="Times New Roman" w:cs="Times New Roman"/>
                <w:b/>
                <w:bCs/>
                <w:sz w:val="24"/>
                <w:szCs w:val="24"/>
              </w:rPr>
            </w:pPr>
          </w:p>
        </w:tc>
        <w:tc>
          <w:tcPr>
            <w:tcW w:w="688" w:type="dxa"/>
            <w:noWrap/>
            <w:hideMark/>
          </w:tcPr>
          <w:p w14:paraId="15F02E62"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59.1</w:t>
            </w:r>
          </w:p>
        </w:tc>
        <w:tc>
          <w:tcPr>
            <w:tcW w:w="688" w:type="dxa"/>
            <w:noWrap/>
            <w:hideMark/>
          </w:tcPr>
          <w:p w14:paraId="3A301BB3"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53.8</w:t>
            </w:r>
          </w:p>
        </w:tc>
        <w:tc>
          <w:tcPr>
            <w:tcW w:w="688" w:type="dxa"/>
            <w:noWrap/>
            <w:hideMark/>
          </w:tcPr>
          <w:p w14:paraId="62A38169"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86.1</w:t>
            </w:r>
          </w:p>
        </w:tc>
        <w:tc>
          <w:tcPr>
            <w:tcW w:w="688" w:type="dxa"/>
            <w:noWrap/>
            <w:hideMark/>
          </w:tcPr>
          <w:p w14:paraId="35A87BC0"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92.1</w:t>
            </w:r>
          </w:p>
        </w:tc>
      </w:tr>
      <w:tr w:rsidR="00BA4C4E" w:rsidRPr="00BA4C4E" w14:paraId="19A6F843" w14:textId="77777777" w:rsidTr="00BA4C4E">
        <w:trPr>
          <w:trHeight w:val="315"/>
          <w:jc w:val="center"/>
        </w:trPr>
        <w:tc>
          <w:tcPr>
            <w:tcW w:w="1404" w:type="dxa"/>
            <w:vMerge/>
            <w:hideMark/>
          </w:tcPr>
          <w:p w14:paraId="702D45F0" w14:textId="77777777" w:rsidR="00BA4C4E" w:rsidRPr="00BA4C4E" w:rsidRDefault="00BA4C4E" w:rsidP="00BA4C4E">
            <w:pPr>
              <w:rPr>
                <w:rFonts w:ascii="Times New Roman" w:hAnsi="Times New Roman" w:cs="Times New Roman"/>
                <w:b/>
                <w:bCs/>
                <w:sz w:val="24"/>
                <w:szCs w:val="24"/>
              </w:rPr>
            </w:pPr>
          </w:p>
        </w:tc>
        <w:tc>
          <w:tcPr>
            <w:tcW w:w="2468" w:type="dxa"/>
            <w:noWrap/>
            <w:hideMark/>
          </w:tcPr>
          <w:p w14:paraId="13E10240" w14:textId="77777777" w:rsidR="00BA4C4E" w:rsidRPr="00BA4C4E" w:rsidRDefault="00BA4C4E" w:rsidP="00BA4C4E">
            <w:pPr>
              <w:rPr>
                <w:rFonts w:ascii="Times New Roman" w:hAnsi="Times New Roman" w:cs="Times New Roman"/>
                <w:b/>
                <w:bCs/>
                <w:i/>
                <w:iCs/>
                <w:sz w:val="24"/>
                <w:szCs w:val="24"/>
              </w:rPr>
            </w:pPr>
            <w:r w:rsidRPr="00BA4C4E">
              <w:rPr>
                <w:rFonts w:ascii="Times New Roman" w:hAnsi="Times New Roman" w:cs="Times New Roman"/>
                <w:b/>
                <w:bCs/>
                <w:i/>
                <w:iCs/>
                <w:sz w:val="24"/>
                <w:szCs w:val="24"/>
              </w:rPr>
              <w:t>L. perenne</w:t>
            </w:r>
          </w:p>
        </w:tc>
        <w:tc>
          <w:tcPr>
            <w:tcW w:w="686" w:type="dxa"/>
            <w:noWrap/>
            <w:hideMark/>
          </w:tcPr>
          <w:p w14:paraId="3A2000AE"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85.6</w:t>
            </w:r>
          </w:p>
        </w:tc>
        <w:tc>
          <w:tcPr>
            <w:tcW w:w="687" w:type="dxa"/>
            <w:noWrap/>
            <w:hideMark/>
          </w:tcPr>
          <w:p w14:paraId="78C6EC39"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99.7</w:t>
            </w:r>
          </w:p>
        </w:tc>
        <w:tc>
          <w:tcPr>
            <w:tcW w:w="688" w:type="dxa"/>
            <w:noWrap/>
            <w:hideMark/>
          </w:tcPr>
          <w:p w14:paraId="02613ED2"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98.9</w:t>
            </w:r>
          </w:p>
        </w:tc>
        <w:tc>
          <w:tcPr>
            <w:tcW w:w="688" w:type="dxa"/>
            <w:noWrap/>
            <w:hideMark/>
          </w:tcPr>
          <w:p w14:paraId="67B3B85B"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99.4</w:t>
            </w:r>
          </w:p>
        </w:tc>
        <w:tc>
          <w:tcPr>
            <w:tcW w:w="275" w:type="dxa"/>
            <w:noWrap/>
            <w:hideMark/>
          </w:tcPr>
          <w:p w14:paraId="74B4727E" w14:textId="77777777" w:rsidR="00BA4C4E" w:rsidRPr="00BA4C4E" w:rsidRDefault="00BA4C4E" w:rsidP="00BA4C4E">
            <w:pPr>
              <w:rPr>
                <w:rFonts w:ascii="Times New Roman" w:hAnsi="Times New Roman" w:cs="Times New Roman"/>
                <w:b/>
                <w:bCs/>
                <w:sz w:val="24"/>
                <w:szCs w:val="24"/>
              </w:rPr>
            </w:pPr>
          </w:p>
        </w:tc>
        <w:tc>
          <w:tcPr>
            <w:tcW w:w="688" w:type="dxa"/>
            <w:noWrap/>
            <w:hideMark/>
          </w:tcPr>
          <w:p w14:paraId="49995125"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90.2</w:t>
            </w:r>
          </w:p>
        </w:tc>
        <w:tc>
          <w:tcPr>
            <w:tcW w:w="688" w:type="dxa"/>
            <w:noWrap/>
            <w:hideMark/>
          </w:tcPr>
          <w:p w14:paraId="19CADE92"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80.1</w:t>
            </w:r>
          </w:p>
        </w:tc>
        <w:tc>
          <w:tcPr>
            <w:tcW w:w="688" w:type="dxa"/>
            <w:noWrap/>
            <w:hideMark/>
          </w:tcPr>
          <w:p w14:paraId="16C9509F"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86.5</w:t>
            </w:r>
          </w:p>
        </w:tc>
        <w:tc>
          <w:tcPr>
            <w:tcW w:w="688" w:type="dxa"/>
            <w:noWrap/>
            <w:hideMark/>
          </w:tcPr>
          <w:p w14:paraId="4426A579"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89.1</w:t>
            </w:r>
          </w:p>
        </w:tc>
      </w:tr>
      <w:tr w:rsidR="00BA4C4E" w:rsidRPr="00BA4C4E" w14:paraId="41C6EAB6" w14:textId="77777777" w:rsidTr="00BA4C4E">
        <w:trPr>
          <w:trHeight w:val="315"/>
          <w:jc w:val="center"/>
        </w:trPr>
        <w:tc>
          <w:tcPr>
            <w:tcW w:w="1404" w:type="dxa"/>
            <w:vMerge/>
            <w:hideMark/>
          </w:tcPr>
          <w:p w14:paraId="358EEBFF" w14:textId="77777777" w:rsidR="00BA4C4E" w:rsidRPr="00BA4C4E" w:rsidRDefault="00BA4C4E" w:rsidP="00BA4C4E">
            <w:pPr>
              <w:rPr>
                <w:rFonts w:ascii="Times New Roman" w:hAnsi="Times New Roman" w:cs="Times New Roman"/>
                <w:b/>
                <w:bCs/>
                <w:sz w:val="24"/>
                <w:szCs w:val="24"/>
              </w:rPr>
            </w:pPr>
          </w:p>
        </w:tc>
        <w:tc>
          <w:tcPr>
            <w:tcW w:w="2468" w:type="dxa"/>
            <w:noWrap/>
            <w:hideMark/>
          </w:tcPr>
          <w:p w14:paraId="47005E51" w14:textId="77777777" w:rsidR="00BA4C4E" w:rsidRPr="00BA4C4E" w:rsidRDefault="00BA4C4E" w:rsidP="00BA4C4E">
            <w:pPr>
              <w:rPr>
                <w:rFonts w:ascii="Times New Roman" w:hAnsi="Times New Roman" w:cs="Times New Roman"/>
                <w:b/>
                <w:bCs/>
                <w:i/>
                <w:iCs/>
                <w:sz w:val="24"/>
                <w:szCs w:val="24"/>
              </w:rPr>
            </w:pPr>
            <w:r w:rsidRPr="00BA4C4E">
              <w:rPr>
                <w:rFonts w:ascii="Times New Roman" w:hAnsi="Times New Roman" w:cs="Times New Roman"/>
                <w:b/>
                <w:bCs/>
                <w:i/>
                <w:iCs/>
                <w:sz w:val="24"/>
                <w:szCs w:val="24"/>
              </w:rPr>
              <w:t>Poa trivialis</w:t>
            </w:r>
          </w:p>
        </w:tc>
        <w:tc>
          <w:tcPr>
            <w:tcW w:w="686" w:type="dxa"/>
            <w:noWrap/>
            <w:hideMark/>
          </w:tcPr>
          <w:p w14:paraId="742F2A9B"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87.9</w:t>
            </w:r>
          </w:p>
        </w:tc>
        <w:tc>
          <w:tcPr>
            <w:tcW w:w="687" w:type="dxa"/>
            <w:noWrap/>
            <w:hideMark/>
          </w:tcPr>
          <w:p w14:paraId="50826CB3"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99.7</w:t>
            </w:r>
          </w:p>
        </w:tc>
        <w:tc>
          <w:tcPr>
            <w:tcW w:w="688" w:type="dxa"/>
            <w:noWrap/>
            <w:hideMark/>
          </w:tcPr>
          <w:p w14:paraId="3690FA8D"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98.1</w:t>
            </w:r>
          </w:p>
        </w:tc>
        <w:tc>
          <w:tcPr>
            <w:tcW w:w="688" w:type="dxa"/>
            <w:noWrap/>
            <w:hideMark/>
          </w:tcPr>
          <w:p w14:paraId="72E8BFCC"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99.6</w:t>
            </w:r>
          </w:p>
        </w:tc>
        <w:tc>
          <w:tcPr>
            <w:tcW w:w="275" w:type="dxa"/>
            <w:noWrap/>
            <w:hideMark/>
          </w:tcPr>
          <w:p w14:paraId="6612E75F" w14:textId="77777777" w:rsidR="00BA4C4E" w:rsidRPr="00BA4C4E" w:rsidRDefault="00BA4C4E" w:rsidP="00BA4C4E">
            <w:pPr>
              <w:rPr>
                <w:rFonts w:ascii="Times New Roman" w:hAnsi="Times New Roman" w:cs="Times New Roman"/>
                <w:b/>
                <w:bCs/>
                <w:sz w:val="24"/>
                <w:szCs w:val="24"/>
              </w:rPr>
            </w:pPr>
          </w:p>
        </w:tc>
        <w:tc>
          <w:tcPr>
            <w:tcW w:w="688" w:type="dxa"/>
            <w:noWrap/>
            <w:hideMark/>
          </w:tcPr>
          <w:p w14:paraId="7E4327DC"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77.4</w:t>
            </w:r>
          </w:p>
        </w:tc>
        <w:tc>
          <w:tcPr>
            <w:tcW w:w="688" w:type="dxa"/>
            <w:noWrap/>
            <w:hideMark/>
          </w:tcPr>
          <w:p w14:paraId="715D28E4"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66.4</w:t>
            </w:r>
          </w:p>
        </w:tc>
        <w:tc>
          <w:tcPr>
            <w:tcW w:w="688" w:type="dxa"/>
            <w:noWrap/>
            <w:hideMark/>
          </w:tcPr>
          <w:p w14:paraId="1DF6AA57"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83.4</w:t>
            </w:r>
          </w:p>
        </w:tc>
        <w:tc>
          <w:tcPr>
            <w:tcW w:w="688" w:type="dxa"/>
            <w:noWrap/>
            <w:hideMark/>
          </w:tcPr>
          <w:p w14:paraId="1AF19AA8"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93.1</w:t>
            </w:r>
          </w:p>
        </w:tc>
      </w:tr>
      <w:tr w:rsidR="00BA4C4E" w:rsidRPr="00BA4C4E" w14:paraId="26201DD3" w14:textId="77777777" w:rsidTr="00BA4C4E">
        <w:trPr>
          <w:trHeight w:val="330"/>
          <w:jc w:val="center"/>
        </w:trPr>
        <w:tc>
          <w:tcPr>
            <w:tcW w:w="1404" w:type="dxa"/>
            <w:vMerge/>
            <w:hideMark/>
          </w:tcPr>
          <w:p w14:paraId="07270D21" w14:textId="77777777" w:rsidR="00BA4C4E" w:rsidRPr="00BA4C4E" w:rsidRDefault="00BA4C4E" w:rsidP="00BA4C4E">
            <w:pPr>
              <w:rPr>
                <w:rFonts w:ascii="Times New Roman" w:hAnsi="Times New Roman" w:cs="Times New Roman"/>
                <w:b/>
                <w:bCs/>
                <w:sz w:val="24"/>
                <w:szCs w:val="24"/>
              </w:rPr>
            </w:pPr>
          </w:p>
        </w:tc>
        <w:tc>
          <w:tcPr>
            <w:tcW w:w="2468" w:type="dxa"/>
            <w:noWrap/>
            <w:hideMark/>
          </w:tcPr>
          <w:p w14:paraId="002F69A2" w14:textId="77777777" w:rsidR="00BA4C4E" w:rsidRPr="00BA4C4E" w:rsidRDefault="00BA4C4E" w:rsidP="00BA4C4E">
            <w:pPr>
              <w:rPr>
                <w:rFonts w:ascii="Times New Roman" w:hAnsi="Times New Roman" w:cs="Times New Roman"/>
                <w:b/>
                <w:bCs/>
                <w:i/>
                <w:iCs/>
                <w:sz w:val="24"/>
                <w:szCs w:val="24"/>
              </w:rPr>
            </w:pPr>
            <w:r w:rsidRPr="00BA4C4E">
              <w:rPr>
                <w:rFonts w:ascii="Times New Roman" w:hAnsi="Times New Roman" w:cs="Times New Roman"/>
                <w:b/>
                <w:bCs/>
                <w:i/>
                <w:iCs/>
                <w:sz w:val="24"/>
                <w:szCs w:val="24"/>
              </w:rPr>
              <w:t>P. nemoralis</w:t>
            </w:r>
          </w:p>
        </w:tc>
        <w:tc>
          <w:tcPr>
            <w:tcW w:w="686" w:type="dxa"/>
            <w:noWrap/>
            <w:hideMark/>
          </w:tcPr>
          <w:p w14:paraId="35F419A2"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95.4</w:t>
            </w:r>
          </w:p>
        </w:tc>
        <w:tc>
          <w:tcPr>
            <w:tcW w:w="687" w:type="dxa"/>
            <w:noWrap/>
            <w:hideMark/>
          </w:tcPr>
          <w:p w14:paraId="70883504"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99.8</w:t>
            </w:r>
          </w:p>
        </w:tc>
        <w:tc>
          <w:tcPr>
            <w:tcW w:w="688" w:type="dxa"/>
            <w:noWrap/>
            <w:hideMark/>
          </w:tcPr>
          <w:p w14:paraId="3466C886"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96.7</w:t>
            </w:r>
          </w:p>
        </w:tc>
        <w:tc>
          <w:tcPr>
            <w:tcW w:w="688" w:type="dxa"/>
            <w:noWrap/>
            <w:hideMark/>
          </w:tcPr>
          <w:p w14:paraId="66279013"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99.6</w:t>
            </w:r>
          </w:p>
        </w:tc>
        <w:tc>
          <w:tcPr>
            <w:tcW w:w="275" w:type="dxa"/>
            <w:noWrap/>
            <w:hideMark/>
          </w:tcPr>
          <w:p w14:paraId="16CF091D"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 </w:t>
            </w:r>
          </w:p>
        </w:tc>
        <w:tc>
          <w:tcPr>
            <w:tcW w:w="688" w:type="dxa"/>
            <w:noWrap/>
            <w:hideMark/>
          </w:tcPr>
          <w:p w14:paraId="1F9D59B4"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83.9</w:t>
            </w:r>
          </w:p>
        </w:tc>
        <w:tc>
          <w:tcPr>
            <w:tcW w:w="688" w:type="dxa"/>
            <w:noWrap/>
            <w:hideMark/>
          </w:tcPr>
          <w:p w14:paraId="728722C2"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86.8</w:t>
            </w:r>
          </w:p>
        </w:tc>
        <w:tc>
          <w:tcPr>
            <w:tcW w:w="688" w:type="dxa"/>
            <w:noWrap/>
            <w:hideMark/>
          </w:tcPr>
          <w:p w14:paraId="454D5A8C"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90.5</w:t>
            </w:r>
          </w:p>
        </w:tc>
        <w:tc>
          <w:tcPr>
            <w:tcW w:w="688" w:type="dxa"/>
            <w:noWrap/>
            <w:hideMark/>
          </w:tcPr>
          <w:p w14:paraId="43978041"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96.8</w:t>
            </w:r>
          </w:p>
        </w:tc>
      </w:tr>
      <w:tr w:rsidR="00BA4C4E" w:rsidRPr="00BA4C4E" w14:paraId="4E58924B" w14:textId="77777777" w:rsidTr="00BA4C4E">
        <w:trPr>
          <w:trHeight w:val="330"/>
          <w:jc w:val="center"/>
        </w:trPr>
        <w:tc>
          <w:tcPr>
            <w:tcW w:w="1404" w:type="dxa"/>
            <w:noWrap/>
            <w:hideMark/>
          </w:tcPr>
          <w:p w14:paraId="3924E3D2"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 </w:t>
            </w:r>
          </w:p>
        </w:tc>
        <w:tc>
          <w:tcPr>
            <w:tcW w:w="2468" w:type="dxa"/>
            <w:noWrap/>
            <w:hideMark/>
          </w:tcPr>
          <w:p w14:paraId="5744C3A8"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 xml:space="preserve">    LSD  (0.05)</w:t>
            </w:r>
          </w:p>
        </w:tc>
        <w:tc>
          <w:tcPr>
            <w:tcW w:w="686" w:type="dxa"/>
            <w:noWrap/>
            <w:hideMark/>
          </w:tcPr>
          <w:p w14:paraId="0412F21B"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5.4</w:t>
            </w:r>
          </w:p>
        </w:tc>
        <w:tc>
          <w:tcPr>
            <w:tcW w:w="687" w:type="dxa"/>
            <w:noWrap/>
            <w:hideMark/>
          </w:tcPr>
          <w:p w14:paraId="65DEA2C3"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0.3</w:t>
            </w:r>
          </w:p>
        </w:tc>
        <w:tc>
          <w:tcPr>
            <w:tcW w:w="688" w:type="dxa"/>
            <w:noWrap/>
            <w:hideMark/>
          </w:tcPr>
          <w:p w14:paraId="29171272"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3.2</w:t>
            </w:r>
          </w:p>
        </w:tc>
        <w:tc>
          <w:tcPr>
            <w:tcW w:w="688" w:type="dxa"/>
            <w:noWrap/>
            <w:hideMark/>
          </w:tcPr>
          <w:p w14:paraId="752B5FB3"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0.2</w:t>
            </w:r>
          </w:p>
        </w:tc>
        <w:tc>
          <w:tcPr>
            <w:tcW w:w="275" w:type="dxa"/>
            <w:noWrap/>
            <w:hideMark/>
          </w:tcPr>
          <w:p w14:paraId="1C035063"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 </w:t>
            </w:r>
          </w:p>
        </w:tc>
        <w:tc>
          <w:tcPr>
            <w:tcW w:w="688" w:type="dxa"/>
            <w:noWrap/>
            <w:hideMark/>
          </w:tcPr>
          <w:p w14:paraId="462FB145"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6.3</w:t>
            </w:r>
          </w:p>
        </w:tc>
        <w:tc>
          <w:tcPr>
            <w:tcW w:w="688" w:type="dxa"/>
            <w:noWrap/>
            <w:hideMark/>
          </w:tcPr>
          <w:p w14:paraId="2EB06C99"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6.5</w:t>
            </w:r>
          </w:p>
        </w:tc>
        <w:tc>
          <w:tcPr>
            <w:tcW w:w="688" w:type="dxa"/>
            <w:noWrap/>
            <w:hideMark/>
          </w:tcPr>
          <w:p w14:paraId="4142FCD4"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11.4</w:t>
            </w:r>
          </w:p>
        </w:tc>
        <w:tc>
          <w:tcPr>
            <w:tcW w:w="688" w:type="dxa"/>
            <w:noWrap/>
            <w:hideMark/>
          </w:tcPr>
          <w:p w14:paraId="41EA2349"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rPr>
              <w:t>11.7</w:t>
            </w:r>
          </w:p>
        </w:tc>
      </w:tr>
      <w:tr w:rsidR="00BA4C4E" w:rsidRPr="00BA4C4E" w14:paraId="5AA08566" w14:textId="77777777" w:rsidTr="00BA4C4E">
        <w:trPr>
          <w:trHeight w:val="375"/>
          <w:jc w:val="center"/>
        </w:trPr>
        <w:tc>
          <w:tcPr>
            <w:tcW w:w="9648" w:type="dxa"/>
            <w:gridSpan w:val="11"/>
            <w:noWrap/>
            <w:hideMark/>
          </w:tcPr>
          <w:p w14:paraId="36F11ADE"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vertAlign w:val="superscript"/>
              </w:rPr>
              <w:t xml:space="preserve">† </w:t>
            </w:r>
            <w:r w:rsidRPr="00BA4C4E">
              <w:rPr>
                <w:rFonts w:ascii="Times New Roman" w:hAnsi="Times New Roman" w:cs="Times New Roman"/>
                <w:b/>
                <w:bCs/>
                <w:sz w:val="24"/>
                <w:szCs w:val="24"/>
              </w:rPr>
              <w:t>Transition types were either natural transition (NT) or herbicide transition with trifloxysulfuron-sodium (TS) applied at 29 g a.i. ha</w:t>
            </w:r>
            <w:r w:rsidRPr="00BA4C4E">
              <w:rPr>
                <w:rFonts w:ascii="Times New Roman" w:hAnsi="Times New Roman" w:cs="Times New Roman"/>
                <w:b/>
                <w:bCs/>
                <w:sz w:val="24"/>
                <w:szCs w:val="24"/>
                <w:vertAlign w:val="superscript"/>
              </w:rPr>
              <w:t>-1</w:t>
            </w:r>
            <w:r w:rsidRPr="00BA4C4E">
              <w:rPr>
                <w:rFonts w:ascii="Times New Roman" w:hAnsi="Times New Roman" w:cs="Times New Roman"/>
                <w:b/>
                <w:bCs/>
                <w:sz w:val="24"/>
                <w:szCs w:val="24"/>
              </w:rPr>
              <w:t xml:space="preserve"> on 6 May 2011 and 2 May 2012.</w:t>
            </w:r>
          </w:p>
        </w:tc>
      </w:tr>
      <w:tr w:rsidR="00BA4C4E" w:rsidRPr="00BA4C4E" w14:paraId="06201034" w14:textId="77777777" w:rsidTr="00BA4C4E">
        <w:trPr>
          <w:trHeight w:val="375"/>
          <w:jc w:val="center"/>
        </w:trPr>
        <w:tc>
          <w:tcPr>
            <w:tcW w:w="9648" w:type="dxa"/>
            <w:gridSpan w:val="11"/>
            <w:noWrap/>
            <w:hideMark/>
          </w:tcPr>
          <w:p w14:paraId="5B2A7039"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vertAlign w:val="superscript"/>
              </w:rPr>
              <w:t xml:space="preserve">‡ </w:t>
            </w:r>
            <w:r w:rsidRPr="00BA4C4E">
              <w:rPr>
                <w:rFonts w:ascii="Times New Roman" w:hAnsi="Times New Roman" w:cs="Times New Roman"/>
                <w:b/>
                <w:bCs/>
                <w:sz w:val="24"/>
                <w:szCs w:val="24"/>
              </w:rPr>
              <w:t>Control was represented as non-overseeded bermudagrass.</w:t>
            </w:r>
          </w:p>
        </w:tc>
      </w:tr>
      <w:tr w:rsidR="00BA4C4E" w:rsidRPr="00BA4C4E" w14:paraId="68B00D23" w14:textId="77777777" w:rsidTr="00BA4C4E">
        <w:trPr>
          <w:trHeight w:val="375"/>
          <w:jc w:val="center"/>
        </w:trPr>
        <w:tc>
          <w:tcPr>
            <w:tcW w:w="9648" w:type="dxa"/>
            <w:gridSpan w:val="11"/>
            <w:noWrap/>
            <w:hideMark/>
          </w:tcPr>
          <w:p w14:paraId="171A5809"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vertAlign w:val="superscript"/>
              </w:rPr>
              <w:t>§</w:t>
            </w:r>
            <w:r w:rsidRPr="00BA4C4E">
              <w:rPr>
                <w:rFonts w:ascii="Times New Roman" w:hAnsi="Times New Roman" w:cs="Times New Roman"/>
                <w:b/>
                <w:bCs/>
                <w:sz w:val="24"/>
                <w:szCs w:val="24"/>
              </w:rPr>
              <w:t xml:space="preserve"> Cultivars consisted of ‘SRX 2NEM' </w:t>
            </w:r>
            <w:r w:rsidRPr="00BA4C4E">
              <w:rPr>
                <w:rFonts w:ascii="Times New Roman" w:hAnsi="Times New Roman" w:cs="Times New Roman"/>
                <w:b/>
                <w:bCs/>
                <w:i/>
                <w:iCs/>
                <w:sz w:val="24"/>
                <w:szCs w:val="24"/>
              </w:rPr>
              <w:t>Poa nemoralis</w:t>
            </w:r>
            <w:r w:rsidRPr="00BA4C4E">
              <w:rPr>
                <w:rFonts w:ascii="Times New Roman" w:hAnsi="Times New Roman" w:cs="Times New Roman"/>
                <w:b/>
                <w:bCs/>
                <w:sz w:val="24"/>
                <w:szCs w:val="24"/>
              </w:rPr>
              <w:t xml:space="preserve">, 'Quasar' </w:t>
            </w:r>
            <w:r w:rsidRPr="00BA4C4E">
              <w:rPr>
                <w:rFonts w:ascii="Times New Roman" w:hAnsi="Times New Roman" w:cs="Times New Roman"/>
                <w:b/>
                <w:bCs/>
                <w:i/>
                <w:iCs/>
                <w:sz w:val="24"/>
                <w:szCs w:val="24"/>
              </w:rPr>
              <w:t>P. trivialis, '</w:t>
            </w:r>
            <w:r w:rsidRPr="00BA4C4E">
              <w:rPr>
                <w:rFonts w:ascii="Times New Roman" w:hAnsi="Times New Roman" w:cs="Times New Roman"/>
                <w:b/>
                <w:bCs/>
                <w:sz w:val="24"/>
                <w:szCs w:val="24"/>
              </w:rPr>
              <w:t xml:space="preserve">Supranova' </w:t>
            </w:r>
            <w:r w:rsidRPr="00BA4C4E">
              <w:rPr>
                <w:rFonts w:ascii="Times New Roman" w:hAnsi="Times New Roman" w:cs="Times New Roman"/>
                <w:b/>
                <w:bCs/>
                <w:i/>
                <w:iCs/>
                <w:sz w:val="24"/>
                <w:szCs w:val="24"/>
              </w:rPr>
              <w:t xml:space="preserve">P. supina, </w:t>
            </w:r>
            <w:r w:rsidRPr="00BA4C4E">
              <w:rPr>
                <w:rFonts w:ascii="Times New Roman" w:hAnsi="Times New Roman" w:cs="Times New Roman"/>
                <w:b/>
                <w:bCs/>
                <w:sz w:val="24"/>
                <w:szCs w:val="24"/>
              </w:rPr>
              <w:t xml:space="preserve">and Champion GQ blend </w:t>
            </w:r>
            <w:r w:rsidRPr="00BA4C4E">
              <w:rPr>
                <w:rFonts w:ascii="Times New Roman" w:hAnsi="Times New Roman" w:cs="Times New Roman"/>
                <w:b/>
                <w:bCs/>
                <w:i/>
                <w:iCs/>
                <w:sz w:val="24"/>
                <w:szCs w:val="24"/>
              </w:rPr>
              <w:t>Lolium perenne.</w:t>
            </w:r>
          </w:p>
        </w:tc>
      </w:tr>
      <w:tr w:rsidR="00BA4C4E" w:rsidRPr="00BA4C4E" w14:paraId="7FD89D97" w14:textId="77777777" w:rsidTr="00BA4C4E">
        <w:trPr>
          <w:trHeight w:val="375"/>
          <w:jc w:val="center"/>
        </w:trPr>
        <w:tc>
          <w:tcPr>
            <w:tcW w:w="9648" w:type="dxa"/>
            <w:gridSpan w:val="11"/>
            <w:noWrap/>
            <w:hideMark/>
          </w:tcPr>
          <w:p w14:paraId="44F4D693" w14:textId="77777777" w:rsidR="00BA4C4E" w:rsidRPr="00BA4C4E" w:rsidRDefault="00BA4C4E" w:rsidP="00BA4C4E">
            <w:pPr>
              <w:rPr>
                <w:rFonts w:ascii="Times New Roman" w:hAnsi="Times New Roman" w:cs="Times New Roman"/>
                <w:b/>
                <w:bCs/>
                <w:sz w:val="24"/>
                <w:szCs w:val="24"/>
              </w:rPr>
            </w:pPr>
            <w:r w:rsidRPr="00BA4C4E">
              <w:rPr>
                <w:rFonts w:ascii="Times New Roman" w:hAnsi="Times New Roman" w:cs="Times New Roman"/>
                <w:b/>
                <w:bCs/>
                <w:sz w:val="24"/>
                <w:szCs w:val="24"/>
                <w:vertAlign w:val="superscript"/>
              </w:rPr>
              <w:t xml:space="preserve">¶ </w:t>
            </w:r>
            <w:r w:rsidRPr="00BA4C4E">
              <w:rPr>
                <w:rFonts w:ascii="Times New Roman" w:hAnsi="Times New Roman" w:cs="Times New Roman"/>
                <w:b/>
                <w:bCs/>
                <w:sz w:val="24"/>
                <w:szCs w:val="24"/>
              </w:rPr>
              <w:t>10 simulated football games were applied over a month period beginning two weeks after seeding with the Cady traffic simulator.</w:t>
            </w:r>
          </w:p>
        </w:tc>
      </w:tr>
    </w:tbl>
    <w:p w14:paraId="3422A20B" w14:textId="77777777" w:rsidR="00282B2D" w:rsidRDefault="00282B2D"/>
    <w:p w14:paraId="2FAF40F6" w14:textId="77777777" w:rsidR="00BA4C4E" w:rsidRDefault="00BA4C4E" w:rsidP="0036796C">
      <w:pPr>
        <w:sectPr w:rsidR="00BA4C4E" w:rsidSect="00BA4C4E">
          <w:pgSz w:w="15840" w:h="12240" w:orient="landscape"/>
          <w:pgMar w:top="1440" w:right="1440" w:bottom="1440" w:left="1440" w:header="720" w:footer="720" w:gutter="0"/>
          <w:cols w:space="720"/>
          <w:docGrid w:linePitch="360"/>
        </w:sectPr>
      </w:pPr>
    </w:p>
    <w:p w14:paraId="715BE359" w14:textId="77777777" w:rsidR="0036796C" w:rsidRDefault="0036796C" w:rsidP="0036796C"/>
    <w:p w14:paraId="6D2DC032" w14:textId="77777777" w:rsidR="00282B2D" w:rsidRDefault="00282B2D" w:rsidP="0036796C"/>
    <w:p w14:paraId="0F33298A" w14:textId="77777777" w:rsidR="00282B2D" w:rsidRDefault="00282B2D" w:rsidP="0036796C"/>
    <w:p w14:paraId="38CD51D9" w14:textId="77777777" w:rsidR="00282B2D" w:rsidRDefault="00282B2D" w:rsidP="0036796C"/>
    <w:p w14:paraId="37C9CCF2" w14:textId="77777777" w:rsidR="00282B2D" w:rsidRDefault="00282B2D" w:rsidP="0036796C"/>
    <w:p w14:paraId="53C834F5" w14:textId="77777777" w:rsidR="00282B2D" w:rsidRDefault="00282B2D" w:rsidP="0036796C"/>
    <w:p w14:paraId="42A47B10" w14:textId="77777777" w:rsidR="00282B2D" w:rsidRDefault="00282B2D" w:rsidP="0036796C"/>
    <w:p w14:paraId="3B11E968" w14:textId="77777777" w:rsidR="00282B2D" w:rsidRDefault="00282B2D" w:rsidP="0036796C"/>
    <w:p w14:paraId="39341765" w14:textId="77777777" w:rsidR="00081822" w:rsidRDefault="00081822" w:rsidP="0036796C"/>
    <w:p w14:paraId="1E7244A7" w14:textId="77777777" w:rsidR="00081822" w:rsidRDefault="00081822" w:rsidP="0036796C"/>
    <w:p w14:paraId="20C06EAC" w14:textId="77777777" w:rsidR="00081822" w:rsidRDefault="00081822" w:rsidP="0036796C"/>
    <w:p w14:paraId="11627236" w14:textId="77777777" w:rsidR="00081822" w:rsidRDefault="00081822" w:rsidP="0036796C"/>
    <w:p w14:paraId="08C43E2A" w14:textId="77777777" w:rsidR="00081822" w:rsidRDefault="00081822" w:rsidP="00081822">
      <w:pPr>
        <w:pStyle w:val="Heading2"/>
      </w:pPr>
      <w:bookmarkStart w:id="35" w:name="_Toc354003337"/>
      <w:r>
        <w:t xml:space="preserve">Appendix </w:t>
      </w:r>
      <w:r w:rsidR="00220AE5">
        <w:t>D</w:t>
      </w:r>
      <w:bookmarkEnd w:id="35"/>
    </w:p>
    <w:p w14:paraId="6B917BBD" w14:textId="77777777" w:rsidR="00081822" w:rsidRDefault="00081822" w:rsidP="00081822"/>
    <w:p w14:paraId="4745017D" w14:textId="77777777" w:rsidR="00081822" w:rsidRPr="00081822" w:rsidRDefault="00081822" w:rsidP="00081822">
      <w:pPr>
        <w:pStyle w:val="Heading2"/>
      </w:pPr>
      <w:bookmarkStart w:id="36" w:name="_Toc354003338"/>
      <w:r>
        <w:t>Figures</w:t>
      </w:r>
      <w:bookmarkEnd w:id="36"/>
    </w:p>
    <w:p w14:paraId="3D56EDC1" w14:textId="77777777" w:rsidR="00081822" w:rsidRDefault="00081822">
      <w:r>
        <w:br w:type="page"/>
      </w:r>
    </w:p>
    <w:p w14:paraId="4AEBDAAE" w14:textId="77777777" w:rsidR="00FE2E83" w:rsidRPr="00FE2E83" w:rsidRDefault="00FE2E83" w:rsidP="00FE2E83">
      <w:pPr>
        <w:rPr>
          <w:rFonts w:ascii="Times New Roman" w:hAnsi="Times New Roman" w:cs="Times New Roman"/>
          <w:b/>
          <w:sz w:val="24"/>
          <w:szCs w:val="24"/>
        </w:rPr>
      </w:pPr>
      <w:r w:rsidRPr="00FE2E83">
        <w:rPr>
          <w:noProof/>
        </w:rPr>
        <w:lastRenderedPageBreak/>
        <w:drawing>
          <wp:inline distT="0" distB="0" distL="0" distR="0" wp14:anchorId="31B5DE24" wp14:editId="2917C958">
            <wp:extent cx="5943600" cy="32004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FE2E83">
        <w:rPr>
          <w:noProof/>
        </w:rPr>
        <w:drawing>
          <wp:inline distT="0" distB="0" distL="0" distR="0" wp14:anchorId="10940CA3" wp14:editId="1AB590A0">
            <wp:extent cx="5943600" cy="2862263"/>
            <wp:effectExtent l="0" t="0" r="19050" b="146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312FAF" w14:textId="77777777" w:rsidR="00FE2E83" w:rsidRPr="00FE2E83" w:rsidRDefault="00FE2E83" w:rsidP="00FE2E83">
      <w:pPr>
        <w:rPr>
          <w:rFonts w:ascii="Times New Roman" w:hAnsi="Times New Roman" w:cs="Times New Roman"/>
          <w:b/>
          <w:sz w:val="24"/>
          <w:szCs w:val="24"/>
        </w:rPr>
      </w:pPr>
      <w:r w:rsidRPr="00FE2E83">
        <w:rPr>
          <w:rFonts w:ascii="Times New Roman" w:hAnsi="Times New Roman" w:cs="Times New Roman"/>
          <w:b/>
          <w:sz w:val="24"/>
          <w:szCs w:val="24"/>
        </w:rPr>
        <w:t xml:space="preserve">Fig. 3.1. </w:t>
      </w:r>
      <w:proofErr w:type="gramStart"/>
      <w:r w:rsidRPr="00FE2E83">
        <w:rPr>
          <w:rFonts w:ascii="Times New Roman" w:hAnsi="Times New Roman" w:cs="Times New Roman"/>
          <w:b/>
          <w:sz w:val="24"/>
          <w:szCs w:val="24"/>
        </w:rPr>
        <w:t>Percent composition of bermudagrass and overseeded species by transition type on a ‘TifEagle’ putting green at four (top) and eight (bottom) weeks after the beginning of spring transition occurring on 6 May 2011.</w:t>
      </w:r>
      <w:proofErr w:type="gramEnd"/>
      <w:r w:rsidRPr="00FE2E83">
        <w:rPr>
          <w:rFonts w:ascii="Times New Roman" w:hAnsi="Times New Roman" w:cs="Times New Roman"/>
          <w:b/>
          <w:sz w:val="24"/>
          <w:szCs w:val="24"/>
        </w:rPr>
        <w:t xml:space="preserve"> NT represents natural transition and TS represents an herbicide transition with trifloxysulfuron-sodium applied 29 g a.i. ha</w:t>
      </w:r>
      <w:r w:rsidRPr="00FE2E83">
        <w:rPr>
          <w:rFonts w:ascii="Times New Roman" w:hAnsi="Times New Roman" w:cs="Times New Roman"/>
          <w:b/>
          <w:sz w:val="24"/>
          <w:szCs w:val="24"/>
          <w:vertAlign w:val="superscript"/>
        </w:rPr>
        <w:t>-1</w:t>
      </w:r>
      <w:r w:rsidRPr="00FE2E83">
        <w:rPr>
          <w:rFonts w:ascii="Times New Roman" w:hAnsi="Times New Roman" w:cs="Times New Roman"/>
          <w:b/>
          <w:sz w:val="24"/>
          <w:szCs w:val="24"/>
        </w:rPr>
        <w:t>.</w:t>
      </w:r>
    </w:p>
    <w:p w14:paraId="5AFF2AAF" w14:textId="77777777" w:rsidR="00FE2E83" w:rsidRPr="00FE2E83" w:rsidRDefault="00FE2E83" w:rsidP="00FE2E83">
      <w:pPr>
        <w:rPr>
          <w:rFonts w:ascii="Times New Roman" w:hAnsi="Times New Roman" w:cs="Times New Roman"/>
          <w:sz w:val="24"/>
          <w:szCs w:val="24"/>
        </w:rPr>
      </w:pPr>
      <w:r w:rsidRPr="00FE2E83">
        <w:rPr>
          <w:noProof/>
        </w:rPr>
        <w:lastRenderedPageBreak/>
        <w:drawing>
          <wp:inline distT="0" distB="0" distL="0" distR="0" wp14:anchorId="427A0192" wp14:editId="5D9B27C3">
            <wp:extent cx="5943600" cy="29337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FE2E83">
        <w:rPr>
          <w:noProof/>
        </w:rPr>
        <w:drawing>
          <wp:inline distT="0" distB="0" distL="0" distR="0" wp14:anchorId="245148FF" wp14:editId="5D6A1A5A">
            <wp:extent cx="5943600" cy="32004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A155AD0" w14:textId="77777777" w:rsidR="00FE2E83" w:rsidRPr="00FE2E83" w:rsidRDefault="00FE2E83" w:rsidP="00FE2E83">
      <w:pPr>
        <w:rPr>
          <w:rFonts w:ascii="Times New Roman" w:hAnsi="Times New Roman" w:cs="Times New Roman"/>
          <w:b/>
          <w:sz w:val="24"/>
          <w:szCs w:val="24"/>
        </w:rPr>
      </w:pPr>
      <w:r w:rsidRPr="00FE2E83">
        <w:rPr>
          <w:rFonts w:ascii="Times New Roman" w:hAnsi="Times New Roman" w:cs="Times New Roman"/>
          <w:b/>
          <w:sz w:val="24"/>
          <w:szCs w:val="24"/>
        </w:rPr>
        <w:t xml:space="preserve">Fig. 3.2. </w:t>
      </w:r>
      <w:proofErr w:type="gramStart"/>
      <w:r w:rsidRPr="00FE2E83">
        <w:rPr>
          <w:rFonts w:ascii="Times New Roman" w:hAnsi="Times New Roman" w:cs="Times New Roman"/>
          <w:b/>
          <w:sz w:val="24"/>
          <w:szCs w:val="24"/>
        </w:rPr>
        <w:t>Percent composition of bermudagrass and overseeded species by transition type on a ‘TifEagle’ putting green at four (top) and eight (bottom) weeks after the beginning of spring transition occurring on 2 May 2012.</w:t>
      </w:r>
      <w:proofErr w:type="gramEnd"/>
      <w:r w:rsidRPr="00FE2E83">
        <w:rPr>
          <w:rFonts w:ascii="Times New Roman" w:hAnsi="Times New Roman" w:cs="Times New Roman"/>
          <w:b/>
          <w:sz w:val="24"/>
          <w:szCs w:val="24"/>
        </w:rPr>
        <w:t xml:space="preserve"> NT represents a natural transition and TS represents an herbicide transition with trifloxysulfuron-sodium applied 29 g a.i. ha</w:t>
      </w:r>
      <w:r w:rsidRPr="00FE2E83">
        <w:rPr>
          <w:rFonts w:ascii="Times New Roman" w:hAnsi="Times New Roman" w:cs="Times New Roman"/>
          <w:b/>
          <w:sz w:val="24"/>
          <w:szCs w:val="24"/>
          <w:vertAlign w:val="superscript"/>
        </w:rPr>
        <w:t>-1</w:t>
      </w:r>
      <w:r w:rsidRPr="00FE2E83">
        <w:rPr>
          <w:rFonts w:ascii="Times New Roman" w:hAnsi="Times New Roman" w:cs="Times New Roman"/>
          <w:b/>
          <w:sz w:val="24"/>
          <w:szCs w:val="24"/>
        </w:rPr>
        <w:t>.</w:t>
      </w:r>
    </w:p>
    <w:p w14:paraId="70498BDE" w14:textId="77777777" w:rsidR="00FE2E83" w:rsidRPr="00FE2E83" w:rsidRDefault="00FE2E83" w:rsidP="00FE2E83">
      <w:pPr>
        <w:jc w:val="center"/>
        <w:rPr>
          <w:rFonts w:ascii="Times New Roman" w:hAnsi="Times New Roman" w:cs="Times New Roman"/>
          <w:sz w:val="24"/>
          <w:szCs w:val="24"/>
        </w:rPr>
      </w:pPr>
      <w:r w:rsidRPr="00FE2E83">
        <w:rPr>
          <w:noProof/>
        </w:rPr>
        <w:lastRenderedPageBreak/>
        <w:drawing>
          <wp:inline distT="0" distB="0" distL="0" distR="0" wp14:anchorId="4A81E5FB" wp14:editId="7460AE9D">
            <wp:extent cx="5943600" cy="32004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FE2E83">
        <w:rPr>
          <w:noProof/>
        </w:rPr>
        <w:drawing>
          <wp:inline distT="0" distB="0" distL="0" distR="0" wp14:anchorId="3C17B479" wp14:editId="74734E1C">
            <wp:extent cx="5943600" cy="32004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087A73A" w14:textId="77777777" w:rsidR="00FE2E83" w:rsidRPr="00FE2E83" w:rsidRDefault="00FE2E83" w:rsidP="00FE2E83">
      <w:pPr>
        <w:rPr>
          <w:rFonts w:ascii="Times New Roman" w:hAnsi="Times New Roman" w:cs="Times New Roman"/>
          <w:b/>
          <w:sz w:val="24"/>
          <w:szCs w:val="24"/>
        </w:rPr>
      </w:pPr>
      <w:r w:rsidRPr="00FE2E83">
        <w:rPr>
          <w:rFonts w:ascii="Times New Roman" w:hAnsi="Times New Roman" w:cs="Times New Roman"/>
          <w:b/>
          <w:sz w:val="24"/>
          <w:szCs w:val="24"/>
        </w:rPr>
        <w:t xml:space="preserve">Fig. 3.3. </w:t>
      </w:r>
      <w:proofErr w:type="gramStart"/>
      <w:r w:rsidRPr="00FE2E83">
        <w:rPr>
          <w:rFonts w:ascii="Times New Roman" w:hAnsi="Times New Roman" w:cs="Times New Roman"/>
          <w:b/>
          <w:sz w:val="24"/>
          <w:szCs w:val="24"/>
        </w:rPr>
        <w:t>Percent composition of bermudagrass and overseeded species by transition type on a ‘Riviera’ fairway at four (top) and eight (bottom) weeks after the beginning of spring transition occurring on 6 May 2011.</w:t>
      </w:r>
      <w:proofErr w:type="gramEnd"/>
      <w:r w:rsidRPr="00FE2E83">
        <w:rPr>
          <w:rFonts w:ascii="Times New Roman" w:hAnsi="Times New Roman" w:cs="Times New Roman"/>
          <w:b/>
          <w:sz w:val="24"/>
          <w:szCs w:val="24"/>
        </w:rPr>
        <w:t xml:space="preserve"> NT represents a natural transition and TS represents an herbicide transition with trifloxysulfuron-sodium applied 29 g a.i. ha</w:t>
      </w:r>
      <w:r w:rsidRPr="00FE2E83">
        <w:rPr>
          <w:rFonts w:ascii="Times New Roman" w:hAnsi="Times New Roman" w:cs="Times New Roman"/>
          <w:b/>
          <w:sz w:val="24"/>
          <w:szCs w:val="24"/>
          <w:vertAlign w:val="superscript"/>
        </w:rPr>
        <w:t>-1</w:t>
      </w:r>
      <w:r w:rsidRPr="00FE2E83">
        <w:rPr>
          <w:rFonts w:ascii="Times New Roman" w:hAnsi="Times New Roman" w:cs="Times New Roman"/>
          <w:b/>
          <w:sz w:val="24"/>
          <w:szCs w:val="24"/>
        </w:rPr>
        <w:t>.</w:t>
      </w:r>
    </w:p>
    <w:p w14:paraId="7F274557" w14:textId="77777777" w:rsidR="00FE2E83" w:rsidRPr="00FE2E83" w:rsidRDefault="00FE2E83" w:rsidP="00FE2E83">
      <w:pPr>
        <w:rPr>
          <w:rFonts w:ascii="Times New Roman" w:hAnsi="Times New Roman" w:cs="Times New Roman"/>
          <w:sz w:val="24"/>
          <w:szCs w:val="24"/>
        </w:rPr>
      </w:pPr>
    </w:p>
    <w:p w14:paraId="209C22AD" w14:textId="77777777" w:rsidR="00FE2E83" w:rsidRPr="00FE2E83" w:rsidRDefault="00FE2E83" w:rsidP="00FE2E83">
      <w:pPr>
        <w:rPr>
          <w:rFonts w:ascii="Times New Roman" w:hAnsi="Times New Roman" w:cs="Times New Roman"/>
          <w:sz w:val="24"/>
          <w:szCs w:val="24"/>
        </w:rPr>
      </w:pPr>
    </w:p>
    <w:p w14:paraId="20EB1B4B" w14:textId="77777777" w:rsidR="00FE2E83" w:rsidRPr="00FE2E83" w:rsidRDefault="00FE2E83" w:rsidP="00FE2E83">
      <w:pPr>
        <w:jc w:val="center"/>
        <w:rPr>
          <w:rFonts w:ascii="Times New Roman" w:hAnsi="Times New Roman" w:cs="Times New Roman"/>
          <w:sz w:val="24"/>
          <w:szCs w:val="24"/>
        </w:rPr>
      </w:pPr>
      <w:r w:rsidRPr="00FE2E83">
        <w:rPr>
          <w:noProof/>
        </w:rPr>
        <w:lastRenderedPageBreak/>
        <w:drawing>
          <wp:inline distT="0" distB="0" distL="0" distR="0" wp14:anchorId="0688854E" wp14:editId="3E6EC200">
            <wp:extent cx="5943600" cy="32004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FE2E83">
        <w:rPr>
          <w:noProof/>
        </w:rPr>
        <w:drawing>
          <wp:inline distT="0" distB="0" distL="0" distR="0" wp14:anchorId="3A154A79" wp14:editId="5DD6E0F1">
            <wp:extent cx="5943600" cy="27432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682DAEB" w14:textId="77777777" w:rsidR="00FE2E83" w:rsidRPr="00FE2E83" w:rsidRDefault="00FE2E83" w:rsidP="00FE2E83">
      <w:pPr>
        <w:rPr>
          <w:rFonts w:ascii="Times New Roman" w:hAnsi="Times New Roman" w:cs="Times New Roman"/>
          <w:b/>
          <w:sz w:val="24"/>
          <w:szCs w:val="24"/>
        </w:rPr>
      </w:pPr>
      <w:r w:rsidRPr="00FE2E83">
        <w:rPr>
          <w:rFonts w:ascii="Times New Roman" w:hAnsi="Times New Roman" w:cs="Times New Roman"/>
          <w:b/>
          <w:sz w:val="24"/>
          <w:szCs w:val="24"/>
        </w:rPr>
        <w:t xml:space="preserve">Fig. 3.4. </w:t>
      </w:r>
      <w:proofErr w:type="gramStart"/>
      <w:r w:rsidRPr="00FE2E83">
        <w:rPr>
          <w:rFonts w:ascii="Times New Roman" w:hAnsi="Times New Roman" w:cs="Times New Roman"/>
          <w:b/>
          <w:sz w:val="24"/>
          <w:szCs w:val="24"/>
        </w:rPr>
        <w:t>Percent composition of bermudagrass and overseeded species by transition type on a ‘Riviera’ fairway at four (top) and eight (bottom) weeks after the beginning of spring transition occurring on 2 May 2012.</w:t>
      </w:r>
      <w:proofErr w:type="gramEnd"/>
      <w:r w:rsidRPr="00FE2E83">
        <w:rPr>
          <w:rFonts w:ascii="Times New Roman" w:hAnsi="Times New Roman" w:cs="Times New Roman"/>
          <w:b/>
          <w:sz w:val="24"/>
          <w:szCs w:val="24"/>
        </w:rPr>
        <w:t xml:space="preserve"> NT represents a natural transition and TS represents an herbicide transition with Trifloxysulfuron-sodium applied 29 g a.i. ha</w:t>
      </w:r>
      <w:r w:rsidRPr="00FE2E83">
        <w:rPr>
          <w:rFonts w:ascii="Times New Roman" w:hAnsi="Times New Roman" w:cs="Times New Roman"/>
          <w:b/>
          <w:sz w:val="24"/>
          <w:szCs w:val="24"/>
          <w:vertAlign w:val="superscript"/>
        </w:rPr>
        <w:t>-1</w:t>
      </w:r>
      <w:r w:rsidRPr="00FE2E83">
        <w:rPr>
          <w:rFonts w:ascii="Times New Roman" w:hAnsi="Times New Roman" w:cs="Times New Roman"/>
          <w:b/>
          <w:sz w:val="24"/>
          <w:szCs w:val="24"/>
        </w:rPr>
        <w:t>.</w:t>
      </w:r>
    </w:p>
    <w:p w14:paraId="15155EF0" w14:textId="77777777" w:rsidR="00FE2E83" w:rsidRPr="00FE2E83" w:rsidRDefault="00FE2E83" w:rsidP="00FE2E83">
      <w:pPr>
        <w:jc w:val="center"/>
        <w:rPr>
          <w:rFonts w:ascii="Times New Roman" w:hAnsi="Times New Roman" w:cs="Times New Roman"/>
          <w:sz w:val="24"/>
          <w:szCs w:val="24"/>
        </w:rPr>
      </w:pPr>
    </w:p>
    <w:p w14:paraId="6FE7D083" w14:textId="77777777" w:rsidR="00FE2E83" w:rsidRPr="00FE2E83" w:rsidRDefault="00FE2E83" w:rsidP="00FE2E83">
      <w:pPr>
        <w:jc w:val="center"/>
        <w:rPr>
          <w:rFonts w:ascii="Times New Roman" w:hAnsi="Times New Roman" w:cs="Times New Roman"/>
          <w:sz w:val="24"/>
          <w:szCs w:val="24"/>
        </w:rPr>
      </w:pPr>
    </w:p>
    <w:p w14:paraId="2B371BB1" w14:textId="77777777" w:rsidR="00FE2E83" w:rsidRPr="00FE2E83" w:rsidRDefault="00FE2E83" w:rsidP="00FE2E83">
      <w:pPr>
        <w:jc w:val="center"/>
        <w:rPr>
          <w:rFonts w:ascii="Times New Roman" w:hAnsi="Times New Roman" w:cs="Times New Roman"/>
          <w:sz w:val="24"/>
          <w:szCs w:val="24"/>
        </w:rPr>
      </w:pPr>
      <w:r w:rsidRPr="00FE2E83">
        <w:rPr>
          <w:noProof/>
        </w:rPr>
        <w:lastRenderedPageBreak/>
        <w:drawing>
          <wp:inline distT="0" distB="0" distL="0" distR="0" wp14:anchorId="1780675A" wp14:editId="3409AD74">
            <wp:extent cx="5943600" cy="32004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FE2E83">
        <w:rPr>
          <w:noProof/>
        </w:rPr>
        <w:drawing>
          <wp:inline distT="0" distB="0" distL="0" distR="0" wp14:anchorId="72501919" wp14:editId="05DFCBBF">
            <wp:extent cx="5943600" cy="32004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C2E1091" w14:textId="77777777" w:rsidR="00FE2E83" w:rsidRPr="00FE2E83" w:rsidRDefault="00FE2E83" w:rsidP="00FE2E83">
      <w:pPr>
        <w:rPr>
          <w:rFonts w:ascii="Times New Roman" w:hAnsi="Times New Roman" w:cs="Times New Roman"/>
          <w:b/>
          <w:sz w:val="24"/>
          <w:szCs w:val="24"/>
        </w:rPr>
      </w:pPr>
      <w:r w:rsidRPr="00FE2E83">
        <w:rPr>
          <w:rFonts w:ascii="Times New Roman" w:hAnsi="Times New Roman" w:cs="Times New Roman"/>
          <w:b/>
          <w:sz w:val="24"/>
          <w:szCs w:val="24"/>
        </w:rPr>
        <w:t>Fig. 3.5. Percent composition of bermudagrass and overseeded species by transition type on a ‘Tifway’ sports turf with traffic at four (top) and eight (bottom) weeks after the beginning of spring transition occurring on 6 May 2011. NT represents a natural transition and TS represents an herbicide transition with trifloxysulfuron-sodium applied 29 g a.i. ha</w:t>
      </w:r>
      <w:r w:rsidRPr="00FE2E83">
        <w:rPr>
          <w:rFonts w:ascii="Times New Roman" w:hAnsi="Times New Roman" w:cs="Times New Roman"/>
          <w:b/>
          <w:sz w:val="24"/>
          <w:szCs w:val="24"/>
          <w:vertAlign w:val="superscript"/>
        </w:rPr>
        <w:t>-1</w:t>
      </w:r>
      <w:r w:rsidRPr="00FE2E83">
        <w:rPr>
          <w:rFonts w:ascii="Times New Roman" w:hAnsi="Times New Roman" w:cs="Times New Roman"/>
          <w:b/>
          <w:sz w:val="24"/>
          <w:szCs w:val="24"/>
        </w:rPr>
        <w:t>.</w:t>
      </w:r>
    </w:p>
    <w:p w14:paraId="0E3E7E85" w14:textId="77777777" w:rsidR="00FE2E83" w:rsidRPr="00FE2E83" w:rsidRDefault="00FE2E83" w:rsidP="00FE2E83">
      <w:pPr>
        <w:rPr>
          <w:rFonts w:ascii="Times New Roman" w:hAnsi="Times New Roman" w:cs="Times New Roman"/>
          <w:sz w:val="24"/>
          <w:szCs w:val="24"/>
        </w:rPr>
      </w:pPr>
    </w:p>
    <w:p w14:paraId="0E8860E7" w14:textId="77777777" w:rsidR="00FE2E83" w:rsidRPr="00FE2E83" w:rsidRDefault="00FE2E83" w:rsidP="00FE2E83">
      <w:pPr>
        <w:jc w:val="center"/>
        <w:rPr>
          <w:rFonts w:ascii="Times New Roman" w:hAnsi="Times New Roman" w:cs="Times New Roman"/>
          <w:sz w:val="24"/>
          <w:szCs w:val="24"/>
        </w:rPr>
      </w:pPr>
      <w:r w:rsidRPr="00FE2E83">
        <w:rPr>
          <w:noProof/>
        </w:rPr>
        <w:lastRenderedPageBreak/>
        <w:drawing>
          <wp:inline distT="0" distB="0" distL="0" distR="0" wp14:anchorId="75981502" wp14:editId="666AD786">
            <wp:extent cx="5943600" cy="32004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FE2E83">
        <w:rPr>
          <w:noProof/>
        </w:rPr>
        <w:drawing>
          <wp:inline distT="0" distB="0" distL="0" distR="0" wp14:anchorId="2BDB1BCE" wp14:editId="0FC66570">
            <wp:extent cx="5943600" cy="32004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0FA3451" w14:textId="77777777" w:rsidR="00FE2E83" w:rsidRPr="00FE2E83" w:rsidRDefault="00FE2E83" w:rsidP="00FE2E83">
      <w:pPr>
        <w:rPr>
          <w:rFonts w:ascii="Times New Roman" w:hAnsi="Times New Roman" w:cs="Times New Roman"/>
          <w:b/>
          <w:sz w:val="24"/>
          <w:szCs w:val="24"/>
        </w:rPr>
      </w:pPr>
      <w:r w:rsidRPr="00FE2E83">
        <w:rPr>
          <w:rFonts w:ascii="Times New Roman" w:hAnsi="Times New Roman" w:cs="Times New Roman"/>
          <w:b/>
          <w:sz w:val="24"/>
          <w:szCs w:val="24"/>
        </w:rPr>
        <w:t>Fig. 3.6. Percent composition of bermudagrass and overseeded species by transition type on a ‘Tifway’ sports turf with traffic at four (top) and eight (bottom) weeks after the beginning of spring transition occurring on 2 May 2012. NT represents a natural transition and TS represents an herbicide transition with trifloxysulfuron-sodium applied 29 g a.i. ha</w:t>
      </w:r>
      <w:r w:rsidRPr="00FE2E83">
        <w:rPr>
          <w:rFonts w:ascii="Times New Roman" w:hAnsi="Times New Roman" w:cs="Times New Roman"/>
          <w:b/>
          <w:sz w:val="24"/>
          <w:szCs w:val="24"/>
          <w:vertAlign w:val="superscript"/>
        </w:rPr>
        <w:t>-1</w:t>
      </w:r>
      <w:r w:rsidRPr="00FE2E83">
        <w:rPr>
          <w:rFonts w:ascii="Times New Roman" w:hAnsi="Times New Roman" w:cs="Times New Roman"/>
          <w:b/>
          <w:sz w:val="24"/>
          <w:szCs w:val="24"/>
        </w:rPr>
        <w:t>.</w:t>
      </w:r>
    </w:p>
    <w:p w14:paraId="39B5DC52" w14:textId="77777777" w:rsidR="00FE2E83" w:rsidRPr="00FE2E83" w:rsidRDefault="00FE2E83" w:rsidP="00FE2E83">
      <w:pPr>
        <w:rPr>
          <w:rFonts w:ascii="Times New Roman" w:hAnsi="Times New Roman" w:cs="Times New Roman"/>
          <w:sz w:val="24"/>
          <w:szCs w:val="24"/>
        </w:rPr>
        <w:sectPr w:rsidR="00FE2E83" w:rsidRPr="00FE2E83" w:rsidSect="00E906AE">
          <w:pgSz w:w="12240" w:h="15840"/>
          <w:pgMar w:top="1440" w:right="1440" w:bottom="1440" w:left="1440" w:header="720" w:footer="720" w:gutter="0"/>
          <w:cols w:space="720"/>
          <w:docGrid w:linePitch="360"/>
        </w:sectPr>
      </w:pPr>
    </w:p>
    <w:p w14:paraId="10D207EA" w14:textId="77777777" w:rsidR="00FE2E83" w:rsidRPr="00FE2E83" w:rsidRDefault="00FE2E83" w:rsidP="00FE2E83">
      <w:pPr>
        <w:rPr>
          <w:rFonts w:ascii="Times New Roman" w:hAnsi="Times New Roman" w:cs="Times New Roman"/>
          <w:sz w:val="24"/>
          <w:szCs w:val="24"/>
        </w:rPr>
      </w:pPr>
    </w:p>
    <w:p w14:paraId="6486527B" w14:textId="77777777" w:rsidR="00FE2E83" w:rsidRPr="00FE2E83" w:rsidRDefault="00FE2E83" w:rsidP="00FE2E83">
      <w:r w:rsidRPr="00FE2E83">
        <w:rPr>
          <w:noProof/>
        </w:rPr>
        <w:drawing>
          <wp:inline distT="0" distB="0" distL="0" distR="0" wp14:anchorId="492E249F" wp14:editId="0A3FC4AD">
            <wp:extent cx="8229600" cy="3931920"/>
            <wp:effectExtent l="0" t="0" r="19050" b="1143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017148D" w14:textId="77777777" w:rsidR="00FE2E83" w:rsidRPr="00FE2E83" w:rsidRDefault="00FE2E83" w:rsidP="00FE2E83">
      <w:pPr>
        <w:spacing w:line="240" w:lineRule="auto"/>
        <w:contextualSpacing/>
        <w:rPr>
          <w:b/>
        </w:rPr>
      </w:pPr>
      <w:r w:rsidRPr="00FE2E83">
        <w:rPr>
          <w:b/>
        </w:rPr>
        <w:t xml:space="preserve">Fig. 3.7. Monthly average air temperatures for Knoxville, TN in 2010-2011 and 2011-2012 with a 29 year normal for comparison. </w:t>
      </w:r>
    </w:p>
    <w:p w14:paraId="607C0CDC" w14:textId="77777777" w:rsidR="00FE2E83" w:rsidRPr="00FE2E83" w:rsidRDefault="00FE2E83" w:rsidP="00FE2E83">
      <w:pPr>
        <w:spacing w:line="240" w:lineRule="auto"/>
        <w:contextualSpacing/>
        <w:sectPr w:rsidR="00FE2E83" w:rsidRPr="00FE2E83" w:rsidSect="00E906AE">
          <w:pgSz w:w="15840" w:h="12240" w:orient="landscape"/>
          <w:pgMar w:top="1440" w:right="1440" w:bottom="1440" w:left="1440" w:header="720" w:footer="720" w:gutter="0"/>
          <w:cols w:space="720"/>
          <w:docGrid w:linePitch="360"/>
        </w:sectPr>
      </w:pPr>
      <w:r w:rsidRPr="00FE2E83">
        <w:rPr>
          <w:vertAlign w:val="superscript"/>
        </w:rPr>
        <w:t>†</w:t>
      </w:r>
      <w:r w:rsidRPr="00FE2E83">
        <w:t>Data courtesy of NOAA.</w:t>
      </w:r>
    </w:p>
    <w:p w14:paraId="12063123" w14:textId="77777777" w:rsidR="00FE2E83" w:rsidRPr="00FE2E83" w:rsidRDefault="00FE2E83" w:rsidP="00FE2E83">
      <w:r w:rsidRPr="00FE2E83">
        <w:rPr>
          <w:noProof/>
        </w:rPr>
        <w:lastRenderedPageBreak/>
        <w:drawing>
          <wp:inline distT="0" distB="0" distL="0" distR="0" wp14:anchorId="4B68DD50" wp14:editId="10FF364F">
            <wp:extent cx="8229600" cy="3930555"/>
            <wp:effectExtent l="0" t="0" r="19050" b="1333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297BDB2" w14:textId="77777777" w:rsidR="00FE2E83" w:rsidRPr="00FE2E83" w:rsidRDefault="00FE2E83" w:rsidP="00FE2E83">
      <w:pPr>
        <w:contextualSpacing/>
        <w:rPr>
          <w:b/>
        </w:rPr>
      </w:pPr>
      <w:r w:rsidRPr="00FE2E83">
        <w:rPr>
          <w:b/>
        </w:rPr>
        <w:t xml:space="preserve">Figure 3.8. </w:t>
      </w:r>
      <w:proofErr w:type="gramStart"/>
      <w:r w:rsidRPr="00FE2E83">
        <w:rPr>
          <w:b/>
        </w:rPr>
        <w:t>Daily soil temperature at the East Tennessee Research and Education Center in fall of 2010 and 2011.</w:t>
      </w:r>
      <w:proofErr w:type="gramEnd"/>
    </w:p>
    <w:p w14:paraId="62550F0F" w14:textId="77777777" w:rsidR="00FE2E83" w:rsidRPr="00FE2E83" w:rsidRDefault="00FE2E83" w:rsidP="00FE2E83">
      <w:pPr>
        <w:contextualSpacing/>
      </w:pPr>
      <w:r w:rsidRPr="00FE2E83">
        <w:rPr>
          <w:vertAlign w:val="superscript"/>
        </w:rPr>
        <w:t>†</w:t>
      </w:r>
      <w:r w:rsidRPr="00FE2E83">
        <w:t>Highlighted area indicates optimum soil temperatures for overseeding (Batten et al., 1981)</w:t>
      </w:r>
    </w:p>
    <w:p w14:paraId="742F9188" w14:textId="77777777" w:rsidR="00FE2E83" w:rsidRPr="00FE2E83" w:rsidRDefault="00FE2E83" w:rsidP="00FE2E83"/>
    <w:p w14:paraId="5FEEFB80" w14:textId="77777777" w:rsidR="00FE2E83" w:rsidRPr="00FE2E83" w:rsidRDefault="00FE2E83" w:rsidP="00FE2E83"/>
    <w:p w14:paraId="6E334952" w14:textId="77777777" w:rsidR="00FE2E83" w:rsidRPr="00FE2E83" w:rsidRDefault="00FE2E83" w:rsidP="00FE2E83">
      <w:pPr>
        <w:sectPr w:rsidR="00FE2E83" w:rsidRPr="00FE2E83" w:rsidSect="00E906AE">
          <w:pgSz w:w="15840" w:h="12240" w:orient="landscape"/>
          <w:pgMar w:top="1440" w:right="1440" w:bottom="1440" w:left="1440" w:header="720" w:footer="720" w:gutter="0"/>
          <w:cols w:space="720"/>
          <w:docGrid w:linePitch="360"/>
        </w:sectPr>
      </w:pPr>
    </w:p>
    <w:p w14:paraId="4090B73D" w14:textId="77777777" w:rsidR="00FE2E83" w:rsidRPr="00FE2E83" w:rsidRDefault="00FE2E83" w:rsidP="00FE2E83">
      <w:r w:rsidRPr="00FE2E83">
        <w:rPr>
          <w:noProof/>
        </w:rPr>
        <w:lastRenderedPageBreak/>
        <w:drawing>
          <wp:inline distT="0" distB="0" distL="0" distR="0" wp14:anchorId="29D32BEC" wp14:editId="2548D18E">
            <wp:extent cx="8229600" cy="3930556"/>
            <wp:effectExtent l="0" t="0" r="19050" b="1333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AD28118" w14:textId="77777777" w:rsidR="00FE2E83" w:rsidRPr="00FE2E83" w:rsidRDefault="00FE2E83" w:rsidP="00FE2E83">
      <w:pPr>
        <w:rPr>
          <w:b/>
        </w:rPr>
      </w:pPr>
      <w:r w:rsidRPr="00FE2E83">
        <w:rPr>
          <w:b/>
        </w:rPr>
        <w:t>Figure 3.9. Daily average air temperatures at seeding and two weeks after at the East Tennessee Research and Education Center, Knoxville.</w:t>
      </w:r>
    </w:p>
    <w:p w14:paraId="48AF38B4" w14:textId="77777777" w:rsidR="00FE2E83" w:rsidRPr="00FE2E83" w:rsidRDefault="00FE2E83" w:rsidP="00FE2E83"/>
    <w:p w14:paraId="051F3A12" w14:textId="77777777" w:rsidR="00FE2E83" w:rsidRPr="00FE2E83" w:rsidRDefault="00FE2E83" w:rsidP="00FE2E83">
      <w:r w:rsidRPr="00FE2E83">
        <w:rPr>
          <w:noProof/>
        </w:rPr>
        <w:lastRenderedPageBreak/>
        <w:drawing>
          <wp:inline distT="0" distB="0" distL="0" distR="0" wp14:anchorId="759BFFBC" wp14:editId="7CAED69D">
            <wp:extent cx="8229600" cy="3944203"/>
            <wp:effectExtent l="0" t="0" r="19050" b="1841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A036E80" w14:textId="77777777" w:rsidR="00FE2E83" w:rsidRPr="00FE2E83" w:rsidRDefault="00FE2E83" w:rsidP="00FE2E83">
      <w:pPr>
        <w:contextualSpacing/>
        <w:rPr>
          <w:b/>
        </w:rPr>
      </w:pPr>
      <w:r w:rsidRPr="00FE2E83">
        <w:rPr>
          <w:b/>
        </w:rPr>
        <w:t xml:space="preserve">Figure 3.10. </w:t>
      </w:r>
      <w:proofErr w:type="gramStart"/>
      <w:r w:rsidRPr="00FE2E83">
        <w:rPr>
          <w:b/>
        </w:rPr>
        <w:t>Growing and cooling degree day accumulations at a base of 18.3⁰C.</w:t>
      </w:r>
      <w:proofErr w:type="gramEnd"/>
      <w:r w:rsidRPr="00FE2E83">
        <w:rPr>
          <w:b/>
        </w:rPr>
        <w:t xml:space="preserve"> </w:t>
      </w:r>
    </w:p>
    <w:p w14:paraId="10B2F38D" w14:textId="77777777" w:rsidR="00FE2E83" w:rsidRPr="00FE2E83" w:rsidRDefault="00FE2E83" w:rsidP="00FE2E83">
      <w:pPr>
        <w:contextualSpacing/>
      </w:pPr>
      <w:r w:rsidRPr="00FE2E83">
        <w:rPr>
          <w:vertAlign w:val="superscript"/>
        </w:rPr>
        <w:t>†</w:t>
      </w:r>
      <w:r w:rsidRPr="00FE2E83">
        <w:t>Data calculated from the East Tennessee Research and Education Center weather station, Knoxville.</w:t>
      </w:r>
    </w:p>
    <w:p w14:paraId="3C3633E7" w14:textId="77777777" w:rsidR="00EA3BA7" w:rsidRDefault="00EA3BA7"/>
    <w:p w14:paraId="0671E9EE" w14:textId="77777777" w:rsidR="00EA3BA7" w:rsidRDefault="00EA3BA7"/>
    <w:p w14:paraId="5B280E1A" w14:textId="77777777" w:rsidR="00EA3BA7" w:rsidRDefault="00EA3BA7"/>
    <w:p w14:paraId="2AB1CF97" w14:textId="77777777" w:rsidR="00CB51DA" w:rsidRDefault="00CB51DA">
      <w:pPr>
        <w:sectPr w:rsidR="00CB51DA" w:rsidSect="00CB51DA">
          <w:pgSz w:w="15840" w:h="12240" w:orient="landscape"/>
          <w:pgMar w:top="1440" w:right="1440" w:bottom="1440" w:left="1440" w:header="720" w:footer="720" w:gutter="0"/>
          <w:cols w:space="720"/>
          <w:docGrid w:linePitch="360"/>
        </w:sectPr>
      </w:pPr>
    </w:p>
    <w:p w14:paraId="0275AD06" w14:textId="77777777" w:rsidR="00EA3BA7" w:rsidRDefault="00EA3BA7"/>
    <w:p w14:paraId="777B787F" w14:textId="77777777" w:rsidR="00EA3BA7" w:rsidRDefault="00EA3BA7"/>
    <w:p w14:paraId="56CA9E9E" w14:textId="77777777" w:rsidR="00EA3BA7" w:rsidRDefault="00EA3BA7"/>
    <w:p w14:paraId="3633F555" w14:textId="77777777" w:rsidR="00EA3BA7" w:rsidRDefault="00EA3BA7"/>
    <w:p w14:paraId="025780DE" w14:textId="77777777" w:rsidR="00EA3BA7" w:rsidRDefault="00EA3BA7"/>
    <w:p w14:paraId="71F786F5" w14:textId="77777777" w:rsidR="00EA3BA7" w:rsidRDefault="00EA3BA7"/>
    <w:p w14:paraId="40015BB1" w14:textId="77777777" w:rsidR="00EA3BA7" w:rsidRDefault="00EA3BA7"/>
    <w:p w14:paraId="0F277B6E" w14:textId="77777777" w:rsidR="00EA3BA7" w:rsidRDefault="00EA3BA7"/>
    <w:p w14:paraId="78B6F48A" w14:textId="77777777" w:rsidR="008C06C9" w:rsidRDefault="008C06C9" w:rsidP="008C06C9">
      <w:pPr>
        <w:pStyle w:val="Heading2"/>
      </w:pPr>
      <w:bookmarkStart w:id="37" w:name="_Toc354003339"/>
      <w:r>
        <w:t>Appendix</w:t>
      </w:r>
      <w:r w:rsidR="00220AE5">
        <w:t xml:space="preserve"> E</w:t>
      </w:r>
      <w:bookmarkEnd w:id="37"/>
    </w:p>
    <w:p w14:paraId="1DD03A36" w14:textId="77777777" w:rsidR="008C06C9" w:rsidRDefault="008C06C9" w:rsidP="008C06C9">
      <w:pPr>
        <w:pStyle w:val="Heading2"/>
      </w:pPr>
      <w:bookmarkStart w:id="38" w:name="_Toc354003340"/>
      <w:r>
        <w:t>Preliminary Species Evaluation Data</w:t>
      </w:r>
      <w:bookmarkEnd w:id="38"/>
    </w:p>
    <w:p w14:paraId="5855E8A1" w14:textId="77777777" w:rsidR="008C06C9" w:rsidRDefault="008C06C9">
      <w:pPr>
        <w:rPr>
          <w:rFonts w:ascii="Times New Roman" w:eastAsiaTheme="majorEastAsia" w:hAnsi="Times New Roman" w:cstheme="majorBidi"/>
          <w:b/>
          <w:bCs/>
          <w:sz w:val="28"/>
          <w:szCs w:val="26"/>
        </w:rPr>
      </w:pPr>
      <w:r>
        <w:br w:type="page"/>
      </w:r>
    </w:p>
    <w:p w14:paraId="72CA5F79" w14:textId="77777777" w:rsidR="008C06C9" w:rsidRDefault="008C06C9" w:rsidP="008C06C9">
      <w:pPr>
        <w:pStyle w:val="Heading3"/>
        <w:rPr>
          <w:rFonts w:eastAsia="SimSun"/>
          <w:color w:val="000000" w:themeColor="text1"/>
          <w:lang w:eastAsia="zh-CN"/>
        </w:rPr>
      </w:pPr>
      <w:r>
        <w:lastRenderedPageBreak/>
        <w:t xml:space="preserve"> </w:t>
      </w:r>
      <w:bookmarkStart w:id="39" w:name="_Toc350922998"/>
      <w:bookmarkStart w:id="40" w:name="_Toc354003341"/>
      <w:r w:rsidRPr="008C06C9">
        <w:rPr>
          <w:rFonts w:eastAsia="SimSun"/>
          <w:color w:val="000000" w:themeColor="text1"/>
          <w:lang w:eastAsia="zh-CN"/>
        </w:rPr>
        <w:t>Materials and Methods</w:t>
      </w:r>
      <w:bookmarkEnd w:id="39"/>
      <w:bookmarkEnd w:id="40"/>
    </w:p>
    <w:p w14:paraId="58BD8FE1" w14:textId="77777777" w:rsidR="008C06C9" w:rsidRPr="008C06C9" w:rsidRDefault="008C06C9" w:rsidP="008C06C9">
      <w:pPr>
        <w:rPr>
          <w:lang w:eastAsia="zh-CN"/>
        </w:rPr>
      </w:pPr>
    </w:p>
    <w:p w14:paraId="7B458C5E" w14:textId="77777777" w:rsidR="008C06C9" w:rsidRPr="008C06C9" w:rsidRDefault="008C06C9" w:rsidP="008C06C9">
      <w:pPr>
        <w:spacing w:after="0" w:line="480" w:lineRule="auto"/>
        <w:ind w:firstLine="720"/>
        <w:rPr>
          <w:rFonts w:ascii="Times New Roman" w:eastAsiaTheme="minorHAnsi" w:hAnsi="Times New Roman" w:cs="Times New Roman"/>
          <w:sz w:val="24"/>
        </w:rPr>
      </w:pPr>
      <w:r w:rsidRPr="008C06C9">
        <w:rPr>
          <w:rFonts w:ascii="Times New Roman" w:eastAsia="SimSun" w:hAnsi="Times New Roman" w:cs="Times New Roman"/>
          <w:sz w:val="24"/>
          <w:szCs w:val="24"/>
          <w:lang w:eastAsia="zh-CN"/>
        </w:rPr>
        <w:t xml:space="preserve">A preliminary study was initiated on 29 July 2009 to evaluate alternative </w:t>
      </w:r>
      <w:r w:rsidRPr="008C06C9">
        <w:rPr>
          <w:rFonts w:ascii="Times New Roman" w:eastAsia="SimSun" w:hAnsi="Times New Roman" w:cs="Times New Roman"/>
          <w:i/>
          <w:sz w:val="24"/>
          <w:szCs w:val="24"/>
          <w:lang w:eastAsia="zh-CN"/>
        </w:rPr>
        <w:t>Poa</w:t>
      </w:r>
      <w:r w:rsidRPr="008C06C9">
        <w:rPr>
          <w:rFonts w:ascii="Times New Roman" w:eastAsia="SimSun" w:hAnsi="Times New Roman" w:cs="Times New Roman"/>
          <w:sz w:val="24"/>
          <w:szCs w:val="24"/>
          <w:lang w:eastAsia="zh-CN"/>
        </w:rPr>
        <w:t xml:space="preserve"> species for turf in the transition zone. This study began with the selection and acquisition of various </w:t>
      </w:r>
      <w:r w:rsidRPr="008C06C9">
        <w:rPr>
          <w:rFonts w:ascii="Times New Roman" w:eastAsia="SimSun" w:hAnsi="Times New Roman" w:cs="Times New Roman"/>
          <w:i/>
          <w:sz w:val="24"/>
          <w:szCs w:val="24"/>
          <w:lang w:eastAsia="zh-CN"/>
        </w:rPr>
        <w:t>Poa</w:t>
      </w:r>
      <w:r w:rsidRPr="008C06C9">
        <w:rPr>
          <w:rFonts w:ascii="Times New Roman" w:eastAsia="SimSun" w:hAnsi="Times New Roman" w:cs="Times New Roman"/>
          <w:sz w:val="24"/>
          <w:szCs w:val="24"/>
          <w:lang w:eastAsia="zh-CN"/>
        </w:rPr>
        <w:t xml:space="preserve"> species</w:t>
      </w:r>
      <w:r w:rsidRPr="008C06C9">
        <w:rPr>
          <w:rFonts w:ascii="Times New Roman" w:eastAsiaTheme="minorHAnsi" w:hAnsi="Times New Roman" w:cs="Times New Roman"/>
          <w:sz w:val="24"/>
        </w:rPr>
        <w:t xml:space="preserve"> from the USDA National Plant Germplasm System (NPGS).  These were chosen based on their original collection location, with the preferred location being those with a Köppen climate classification of Cfa. The Cfa climate classification represents a warm temperate, fully humid, hot summer climate similar to that of the eastern USA transition zone. Several USDA accessions were obtained from areas with this climate and additional species were selected to represent other climates. Additionally, locally adapted bio-types of </w:t>
      </w:r>
      <w:r w:rsidRPr="008C06C9">
        <w:rPr>
          <w:rFonts w:ascii="Times New Roman" w:eastAsiaTheme="minorHAnsi" w:hAnsi="Times New Roman" w:cs="Times New Roman"/>
          <w:i/>
          <w:sz w:val="24"/>
        </w:rPr>
        <w:t>Poa</w:t>
      </w:r>
      <w:r w:rsidRPr="008C06C9">
        <w:rPr>
          <w:rFonts w:ascii="Times New Roman" w:eastAsiaTheme="minorHAnsi" w:hAnsi="Times New Roman" w:cs="Times New Roman"/>
          <w:sz w:val="24"/>
        </w:rPr>
        <w:t xml:space="preserve"> species were collected and utilized, as well as commercially available cultivars of </w:t>
      </w:r>
      <w:r w:rsidRPr="008C06C9">
        <w:rPr>
          <w:rFonts w:ascii="Times New Roman" w:eastAsiaTheme="minorHAnsi" w:hAnsi="Times New Roman" w:cs="Times New Roman"/>
          <w:i/>
          <w:sz w:val="24"/>
        </w:rPr>
        <w:t>Poa</w:t>
      </w:r>
      <w:r w:rsidRPr="008C06C9">
        <w:rPr>
          <w:rFonts w:ascii="Times New Roman" w:eastAsiaTheme="minorHAnsi" w:hAnsi="Times New Roman" w:cs="Times New Roman"/>
          <w:sz w:val="24"/>
        </w:rPr>
        <w:t xml:space="preserve"> species, for a total of 40 entries.</w:t>
      </w:r>
    </w:p>
    <w:p w14:paraId="3626E5FD" w14:textId="77777777" w:rsidR="008C06C9" w:rsidRPr="008C06C9" w:rsidRDefault="008C06C9" w:rsidP="008C06C9">
      <w:pPr>
        <w:spacing w:after="0" w:line="480" w:lineRule="auto"/>
        <w:rPr>
          <w:rFonts w:ascii="Times New Roman" w:eastAsia="SimSun" w:hAnsi="Times New Roman" w:cs="Times New Roman"/>
          <w:sz w:val="24"/>
          <w:szCs w:val="24"/>
          <w:lang w:eastAsia="zh-CN"/>
        </w:rPr>
      </w:pPr>
      <w:r w:rsidRPr="008C06C9">
        <w:rPr>
          <w:rFonts w:ascii="Times New Roman" w:eastAsiaTheme="minorHAnsi" w:hAnsi="Times New Roman" w:cs="Times New Roman"/>
          <w:sz w:val="24"/>
        </w:rPr>
        <w:tab/>
      </w:r>
      <w:r w:rsidRPr="008C06C9">
        <w:rPr>
          <w:rFonts w:ascii="Times New Roman" w:eastAsia="SimSun" w:hAnsi="Times New Roman" w:cs="Times New Roman"/>
          <w:sz w:val="24"/>
          <w:szCs w:val="24"/>
          <w:lang w:eastAsia="zh-CN"/>
        </w:rPr>
        <w:t>Seeds were sown in flats with Fafard No. 2 growing medium (Sun Gro Horticulture Canada Ltd., Agawam, MA) on 29 September 2009. One month after seeding, individual seedlings were transplanted to plug flats with each plug measuring 4.4 cm x 4.4 cm. and filled with Fafard No. 2 growing medium.  Each plug was planted with one plant from one seed. Greenhouse conditions were maintained throughout the six week growing period with daily temperatures averaging 24º C. Irrigation was applied as needed to maintain conditions favorable for germination and growth. A 12-55-6 fertilizer was applied at 2.5 g N m</w:t>
      </w:r>
      <w:r w:rsidRPr="008C06C9">
        <w:rPr>
          <w:rFonts w:ascii="Times New Roman" w:eastAsia="SimSun" w:hAnsi="Times New Roman" w:cs="Times New Roman"/>
          <w:sz w:val="24"/>
          <w:szCs w:val="24"/>
          <w:vertAlign w:val="superscript"/>
          <w:lang w:eastAsia="zh-CN"/>
        </w:rPr>
        <w:t>-2</w:t>
      </w:r>
      <w:r w:rsidRPr="008C06C9">
        <w:rPr>
          <w:rFonts w:ascii="Times New Roman" w:eastAsia="SimSun" w:hAnsi="Times New Roman" w:cs="Times New Roman"/>
          <w:sz w:val="24"/>
          <w:szCs w:val="24"/>
          <w:lang w:eastAsia="zh-CN"/>
        </w:rPr>
        <w:t xml:space="preserve"> at seeding. One month after seeding and after transplanting to plug flats, a 20-20-20 fertilizer was applied at 5 g N m</w:t>
      </w:r>
      <w:r w:rsidRPr="008C06C9">
        <w:rPr>
          <w:rFonts w:ascii="Times New Roman" w:eastAsia="SimSun" w:hAnsi="Times New Roman" w:cs="Times New Roman"/>
          <w:sz w:val="24"/>
          <w:szCs w:val="24"/>
          <w:vertAlign w:val="superscript"/>
          <w:lang w:eastAsia="zh-CN"/>
        </w:rPr>
        <w:t>-2</w:t>
      </w:r>
      <w:r w:rsidRPr="008C06C9">
        <w:rPr>
          <w:rFonts w:ascii="Times New Roman" w:eastAsia="SimSun" w:hAnsi="Times New Roman" w:cs="Times New Roman"/>
          <w:sz w:val="24"/>
          <w:szCs w:val="24"/>
          <w:lang w:eastAsia="zh-CN"/>
        </w:rPr>
        <w:t>. Plants were trimmed to a 7.6 cm height weekly.</w:t>
      </w:r>
    </w:p>
    <w:p w14:paraId="0D51EDDC" w14:textId="77777777" w:rsidR="008C06C9" w:rsidRPr="008C06C9" w:rsidRDefault="008C06C9" w:rsidP="008C06C9">
      <w:pPr>
        <w:spacing w:after="0" w:line="480" w:lineRule="auto"/>
        <w:rPr>
          <w:rFonts w:ascii="Times New Roman" w:eastAsia="SimSun" w:hAnsi="Times New Roman" w:cs="Times New Roman"/>
          <w:sz w:val="24"/>
          <w:szCs w:val="24"/>
          <w:lang w:eastAsia="zh-CN"/>
        </w:rPr>
      </w:pPr>
      <w:r w:rsidRPr="008C06C9">
        <w:rPr>
          <w:rFonts w:ascii="Times New Roman" w:eastAsia="SimSun" w:hAnsi="Times New Roman" w:cs="Times New Roman"/>
          <w:sz w:val="24"/>
          <w:szCs w:val="24"/>
          <w:lang w:eastAsia="zh-CN"/>
        </w:rPr>
        <w:tab/>
        <w:t>Prior to field planting, the soil was tilled to a 15 cm depth and then leveled. A soil fumigant, dazomet (Basamid</w:t>
      </w:r>
      <w:r w:rsidRPr="008C06C9">
        <w:rPr>
          <w:rFonts w:ascii="Times New Roman" w:eastAsia="SimSun" w:hAnsi="Times New Roman" w:cs="Times New Roman"/>
          <w:sz w:val="24"/>
          <w:szCs w:val="24"/>
          <w:vertAlign w:val="superscript"/>
          <w:lang w:eastAsia="zh-CN"/>
        </w:rPr>
        <w:t>®</w:t>
      </w:r>
      <w:r w:rsidRPr="008C06C9">
        <w:rPr>
          <w:rFonts w:ascii="Times New Roman" w:eastAsia="SimSun" w:hAnsi="Times New Roman" w:cs="Times New Roman"/>
          <w:sz w:val="24"/>
          <w:szCs w:val="24"/>
          <w:lang w:eastAsia="zh-CN"/>
        </w:rPr>
        <w:t xml:space="preserve"> G) (Certis USA L.L.C. Columbia, MD), was then applied at 53.7 g m</w:t>
      </w:r>
      <w:r w:rsidRPr="008C06C9">
        <w:rPr>
          <w:rFonts w:ascii="Times New Roman" w:eastAsia="SimSun" w:hAnsi="Times New Roman" w:cs="Times New Roman"/>
          <w:sz w:val="24"/>
          <w:szCs w:val="24"/>
          <w:vertAlign w:val="superscript"/>
          <w:lang w:eastAsia="zh-CN"/>
        </w:rPr>
        <w:t>-2</w:t>
      </w:r>
      <w:r w:rsidRPr="008C06C9">
        <w:rPr>
          <w:rFonts w:ascii="Times New Roman" w:eastAsia="SimSun" w:hAnsi="Times New Roman" w:cs="Times New Roman"/>
          <w:sz w:val="24"/>
          <w:szCs w:val="24"/>
          <w:lang w:eastAsia="zh-CN"/>
        </w:rPr>
        <w:t xml:space="preserve"> and watered in. Polyethylene sheeting was used to cover the site for three days, after which </w:t>
      </w:r>
      <w:r w:rsidRPr="008C06C9">
        <w:rPr>
          <w:rFonts w:ascii="Times New Roman" w:eastAsia="SimSun" w:hAnsi="Times New Roman" w:cs="Times New Roman"/>
          <w:sz w:val="24"/>
          <w:szCs w:val="24"/>
          <w:lang w:eastAsia="zh-CN"/>
        </w:rPr>
        <w:lastRenderedPageBreak/>
        <w:t xml:space="preserve">the covers were removed and an additional week was allowed to let the Basamid dissipate from the soil before planting. </w:t>
      </w:r>
    </w:p>
    <w:p w14:paraId="1B1EC753" w14:textId="77777777" w:rsidR="008C06C9" w:rsidRPr="008C06C9" w:rsidRDefault="008C06C9" w:rsidP="008C06C9">
      <w:pPr>
        <w:spacing w:after="0" w:line="480" w:lineRule="auto"/>
        <w:rPr>
          <w:rFonts w:ascii="Times New Roman" w:eastAsia="SimSun" w:hAnsi="Times New Roman" w:cs="Times New Roman"/>
          <w:sz w:val="24"/>
          <w:szCs w:val="24"/>
          <w:lang w:eastAsia="zh-CN"/>
        </w:rPr>
      </w:pPr>
      <w:r w:rsidRPr="008C06C9">
        <w:rPr>
          <w:rFonts w:ascii="Times New Roman" w:eastAsia="SimSun" w:hAnsi="Times New Roman" w:cs="Times New Roman"/>
          <w:sz w:val="24"/>
          <w:szCs w:val="24"/>
          <w:lang w:eastAsia="zh-CN"/>
        </w:rPr>
        <w:tab/>
        <w:t>At eight weeks (1 October 2009) after seeding, plants were transplanted to the field at the East Tennessee Research and Education Center, Knoxville, on a Sequatchie silt loam soil (fine-loamy, siliceous, semi active, thermic Humic Hapludult). Plots were 66 cm x81 cm and arranged in a randomized complete block design with three replications. Six plugs (plants) were planted on 15 cm centers arranged in a two × three pattern within the center of the plot.  A 5 cm diameter plugging tool was used to cut holes in the soil for the plugs. After placing the plug in the soil, the remaining space around the plug was backfilled with native soil from the plugging operation.</w:t>
      </w:r>
      <w:r w:rsidRPr="008C06C9">
        <w:rPr>
          <w:rFonts w:ascii="Times New Roman" w:eastAsia="SimSun" w:hAnsi="Times New Roman" w:cs="Times New Roman"/>
          <w:sz w:val="24"/>
          <w:szCs w:val="24"/>
          <w:lang w:eastAsia="zh-CN"/>
        </w:rPr>
        <w:tab/>
      </w:r>
    </w:p>
    <w:p w14:paraId="06D169B0" w14:textId="77777777" w:rsidR="008C06C9" w:rsidRPr="008C06C9" w:rsidRDefault="008C06C9" w:rsidP="008C06C9">
      <w:pPr>
        <w:spacing w:after="0" w:line="480" w:lineRule="auto"/>
        <w:rPr>
          <w:rFonts w:ascii="Times New Roman" w:eastAsia="SimSun" w:hAnsi="Times New Roman" w:cs="Times New Roman"/>
          <w:sz w:val="24"/>
          <w:szCs w:val="24"/>
          <w:lang w:eastAsia="zh-CN"/>
        </w:rPr>
      </w:pPr>
      <w:r w:rsidRPr="008C06C9">
        <w:rPr>
          <w:rFonts w:ascii="Times New Roman" w:eastAsia="SimSun" w:hAnsi="Times New Roman" w:cs="Times New Roman"/>
          <w:sz w:val="24"/>
          <w:szCs w:val="24"/>
          <w:lang w:eastAsia="zh-CN"/>
        </w:rPr>
        <w:tab/>
        <w:t>A 10-10-10 fertilizer was applied at 5 g N m</w:t>
      </w:r>
      <w:r w:rsidRPr="008C06C9">
        <w:rPr>
          <w:rFonts w:ascii="Times New Roman" w:eastAsia="SimSun" w:hAnsi="Times New Roman" w:cs="Times New Roman"/>
          <w:sz w:val="24"/>
          <w:szCs w:val="24"/>
          <w:vertAlign w:val="superscript"/>
          <w:lang w:eastAsia="zh-CN"/>
        </w:rPr>
        <w:t>-2</w:t>
      </w:r>
      <w:r w:rsidRPr="008C06C9">
        <w:rPr>
          <w:rFonts w:ascii="Times New Roman" w:eastAsia="SimSun" w:hAnsi="Times New Roman" w:cs="Times New Roman"/>
          <w:sz w:val="24"/>
          <w:szCs w:val="24"/>
          <w:lang w:eastAsia="zh-CN"/>
        </w:rPr>
        <w:t xml:space="preserve"> at seeding, followed by a second 5 g N m</w:t>
      </w:r>
      <w:r w:rsidRPr="008C06C9">
        <w:rPr>
          <w:rFonts w:ascii="Times New Roman" w:eastAsia="SimSun" w:hAnsi="Times New Roman" w:cs="Times New Roman"/>
          <w:sz w:val="24"/>
          <w:szCs w:val="24"/>
          <w:vertAlign w:val="superscript"/>
          <w:lang w:eastAsia="zh-CN"/>
        </w:rPr>
        <w:t xml:space="preserve">-2 </w:t>
      </w:r>
      <w:r w:rsidRPr="008C06C9">
        <w:rPr>
          <w:rFonts w:ascii="Times New Roman" w:eastAsia="SimSun" w:hAnsi="Times New Roman" w:cs="Times New Roman"/>
          <w:sz w:val="24"/>
          <w:szCs w:val="24"/>
          <w:lang w:eastAsia="zh-CN"/>
        </w:rPr>
        <w:t>of the same analysis applied one month after planting on 1 November 2009.  The following year a 24-6-12 analysis with 50% of the nitrogen in a slow release form was applied on 15 March 2010 and 2 May 2010. Mowing was initiated one week after planting at a weekly cutting height of 7.6 cm when actively growing. Irrigation was applied as needed to prevent moisture stress. No pesticides were applied.</w:t>
      </w:r>
    </w:p>
    <w:p w14:paraId="2AD030B2" w14:textId="77777777" w:rsidR="008C06C9" w:rsidRPr="008C06C9" w:rsidRDefault="008C06C9" w:rsidP="008C06C9">
      <w:pPr>
        <w:spacing w:after="0" w:line="480" w:lineRule="auto"/>
        <w:ind w:firstLine="720"/>
        <w:rPr>
          <w:rFonts w:ascii="Times New Roman" w:eastAsia="Calibri" w:hAnsi="Times New Roman" w:cs="Times New Roman"/>
          <w:sz w:val="24"/>
          <w:szCs w:val="24"/>
        </w:rPr>
      </w:pPr>
      <w:r w:rsidRPr="008C06C9">
        <w:rPr>
          <w:rFonts w:ascii="Times New Roman" w:eastAsia="Calibri" w:hAnsi="Times New Roman" w:cs="Times New Roman"/>
          <w:sz w:val="24"/>
          <w:szCs w:val="24"/>
        </w:rPr>
        <w:t>Percent green turf cover was evaluated using digital image analysis (DIA) according to previously described methods (Richardson et al., 2001). DIA was initiated at one month after field planting and continued at monthly intervals for one year, resulting in 12 rating dates, beginning in November and ending in October. Interactions were present for treatment and date, therefore dates are presented separately. Treatments were grouped based on their observed growth habit in the field. Both groups and treatments were analyzed as fixed effects with treatments nested within groups.</w:t>
      </w:r>
    </w:p>
    <w:p w14:paraId="0FE8F981" w14:textId="77777777" w:rsidR="008C06C9" w:rsidRPr="008C06C9" w:rsidRDefault="008C06C9" w:rsidP="008C06C9">
      <w:pPr>
        <w:spacing w:after="0" w:line="480" w:lineRule="auto"/>
        <w:rPr>
          <w:rFonts w:ascii="Times New Roman" w:eastAsia="Calibri" w:hAnsi="Times New Roman" w:cs="Times New Roman"/>
          <w:sz w:val="24"/>
          <w:szCs w:val="24"/>
        </w:rPr>
      </w:pPr>
    </w:p>
    <w:p w14:paraId="77B87F5C" w14:textId="77777777" w:rsidR="008C06C9" w:rsidRDefault="008C06C9" w:rsidP="008C06C9">
      <w:pPr>
        <w:pStyle w:val="Heading3"/>
        <w:rPr>
          <w:rFonts w:eastAsia="Calibri"/>
        </w:rPr>
      </w:pPr>
      <w:bookmarkStart w:id="41" w:name="_Toc350922999"/>
      <w:bookmarkStart w:id="42" w:name="_Toc354003342"/>
      <w:r w:rsidRPr="008C06C9">
        <w:rPr>
          <w:rFonts w:eastAsia="Calibri"/>
        </w:rPr>
        <w:lastRenderedPageBreak/>
        <w:t>Results and Discussion</w:t>
      </w:r>
      <w:bookmarkEnd w:id="41"/>
      <w:bookmarkEnd w:id="42"/>
    </w:p>
    <w:p w14:paraId="7BFAE0C8" w14:textId="77777777" w:rsidR="008C06C9" w:rsidRPr="008C06C9" w:rsidRDefault="008C06C9" w:rsidP="008C06C9"/>
    <w:p w14:paraId="628E5C4E" w14:textId="313818CD" w:rsidR="008C06C9" w:rsidRPr="008C06C9" w:rsidRDefault="008C06C9" w:rsidP="008C06C9">
      <w:pPr>
        <w:spacing w:after="0" w:line="480" w:lineRule="auto"/>
        <w:ind w:firstLine="720"/>
        <w:rPr>
          <w:rFonts w:ascii="Times New Roman" w:eastAsia="Calibri" w:hAnsi="Times New Roman" w:cs="Times New Roman"/>
          <w:sz w:val="24"/>
          <w:szCs w:val="24"/>
        </w:rPr>
      </w:pPr>
      <w:r w:rsidRPr="008C06C9">
        <w:rPr>
          <w:rFonts w:ascii="Times New Roman" w:eastAsia="Calibri" w:hAnsi="Times New Roman" w:cs="Times New Roman"/>
          <w:sz w:val="24"/>
          <w:szCs w:val="24"/>
        </w:rPr>
        <w:t xml:space="preserve">Bluegrasses with stoloniferous growth habits were advantageous from the first rating date in November until June, when cover rapidly began to decline for all growth habits (TablesA.2, Fig. A.1). By July, the cover of the stoloniferous group dropped below the rhizomatous group and was not different from the bunch types. Both the stoloniferous and bunch type species remained at or near 0% cover throughout the remainder of the trial. The rhizomatous group was advantageous through the summer and was the only group that gained significant cover in the successive rating months after July.  </w:t>
      </w:r>
    </w:p>
    <w:p w14:paraId="0A77FBB9" w14:textId="77777777" w:rsidR="008C06C9" w:rsidRPr="008C06C9" w:rsidRDefault="008C06C9" w:rsidP="008C06C9">
      <w:pPr>
        <w:spacing w:after="0" w:line="480" w:lineRule="auto"/>
        <w:ind w:firstLine="720"/>
        <w:rPr>
          <w:rFonts w:ascii="Times New Roman" w:eastAsia="Calibri" w:hAnsi="Times New Roman" w:cs="Times New Roman"/>
          <w:sz w:val="24"/>
          <w:szCs w:val="24"/>
        </w:rPr>
      </w:pPr>
      <w:r w:rsidRPr="008C06C9">
        <w:rPr>
          <w:rFonts w:ascii="Times New Roman" w:eastAsia="Calibri" w:hAnsi="Times New Roman" w:cs="Times New Roman"/>
          <w:sz w:val="24"/>
          <w:szCs w:val="24"/>
        </w:rPr>
        <w:t xml:space="preserve">The highest performing bunch type was </w:t>
      </w:r>
      <w:r w:rsidRPr="008C06C9">
        <w:rPr>
          <w:rFonts w:ascii="Times New Roman" w:eastAsia="Calibri" w:hAnsi="Times New Roman" w:cs="Times New Roman"/>
          <w:i/>
          <w:sz w:val="24"/>
          <w:szCs w:val="24"/>
        </w:rPr>
        <w:t>Poa annua</w:t>
      </w:r>
      <w:r w:rsidRPr="008C06C9">
        <w:rPr>
          <w:rFonts w:ascii="Times New Roman" w:eastAsia="Calibri" w:hAnsi="Times New Roman" w:cs="Times New Roman"/>
          <w:sz w:val="24"/>
          <w:szCs w:val="24"/>
        </w:rPr>
        <w:t xml:space="preserve">, which occurred in the top statistical category nine times during the season. This species was best from November through June and again in October. During July-August there was virtually no cover, indicating that the species was dead. The rebound in cover in October was explained by the germination of seedlings that were ripe in spring. Other notable bunch types would include </w:t>
      </w:r>
      <w:r w:rsidRPr="008C06C9">
        <w:rPr>
          <w:rFonts w:ascii="Times New Roman" w:eastAsia="Calibri" w:hAnsi="Times New Roman" w:cs="Times New Roman"/>
          <w:i/>
          <w:sz w:val="24"/>
          <w:szCs w:val="24"/>
        </w:rPr>
        <w:t>P. erinacea,</w:t>
      </w:r>
      <w:r w:rsidRPr="008C06C9">
        <w:rPr>
          <w:rFonts w:ascii="Times New Roman" w:eastAsia="Calibri" w:hAnsi="Times New Roman" w:cs="Times New Roman"/>
          <w:sz w:val="24"/>
          <w:szCs w:val="24"/>
        </w:rPr>
        <w:t xml:space="preserve"> which was in the top statistical group five times in the period from November through March. Although </w:t>
      </w:r>
      <w:r w:rsidRPr="008C06C9">
        <w:rPr>
          <w:rFonts w:ascii="Times New Roman" w:eastAsia="Calibri" w:hAnsi="Times New Roman" w:cs="Times New Roman"/>
          <w:i/>
          <w:sz w:val="24"/>
          <w:szCs w:val="24"/>
        </w:rPr>
        <w:t>P. lanigera</w:t>
      </w:r>
      <w:r w:rsidRPr="008C06C9">
        <w:rPr>
          <w:rFonts w:ascii="Times New Roman" w:eastAsia="Calibri" w:hAnsi="Times New Roman" w:cs="Times New Roman"/>
          <w:sz w:val="24"/>
          <w:szCs w:val="24"/>
        </w:rPr>
        <w:t xml:space="preserve"> and </w:t>
      </w:r>
      <w:r w:rsidRPr="008C06C9">
        <w:rPr>
          <w:rFonts w:ascii="Times New Roman" w:eastAsia="Calibri" w:hAnsi="Times New Roman" w:cs="Times New Roman"/>
          <w:i/>
          <w:sz w:val="24"/>
          <w:szCs w:val="24"/>
        </w:rPr>
        <w:t xml:space="preserve">P. sierbiana </w:t>
      </w:r>
      <w:r w:rsidRPr="008C06C9">
        <w:rPr>
          <w:rFonts w:ascii="Times New Roman" w:eastAsia="Calibri" w:hAnsi="Times New Roman" w:cs="Times New Roman"/>
          <w:sz w:val="24"/>
          <w:szCs w:val="24"/>
        </w:rPr>
        <w:t>dropped to a low level of cover over summer, they did survive better than other bunch types, indicating that they had heat tolerance.</w:t>
      </w:r>
    </w:p>
    <w:p w14:paraId="3800A473" w14:textId="77777777" w:rsidR="008C06C9" w:rsidRPr="008C06C9" w:rsidRDefault="008C06C9" w:rsidP="008C06C9">
      <w:pPr>
        <w:spacing w:after="0" w:line="480" w:lineRule="auto"/>
        <w:ind w:firstLine="720"/>
        <w:rPr>
          <w:rFonts w:ascii="Times New Roman" w:eastAsia="Calibri" w:hAnsi="Times New Roman" w:cs="Times New Roman"/>
          <w:sz w:val="24"/>
          <w:szCs w:val="24"/>
        </w:rPr>
      </w:pPr>
      <w:r w:rsidRPr="008C06C9">
        <w:rPr>
          <w:rFonts w:ascii="Times New Roman" w:eastAsia="Calibri" w:hAnsi="Times New Roman" w:cs="Times New Roman"/>
          <w:sz w:val="24"/>
          <w:szCs w:val="24"/>
        </w:rPr>
        <w:t xml:space="preserve">The stoloniferous group was only represented by two species; </w:t>
      </w:r>
      <w:r w:rsidRPr="008C06C9">
        <w:rPr>
          <w:rFonts w:ascii="Times New Roman" w:eastAsia="Calibri" w:hAnsi="Times New Roman" w:cs="Times New Roman"/>
          <w:i/>
          <w:sz w:val="24"/>
          <w:szCs w:val="24"/>
        </w:rPr>
        <w:t>P. supina</w:t>
      </w:r>
      <w:r w:rsidRPr="008C06C9">
        <w:rPr>
          <w:rFonts w:ascii="Times New Roman" w:eastAsia="Calibri" w:hAnsi="Times New Roman" w:cs="Times New Roman"/>
          <w:sz w:val="24"/>
          <w:szCs w:val="24"/>
        </w:rPr>
        <w:t xml:space="preserve"> and </w:t>
      </w:r>
      <w:r w:rsidRPr="008C06C9">
        <w:rPr>
          <w:rFonts w:ascii="Times New Roman" w:eastAsia="Calibri" w:hAnsi="Times New Roman" w:cs="Times New Roman"/>
          <w:i/>
          <w:sz w:val="24"/>
          <w:szCs w:val="24"/>
        </w:rPr>
        <w:t>P. trivialis</w:t>
      </w:r>
      <w:r w:rsidRPr="008C06C9">
        <w:rPr>
          <w:rFonts w:ascii="Times New Roman" w:eastAsia="Calibri" w:hAnsi="Times New Roman" w:cs="Times New Roman"/>
          <w:sz w:val="24"/>
          <w:szCs w:val="24"/>
        </w:rPr>
        <w:t xml:space="preserve">. The </w:t>
      </w:r>
      <w:r w:rsidRPr="008C06C9">
        <w:rPr>
          <w:rFonts w:ascii="Times New Roman" w:eastAsia="Calibri" w:hAnsi="Times New Roman" w:cs="Times New Roman"/>
          <w:i/>
          <w:sz w:val="24"/>
          <w:szCs w:val="24"/>
        </w:rPr>
        <w:t>P. trivialis</w:t>
      </w:r>
      <w:r w:rsidRPr="008C06C9">
        <w:rPr>
          <w:rFonts w:ascii="Times New Roman" w:eastAsia="Calibri" w:hAnsi="Times New Roman" w:cs="Times New Roman"/>
          <w:sz w:val="24"/>
          <w:szCs w:val="24"/>
        </w:rPr>
        <w:t xml:space="preserve"> entries gained more cover than </w:t>
      </w:r>
      <w:r w:rsidRPr="008C06C9">
        <w:rPr>
          <w:rFonts w:ascii="Times New Roman" w:eastAsia="Calibri" w:hAnsi="Times New Roman" w:cs="Times New Roman"/>
          <w:i/>
          <w:sz w:val="24"/>
          <w:szCs w:val="24"/>
        </w:rPr>
        <w:t xml:space="preserve">P. supina </w:t>
      </w:r>
      <w:r w:rsidRPr="008C06C9">
        <w:rPr>
          <w:rFonts w:ascii="Times New Roman" w:eastAsia="Calibri" w:hAnsi="Times New Roman" w:cs="Times New Roman"/>
          <w:sz w:val="24"/>
          <w:szCs w:val="24"/>
        </w:rPr>
        <w:t xml:space="preserve">in late fall and winter of 2009. </w:t>
      </w:r>
      <w:r w:rsidRPr="008C06C9">
        <w:rPr>
          <w:rFonts w:ascii="Times New Roman" w:eastAsia="Calibri" w:hAnsi="Times New Roman" w:cs="Times New Roman"/>
          <w:i/>
          <w:sz w:val="24"/>
          <w:szCs w:val="24"/>
        </w:rPr>
        <w:t xml:space="preserve">P. trivialis </w:t>
      </w:r>
      <w:r w:rsidRPr="008C06C9">
        <w:rPr>
          <w:rFonts w:ascii="Times New Roman" w:eastAsia="Calibri" w:hAnsi="Times New Roman" w:cs="Times New Roman"/>
          <w:sz w:val="24"/>
          <w:szCs w:val="24"/>
        </w:rPr>
        <w:t xml:space="preserve">‘CCC’ had significantly higher cover than all others in January and February. </w:t>
      </w:r>
      <w:r w:rsidRPr="008C06C9">
        <w:rPr>
          <w:rFonts w:ascii="Times New Roman" w:eastAsia="Calibri" w:hAnsi="Times New Roman" w:cs="Times New Roman"/>
          <w:i/>
          <w:sz w:val="24"/>
          <w:szCs w:val="24"/>
        </w:rPr>
        <w:t>P. supina</w:t>
      </w:r>
      <w:r w:rsidRPr="008C06C9">
        <w:rPr>
          <w:rFonts w:ascii="Times New Roman" w:eastAsia="Calibri" w:hAnsi="Times New Roman" w:cs="Times New Roman"/>
          <w:sz w:val="24"/>
          <w:szCs w:val="24"/>
        </w:rPr>
        <w:t xml:space="preserve"> maintained cover later into the summer, suggesting it has higher heat tolerance. </w:t>
      </w:r>
    </w:p>
    <w:p w14:paraId="0BB1AB1E" w14:textId="77777777" w:rsidR="008C06C9" w:rsidRPr="008C06C9" w:rsidRDefault="008C06C9" w:rsidP="008C06C9">
      <w:pPr>
        <w:spacing w:after="0" w:line="480" w:lineRule="auto"/>
        <w:ind w:firstLine="720"/>
        <w:rPr>
          <w:rFonts w:ascii="Times New Roman" w:eastAsia="Calibri" w:hAnsi="Times New Roman" w:cs="Times New Roman"/>
          <w:sz w:val="24"/>
          <w:szCs w:val="24"/>
        </w:rPr>
      </w:pPr>
      <w:r w:rsidRPr="008C06C9">
        <w:rPr>
          <w:rFonts w:ascii="Times New Roman" w:eastAsia="Calibri" w:hAnsi="Times New Roman" w:cs="Times New Roman"/>
          <w:sz w:val="24"/>
          <w:szCs w:val="24"/>
        </w:rPr>
        <w:t xml:space="preserve">The rhizomatous group was represented by 10 species. Two of these species, </w:t>
      </w:r>
      <w:r w:rsidRPr="008C06C9">
        <w:rPr>
          <w:rFonts w:ascii="Times New Roman" w:eastAsia="Calibri" w:hAnsi="Times New Roman" w:cs="Times New Roman"/>
          <w:i/>
          <w:sz w:val="24"/>
          <w:szCs w:val="24"/>
        </w:rPr>
        <w:t xml:space="preserve">P. compressa </w:t>
      </w:r>
      <w:r w:rsidRPr="008C06C9">
        <w:rPr>
          <w:rFonts w:ascii="Times New Roman" w:eastAsia="Calibri" w:hAnsi="Times New Roman" w:cs="Times New Roman"/>
          <w:sz w:val="24"/>
          <w:szCs w:val="24"/>
        </w:rPr>
        <w:t xml:space="preserve">and </w:t>
      </w:r>
      <w:r w:rsidRPr="008C06C9">
        <w:rPr>
          <w:rFonts w:ascii="Times New Roman" w:eastAsia="Calibri" w:hAnsi="Times New Roman" w:cs="Times New Roman"/>
          <w:i/>
          <w:sz w:val="24"/>
          <w:szCs w:val="24"/>
        </w:rPr>
        <w:t>P. stiriaca,</w:t>
      </w:r>
      <w:r w:rsidRPr="008C06C9">
        <w:rPr>
          <w:rFonts w:ascii="Times New Roman" w:eastAsia="Calibri" w:hAnsi="Times New Roman" w:cs="Times New Roman"/>
          <w:sz w:val="24"/>
          <w:szCs w:val="24"/>
        </w:rPr>
        <w:t xml:space="preserve"> were both in the top statistical category in the group seven times, which occurred consecutively from the first rating date in November through May. A locally </w:t>
      </w:r>
      <w:r w:rsidRPr="008C06C9">
        <w:rPr>
          <w:rFonts w:ascii="Times New Roman" w:eastAsia="Calibri" w:hAnsi="Times New Roman" w:cs="Times New Roman"/>
          <w:sz w:val="24"/>
          <w:szCs w:val="24"/>
        </w:rPr>
        <w:lastRenderedPageBreak/>
        <w:t xml:space="preserve">naturalized entry of Kentucky bluegrass also performed well over all, occurring in the top statistical group six times. However in August, ‘Thermal Blue’ Texas x Kentucky hybrid and ‘Midnight Star’ and ‘Kenblue’ Kentucky bluegrass were in the top statistical category. This continued into the successive months with </w:t>
      </w:r>
      <w:r w:rsidRPr="008C06C9">
        <w:rPr>
          <w:rFonts w:ascii="Times New Roman" w:eastAsia="Calibri" w:hAnsi="Times New Roman" w:cs="Times New Roman"/>
          <w:i/>
          <w:sz w:val="24"/>
          <w:szCs w:val="24"/>
        </w:rPr>
        <w:t>P. maniototo</w:t>
      </w:r>
      <w:r w:rsidRPr="008C06C9">
        <w:rPr>
          <w:rFonts w:ascii="Times New Roman" w:eastAsia="Calibri" w:hAnsi="Times New Roman" w:cs="Times New Roman"/>
          <w:sz w:val="24"/>
          <w:szCs w:val="24"/>
        </w:rPr>
        <w:t xml:space="preserve"> joining the group in September.</w:t>
      </w:r>
    </w:p>
    <w:p w14:paraId="39FE617C" w14:textId="77777777" w:rsidR="008C06C9" w:rsidRPr="008C06C9" w:rsidRDefault="008C06C9" w:rsidP="008C06C9">
      <w:pPr>
        <w:spacing w:after="0" w:line="480" w:lineRule="auto"/>
        <w:ind w:firstLine="720"/>
        <w:rPr>
          <w:rFonts w:ascii="Times New Roman" w:eastAsia="Calibri" w:hAnsi="Times New Roman" w:cs="Times New Roman"/>
          <w:sz w:val="24"/>
          <w:szCs w:val="24"/>
        </w:rPr>
      </w:pPr>
      <w:r w:rsidRPr="008C06C9">
        <w:rPr>
          <w:rFonts w:ascii="Times New Roman" w:eastAsia="Calibri" w:hAnsi="Times New Roman" w:cs="Times New Roman"/>
          <w:sz w:val="24"/>
          <w:szCs w:val="24"/>
        </w:rPr>
        <w:t xml:space="preserve">In summary, the results of this trial indicated that many of the entries were unsuitable for the transition zone because of their inability to persist in the summer. This suggested that these species should be investigated for their performance in overseeding trials and thus a two-year research project was designed. This data also led to even more species being trialed in a similar fashion to the above mentioned trial. However, the new study utilized preventative applications of fungicides and insecticides in an attempt to minimize biotic stresses that may have played a big factor in the aforementioned preliminary data and helped to evaluate loss in turf </w:t>
      </w:r>
      <w:proofErr w:type="gramStart"/>
      <w:r w:rsidRPr="008C06C9">
        <w:rPr>
          <w:rFonts w:ascii="Times New Roman" w:eastAsia="Calibri" w:hAnsi="Times New Roman" w:cs="Times New Roman"/>
          <w:sz w:val="24"/>
          <w:szCs w:val="24"/>
        </w:rPr>
        <w:t>cover  related</w:t>
      </w:r>
      <w:proofErr w:type="gramEnd"/>
      <w:r w:rsidRPr="008C06C9">
        <w:rPr>
          <w:rFonts w:ascii="Times New Roman" w:eastAsia="Calibri" w:hAnsi="Times New Roman" w:cs="Times New Roman"/>
          <w:sz w:val="24"/>
          <w:szCs w:val="24"/>
        </w:rPr>
        <w:t xml:space="preserve"> to heat stress. The small plots and spaced planting method made it difficult to differentiate damage from fungal pathogens and insects. From a permanent turf standpoint, </w:t>
      </w:r>
      <w:r w:rsidRPr="008C06C9">
        <w:rPr>
          <w:rFonts w:ascii="Times New Roman" w:eastAsia="Calibri" w:hAnsi="Times New Roman" w:cs="Times New Roman"/>
          <w:i/>
          <w:sz w:val="24"/>
          <w:szCs w:val="24"/>
        </w:rPr>
        <w:t>P. maniototo</w:t>
      </w:r>
      <w:r w:rsidRPr="008C06C9">
        <w:rPr>
          <w:rFonts w:ascii="Times New Roman" w:eastAsia="Calibri" w:hAnsi="Times New Roman" w:cs="Times New Roman"/>
          <w:sz w:val="24"/>
          <w:szCs w:val="24"/>
        </w:rPr>
        <w:t xml:space="preserve"> showed promise for use as a turfgrass. </w:t>
      </w:r>
    </w:p>
    <w:p w14:paraId="6EEEA5BD" w14:textId="77777777" w:rsidR="001C10CB" w:rsidRDefault="001C10CB">
      <w:r>
        <w:br w:type="page"/>
      </w:r>
    </w:p>
    <w:p w14:paraId="54593FBE" w14:textId="77777777" w:rsidR="001C10CB" w:rsidRDefault="001C10CB" w:rsidP="001C10CB">
      <w:pPr>
        <w:pStyle w:val="Heading2"/>
      </w:pPr>
      <w:bookmarkStart w:id="43" w:name="_Toc354003343"/>
      <w:r>
        <w:lastRenderedPageBreak/>
        <w:t>Tables</w:t>
      </w:r>
      <w:bookmarkEnd w:id="43"/>
    </w:p>
    <w:p w14:paraId="7EEF2E11" w14:textId="77777777" w:rsidR="001C10CB" w:rsidRPr="001C10CB" w:rsidRDefault="001C10CB" w:rsidP="001C10CB"/>
    <w:tbl>
      <w:tblPr>
        <w:tblW w:w="7332" w:type="dxa"/>
        <w:jc w:val="center"/>
        <w:tblInd w:w="93" w:type="dxa"/>
        <w:tblLook w:val="04A0" w:firstRow="1" w:lastRow="0" w:firstColumn="1" w:lastColumn="0" w:noHBand="0" w:noVBand="1"/>
      </w:tblPr>
      <w:tblGrid>
        <w:gridCol w:w="3036"/>
        <w:gridCol w:w="1890"/>
        <w:gridCol w:w="2406"/>
      </w:tblGrid>
      <w:tr w:rsidR="001C10CB" w:rsidRPr="001C10CB" w14:paraId="4EB1FBEA" w14:textId="77777777" w:rsidTr="00DC4D0A">
        <w:trPr>
          <w:trHeight w:val="900"/>
          <w:jc w:val="center"/>
        </w:trPr>
        <w:tc>
          <w:tcPr>
            <w:tcW w:w="7332" w:type="dxa"/>
            <w:gridSpan w:val="3"/>
            <w:tcBorders>
              <w:top w:val="nil"/>
              <w:left w:val="nil"/>
              <w:bottom w:val="single" w:sz="4" w:space="0" w:color="auto"/>
              <w:right w:val="nil"/>
            </w:tcBorders>
            <w:shd w:val="clear" w:color="auto" w:fill="auto"/>
            <w:vAlign w:val="bottom"/>
            <w:hideMark/>
          </w:tcPr>
          <w:p w14:paraId="38C73E68"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T</w:t>
            </w:r>
            <w:r w:rsidR="001F009F">
              <w:rPr>
                <w:rFonts w:ascii="Times New Roman" w:eastAsia="Times New Roman" w:hAnsi="Times New Roman" w:cs="Times New Roman"/>
                <w:b/>
                <w:color w:val="000000"/>
                <w:sz w:val="24"/>
                <w:szCs w:val="24"/>
              </w:rPr>
              <w:t>able E.1</w:t>
            </w:r>
            <w:r w:rsidRPr="001C10CB">
              <w:rPr>
                <w:rFonts w:ascii="Times New Roman" w:eastAsia="Times New Roman" w:hAnsi="Times New Roman" w:cs="Times New Roman"/>
                <w:b/>
                <w:color w:val="000000"/>
                <w:sz w:val="24"/>
                <w:szCs w:val="24"/>
              </w:rPr>
              <w:t>. Species, cultivars, accessions, experimental designation and growth habits of treatments planted in October, 2009 in Knoxville, TN.</w:t>
            </w:r>
          </w:p>
        </w:tc>
      </w:tr>
      <w:tr w:rsidR="001C10CB" w:rsidRPr="001C10CB" w14:paraId="11977981" w14:textId="77777777" w:rsidTr="00DC4D0A">
        <w:trPr>
          <w:trHeight w:val="300"/>
          <w:jc w:val="center"/>
        </w:trPr>
        <w:tc>
          <w:tcPr>
            <w:tcW w:w="3036" w:type="dxa"/>
            <w:tcBorders>
              <w:top w:val="nil"/>
              <w:left w:val="nil"/>
              <w:bottom w:val="single" w:sz="4" w:space="0" w:color="auto"/>
              <w:right w:val="nil"/>
            </w:tcBorders>
            <w:shd w:val="clear" w:color="auto" w:fill="auto"/>
            <w:noWrap/>
            <w:vAlign w:val="bottom"/>
            <w:hideMark/>
          </w:tcPr>
          <w:p w14:paraId="1D1A1B93"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Species</w:t>
            </w:r>
          </w:p>
        </w:tc>
        <w:tc>
          <w:tcPr>
            <w:tcW w:w="1890" w:type="dxa"/>
            <w:tcBorders>
              <w:top w:val="nil"/>
              <w:left w:val="nil"/>
              <w:bottom w:val="single" w:sz="4" w:space="0" w:color="auto"/>
              <w:right w:val="nil"/>
            </w:tcBorders>
            <w:shd w:val="clear" w:color="auto" w:fill="auto"/>
            <w:noWrap/>
            <w:vAlign w:val="bottom"/>
            <w:hideMark/>
          </w:tcPr>
          <w:p w14:paraId="0DA08888"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Identifier</w:t>
            </w:r>
          </w:p>
        </w:tc>
        <w:tc>
          <w:tcPr>
            <w:tcW w:w="2406" w:type="dxa"/>
            <w:tcBorders>
              <w:top w:val="nil"/>
              <w:left w:val="nil"/>
              <w:bottom w:val="single" w:sz="4" w:space="0" w:color="auto"/>
              <w:right w:val="nil"/>
            </w:tcBorders>
            <w:shd w:val="clear" w:color="auto" w:fill="auto"/>
            <w:noWrap/>
            <w:vAlign w:val="bottom"/>
            <w:hideMark/>
          </w:tcPr>
          <w:p w14:paraId="62A290BC"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Growth habit</w:t>
            </w:r>
          </w:p>
        </w:tc>
      </w:tr>
      <w:tr w:rsidR="001C10CB" w:rsidRPr="001C10CB" w14:paraId="36F9AC4F"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7B1D1157"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Poa alpina</w:t>
            </w:r>
          </w:p>
        </w:tc>
        <w:tc>
          <w:tcPr>
            <w:tcW w:w="1890" w:type="dxa"/>
            <w:tcBorders>
              <w:top w:val="nil"/>
              <w:left w:val="nil"/>
              <w:bottom w:val="nil"/>
              <w:right w:val="nil"/>
            </w:tcBorders>
            <w:shd w:val="clear" w:color="auto" w:fill="auto"/>
            <w:noWrap/>
            <w:vAlign w:val="bottom"/>
            <w:hideMark/>
          </w:tcPr>
          <w:p w14:paraId="252F41C0" w14:textId="77777777" w:rsidR="001C10CB" w:rsidRPr="001C10CB" w:rsidRDefault="001C10CB" w:rsidP="001C10CB">
            <w:pPr>
              <w:spacing w:after="0" w:line="240" w:lineRule="auto"/>
              <w:rPr>
                <w:rFonts w:ascii="Times New Roman" w:eastAsia="Times New Roman" w:hAnsi="Times New Roman" w:cs="Times New Roman"/>
                <w:b/>
                <w:sz w:val="24"/>
                <w:szCs w:val="24"/>
              </w:rPr>
            </w:pPr>
            <w:r w:rsidRPr="001C10CB">
              <w:rPr>
                <w:rFonts w:ascii="Times New Roman" w:eastAsia="Times New Roman" w:hAnsi="Times New Roman" w:cs="Times New Roman"/>
                <w:b/>
                <w:sz w:val="24"/>
                <w:szCs w:val="24"/>
              </w:rPr>
              <w:t>PI 540425</w:t>
            </w:r>
          </w:p>
        </w:tc>
        <w:tc>
          <w:tcPr>
            <w:tcW w:w="2406" w:type="dxa"/>
            <w:tcBorders>
              <w:top w:val="nil"/>
              <w:left w:val="nil"/>
              <w:bottom w:val="nil"/>
              <w:right w:val="nil"/>
            </w:tcBorders>
            <w:shd w:val="clear" w:color="auto" w:fill="auto"/>
            <w:noWrap/>
            <w:vAlign w:val="bottom"/>
            <w:hideMark/>
          </w:tcPr>
          <w:p w14:paraId="20FA2211"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11BE6BFF"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23542D24" w14:textId="77777777" w:rsidR="001C10CB" w:rsidRPr="006D1DAE" w:rsidRDefault="00B56E48"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 xml:space="preserve">P. annua </w:t>
            </w:r>
          </w:p>
        </w:tc>
        <w:tc>
          <w:tcPr>
            <w:tcW w:w="1890" w:type="dxa"/>
            <w:tcBorders>
              <w:top w:val="nil"/>
              <w:left w:val="nil"/>
              <w:bottom w:val="nil"/>
              <w:right w:val="nil"/>
            </w:tcBorders>
            <w:shd w:val="clear" w:color="auto" w:fill="auto"/>
            <w:noWrap/>
            <w:vAlign w:val="bottom"/>
            <w:hideMark/>
          </w:tcPr>
          <w:p w14:paraId="6F547AC4"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WCGC'</w:t>
            </w:r>
          </w:p>
        </w:tc>
        <w:tc>
          <w:tcPr>
            <w:tcW w:w="2406" w:type="dxa"/>
            <w:tcBorders>
              <w:top w:val="nil"/>
              <w:left w:val="nil"/>
              <w:bottom w:val="nil"/>
              <w:right w:val="nil"/>
            </w:tcBorders>
            <w:shd w:val="clear" w:color="auto" w:fill="auto"/>
            <w:noWrap/>
            <w:vAlign w:val="bottom"/>
            <w:hideMark/>
          </w:tcPr>
          <w:p w14:paraId="16F6B65B"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Stoloniferous</w:t>
            </w:r>
          </w:p>
        </w:tc>
      </w:tr>
      <w:tr w:rsidR="001C10CB" w:rsidRPr="001C10CB" w14:paraId="77B4A97A"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5141CC2F" w14:textId="77777777" w:rsidR="001C10CB" w:rsidRPr="006D1DAE" w:rsidRDefault="00B56E48"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annua</w:t>
            </w:r>
            <w:r w:rsidR="001C10CB" w:rsidRPr="006D1DAE">
              <w:rPr>
                <w:rFonts w:ascii="Times New Roman" w:eastAsia="Times New Roman" w:hAnsi="Times New Roman" w:cs="Times New Roman"/>
                <w:b/>
                <w:i/>
                <w:color w:val="000000"/>
                <w:sz w:val="24"/>
                <w:szCs w:val="24"/>
              </w:rPr>
              <w:t>'</w:t>
            </w:r>
          </w:p>
        </w:tc>
        <w:tc>
          <w:tcPr>
            <w:tcW w:w="1890" w:type="dxa"/>
            <w:tcBorders>
              <w:top w:val="nil"/>
              <w:left w:val="nil"/>
              <w:bottom w:val="nil"/>
              <w:right w:val="nil"/>
            </w:tcBorders>
            <w:shd w:val="clear" w:color="auto" w:fill="auto"/>
            <w:noWrap/>
            <w:vAlign w:val="bottom"/>
            <w:hideMark/>
          </w:tcPr>
          <w:p w14:paraId="644309E7"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CWA</w:t>
            </w:r>
          </w:p>
        </w:tc>
        <w:tc>
          <w:tcPr>
            <w:tcW w:w="2406" w:type="dxa"/>
            <w:tcBorders>
              <w:top w:val="nil"/>
              <w:left w:val="nil"/>
              <w:bottom w:val="nil"/>
              <w:right w:val="nil"/>
            </w:tcBorders>
            <w:shd w:val="clear" w:color="auto" w:fill="auto"/>
            <w:noWrap/>
            <w:vAlign w:val="bottom"/>
            <w:hideMark/>
          </w:tcPr>
          <w:p w14:paraId="7ADFD328"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7BFB0BB9"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68D6A893"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arachnifera</w:t>
            </w:r>
          </w:p>
        </w:tc>
        <w:tc>
          <w:tcPr>
            <w:tcW w:w="1890" w:type="dxa"/>
            <w:tcBorders>
              <w:top w:val="nil"/>
              <w:left w:val="nil"/>
              <w:bottom w:val="nil"/>
              <w:right w:val="nil"/>
            </w:tcBorders>
            <w:shd w:val="clear" w:color="auto" w:fill="auto"/>
            <w:noWrap/>
            <w:vAlign w:val="bottom"/>
            <w:hideMark/>
          </w:tcPr>
          <w:p w14:paraId="0E0E07F7"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W6 17703</w:t>
            </w:r>
          </w:p>
        </w:tc>
        <w:tc>
          <w:tcPr>
            <w:tcW w:w="2406" w:type="dxa"/>
            <w:tcBorders>
              <w:top w:val="nil"/>
              <w:left w:val="nil"/>
              <w:bottom w:val="nil"/>
              <w:right w:val="nil"/>
            </w:tcBorders>
            <w:shd w:val="clear" w:color="auto" w:fill="auto"/>
            <w:noWrap/>
            <w:vAlign w:val="bottom"/>
            <w:hideMark/>
          </w:tcPr>
          <w:p w14:paraId="4B544C2C"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Rhizomatous</w:t>
            </w:r>
          </w:p>
        </w:tc>
      </w:tr>
      <w:tr w:rsidR="001C10CB" w:rsidRPr="001C10CB" w14:paraId="69AFC268"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68FDACF1"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arctica</w:t>
            </w:r>
          </w:p>
        </w:tc>
        <w:tc>
          <w:tcPr>
            <w:tcW w:w="1890" w:type="dxa"/>
            <w:tcBorders>
              <w:top w:val="nil"/>
              <w:left w:val="nil"/>
              <w:bottom w:val="nil"/>
              <w:right w:val="nil"/>
            </w:tcBorders>
            <w:shd w:val="clear" w:color="auto" w:fill="auto"/>
            <w:noWrap/>
            <w:vAlign w:val="bottom"/>
            <w:hideMark/>
          </w:tcPr>
          <w:p w14:paraId="66E099C0"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236901</w:t>
            </w:r>
          </w:p>
        </w:tc>
        <w:tc>
          <w:tcPr>
            <w:tcW w:w="2406" w:type="dxa"/>
            <w:tcBorders>
              <w:top w:val="nil"/>
              <w:left w:val="nil"/>
              <w:bottom w:val="nil"/>
              <w:right w:val="nil"/>
            </w:tcBorders>
            <w:shd w:val="clear" w:color="auto" w:fill="auto"/>
            <w:noWrap/>
            <w:vAlign w:val="bottom"/>
            <w:hideMark/>
          </w:tcPr>
          <w:p w14:paraId="517752C9"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Rhizomatous</w:t>
            </w:r>
          </w:p>
        </w:tc>
      </w:tr>
      <w:tr w:rsidR="001C10CB" w:rsidRPr="001C10CB" w14:paraId="61F3DC17"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16C2045F"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arida</w:t>
            </w:r>
          </w:p>
        </w:tc>
        <w:tc>
          <w:tcPr>
            <w:tcW w:w="1890" w:type="dxa"/>
            <w:tcBorders>
              <w:top w:val="nil"/>
              <w:left w:val="nil"/>
              <w:bottom w:val="nil"/>
              <w:right w:val="nil"/>
            </w:tcBorders>
            <w:shd w:val="clear" w:color="auto" w:fill="auto"/>
            <w:noWrap/>
            <w:vAlign w:val="bottom"/>
            <w:hideMark/>
          </w:tcPr>
          <w:p w14:paraId="2C2E7C44"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578806</w:t>
            </w:r>
          </w:p>
        </w:tc>
        <w:tc>
          <w:tcPr>
            <w:tcW w:w="2406" w:type="dxa"/>
            <w:tcBorders>
              <w:top w:val="nil"/>
              <w:left w:val="nil"/>
              <w:bottom w:val="nil"/>
              <w:right w:val="nil"/>
            </w:tcBorders>
            <w:shd w:val="clear" w:color="auto" w:fill="auto"/>
            <w:noWrap/>
            <w:vAlign w:val="bottom"/>
            <w:hideMark/>
          </w:tcPr>
          <w:p w14:paraId="0E6208AF"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Rhizomatous</w:t>
            </w:r>
          </w:p>
        </w:tc>
      </w:tr>
      <w:tr w:rsidR="001C10CB" w:rsidRPr="001C10CB" w14:paraId="024C8E27"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634F593C"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chaixii</w:t>
            </w:r>
          </w:p>
        </w:tc>
        <w:tc>
          <w:tcPr>
            <w:tcW w:w="1890" w:type="dxa"/>
            <w:tcBorders>
              <w:top w:val="nil"/>
              <w:left w:val="nil"/>
              <w:bottom w:val="nil"/>
              <w:right w:val="nil"/>
            </w:tcBorders>
            <w:shd w:val="clear" w:color="auto" w:fill="auto"/>
            <w:noWrap/>
            <w:vAlign w:val="bottom"/>
            <w:hideMark/>
          </w:tcPr>
          <w:p w14:paraId="761F4ECD"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W6 28274</w:t>
            </w:r>
          </w:p>
        </w:tc>
        <w:tc>
          <w:tcPr>
            <w:tcW w:w="2406" w:type="dxa"/>
            <w:tcBorders>
              <w:top w:val="nil"/>
              <w:left w:val="nil"/>
              <w:bottom w:val="nil"/>
              <w:right w:val="nil"/>
            </w:tcBorders>
            <w:shd w:val="clear" w:color="auto" w:fill="auto"/>
            <w:noWrap/>
            <w:vAlign w:val="bottom"/>
            <w:hideMark/>
          </w:tcPr>
          <w:p w14:paraId="2A1EFFEA"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6B7C41B4"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4DF60EFC"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cita</w:t>
            </w:r>
          </w:p>
        </w:tc>
        <w:tc>
          <w:tcPr>
            <w:tcW w:w="1890" w:type="dxa"/>
            <w:tcBorders>
              <w:top w:val="nil"/>
              <w:left w:val="nil"/>
              <w:bottom w:val="nil"/>
              <w:right w:val="nil"/>
            </w:tcBorders>
            <w:shd w:val="clear" w:color="auto" w:fill="auto"/>
            <w:noWrap/>
            <w:vAlign w:val="bottom"/>
            <w:hideMark/>
          </w:tcPr>
          <w:p w14:paraId="73A9C8D1"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W6 22519</w:t>
            </w:r>
          </w:p>
        </w:tc>
        <w:tc>
          <w:tcPr>
            <w:tcW w:w="2406" w:type="dxa"/>
            <w:tcBorders>
              <w:top w:val="nil"/>
              <w:left w:val="nil"/>
              <w:bottom w:val="nil"/>
              <w:right w:val="nil"/>
            </w:tcBorders>
            <w:shd w:val="clear" w:color="auto" w:fill="auto"/>
            <w:noWrap/>
            <w:vAlign w:val="bottom"/>
            <w:hideMark/>
          </w:tcPr>
          <w:p w14:paraId="5389E0A7"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26939085"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18F18AD5"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colensoi</w:t>
            </w:r>
          </w:p>
        </w:tc>
        <w:tc>
          <w:tcPr>
            <w:tcW w:w="1890" w:type="dxa"/>
            <w:tcBorders>
              <w:top w:val="nil"/>
              <w:left w:val="nil"/>
              <w:bottom w:val="nil"/>
              <w:right w:val="nil"/>
            </w:tcBorders>
            <w:shd w:val="clear" w:color="auto" w:fill="auto"/>
            <w:noWrap/>
            <w:vAlign w:val="bottom"/>
            <w:hideMark/>
          </w:tcPr>
          <w:p w14:paraId="0567CB59"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W6 22527</w:t>
            </w:r>
          </w:p>
        </w:tc>
        <w:tc>
          <w:tcPr>
            <w:tcW w:w="2406" w:type="dxa"/>
            <w:tcBorders>
              <w:top w:val="nil"/>
              <w:left w:val="nil"/>
              <w:bottom w:val="nil"/>
              <w:right w:val="nil"/>
            </w:tcBorders>
            <w:shd w:val="clear" w:color="auto" w:fill="auto"/>
            <w:noWrap/>
            <w:vAlign w:val="bottom"/>
            <w:hideMark/>
          </w:tcPr>
          <w:p w14:paraId="79F0D11F"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0813338A"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061BF458"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compressa</w:t>
            </w:r>
          </w:p>
        </w:tc>
        <w:tc>
          <w:tcPr>
            <w:tcW w:w="1890" w:type="dxa"/>
            <w:tcBorders>
              <w:top w:val="nil"/>
              <w:left w:val="nil"/>
              <w:bottom w:val="nil"/>
              <w:right w:val="nil"/>
            </w:tcBorders>
            <w:shd w:val="clear" w:color="auto" w:fill="auto"/>
            <w:noWrap/>
            <w:vAlign w:val="bottom"/>
            <w:hideMark/>
          </w:tcPr>
          <w:p w14:paraId="79798605"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CC</w:t>
            </w:r>
          </w:p>
        </w:tc>
        <w:tc>
          <w:tcPr>
            <w:tcW w:w="2406" w:type="dxa"/>
            <w:tcBorders>
              <w:top w:val="nil"/>
              <w:left w:val="nil"/>
              <w:bottom w:val="nil"/>
              <w:right w:val="nil"/>
            </w:tcBorders>
            <w:shd w:val="clear" w:color="auto" w:fill="auto"/>
            <w:noWrap/>
            <w:vAlign w:val="bottom"/>
            <w:hideMark/>
          </w:tcPr>
          <w:p w14:paraId="4617548B"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Rhizomatous</w:t>
            </w:r>
          </w:p>
        </w:tc>
      </w:tr>
      <w:tr w:rsidR="001C10CB" w:rsidRPr="001C10CB" w14:paraId="610E76D0"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63ACDCD8"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dusenii</w:t>
            </w:r>
          </w:p>
        </w:tc>
        <w:tc>
          <w:tcPr>
            <w:tcW w:w="1890" w:type="dxa"/>
            <w:tcBorders>
              <w:top w:val="nil"/>
              <w:left w:val="nil"/>
              <w:bottom w:val="nil"/>
              <w:right w:val="nil"/>
            </w:tcBorders>
            <w:shd w:val="clear" w:color="auto" w:fill="auto"/>
            <w:noWrap/>
            <w:vAlign w:val="bottom"/>
            <w:hideMark/>
          </w:tcPr>
          <w:p w14:paraId="79A12EA5"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598733</w:t>
            </w:r>
          </w:p>
        </w:tc>
        <w:tc>
          <w:tcPr>
            <w:tcW w:w="2406" w:type="dxa"/>
            <w:tcBorders>
              <w:top w:val="nil"/>
              <w:left w:val="nil"/>
              <w:bottom w:val="nil"/>
              <w:right w:val="nil"/>
            </w:tcBorders>
            <w:shd w:val="clear" w:color="auto" w:fill="auto"/>
            <w:noWrap/>
            <w:vAlign w:val="bottom"/>
            <w:hideMark/>
          </w:tcPr>
          <w:p w14:paraId="37876A86"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244A705B"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02F0E521"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flexuosa</w:t>
            </w:r>
          </w:p>
        </w:tc>
        <w:tc>
          <w:tcPr>
            <w:tcW w:w="1890" w:type="dxa"/>
            <w:tcBorders>
              <w:top w:val="nil"/>
              <w:left w:val="nil"/>
              <w:bottom w:val="nil"/>
              <w:right w:val="nil"/>
            </w:tcBorders>
            <w:shd w:val="clear" w:color="auto" w:fill="auto"/>
            <w:noWrap/>
            <w:vAlign w:val="bottom"/>
            <w:hideMark/>
          </w:tcPr>
          <w:p w14:paraId="6E92D51D"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W6 25683</w:t>
            </w:r>
          </w:p>
        </w:tc>
        <w:tc>
          <w:tcPr>
            <w:tcW w:w="2406" w:type="dxa"/>
            <w:tcBorders>
              <w:top w:val="nil"/>
              <w:left w:val="nil"/>
              <w:bottom w:val="nil"/>
              <w:right w:val="nil"/>
            </w:tcBorders>
            <w:shd w:val="clear" w:color="auto" w:fill="auto"/>
            <w:noWrap/>
            <w:vAlign w:val="bottom"/>
            <w:hideMark/>
          </w:tcPr>
          <w:p w14:paraId="1206A73C"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584B44BC"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56C51871"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erinacea</w:t>
            </w:r>
          </w:p>
        </w:tc>
        <w:tc>
          <w:tcPr>
            <w:tcW w:w="1890" w:type="dxa"/>
            <w:tcBorders>
              <w:top w:val="nil"/>
              <w:left w:val="nil"/>
              <w:bottom w:val="nil"/>
              <w:right w:val="nil"/>
            </w:tcBorders>
            <w:shd w:val="clear" w:color="auto" w:fill="auto"/>
            <w:noWrap/>
            <w:vAlign w:val="bottom"/>
            <w:hideMark/>
          </w:tcPr>
          <w:p w14:paraId="62478888"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204263</w:t>
            </w:r>
          </w:p>
        </w:tc>
        <w:tc>
          <w:tcPr>
            <w:tcW w:w="2406" w:type="dxa"/>
            <w:tcBorders>
              <w:top w:val="nil"/>
              <w:left w:val="nil"/>
              <w:bottom w:val="nil"/>
              <w:right w:val="nil"/>
            </w:tcBorders>
            <w:shd w:val="clear" w:color="auto" w:fill="auto"/>
            <w:noWrap/>
            <w:vAlign w:val="bottom"/>
            <w:hideMark/>
          </w:tcPr>
          <w:p w14:paraId="6D4DAF4E"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118CBE79"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5A98D4CF"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gilgiana</w:t>
            </w:r>
          </w:p>
        </w:tc>
        <w:tc>
          <w:tcPr>
            <w:tcW w:w="1890" w:type="dxa"/>
            <w:tcBorders>
              <w:top w:val="nil"/>
              <w:left w:val="nil"/>
              <w:bottom w:val="nil"/>
              <w:right w:val="nil"/>
            </w:tcBorders>
            <w:shd w:val="clear" w:color="auto" w:fill="auto"/>
            <w:noWrap/>
            <w:vAlign w:val="bottom"/>
            <w:hideMark/>
          </w:tcPr>
          <w:p w14:paraId="3428F459"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478581</w:t>
            </w:r>
          </w:p>
        </w:tc>
        <w:tc>
          <w:tcPr>
            <w:tcW w:w="2406" w:type="dxa"/>
            <w:tcBorders>
              <w:top w:val="nil"/>
              <w:left w:val="nil"/>
              <w:bottom w:val="nil"/>
              <w:right w:val="nil"/>
            </w:tcBorders>
            <w:shd w:val="clear" w:color="auto" w:fill="auto"/>
            <w:noWrap/>
            <w:vAlign w:val="bottom"/>
            <w:hideMark/>
          </w:tcPr>
          <w:p w14:paraId="2232CA6F"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7834B7F9"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5F73D9A2"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hybrida</w:t>
            </w:r>
          </w:p>
        </w:tc>
        <w:tc>
          <w:tcPr>
            <w:tcW w:w="1890" w:type="dxa"/>
            <w:tcBorders>
              <w:top w:val="nil"/>
              <w:left w:val="nil"/>
              <w:bottom w:val="nil"/>
              <w:right w:val="nil"/>
            </w:tcBorders>
            <w:shd w:val="clear" w:color="auto" w:fill="auto"/>
            <w:noWrap/>
            <w:vAlign w:val="bottom"/>
            <w:hideMark/>
          </w:tcPr>
          <w:p w14:paraId="7A710619"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249765</w:t>
            </w:r>
          </w:p>
        </w:tc>
        <w:tc>
          <w:tcPr>
            <w:tcW w:w="2406" w:type="dxa"/>
            <w:tcBorders>
              <w:top w:val="nil"/>
              <w:left w:val="nil"/>
              <w:bottom w:val="nil"/>
              <w:right w:val="nil"/>
            </w:tcBorders>
            <w:shd w:val="clear" w:color="auto" w:fill="auto"/>
            <w:noWrap/>
            <w:vAlign w:val="bottom"/>
            <w:hideMark/>
          </w:tcPr>
          <w:p w14:paraId="5D03DCA6"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6AD10FB9"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1982CC56"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iridifolia</w:t>
            </w:r>
          </w:p>
        </w:tc>
        <w:tc>
          <w:tcPr>
            <w:tcW w:w="1890" w:type="dxa"/>
            <w:tcBorders>
              <w:top w:val="nil"/>
              <w:left w:val="nil"/>
              <w:bottom w:val="nil"/>
              <w:right w:val="nil"/>
            </w:tcBorders>
            <w:shd w:val="clear" w:color="auto" w:fill="auto"/>
            <w:noWrap/>
            <w:vAlign w:val="bottom"/>
            <w:hideMark/>
          </w:tcPr>
          <w:p w14:paraId="49E5C2E7"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154882</w:t>
            </w:r>
          </w:p>
        </w:tc>
        <w:tc>
          <w:tcPr>
            <w:tcW w:w="2406" w:type="dxa"/>
            <w:tcBorders>
              <w:top w:val="nil"/>
              <w:left w:val="nil"/>
              <w:bottom w:val="nil"/>
              <w:right w:val="nil"/>
            </w:tcBorders>
            <w:shd w:val="clear" w:color="auto" w:fill="auto"/>
            <w:noWrap/>
            <w:vAlign w:val="bottom"/>
            <w:hideMark/>
          </w:tcPr>
          <w:p w14:paraId="0E72F296"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5793FD72"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715524FD"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lanigera</w:t>
            </w:r>
          </w:p>
        </w:tc>
        <w:tc>
          <w:tcPr>
            <w:tcW w:w="1890" w:type="dxa"/>
            <w:tcBorders>
              <w:top w:val="nil"/>
              <w:left w:val="nil"/>
              <w:bottom w:val="nil"/>
              <w:right w:val="nil"/>
            </w:tcBorders>
            <w:shd w:val="clear" w:color="auto" w:fill="auto"/>
            <w:noWrap/>
            <w:vAlign w:val="bottom"/>
            <w:hideMark/>
          </w:tcPr>
          <w:p w14:paraId="6A78F69E"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477105</w:t>
            </w:r>
          </w:p>
        </w:tc>
        <w:tc>
          <w:tcPr>
            <w:tcW w:w="2406" w:type="dxa"/>
            <w:tcBorders>
              <w:top w:val="nil"/>
              <w:left w:val="nil"/>
              <w:bottom w:val="nil"/>
              <w:right w:val="nil"/>
            </w:tcBorders>
            <w:shd w:val="clear" w:color="auto" w:fill="auto"/>
            <w:noWrap/>
            <w:vAlign w:val="bottom"/>
            <w:hideMark/>
          </w:tcPr>
          <w:p w14:paraId="3D99FD37"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35779C8A"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636EEFC7"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lanuginosa</w:t>
            </w:r>
          </w:p>
        </w:tc>
        <w:tc>
          <w:tcPr>
            <w:tcW w:w="1890" w:type="dxa"/>
            <w:tcBorders>
              <w:top w:val="nil"/>
              <w:left w:val="nil"/>
              <w:bottom w:val="nil"/>
              <w:right w:val="nil"/>
            </w:tcBorders>
            <w:shd w:val="clear" w:color="auto" w:fill="auto"/>
            <w:noWrap/>
            <w:vAlign w:val="bottom"/>
            <w:hideMark/>
          </w:tcPr>
          <w:p w14:paraId="31F19EAE"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269649</w:t>
            </w:r>
          </w:p>
        </w:tc>
        <w:tc>
          <w:tcPr>
            <w:tcW w:w="2406" w:type="dxa"/>
            <w:tcBorders>
              <w:top w:val="nil"/>
              <w:left w:val="nil"/>
              <w:bottom w:val="nil"/>
              <w:right w:val="nil"/>
            </w:tcBorders>
            <w:shd w:val="clear" w:color="auto" w:fill="auto"/>
            <w:noWrap/>
            <w:vAlign w:val="bottom"/>
            <w:hideMark/>
          </w:tcPr>
          <w:p w14:paraId="1D613694"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517E1397"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48BD2CA1"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ligularis</w:t>
            </w:r>
          </w:p>
        </w:tc>
        <w:tc>
          <w:tcPr>
            <w:tcW w:w="1890" w:type="dxa"/>
            <w:tcBorders>
              <w:top w:val="nil"/>
              <w:left w:val="nil"/>
              <w:bottom w:val="nil"/>
              <w:right w:val="nil"/>
            </w:tcBorders>
            <w:shd w:val="clear" w:color="auto" w:fill="auto"/>
            <w:noWrap/>
            <w:vAlign w:val="bottom"/>
            <w:hideMark/>
          </w:tcPr>
          <w:p w14:paraId="1C65F5CE"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284255</w:t>
            </w:r>
          </w:p>
        </w:tc>
        <w:tc>
          <w:tcPr>
            <w:tcW w:w="2406" w:type="dxa"/>
            <w:tcBorders>
              <w:top w:val="nil"/>
              <w:left w:val="nil"/>
              <w:bottom w:val="nil"/>
              <w:right w:val="nil"/>
            </w:tcBorders>
            <w:shd w:val="clear" w:color="auto" w:fill="auto"/>
            <w:noWrap/>
            <w:vAlign w:val="bottom"/>
            <w:hideMark/>
          </w:tcPr>
          <w:p w14:paraId="0E93A719"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55FF1571"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6CC279D2"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ligulata</w:t>
            </w:r>
          </w:p>
        </w:tc>
        <w:tc>
          <w:tcPr>
            <w:tcW w:w="1890" w:type="dxa"/>
            <w:tcBorders>
              <w:top w:val="nil"/>
              <w:left w:val="nil"/>
              <w:bottom w:val="nil"/>
              <w:right w:val="nil"/>
            </w:tcBorders>
            <w:shd w:val="clear" w:color="auto" w:fill="auto"/>
            <w:noWrap/>
            <w:vAlign w:val="bottom"/>
            <w:hideMark/>
          </w:tcPr>
          <w:p w14:paraId="7BC851B1"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517033</w:t>
            </w:r>
          </w:p>
        </w:tc>
        <w:tc>
          <w:tcPr>
            <w:tcW w:w="2406" w:type="dxa"/>
            <w:tcBorders>
              <w:top w:val="nil"/>
              <w:left w:val="nil"/>
              <w:bottom w:val="nil"/>
              <w:right w:val="nil"/>
            </w:tcBorders>
            <w:shd w:val="clear" w:color="auto" w:fill="auto"/>
            <w:noWrap/>
            <w:vAlign w:val="bottom"/>
            <w:hideMark/>
          </w:tcPr>
          <w:p w14:paraId="4EF2DC6D"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0D60779E"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35E673B5"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lindsayi</w:t>
            </w:r>
          </w:p>
        </w:tc>
        <w:tc>
          <w:tcPr>
            <w:tcW w:w="1890" w:type="dxa"/>
            <w:tcBorders>
              <w:top w:val="nil"/>
              <w:left w:val="nil"/>
              <w:bottom w:val="nil"/>
              <w:right w:val="nil"/>
            </w:tcBorders>
            <w:shd w:val="clear" w:color="auto" w:fill="auto"/>
            <w:noWrap/>
            <w:vAlign w:val="bottom"/>
            <w:hideMark/>
          </w:tcPr>
          <w:p w14:paraId="64F1B08E"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237163</w:t>
            </w:r>
          </w:p>
        </w:tc>
        <w:tc>
          <w:tcPr>
            <w:tcW w:w="2406" w:type="dxa"/>
            <w:tcBorders>
              <w:top w:val="nil"/>
              <w:left w:val="nil"/>
              <w:bottom w:val="nil"/>
              <w:right w:val="nil"/>
            </w:tcBorders>
            <w:shd w:val="clear" w:color="auto" w:fill="auto"/>
            <w:noWrap/>
            <w:vAlign w:val="bottom"/>
            <w:hideMark/>
          </w:tcPr>
          <w:p w14:paraId="270F3491"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3F89B609"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48D9B32D"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longifolia</w:t>
            </w:r>
          </w:p>
        </w:tc>
        <w:tc>
          <w:tcPr>
            <w:tcW w:w="1890" w:type="dxa"/>
            <w:tcBorders>
              <w:top w:val="nil"/>
              <w:left w:val="nil"/>
              <w:bottom w:val="nil"/>
              <w:right w:val="nil"/>
            </w:tcBorders>
            <w:shd w:val="clear" w:color="auto" w:fill="auto"/>
            <w:noWrap/>
            <w:vAlign w:val="bottom"/>
            <w:hideMark/>
          </w:tcPr>
          <w:p w14:paraId="62BBA9D3"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380991</w:t>
            </w:r>
          </w:p>
        </w:tc>
        <w:tc>
          <w:tcPr>
            <w:tcW w:w="2406" w:type="dxa"/>
            <w:tcBorders>
              <w:top w:val="nil"/>
              <w:left w:val="nil"/>
              <w:bottom w:val="nil"/>
              <w:right w:val="nil"/>
            </w:tcBorders>
            <w:shd w:val="clear" w:color="auto" w:fill="auto"/>
            <w:noWrap/>
            <w:vAlign w:val="bottom"/>
            <w:hideMark/>
          </w:tcPr>
          <w:p w14:paraId="546EF3BF"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7AEF29DD"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21195455"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marcantha</w:t>
            </w:r>
          </w:p>
        </w:tc>
        <w:tc>
          <w:tcPr>
            <w:tcW w:w="1890" w:type="dxa"/>
            <w:tcBorders>
              <w:top w:val="nil"/>
              <w:left w:val="nil"/>
              <w:bottom w:val="nil"/>
              <w:right w:val="nil"/>
            </w:tcBorders>
            <w:shd w:val="clear" w:color="auto" w:fill="auto"/>
            <w:noWrap/>
            <w:vAlign w:val="bottom"/>
            <w:hideMark/>
          </w:tcPr>
          <w:p w14:paraId="63C50B48"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W6 26828</w:t>
            </w:r>
          </w:p>
        </w:tc>
        <w:tc>
          <w:tcPr>
            <w:tcW w:w="2406" w:type="dxa"/>
            <w:tcBorders>
              <w:top w:val="nil"/>
              <w:left w:val="nil"/>
              <w:bottom w:val="nil"/>
              <w:right w:val="nil"/>
            </w:tcBorders>
            <w:shd w:val="clear" w:color="auto" w:fill="auto"/>
            <w:noWrap/>
            <w:vAlign w:val="bottom"/>
            <w:hideMark/>
          </w:tcPr>
          <w:p w14:paraId="194EB129"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633A5853"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4425F76D"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maniototo</w:t>
            </w:r>
          </w:p>
        </w:tc>
        <w:tc>
          <w:tcPr>
            <w:tcW w:w="1890" w:type="dxa"/>
            <w:tcBorders>
              <w:top w:val="nil"/>
              <w:left w:val="nil"/>
              <w:bottom w:val="nil"/>
              <w:right w:val="nil"/>
            </w:tcBorders>
            <w:shd w:val="clear" w:color="auto" w:fill="auto"/>
            <w:noWrap/>
            <w:vAlign w:val="bottom"/>
            <w:hideMark/>
          </w:tcPr>
          <w:p w14:paraId="7F91D90D"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237164</w:t>
            </w:r>
          </w:p>
        </w:tc>
        <w:tc>
          <w:tcPr>
            <w:tcW w:w="2406" w:type="dxa"/>
            <w:tcBorders>
              <w:top w:val="nil"/>
              <w:left w:val="nil"/>
              <w:bottom w:val="nil"/>
              <w:right w:val="nil"/>
            </w:tcBorders>
            <w:shd w:val="clear" w:color="auto" w:fill="auto"/>
            <w:noWrap/>
            <w:vAlign w:val="bottom"/>
            <w:hideMark/>
          </w:tcPr>
          <w:p w14:paraId="1940BA5E"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Rhizomatous</w:t>
            </w:r>
          </w:p>
        </w:tc>
      </w:tr>
      <w:tr w:rsidR="001C10CB" w:rsidRPr="001C10CB" w14:paraId="3E317816"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505B607D"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nemoralis</w:t>
            </w:r>
          </w:p>
        </w:tc>
        <w:tc>
          <w:tcPr>
            <w:tcW w:w="1890" w:type="dxa"/>
            <w:tcBorders>
              <w:top w:val="nil"/>
              <w:left w:val="nil"/>
              <w:bottom w:val="nil"/>
              <w:right w:val="nil"/>
            </w:tcBorders>
            <w:shd w:val="clear" w:color="auto" w:fill="auto"/>
            <w:noWrap/>
            <w:vAlign w:val="bottom"/>
            <w:hideMark/>
          </w:tcPr>
          <w:p w14:paraId="5C916A4F"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442544</w:t>
            </w:r>
          </w:p>
        </w:tc>
        <w:tc>
          <w:tcPr>
            <w:tcW w:w="2406" w:type="dxa"/>
            <w:tcBorders>
              <w:top w:val="nil"/>
              <w:left w:val="nil"/>
              <w:bottom w:val="nil"/>
              <w:right w:val="nil"/>
            </w:tcBorders>
            <w:shd w:val="clear" w:color="auto" w:fill="auto"/>
            <w:noWrap/>
            <w:vAlign w:val="bottom"/>
            <w:hideMark/>
          </w:tcPr>
          <w:p w14:paraId="51A83CCD"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1DB5E4F2"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0AD8C840"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nervosa</w:t>
            </w:r>
          </w:p>
        </w:tc>
        <w:tc>
          <w:tcPr>
            <w:tcW w:w="1890" w:type="dxa"/>
            <w:tcBorders>
              <w:top w:val="nil"/>
              <w:left w:val="nil"/>
              <w:bottom w:val="nil"/>
              <w:right w:val="nil"/>
            </w:tcBorders>
            <w:shd w:val="clear" w:color="auto" w:fill="auto"/>
            <w:noWrap/>
            <w:vAlign w:val="bottom"/>
            <w:hideMark/>
          </w:tcPr>
          <w:p w14:paraId="3986F413"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232352</w:t>
            </w:r>
          </w:p>
        </w:tc>
        <w:tc>
          <w:tcPr>
            <w:tcW w:w="2406" w:type="dxa"/>
            <w:tcBorders>
              <w:top w:val="nil"/>
              <w:left w:val="nil"/>
              <w:bottom w:val="nil"/>
              <w:right w:val="nil"/>
            </w:tcBorders>
            <w:shd w:val="clear" w:color="auto" w:fill="auto"/>
            <w:noWrap/>
            <w:vAlign w:val="bottom"/>
            <w:hideMark/>
          </w:tcPr>
          <w:p w14:paraId="094E58EB"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Rhizomatous</w:t>
            </w:r>
          </w:p>
        </w:tc>
      </w:tr>
      <w:tr w:rsidR="001C10CB" w:rsidRPr="001C10CB" w14:paraId="694F5F30"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661CECE1"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palustris</w:t>
            </w:r>
          </w:p>
        </w:tc>
        <w:tc>
          <w:tcPr>
            <w:tcW w:w="1890" w:type="dxa"/>
            <w:tcBorders>
              <w:top w:val="nil"/>
              <w:left w:val="nil"/>
              <w:bottom w:val="nil"/>
              <w:right w:val="nil"/>
            </w:tcBorders>
            <w:shd w:val="clear" w:color="auto" w:fill="auto"/>
            <w:noWrap/>
            <w:vAlign w:val="bottom"/>
            <w:hideMark/>
          </w:tcPr>
          <w:p w14:paraId="7EB87330"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274644</w:t>
            </w:r>
          </w:p>
        </w:tc>
        <w:tc>
          <w:tcPr>
            <w:tcW w:w="2406" w:type="dxa"/>
            <w:tcBorders>
              <w:top w:val="nil"/>
              <w:left w:val="nil"/>
              <w:bottom w:val="nil"/>
              <w:right w:val="nil"/>
            </w:tcBorders>
            <w:shd w:val="clear" w:color="auto" w:fill="auto"/>
            <w:noWrap/>
            <w:vAlign w:val="bottom"/>
            <w:hideMark/>
          </w:tcPr>
          <w:p w14:paraId="0527F785"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636FA93C"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2503A548"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 xml:space="preserve">P. pratensis </w:t>
            </w:r>
          </w:p>
        </w:tc>
        <w:tc>
          <w:tcPr>
            <w:tcW w:w="1890" w:type="dxa"/>
            <w:tcBorders>
              <w:top w:val="nil"/>
              <w:left w:val="nil"/>
              <w:bottom w:val="nil"/>
              <w:right w:val="nil"/>
            </w:tcBorders>
            <w:shd w:val="clear" w:color="auto" w:fill="auto"/>
            <w:noWrap/>
            <w:vAlign w:val="bottom"/>
            <w:hideMark/>
          </w:tcPr>
          <w:p w14:paraId="17E883C4"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GC</w:t>
            </w:r>
          </w:p>
        </w:tc>
        <w:tc>
          <w:tcPr>
            <w:tcW w:w="2406" w:type="dxa"/>
            <w:tcBorders>
              <w:top w:val="nil"/>
              <w:left w:val="nil"/>
              <w:bottom w:val="nil"/>
              <w:right w:val="nil"/>
            </w:tcBorders>
            <w:shd w:val="clear" w:color="auto" w:fill="auto"/>
            <w:noWrap/>
            <w:vAlign w:val="bottom"/>
            <w:hideMark/>
          </w:tcPr>
          <w:p w14:paraId="4E13AA0E"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Rhizomatous</w:t>
            </w:r>
          </w:p>
        </w:tc>
      </w:tr>
      <w:tr w:rsidR="001C10CB" w:rsidRPr="001C10CB" w14:paraId="026F21A0"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4DBC4DF2"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 xml:space="preserve">P. pratensis </w:t>
            </w:r>
          </w:p>
        </w:tc>
        <w:tc>
          <w:tcPr>
            <w:tcW w:w="1890" w:type="dxa"/>
            <w:tcBorders>
              <w:top w:val="nil"/>
              <w:left w:val="nil"/>
              <w:bottom w:val="nil"/>
              <w:right w:val="nil"/>
            </w:tcBorders>
            <w:shd w:val="clear" w:color="auto" w:fill="auto"/>
            <w:noWrap/>
            <w:vAlign w:val="bottom"/>
            <w:hideMark/>
          </w:tcPr>
          <w:p w14:paraId="4C070D03"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Kenblue</w:t>
            </w:r>
          </w:p>
        </w:tc>
        <w:tc>
          <w:tcPr>
            <w:tcW w:w="2406" w:type="dxa"/>
            <w:tcBorders>
              <w:top w:val="nil"/>
              <w:left w:val="nil"/>
              <w:bottom w:val="nil"/>
              <w:right w:val="nil"/>
            </w:tcBorders>
            <w:shd w:val="clear" w:color="auto" w:fill="auto"/>
            <w:noWrap/>
            <w:vAlign w:val="bottom"/>
            <w:hideMark/>
          </w:tcPr>
          <w:p w14:paraId="458B0C99"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Rhizomatous</w:t>
            </w:r>
          </w:p>
        </w:tc>
      </w:tr>
      <w:tr w:rsidR="001C10CB" w:rsidRPr="001C10CB" w14:paraId="7C2EF562"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7C69BB02"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 xml:space="preserve">P. pratensis </w:t>
            </w:r>
          </w:p>
        </w:tc>
        <w:tc>
          <w:tcPr>
            <w:tcW w:w="1890" w:type="dxa"/>
            <w:tcBorders>
              <w:top w:val="nil"/>
              <w:left w:val="nil"/>
              <w:bottom w:val="nil"/>
              <w:right w:val="nil"/>
            </w:tcBorders>
            <w:shd w:val="clear" w:color="auto" w:fill="auto"/>
            <w:noWrap/>
            <w:vAlign w:val="bottom"/>
            <w:hideMark/>
          </w:tcPr>
          <w:p w14:paraId="7F382B4B"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Midnight Star</w:t>
            </w:r>
          </w:p>
        </w:tc>
        <w:tc>
          <w:tcPr>
            <w:tcW w:w="2406" w:type="dxa"/>
            <w:tcBorders>
              <w:top w:val="nil"/>
              <w:left w:val="nil"/>
              <w:bottom w:val="nil"/>
              <w:right w:val="nil"/>
            </w:tcBorders>
            <w:shd w:val="clear" w:color="auto" w:fill="auto"/>
            <w:noWrap/>
            <w:vAlign w:val="bottom"/>
            <w:hideMark/>
          </w:tcPr>
          <w:p w14:paraId="28E1DED9"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Rhizomatous</w:t>
            </w:r>
          </w:p>
        </w:tc>
      </w:tr>
      <w:tr w:rsidR="001C10CB" w:rsidRPr="001C10CB" w14:paraId="0D7987A1"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3088A68A"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 xml:space="preserve">P. arachnifera x P. pratensis </w:t>
            </w:r>
          </w:p>
        </w:tc>
        <w:tc>
          <w:tcPr>
            <w:tcW w:w="1890" w:type="dxa"/>
            <w:tcBorders>
              <w:top w:val="nil"/>
              <w:left w:val="nil"/>
              <w:bottom w:val="nil"/>
              <w:right w:val="nil"/>
            </w:tcBorders>
            <w:shd w:val="clear" w:color="auto" w:fill="auto"/>
            <w:noWrap/>
            <w:vAlign w:val="bottom"/>
            <w:hideMark/>
          </w:tcPr>
          <w:p w14:paraId="0569D261"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Thermal Blue</w:t>
            </w:r>
          </w:p>
        </w:tc>
        <w:tc>
          <w:tcPr>
            <w:tcW w:w="2406" w:type="dxa"/>
            <w:tcBorders>
              <w:top w:val="nil"/>
              <w:left w:val="nil"/>
              <w:bottom w:val="nil"/>
              <w:right w:val="nil"/>
            </w:tcBorders>
            <w:shd w:val="clear" w:color="auto" w:fill="auto"/>
            <w:noWrap/>
            <w:vAlign w:val="bottom"/>
            <w:hideMark/>
          </w:tcPr>
          <w:p w14:paraId="47B88956"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Rhizomatous</w:t>
            </w:r>
          </w:p>
        </w:tc>
      </w:tr>
      <w:tr w:rsidR="001C10CB" w:rsidRPr="001C10CB" w14:paraId="337C364D"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0A54E7BC"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 xml:space="preserve">P. arachnifera x P. pratensis </w:t>
            </w:r>
          </w:p>
        </w:tc>
        <w:tc>
          <w:tcPr>
            <w:tcW w:w="1890" w:type="dxa"/>
            <w:tcBorders>
              <w:top w:val="nil"/>
              <w:left w:val="nil"/>
              <w:bottom w:val="nil"/>
              <w:right w:val="nil"/>
            </w:tcBorders>
            <w:shd w:val="clear" w:color="auto" w:fill="auto"/>
            <w:noWrap/>
            <w:vAlign w:val="bottom"/>
            <w:hideMark/>
          </w:tcPr>
          <w:p w14:paraId="764ACC45"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Armadillo</w:t>
            </w:r>
          </w:p>
        </w:tc>
        <w:tc>
          <w:tcPr>
            <w:tcW w:w="2406" w:type="dxa"/>
            <w:tcBorders>
              <w:top w:val="nil"/>
              <w:left w:val="nil"/>
              <w:bottom w:val="nil"/>
              <w:right w:val="nil"/>
            </w:tcBorders>
            <w:shd w:val="clear" w:color="auto" w:fill="auto"/>
            <w:noWrap/>
            <w:vAlign w:val="bottom"/>
            <w:hideMark/>
          </w:tcPr>
          <w:p w14:paraId="2E8B5D04"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Rhizomatous</w:t>
            </w:r>
          </w:p>
        </w:tc>
      </w:tr>
      <w:tr w:rsidR="001C10CB" w:rsidRPr="001C10CB" w14:paraId="49A06769"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3F3BE544"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poecila</w:t>
            </w:r>
          </w:p>
        </w:tc>
        <w:tc>
          <w:tcPr>
            <w:tcW w:w="1890" w:type="dxa"/>
            <w:tcBorders>
              <w:top w:val="nil"/>
              <w:left w:val="nil"/>
              <w:bottom w:val="nil"/>
              <w:right w:val="nil"/>
            </w:tcBorders>
            <w:shd w:val="clear" w:color="auto" w:fill="auto"/>
            <w:noWrap/>
            <w:vAlign w:val="bottom"/>
            <w:hideMark/>
          </w:tcPr>
          <w:p w14:paraId="77D72B81"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W6 13851</w:t>
            </w:r>
          </w:p>
        </w:tc>
        <w:tc>
          <w:tcPr>
            <w:tcW w:w="2406" w:type="dxa"/>
            <w:tcBorders>
              <w:top w:val="nil"/>
              <w:left w:val="nil"/>
              <w:bottom w:val="nil"/>
              <w:right w:val="nil"/>
            </w:tcBorders>
            <w:shd w:val="clear" w:color="auto" w:fill="auto"/>
            <w:noWrap/>
            <w:vAlign w:val="bottom"/>
            <w:hideMark/>
          </w:tcPr>
          <w:p w14:paraId="14ACF0D9"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101727C5"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29ABF1ED"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psilolepis</w:t>
            </w:r>
          </w:p>
        </w:tc>
        <w:tc>
          <w:tcPr>
            <w:tcW w:w="1890" w:type="dxa"/>
            <w:tcBorders>
              <w:top w:val="nil"/>
              <w:left w:val="nil"/>
              <w:bottom w:val="nil"/>
              <w:right w:val="nil"/>
            </w:tcBorders>
            <w:shd w:val="clear" w:color="auto" w:fill="auto"/>
            <w:noWrap/>
            <w:vAlign w:val="bottom"/>
            <w:hideMark/>
          </w:tcPr>
          <w:p w14:paraId="446CCF37"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W6 23610</w:t>
            </w:r>
          </w:p>
        </w:tc>
        <w:tc>
          <w:tcPr>
            <w:tcW w:w="2406" w:type="dxa"/>
            <w:tcBorders>
              <w:top w:val="nil"/>
              <w:left w:val="nil"/>
              <w:bottom w:val="nil"/>
              <w:right w:val="nil"/>
            </w:tcBorders>
            <w:shd w:val="clear" w:color="auto" w:fill="auto"/>
            <w:noWrap/>
            <w:vAlign w:val="bottom"/>
            <w:hideMark/>
          </w:tcPr>
          <w:p w14:paraId="1D563AB6"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5475B3" w:rsidRPr="001C10CB" w14:paraId="114F661C" w14:textId="77777777" w:rsidTr="00D34BB9">
        <w:trPr>
          <w:trHeight w:val="300"/>
          <w:jc w:val="center"/>
        </w:trPr>
        <w:tc>
          <w:tcPr>
            <w:tcW w:w="7332" w:type="dxa"/>
            <w:gridSpan w:val="3"/>
            <w:tcBorders>
              <w:top w:val="nil"/>
              <w:left w:val="nil"/>
              <w:bottom w:val="nil"/>
              <w:right w:val="nil"/>
            </w:tcBorders>
            <w:shd w:val="clear" w:color="auto" w:fill="auto"/>
            <w:noWrap/>
            <w:vAlign w:val="bottom"/>
          </w:tcPr>
          <w:p w14:paraId="635D6743" w14:textId="77777777" w:rsidR="005475B3" w:rsidRPr="001C10CB" w:rsidRDefault="005475B3"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lastRenderedPageBreak/>
              <w:t>T</w:t>
            </w:r>
            <w:r>
              <w:rPr>
                <w:rFonts w:ascii="Times New Roman" w:eastAsia="Times New Roman" w:hAnsi="Times New Roman" w:cs="Times New Roman"/>
                <w:b/>
                <w:color w:val="000000"/>
                <w:sz w:val="24"/>
                <w:szCs w:val="24"/>
              </w:rPr>
              <w:t>able E.1. Continued</w:t>
            </w:r>
          </w:p>
        </w:tc>
      </w:tr>
      <w:tr w:rsidR="005475B3" w:rsidRPr="001C10CB" w14:paraId="63F0E42A" w14:textId="77777777" w:rsidTr="00D34BB9">
        <w:trPr>
          <w:trHeight w:val="300"/>
          <w:jc w:val="center"/>
        </w:trPr>
        <w:tc>
          <w:tcPr>
            <w:tcW w:w="3036" w:type="dxa"/>
            <w:tcBorders>
              <w:top w:val="nil"/>
              <w:left w:val="nil"/>
              <w:bottom w:val="single" w:sz="4" w:space="0" w:color="auto"/>
              <w:right w:val="nil"/>
            </w:tcBorders>
            <w:shd w:val="clear" w:color="auto" w:fill="auto"/>
            <w:noWrap/>
            <w:vAlign w:val="bottom"/>
            <w:hideMark/>
          </w:tcPr>
          <w:p w14:paraId="2E0D01CF" w14:textId="77777777" w:rsidR="005475B3" w:rsidRPr="001C10CB" w:rsidRDefault="005475B3" w:rsidP="00D34BB9">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Species</w:t>
            </w:r>
          </w:p>
        </w:tc>
        <w:tc>
          <w:tcPr>
            <w:tcW w:w="1890" w:type="dxa"/>
            <w:tcBorders>
              <w:top w:val="nil"/>
              <w:left w:val="nil"/>
              <w:bottom w:val="single" w:sz="4" w:space="0" w:color="auto"/>
              <w:right w:val="nil"/>
            </w:tcBorders>
            <w:shd w:val="clear" w:color="auto" w:fill="auto"/>
            <w:noWrap/>
            <w:vAlign w:val="bottom"/>
            <w:hideMark/>
          </w:tcPr>
          <w:p w14:paraId="440B4089" w14:textId="77777777" w:rsidR="005475B3" w:rsidRPr="001C10CB" w:rsidRDefault="005475B3" w:rsidP="00D34BB9">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Identifier</w:t>
            </w:r>
          </w:p>
        </w:tc>
        <w:tc>
          <w:tcPr>
            <w:tcW w:w="2406" w:type="dxa"/>
            <w:tcBorders>
              <w:top w:val="nil"/>
              <w:left w:val="nil"/>
              <w:bottom w:val="single" w:sz="4" w:space="0" w:color="auto"/>
              <w:right w:val="nil"/>
            </w:tcBorders>
            <w:shd w:val="clear" w:color="auto" w:fill="auto"/>
            <w:noWrap/>
            <w:vAlign w:val="bottom"/>
            <w:hideMark/>
          </w:tcPr>
          <w:p w14:paraId="7EB7958B" w14:textId="77777777" w:rsidR="005475B3" w:rsidRPr="001C10CB" w:rsidRDefault="005475B3" w:rsidP="00D34BB9">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Growth habit</w:t>
            </w:r>
          </w:p>
        </w:tc>
      </w:tr>
      <w:tr w:rsidR="001C10CB" w:rsidRPr="001C10CB" w14:paraId="770F5EB0"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2B6E040A"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secunda</w:t>
            </w:r>
          </w:p>
        </w:tc>
        <w:tc>
          <w:tcPr>
            <w:tcW w:w="1890" w:type="dxa"/>
            <w:tcBorders>
              <w:top w:val="nil"/>
              <w:left w:val="nil"/>
              <w:bottom w:val="nil"/>
              <w:right w:val="nil"/>
            </w:tcBorders>
            <w:shd w:val="clear" w:color="auto" w:fill="auto"/>
            <w:noWrap/>
            <w:vAlign w:val="bottom"/>
            <w:hideMark/>
          </w:tcPr>
          <w:p w14:paraId="369DB2E0"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578850</w:t>
            </w:r>
          </w:p>
        </w:tc>
        <w:tc>
          <w:tcPr>
            <w:tcW w:w="2406" w:type="dxa"/>
            <w:tcBorders>
              <w:top w:val="nil"/>
              <w:left w:val="nil"/>
              <w:bottom w:val="nil"/>
              <w:right w:val="nil"/>
            </w:tcBorders>
            <w:shd w:val="clear" w:color="auto" w:fill="auto"/>
            <w:noWrap/>
            <w:vAlign w:val="bottom"/>
            <w:hideMark/>
          </w:tcPr>
          <w:p w14:paraId="5AE3FA8A"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248B5C1F"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23B08EFC"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sieberiana</w:t>
            </w:r>
          </w:p>
        </w:tc>
        <w:tc>
          <w:tcPr>
            <w:tcW w:w="1890" w:type="dxa"/>
            <w:tcBorders>
              <w:top w:val="nil"/>
              <w:left w:val="nil"/>
              <w:bottom w:val="nil"/>
              <w:right w:val="nil"/>
            </w:tcBorders>
            <w:shd w:val="clear" w:color="auto" w:fill="auto"/>
            <w:noWrap/>
            <w:vAlign w:val="bottom"/>
            <w:hideMark/>
          </w:tcPr>
          <w:p w14:paraId="476A1590"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282383</w:t>
            </w:r>
          </w:p>
        </w:tc>
        <w:tc>
          <w:tcPr>
            <w:tcW w:w="2406" w:type="dxa"/>
            <w:tcBorders>
              <w:top w:val="nil"/>
              <w:left w:val="nil"/>
              <w:bottom w:val="nil"/>
              <w:right w:val="nil"/>
            </w:tcBorders>
            <w:shd w:val="clear" w:color="auto" w:fill="auto"/>
            <w:noWrap/>
            <w:vAlign w:val="bottom"/>
            <w:hideMark/>
          </w:tcPr>
          <w:p w14:paraId="4BCA221C"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Bunch</w:t>
            </w:r>
          </w:p>
        </w:tc>
      </w:tr>
      <w:tr w:rsidR="001C10CB" w:rsidRPr="001C10CB" w14:paraId="2B1EBF71"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1159E3D6"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stiriaca</w:t>
            </w:r>
          </w:p>
        </w:tc>
        <w:tc>
          <w:tcPr>
            <w:tcW w:w="1890" w:type="dxa"/>
            <w:tcBorders>
              <w:top w:val="nil"/>
              <w:left w:val="nil"/>
              <w:bottom w:val="nil"/>
              <w:right w:val="nil"/>
            </w:tcBorders>
            <w:shd w:val="clear" w:color="auto" w:fill="auto"/>
            <w:noWrap/>
            <w:vAlign w:val="bottom"/>
            <w:hideMark/>
          </w:tcPr>
          <w:p w14:paraId="408642A9"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PI 283964</w:t>
            </w:r>
          </w:p>
        </w:tc>
        <w:tc>
          <w:tcPr>
            <w:tcW w:w="2406" w:type="dxa"/>
            <w:tcBorders>
              <w:top w:val="nil"/>
              <w:left w:val="nil"/>
              <w:bottom w:val="nil"/>
              <w:right w:val="nil"/>
            </w:tcBorders>
            <w:shd w:val="clear" w:color="auto" w:fill="auto"/>
            <w:noWrap/>
            <w:vAlign w:val="bottom"/>
            <w:hideMark/>
          </w:tcPr>
          <w:p w14:paraId="79B836E4"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Rhizomatous</w:t>
            </w:r>
          </w:p>
        </w:tc>
      </w:tr>
      <w:tr w:rsidR="001C10CB" w:rsidRPr="001C10CB" w14:paraId="4F394746"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55A31A35"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supina</w:t>
            </w:r>
          </w:p>
        </w:tc>
        <w:tc>
          <w:tcPr>
            <w:tcW w:w="1890" w:type="dxa"/>
            <w:tcBorders>
              <w:top w:val="nil"/>
              <w:left w:val="nil"/>
              <w:bottom w:val="nil"/>
              <w:right w:val="nil"/>
            </w:tcBorders>
            <w:shd w:val="clear" w:color="auto" w:fill="auto"/>
            <w:noWrap/>
            <w:vAlign w:val="bottom"/>
            <w:hideMark/>
          </w:tcPr>
          <w:p w14:paraId="6D313A05"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Supranova</w:t>
            </w:r>
          </w:p>
        </w:tc>
        <w:tc>
          <w:tcPr>
            <w:tcW w:w="2406" w:type="dxa"/>
            <w:tcBorders>
              <w:top w:val="nil"/>
              <w:left w:val="nil"/>
              <w:bottom w:val="nil"/>
              <w:right w:val="nil"/>
            </w:tcBorders>
            <w:shd w:val="clear" w:color="auto" w:fill="auto"/>
            <w:noWrap/>
            <w:vAlign w:val="bottom"/>
            <w:hideMark/>
          </w:tcPr>
          <w:p w14:paraId="148BB8B2"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Stoloniferous</w:t>
            </w:r>
          </w:p>
        </w:tc>
      </w:tr>
      <w:tr w:rsidR="001C10CB" w:rsidRPr="001C10CB" w14:paraId="050B90A1" w14:textId="77777777" w:rsidTr="00DC4D0A">
        <w:trPr>
          <w:trHeight w:val="300"/>
          <w:jc w:val="center"/>
        </w:trPr>
        <w:tc>
          <w:tcPr>
            <w:tcW w:w="3036" w:type="dxa"/>
            <w:tcBorders>
              <w:top w:val="nil"/>
              <w:left w:val="nil"/>
              <w:bottom w:val="nil"/>
              <w:right w:val="nil"/>
            </w:tcBorders>
            <w:shd w:val="clear" w:color="auto" w:fill="auto"/>
            <w:noWrap/>
            <w:vAlign w:val="bottom"/>
            <w:hideMark/>
          </w:tcPr>
          <w:p w14:paraId="637034A0"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trivialis</w:t>
            </w:r>
          </w:p>
        </w:tc>
        <w:tc>
          <w:tcPr>
            <w:tcW w:w="1890" w:type="dxa"/>
            <w:tcBorders>
              <w:top w:val="nil"/>
              <w:left w:val="nil"/>
              <w:bottom w:val="nil"/>
              <w:right w:val="nil"/>
            </w:tcBorders>
            <w:shd w:val="clear" w:color="auto" w:fill="auto"/>
            <w:noWrap/>
            <w:vAlign w:val="bottom"/>
            <w:hideMark/>
          </w:tcPr>
          <w:p w14:paraId="629FC30D"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CR-91</w:t>
            </w:r>
          </w:p>
        </w:tc>
        <w:tc>
          <w:tcPr>
            <w:tcW w:w="2406" w:type="dxa"/>
            <w:tcBorders>
              <w:top w:val="nil"/>
              <w:left w:val="nil"/>
              <w:bottom w:val="nil"/>
              <w:right w:val="nil"/>
            </w:tcBorders>
            <w:shd w:val="clear" w:color="auto" w:fill="auto"/>
            <w:noWrap/>
            <w:vAlign w:val="bottom"/>
            <w:hideMark/>
          </w:tcPr>
          <w:p w14:paraId="260ABD44"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Stoloniferous</w:t>
            </w:r>
          </w:p>
        </w:tc>
      </w:tr>
      <w:tr w:rsidR="001C10CB" w:rsidRPr="001C10CB" w14:paraId="2236C63A" w14:textId="77777777" w:rsidTr="00DC4D0A">
        <w:trPr>
          <w:trHeight w:val="300"/>
          <w:jc w:val="center"/>
        </w:trPr>
        <w:tc>
          <w:tcPr>
            <w:tcW w:w="3036" w:type="dxa"/>
            <w:tcBorders>
              <w:top w:val="nil"/>
              <w:left w:val="nil"/>
              <w:bottom w:val="single" w:sz="4" w:space="0" w:color="auto"/>
              <w:right w:val="nil"/>
            </w:tcBorders>
            <w:shd w:val="clear" w:color="auto" w:fill="auto"/>
            <w:noWrap/>
            <w:vAlign w:val="bottom"/>
            <w:hideMark/>
          </w:tcPr>
          <w:p w14:paraId="27B82970" w14:textId="77777777" w:rsidR="001C10CB" w:rsidRPr="006D1DAE" w:rsidRDefault="001C10CB" w:rsidP="001C10CB">
            <w:pPr>
              <w:spacing w:after="0" w:line="240" w:lineRule="auto"/>
              <w:rPr>
                <w:rFonts w:ascii="Times New Roman" w:eastAsia="Times New Roman" w:hAnsi="Times New Roman" w:cs="Times New Roman"/>
                <w:b/>
                <w:i/>
                <w:color w:val="000000"/>
                <w:sz w:val="24"/>
                <w:szCs w:val="24"/>
              </w:rPr>
            </w:pPr>
            <w:r w:rsidRPr="006D1DAE">
              <w:rPr>
                <w:rFonts w:ascii="Times New Roman" w:eastAsia="Times New Roman" w:hAnsi="Times New Roman" w:cs="Times New Roman"/>
                <w:b/>
                <w:i/>
                <w:color w:val="000000"/>
                <w:sz w:val="24"/>
                <w:szCs w:val="24"/>
              </w:rPr>
              <w:t>P. trivialis</w:t>
            </w:r>
          </w:p>
        </w:tc>
        <w:tc>
          <w:tcPr>
            <w:tcW w:w="1890" w:type="dxa"/>
            <w:tcBorders>
              <w:top w:val="nil"/>
              <w:left w:val="nil"/>
              <w:bottom w:val="single" w:sz="4" w:space="0" w:color="auto"/>
              <w:right w:val="nil"/>
            </w:tcBorders>
            <w:shd w:val="clear" w:color="auto" w:fill="auto"/>
            <w:noWrap/>
            <w:vAlign w:val="bottom"/>
            <w:hideMark/>
          </w:tcPr>
          <w:p w14:paraId="5F1A62F6"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CCC</w:t>
            </w:r>
          </w:p>
        </w:tc>
        <w:tc>
          <w:tcPr>
            <w:tcW w:w="2406" w:type="dxa"/>
            <w:tcBorders>
              <w:top w:val="nil"/>
              <w:left w:val="nil"/>
              <w:bottom w:val="single" w:sz="4" w:space="0" w:color="auto"/>
              <w:right w:val="nil"/>
            </w:tcBorders>
            <w:shd w:val="clear" w:color="auto" w:fill="auto"/>
            <w:noWrap/>
            <w:vAlign w:val="bottom"/>
            <w:hideMark/>
          </w:tcPr>
          <w:p w14:paraId="125356D4" w14:textId="77777777" w:rsidR="001C10CB" w:rsidRPr="001C10CB" w:rsidRDefault="001C10CB" w:rsidP="001C10CB">
            <w:pPr>
              <w:spacing w:after="0" w:line="240" w:lineRule="auto"/>
              <w:rPr>
                <w:rFonts w:ascii="Times New Roman" w:eastAsia="Times New Roman" w:hAnsi="Times New Roman" w:cs="Times New Roman"/>
                <w:b/>
                <w:color w:val="000000"/>
                <w:sz w:val="24"/>
                <w:szCs w:val="24"/>
              </w:rPr>
            </w:pPr>
            <w:r w:rsidRPr="001C10CB">
              <w:rPr>
                <w:rFonts w:ascii="Times New Roman" w:eastAsia="Times New Roman" w:hAnsi="Times New Roman" w:cs="Times New Roman"/>
                <w:b/>
                <w:color w:val="000000"/>
                <w:sz w:val="24"/>
                <w:szCs w:val="24"/>
              </w:rPr>
              <w:t>Stoloniferous</w:t>
            </w:r>
          </w:p>
        </w:tc>
      </w:tr>
    </w:tbl>
    <w:p w14:paraId="2A5F764A" w14:textId="77777777" w:rsidR="00DC4D0A" w:rsidRDefault="00DC4D0A" w:rsidP="001C10CB"/>
    <w:p w14:paraId="2B49B8D8" w14:textId="77777777" w:rsidR="009858C5" w:rsidRDefault="009858C5" w:rsidP="001C10CB"/>
    <w:p w14:paraId="464506A4" w14:textId="77777777" w:rsidR="009858C5" w:rsidRDefault="009858C5" w:rsidP="001C10CB"/>
    <w:p w14:paraId="611CA90D" w14:textId="77777777" w:rsidR="009858C5" w:rsidRDefault="009858C5" w:rsidP="001C10CB"/>
    <w:p w14:paraId="238E5202" w14:textId="77777777" w:rsidR="009858C5" w:rsidRDefault="009858C5" w:rsidP="001C10CB"/>
    <w:p w14:paraId="25ECDAFD" w14:textId="77777777" w:rsidR="009858C5" w:rsidRDefault="009858C5" w:rsidP="001C10CB"/>
    <w:p w14:paraId="0A99E199" w14:textId="77777777" w:rsidR="00DC4D0A" w:rsidRDefault="00DC4D0A">
      <w:r>
        <w:br w:type="page"/>
      </w:r>
    </w:p>
    <w:p w14:paraId="4C705B36" w14:textId="77777777" w:rsidR="00DC4D0A" w:rsidRDefault="009858C5" w:rsidP="001C10CB">
      <w:pPr>
        <w:pStyle w:val="Heading2"/>
      </w:pPr>
      <w:bookmarkStart w:id="44" w:name="_Toc354003344"/>
      <w:r>
        <w:lastRenderedPageBreak/>
        <w:t>Figures</w:t>
      </w:r>
      <w:bookmarkEnd w:id="44"/>
    </w:p>
    <w:tbl>
      <w:tblPr>
        <w:tblStyle w:val="TableGrid11"/>
        <w:tblpPr w:leftFromText="180" w:rightFromText="180" w:horzAnchor="margin" w:tblpXSpec="center" w:tblpY="7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0"/>
      </w:tblGrid>
      <w:tr w:rsidR="009858C5" w:rsidRPr="001C10CB" w14:paraId="693CC1CE" w14:textId="77777777" w:rsidTr="006544D6">
        <w:trPr>
          <w:trHeight w:val="4788"/>
        </w:trPr>
        <w:tc>
          <w:tcPr>
            <w:tcW w:w="9180" w:type="dxa"/>
          </w:tcPr>
          <w:p w14:paraId="0D67FC0A" w14:textId="77777777" w:rsidR="009858C5" w:rsidRPr="001C10CB" w:rsidRDefault="006544D6" w:rsidP="00ED36EE">
            <w:pPr>
              <w:jc w:val="center"/>
              <w:rPr>
                <w:rFonts w:eastAsiaTheme="minorHAnsi"/>
                <w:b/>
              </w:rPr>
            </w:pPr>
            <w:r w:rsidRPr="001C10CB">
              <w:rPr>
                <w:rFonts w:eastAsiaTheme="minorHAnsi"/>
                <w:b/>
                <w:noProof/>
                <w:sz w:val="36"/>
              </w:rPr>
              <w:drawing>
                <wp:inline distT="0" distB="0" distL="0" distR="0" wp14:anchorId="5A6C4709" wp14:editId="06EE03CF">
                  <wp:extent cx="5656521" cy="3200400"/>
                  <wp:effectExtent l="0" t="0" r="190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r w:rsidR="009858C5" w:rsidRPr="001C10CB" w14:paraId="247A1E73" w14:textId="77777777" w:rsidTr="006544D6">
        <w:trPr>
          <w:trHeight w:val="239"/>
        </w:trPr>
        <w:tc>
          <w:tcPr>
            <w:tcW w:w="9180" w:type="dxa"/>
          </w:tcPr>
          <w:p w14:paraId="5AE3E230" w14:textId="77777777" w:rsidR="00272F31" w:rsidRPr="00272F31" w:rsidRDefault="00272F31" w:rsidP="00272F31">
            <w:pPr>
              <w:rPr>
                <w:rFonts w:ascii="Times New Roman" w:eastAsiaTheme="minorHAnsi" w:hAnsi="Times New Roman" w:cs="Times New Roman"/>
                <w:b/>
              </w:rPr>
            </w:pPr>
            <w:r>
              <w:rPr>
                <w:rFonts w:ascii="Times New Roman" w:eastAsiaTheme="minorHAnsi" w:hAnsi="Times New Roman" w:cs="Times New Roman"/>
                <w:b/>
              </w:rPr>
              <w:t>Figure E-</w:t>
            </w:r>
            <w:r w:rsidRPr="00272F31">
              <w:rPr>
                <w:rFonts w:ascii="Times New Roman" w:eastAsiaTheme="minorHAnsi" w:hAnsi="Times New Roman" w:cs="Times New Roman"/>
                <w:b/>
              </w:rPr>
              <w:t>1. Percent green cover of growth habit groups over a one year period in 2009-2010 at Knoxville, TN.</w:t>
            </w:r>
          </w:p>
          <w:p w14:paraId="736929EB" w14:textId="77777777" w:rsidR="009858C5" w:rsidRPr="001C10CB" w:rsidRDefault="00272F31" w:rsidP="00272F31">
            <w:pPr>
              <w:rPr>
                <w:rFonts w:ascii="Times New Roman" w:eastAsiaTheme="minorHAnsi" w:hAnsi="Times New Roman" w:cs="Times New Roman"/>
                <w:b/>
              </w:rPr>
            </w:pPr>
            <w:r w:rsidRPr="00272F31">
              <w:rPr>
                <w:rFonts w:ascii="Times New Roman" w:eastAsiaTheme="minorHAnsi" w:hAnsi="Times New Roman" w:cs="Times New Roman"/>
                <w:b/>
              </w:rPr>
              <w:t>†</w:t>
            </w:r>
            <w:r w:rsidRPr="00272F31">
              <w:rPr>
                <w:rFonts w:ascii="Times New Roman" w:eastAsiaTheme="minorHAnsi" w:hAnsi="Times New Roman" w:cs="Times New Roman"/>
              </w:rPr>
              <w:t xml:space="preserve">Error bars represent </w:t>
            </w:r>
            <w:proofErr w:type="gramStart"/>
            <w:r w:rsidRPr="00272F31">
              <w:rPr>
                <w:rFonts w:ascii="Times New Roman" w:eastAsiaTheme="minorHAnsi" w:hAnsi="Times New Roman" w:cs="Times New Roman"/>
              </w:rPr>
              <w:t>LSD(</w:t>
            </w:r>
            <w:proofErr w:type="gramEnd"/>
            <w:r w:rsidRPr="00272F31">
              <w:rPr>
                <w:rFonts w:ascii="Times New Roman" w:eastAsiaTheme="minorHAnsi" w:hAnsi="Times New Roman" w:cs="Times New Roman"/>
              </w:rPr>
              <w:t>0.05).</w:t>
            </w:r>
          </w:p>
        </w:tc>
      </w:tr>
      <w:tr w:rsidR="009858C5" w:rsidRPr="001C10CB" w14:paraId="165ADA90" w14:textId="77777777" w:rsidTr="006544D6">
        <w:trPr>
          <w:trHeight w:val="137"/>
        </w:trPr>
        <w:tc>
          <w:tcPr>
            <w:tcW w:w="9180" w:type="dxa"/>
          </w:tcPr>
          <w:p w14:paraId="7BEEE1D6" w14:textId="77777777" w:rsidR="009858C5" w:rsidRPr="001C10CB" w:rsidRDefault="009858C5" w:rsidP="00E906AE">
            <w:pPr>
              <w:rPr>
                <w:rFonts w:ascii="Times New Roman" w:eastAsiaTheme="minorHAnsi" w:hAnsi="Times New Roman" w:cs="Times New Roman"/>
              </w:rPr>
            </w:pPr>
          </w:p>
        </w:tc>
      </w:tr>
    </w:tbl>
    <w:p w14:paraId="367F77B1" w14:textId="77777777" w:rsidR="009858C5" w:rsidRDefault="009858C5" w:rsidP="001C10CB"/>
    <w:p w14:paraId="531F8FAD" w14:textId="77777777" w:rsidR="009858C5" w:rsidRDefault="009858C5">
      <w:r>
        <w:br w:type="page"/>
      </w:r>
    </w:p>
    <w:p w14:paraId="7CD7B989" w14:textId="77777777" w:rsidR="00DC4D0A" w:rsidRDefault="00DC4D0A" w:rsidP="001C10CB"/>
    <w:p w14:paraId="7AF5A6DD" w14:textId="77777777" w:rsidR="00DC4D0A" w:rsidRDefault="00DC4D0A" w:rsidP="001C10CB"/>
    <w:p w14:paraId="3D0F7448" w14:textId="77777777" w:rsidR="00DC4D0A" w:rsidRDefault="00DC4D0A" w:rsidP="001C10CB"/>
    <w:p w14:paraId="14ECBBB6" w14:textId="77777777" w:rsidR="00DC4D0A" w:rsidRDefault="00DC4D0A" w:rsidP="001C10CB"/>
    <w:p w14:paraId="58E9E884" w14:textId="77777777" w:rsidR="00DC4D0A" w:rsidRDefault="00DC4D0A" w:rsidP="001C10CB"/>
    <w:p w14:paraId="208A0106" w14:textId="77777777" w:rsidR="00DC4D0A" w:rsidRDefault="00DC4D0A" w:rsidP="001C10CB"/>
    <w:p w14:paraId="6955FA53" w14:textId="77777777" w:rsidR="00DC4D0A" w:rsidRDefault="00DC4D0A" w:rsidP="001C10CB"/>
    <w:p w14:paraId="2271365E" w14:textId="77777777" w:rsidR="00DC4D0A" w:rsidRDefault="00DC4D0A" w:rsidP="001C10CB"/>
    <w:p w14:paraId="6C3F836C" w14:textId="77777777" w:rsidR="00DC4D0A" w:rsidRDefault="00DC4D0A" w:rsidP="001C10CB"/>
    <w:p w14:paraId="5BA1A6D1" w14:textId="77777777" w:rsidR="00DC4D0A" w:rsidRDefault="00DC4D0A" w:rsidP="00DC4D0A">
      <w:pPr>
        <w:pStyle w:val="Heading2"/>
      </w:pPr>
      <w:bookmarkStart w:id="45" w:name="_Toc354003345"/>
      <w:r>
        <w:t xml:space="preserve">Appendix </w:t>
      </w:r>
      <w:r w:rsidR="00220AE5">
        <w:t>F</w:t>
      </w:r>
      <w:bookmarkEnd w:id="45"/>
    </w:p>
    <w:p w14:paraId="63897F02" w14:textId="77777777" w:rsidR="00DC4D0A" w:rsidRDefault="00DC4D0A" w:rsidP="00DC4D0A"/>
    <w:p w14:paraId="2CDA5CD3" w14:textId="77777777" w:rsidR="00DC4D0A" w:rsidRDefault="00DC4D0A" w:rsidP="00DC4D0A">
      <w:pPr>
        <w:pStyle w:val="Heading2"/>
      </w:pPr>
      <w:bookmarkStart w:id="46" w:name="_Toc354003346"/>
      <w:r>
        <w:t>Greenhouse hybridizations</w:t>
      </w:r>
      <w:bookmarkEnd w:id="46"/>
    </w:p>
    <w:p w14:paraId="5027D01C" w14:textId="77777777" w:rsidR="00DC4D0A" w:rsidRDefault="00DC4D0A">
      <w:r>
        <w:br w:type="page"/>
      </w:r>
    </w:p>
    <w:p w14:paraId="2267AAA0" w14:textId="77777777" w:rsidR="007B4B80" w:rsidRDefault="007B4B80" w:rsidP="007B4B80">
      <w:pPr>
        <w:pStyle w:val="Heading3"/>
      </w:pPr>
      <w:bookmarkStart w:id="47" w:name="_Toc350923005"/>
      <w:bookmarkStart w:id="48" w:name="_Toc354003347"/>
      <w:r w:rsidRPr="007B4B80">
        <w:lastRenderedPageBreak/>
        <w:t>Materials and Methods</w:t>
      </w:r>
      <w:bookmarkEnd w:id="47"/>
      <w:bookmarkEnd w:id="48"/>
    </w:p>
    <w:p w14:paraId="7E09778A" w14:textId="77777777" w:rsidR="007B4B80" w:rsidRPr="007B4B80" w:rsidRDefault="007B4B80" w:rsidP="007B4B80"/>
    <w:p w14:paraId="4C3BEAE8" w14:textId="777F9581" w:rsidR="007B4B80" w:rsidRPr="007B4B80" w:rsidRDefault="007B4B80" w:rsidP="007B4B80">
      <w:pPr>
        <w:spacing w:line="480" w:lineRule="auto"/>
        <w:rPr>
          <w:rFonts w:ascii="Times New Roman" w:hAnsi="Times New Roman" w:cs="Times New Roman"/>
          <w:sz w:val="24"/>
          <w:szCs w:val="24"/>
        </w:rPr>
      </w:pPr>
      <w:r w:rsidRPr="007B4B80">
        <w:rPr>
          <w:rFonts w:ascii="Times New Roman" w:hAnsi="Times New Roman" w:cs="Times New Roman"/>
          <w:b/>
          <w:sz w:val="24"/>
          <w:szCs w:val="24"/>
        </w:rPr>
        <w:tab/>
      </w:r>
      <w:r w:rsidRPr="007B4B80">
        <w:rPr>
          <w:rFonts w:ascii="Times New Roman" w:hAnsi="Times New Roman" w:cs="Times New Roman"/>
          <w:sz w:val="24"/>
          <w:szCs w:val="24"/>
        </w:rPr>
        <w:t xml:space="preserve">In June 2009, 20 different USDA accessions of Texas bluegrass were seeded into a peat based medium. After germination, 10 seedlings were selected from each of the 20 accessions and transplanted into individual pots. In August of 2009, accessions of several other </w:t>
      </w:r>
      <w:r w:rsidRPr="007B4B80">
        <w:rPr>
          <w:rFonts w:ascii="Times New Roman" w:hAnsi="Times New Roman" w:cs="Times New Roman"/>
          <w:i/>
          <w:sz w:val="24"/>
          <w:szCs w:val="24"/>
        </w:rPr>
        <w:t>Poa</w:t>
      </w:r>
      <w:r w:rsidRPr="007B4B80">
        <w:rPr>
          <w:rFonts w:ascii="Times New Roman" w:hAnsi="Times New Roman" w:cs="Times New Roman"/>
          <w:sz w:val="24"/>
          <w:szCs w:val="24"/>
        </w:rPr>
        <w:t xml:space="preserve"> species were seeded. Seedlings were transplanted into pots with as many as three seedlings planted per pot. Pots of Texas bluegrass and all other species were maintained under greenhouse conditions until pots were moved outside for natural vernalization in November 2009. These pots remained outside until early February 2010, when one plant from each of the 20 Texas bluegrass accessions were moved back into the greenhouse under a 14-hour day</w:t>
      </w:r>
      <w:r w:rsidR="00053D06">
        <w:rPr>
          <w:rFonts w:ascii="Times New Roman" w:hAnsi="Times New Roman" w:cs="Times New Roman"/>
          <w:sz w:val="24"/>
          <w:szCs w:val="24"/>
        </w:rPr>
        <w:t xml:space="preserve"> </w:t>
      </w:r>
      <w:r w:rsidRPr="007B4B80">
        <w:rPr>
          <w:rFonts w:ascii="Times New Roman" w:hAnsi="Times New Roman" w:cs="Times New Roman"/>
          <w:sz w:val="24"/>
          <w:szCs w:val="24"/>
        </w:rPr>
        <w:t>length and an average daily temperature of 24</w:t>
      </w:r>
      <w:r w:rsidRPr="007B4B80">
        <w:rPr>
          <w:rFonts w:ascii="Calibri" w:hAnsi="Calibri" w:cs="Times New Roman"/>
          <w:sz w:val="24"/>
          <w:szCs w:val="24"/>
        </w:rPr>
        <w:t>°</w:t>
      </w:r>
      <w:r w:rsidRPr="007B4B80">
        <w:rPr>
          <w:rFonts w:ascii="Times New Roman" w:hAnsi="Times New Roman" w:cs="Times New Roman"/>
          <w:sz w:val="24"/>
          <w:szCs w:val="24"/>
        </w:rPr>
        <w:t xml:space="preserve">C. This continued for each subsequent week until all 10 plants of each accession were brought into the greenhouse. During the fifth week, all other species were brought in to the greenhouse. The dioecious Texas bluegrass plants were monitored daily during maturity and plants identified as males were discarded. Plants identified as females were retained for hybridization attempts. The maternal female Texas bluegrass plants were paired with other species suspected of reaching anthesis at the same time. A total of three different paternal species were paired with the Texas bluegrass females, including </w:t>
      </w:r>
      <w:r w:rsidRPr="007B4B80">
        <w:rPr>
          <w:rFonts w:ascii="Times New Roman" w:hAnsi="Times New Roman" w:cs="Times New Roman"/>
          <w:i/>
          <w:sz w:val="24"/>
          <w:szCs w:val="24"/>
        </w:rPr>
        <w:t xml:space="preserve">P. </w:t>
      </w:r>
      <w:r w:rsidRPr="007B4B80">
        <w:rPr>
          <w:rFonts w:ascii="Times New Roman" w:hAnsi="Times New Roman" w:cs="Times New Roman"/>
          <w:sz w:val="24"/>
          <w:szCs w:val="24"/>
        </w:rPr>
        <w:t xml:space="preserve">dusenii, </w:t>
      </w:r>
      <w:r w:rsidRPr="007B4B80">
        <w:rPr>
          <w:rFonts w:ascii="Times New Roman" w:hAnsi="Times New Roman" w:cs="Times New Roman"/>
          <w:i/>
          <w:sz w:val="24"/>
          <w:szCs w:val="24"/>
        </w:rPr>
        <w:t>P. arida</w:t>
      </w:r>
      <w:r w:rsidRPr="007B4B80">
        <w:rPr>
          <w:rFonts w:ascii="Times New Roman" w:hAnsi="Times New Roman" w:cs="Times New Roman"/>
          <w:sz w:val="24"/>
          <w:szCs w:val="24"/>
        </w:rPr>
        <w:t xml:space="preserve">, and </w:t>
      </w:r>
      <w:r w:rsidRPr="007B4B80">
        <w:rPr>
          <w:rFonts w:ascii="Times New Roman" w:hAnsi="Times New Roman" w:cs="Times New Roman"/>
          <w:i/>
          <w:sz w:val="24"/>
          <w:szCs w:val="24"/>
        </w:rPr>
        <w:t>P. sierbiana</w:t>
      </w:r>
      <w:r w:rsidRPr="007B4B80">
        <w:rPr>
          <w:rFonts w:ascii="Times New Roman" w:hAnsi="Times New Roman" w:cs="Times New Roman"/>
          <w:sz w:val="24"/>
          <w:szCs w:val="24"/>
        </w:rPr>
        <w:t>. Single immature inflorescences of the aforementioned species were covered with dialysis tubing, along with the inflorescence of the Texas bluegrass plant, which was situated below the intended paternal species. This resulted in one attempted cross for each paternal species. After anthesis and maturation, seeds of the maternal Texas bluegrass plants were harvested and stored at 4</w:t>
      </w:r>
      <w:r w:rsidRPr="007B4B80">
        <w:rPr>
          <w:rFonts w:ascii="Calibri" w:hAnsi="Calibri" w:cs="Times New Roman"/>
          <w:sz w:val="24"/>
          <w:szCs w:val="24"/>
        </w:rPr>
        <w:t>°</w:t>
      </w:r>
      <w:r w:rsidRPr="007B4B80">
        <w:rPr>
          <w:rFonts w:ascii="Times New Roman" w:hAnsi="Times New Roman" w:cs="Times New Roman"/>
          <w:sz w:val="24"/>
          <w:szCs w:val="24"/>
        </w:rPr>
        <w:t xml:space="preserve">C for 3 months, after which time they were sown in the greenhouse. </w:t>
      </w:r>
    </w:p>
    <w:p w14:paraId="31AFB733" w14:textId="77777777" w:rsidR="007B4B80" w:rsidRPr="007B4B80" w:rsidRDefault="007B4B80" w:rsidP="007B4B80">
      <w:pPr>
        <w:spacing w:line="480" w:lineRule="auto"/>
        <w:rPr>
          <w:rFonts w:ascii="Times New Roman" w:hAnsi="Times New Roman" w:cs="Times New Roman"/>
          <w:sz w:val="24"/>
          <w:szCs w:val="24"/>
        </w:rPr>
      </w:pPr>
      <w:r w:rsidRPr="007B4B80">
        <w:rPr>
          <w:rFonts w:ascii="Times New Roman" w:hAnsi="Times New Roman" w:cs="Times New Roman"/>
          <w:sz w:val="24"/>
          <w:szCs w:val="24"/>
        </w:rPr>
        <w:tab/>
      </w:r>
    </w:p>
    <w:p w14:paraId="3D13EF1A" w14:textId="77777777" w:rsidR="007B4B80" w:rsidRDefault="007B4B80" w:rsidP="007B4B80">
      <w:pPr>
        <w:pStyle w:val="Heading3"/>
      </w:pPr>
      <w:bookmarkStart w:id="49" w:name="_Toc350923006"/>
      <w:bookmarkStart w:id="50" w:name="_Toc354003348"/>
      <w:r w:rsidRPr="007B4B80">
        <w:lastRenderedPageBreak/>
        <w:t>Results and Discussion</w:t>
      </w:r>
      <w:bookmarkEnd w:id="49"/>
      <w:bookmarkEnd w:id="50"/>
    </w:p>
    <w:p w14:paraId="40C88E8A" w14:textId="77777777" w:rsidR="007B4B80" w:rsidRPr="007B4B80" w:rsidRDefault="007B4B80" w:rsidP="007B4B80"/>
    <w:p w14:paraId="691112A8" w14:textId="77777777" w:rsidR="007B4B80" w:rsidRPr="007B4B80" w:rsidRDefault="007B4B80" w:rsidP="007B4B80">
      <w:pPr>
        <w:spacing w:line="480" w:lineRule="auto"/>
        <w:rPr>
          <w:rFonts w:ascii="Times New Roman" w:hAnsi="Times New Roman" w:cs="Times New Roman"/>
          <w:sz w:val="24"/>
          <w:szCs w:val="24"/>
        </w:rPr>
      </w:pPr>
      <w:r w:rsidRPr="007B4B80">
        <w:rPr>
          <w:rFonts w:ascii="Times New Roman" w:hAnsi="Times New Roman" w:cs="Times New Roman"/>
          <w:b/>
          <w:sz w:val="24"/>
          <w:szCs w:val="24"/>
        </w:rPr>
        <w:tab/>
      </w:r>
      <w:r w:rsidRPr="007B4B80">
        <w:rPr>
          <w:rFonts w:ascii="Times New Roman" w:hAnsi="Times New Roman" w:cs="Times New Roman"/>
          <w:sz w:val="24"/>
          <w:szCs w:val="24"/>
        </w:rPr>
        <w:t xml:space="preserve">Of the three attempted hybrids, only one produced seed that germinated. For the two that had no progeny, this may be explained by an incompatibility mechanism such as differing numbers of chromosomes, Additionally, this indicated that the dialysis tubing was successful in preventing fertilization by foreign pollen sources. The paternal species that resulted in the successful hybrid was </w:t>
      </w:r>
      <w:r w:rsidRPr="007B4B80">
        <w:rPr>
          <w:rFonts w:ascii="Times New Roman" w:hAnsi="Times New Roman" w:cs="Times New Roman"/>
          <w:i/>
          <w:sz w:val="24"/>
          <w:szCs w:val="24"/>
        </w:rPr>
        <w:t>P. dusenii</w:t>
      </w:r>
      <w:r w:rsidRPr="007B4B80">
        <w:rPr>
          <w:rFonts w:ascii="Times New Roman" w:hAnsi="Times New Roman" w:cs="Times New Roman"/>
          <w:sz w:val="24"/>
          <w:szCs w:val="24"/>
        </w:rPr>
        <w:t>. The approximately 100 plants produced from this one panicle appeared uniform and healthy, and were included as treatments in the research trial described in Chapter II where these plants were tested as a single entry in the trial. An additional plant was kept in the greenhouse for further evaluation, along with samples of the parent plants that were of the same age. Visual observations of the plant showed that it was intermediate between the two parent species. The hybrid plant had a leaf texture that was in between those of the two parent species (Figure B.3)</w:t>
      </w:r>
    </w:p>
    <w:p w14:paraId="4F059EA8" w14:textId="15DC7785" w:rsidR="001F009F" w:rsidRDefault="007B4B80" w:rsidP="007B4B80">
      <w:pPr>
        <w:spacing w:line="480" w:lineRule="auto"/>
        <w:rPr>
          <w:rFonts w:ascii="Times New Roman" w:hAnsi="Times New Roman" w:cs="Times New Roman"/>
          <w:sz w:val="24"/>
          <w:szCs w:val="24"/>
        </w:rPr>
      </w:pPr>
      <w:r w:rsidRPr="007B4B80">
        <w:rPr>
          <w:rFonts w:ascii="Times New Roman" w:hAnsi="Times New Roman" w:cs="Times New Roman"/>
          <w:sz w:val="24"/>
          <w:szCs w:val="24"/>
        </w:rPr>
        <w:tab/>
        <w:t xml:space="preserve">During 2010 through 2012, data were collected on percent green cover in a two-year trial initiated in 2010, where several species of </w:t>
      </w:r>
      <w:r w:rsidRPr="007B4B80">
        <w:rPr>
          <w:rFonts w:ascii="Times New Roman" w:hAnsi="Times New Roman" w:cs="Times New Roman"/>
          <w:i/>
          <w:sz w:val="24"/>
          <w:szCs w:val="24"/>
        </w:rPr>
        <w:t>Poa</w:t>
      </w:r>
      <w:r w:rsidRPr="007B4B80">
        <w:rPr>
          <w:rFonts w:ascii="Times New Roman" w:hAnsi="Times New Roman" w:cs="Times New Roman"/>
          <w:sz w:val="24"/>
          <w:szCs w:val="24"/>
        </w:rPr>
        <w:t xml:space="preserve"> were evaluated. Percent green cover comparisons of the hybrid with its maternal and paternal species, as well Kentucky bluegrass and a Texas-Kentucky hybrid. Although comparisons were made with the parent species, it is important to realize that these were not the actual plants used as parents of the hybrid and these data were only a general comparison (Figure B.1). These data showed that the hybrid was typically intermediate between the two parent species, and did not perform as well as the Kentucky bluegrass and the Kentucky Texas hybrid. The 2010-2011 trial was allowed to grow to maturity and produce seed in the summer of 2012. Mature plant heights were measured and no significant differences were</w:t>
      </w:r>
      <w:r w:rsidR="007002BE">
        <w:rPr>
          <w:rFonts w:ascii="Times New Roman" w:hAnsi="Times New Roman" w:cs="Times New Roman"/>
          <w:sz w:val="24"/>
          <w:szCs w:val="24"/>
        </w:rPr>
        <w:t xml:space="preserve"> </w:t>
      </w:r>
      <w:r w:rsidRPr="007B4B80">
        <w:rPr>
          <w:rFonts w:ascii="Times New Roman" w:hAnsi="Times New Roman" w:cs="Times New Roman"/>
          <w:sz w:val="24"/>
          <w:szCs w:val="24"/>
        </w:rPr>
        <w:t>found in height between the maternal Texas bluegrass and the hybrid. The hybrid was significantly taller than its paternal species (Figure B.2).</w:t>
      </w:r>
    </w:p>
    <w:p w14:paraId="25A474E4" w14:textId="77777777" w:rsidR="007B4B80" w:rsidRDefault="001F009F" w:rsidP="001F009F">
      <w:pPr>
        <w:pStyle w:val="Heading2"/>
      </w:pPr>
      <w:bookmarkStart w:id="51" w:name="_Toc354003349"/>
      <w:r>
        <w:lastRenderedPageBreak/>
        <w:t>Figures</w:t>
      </w:r>
      <w:bookmarkEnd w:id="51"/>
      <w:r w:rsidR="007B4B80" w:rsidRPr="007B4B80">
        <w:t xml:space="preserve"> </w:t>
      </w:r>
    </w:p>
    <w:p w14:paraId="31250AD9" w14:textId="77777777" w:rsidR="001F009F" w:rsidRPr="001F009F" w:rsidRDefault="001F009F" w:rsidP="001F009F"/>
    <w:tbl>
      <w:tblPr>
        <w:tblStyle w:val="TableGrid"/>
        <w:tblW w:w="0" w:type="auto"/>
        <w:tblLook w:val="04A0" w:firstRow="1" w:lastRow="0" w:firstColumn="1" w:lastColumn="0" w:noHBand="0" w:noVBand="1"/>
      </w:tblPr>
      <w:tblGrid>
        <w:gridCol w:w="447"/>
        <w:gridCol w:w="9129"/>
      </w:tblGrid>
      <w:tr w:rsidR="007B4B80" w14:paraId="3BF8EE50" w14:textId="77777777" w:rsidTr="002B5D75">
        <w:tc>
          <w:tcPr>
            <w:tcW w:w="447" w:type="dxa"/>
            <w:tcBorders>
              <w:top w:val="nil"/>
              <w:left w:val="nil"/>
              <w:bottom w:val="nil"/>
            </w:tcBorders>
          </w:tcPr>
          <w:p w14:paraId="751DED43" w14:textId="77777777" w:rsidR="007B4B80" w:rsidRPr="00E445FF" w:rsidRDefault="007B4B80" w:rsidP="005A7C92">
            <w:pPr>
              <w:rPr>
                <w:rFonts w:ascii="Times New Roman" w:hAnsi="Times New Roman" w:cs="Times New Roman"/>
                <w:b/>
                <w:sz w:val="32"/>
              </w:rPr>
            </w:pPr>
            <w:r w:rsidRPr="00E445FF">
              <w:rPr>
                <w:rFonts w:ascii="Times New Roman" w:hAnsi="Times New Roman" w:cs="Times New Roman"/>
                <w:b/>
                <w:sz w:val="32"/>
              </w:rPr>
              <w:t>A</w:t>
            </w:r>
          </w:p>
        </w:tc>
        <w:tc>
          <w:tcPr>
            <w:tcW w:w="9129" w:type="dxa"/>
          </w:tcPr>
          <w:p w14:paraId="182419A8" w14:textId="77777777" w:rsidR="007B4B80" w:rsidRPr="00E82286" w:rsidRDefault="007B4B80" w:rsidP="005A7C92">
            <w:pPr>
              <w:rPr>
                <w:rFonts w:ascii="Times New Roman" w:hAnsi="Times New Roman" w:cs="Times New Roman"/>
                <w:b/>
                <w:sz w:val="24"/>
              </w:rPr>
            </w:pPr>
            <w:r w:rsidRPr="00E82286">
              <w:rPr>
                <w:rFonts w:ascii="Times New Roman" w:hAnsi="Times New Roman" w:cs="Times New Roman"/>
                <w:noProof/>
                <w:sz w:val="24"/>
              </w:rPr>
              <w:drawing>
                <wp:inline distT="0" distB="0" distL="0" distR="0" wp14:anchorId="7414C003" wp14:editId="5B172C8C">
                  <wp:extent cx="5669280" cy="2103120"/>
                  <wp:effectExtent l="0" t="0" r="762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7B4B80" w14:paraId="375F83AD" w14:textId="77777777" w:rsidTr="002B5D75">
        <w:tc>
          <w:tcPr>
            <w:tcW w:w="447" w:type="dxa"/>
            <w:tcBorders>
              <w:top w:val="nil"/>
              <w:left w:val="nil"/>
              <w:bottom w:val="nil"/>
            </w:tcBorders>
          </w:tcPr>
          <w:p w14:paraId="57DB5A50" w14:textId="77777777" w:rsidR="007B4B80" w:rsidRPr="00E445FF" w:rsidRDefault="007B4B80" w:rsidP="005A7C92">
            <w:pPr>
              <w:rPr>
                <w:rFonts w:ascii="Times New Roman" w:hAnsi="Times New Roman" w:cs="Times New Roman"/>
                <w:b/>
                <w:sz w:val="32"/>
              </w:rPr>
            </w:pPr>
            <w:r w:rsidRPr="00E445FF">
              <w:rPr>
                <w:rFonts w:ascii="Times New Roman" w:hAnsi="Times New Roman" w:cs="Times New Roman"/>
                <w:b/>
                <w:sz w:val="32"/>
              </w:rPr>
              <w:t>B</w:t>
            </w:r>
          </w:p>
        </w:tc>
        <w:tc>
          <w:tcPr>
            <w:tcW w:w="9129" w:type="dxa"/>
          </w:tcPr>
          <w:p w14:paraId="15249472" w14:textId="77777777" w:rsidR="007B4B80" w:rsidRPr="00E82286" w:rsidRDefault="007B4B80" w:rsidP="005A7C92">
            <w:pPr>
              <w:rPr>
                <w:rFonts w:ascii="Times New Roman" w:hAnsi="Times New Roman" w:cs="Times New Roman"/>
                <w:b/>
                <w:sz w:val="24"/>
              </w:rPr>
            </w:pPr>
            <w:r w:rsidRPr="00E82286">
              <w:rPr>
                <w:rFonts w:ascii="Times New Roman" w:hAnsi="Times New Roman" w:cs="Times New Roman"/>
                <w:noProof/>
                <w:sz w:val="24"/>
              </w:rPr>
              <w:drawing>
                <wp:inline distT="0" distB="0" distL="0" distR="0" wp14:anchorId="2314E1A2" wp14:editId="7320D778">
                  <wp:extent cx="5669280" cy="2969260"/>
                  <wp:effectExtent l="0" t="0" r="7620" b="254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7B4B80" w14:paraId="063E9688" w14:textId="77777777" w:rsidTr="002B5D75">
        <w:tc>
          <w:tcPr>
            <w:tcW w:w="447" w:type="dxa"/>
            <w:tcBorders>
              <w:top w:val="nil"/>
              <w:left w:val="nil"/>
              <w:bottom w:val="nil"/>
              <w:right w:val="nil"/>
            </w:tcBorders>
          </w:tcPr>
          <w:p w14:paraId="664B4868" w14:textId="77777777" w:rsidR="007B4B80" w:rsidRDefault="007B4B80" w:rsidP="005A7C92">
            <w:pPr>
              <w:rPr>
                <w:b/>
              </w:rPr>
            </w:pPr>
          </w:p>
        </w:tc>
        <w:tc>
          <w:tcPr>
            <w:tcW w:w="9129" w:type="dxa"/>
            <w:tcBorders>
              <w:left w:val="nil"/>
              <w:bottom w:val="nil"/>
              <w:right w:val="nil"/>
            </w:tcBorders>
          </w:tcPr>
          <w:p w14:paraId="71259F56" w14:textId="77777777" w:rsidR="007B4B80" w:rsidRDefault="008C3C2C" w:rsidP="005A7C92">
            <w:pPr>
              <w:rPr>
                <w:rFonts w:ascii="Times New Roman" w:hAnsi="Times New Roman" w:cs="Times New Roman"/>
                <w:b/>
                <w:sz w:val="24"/>
              </w:rPr>
            </w:pPr>
            <w:r>
              <w:rPr>
                <w:rFonts w:ascii="Times New Roman" w:hAnsi="Times New Roman" w:cs="Times New Roman"/>
                <w:b/>
                <w:sz w:val="24"/>
              </w:rPr>
              <w:t>Figure F</w:t>
            </w:r>
            <w:r w:rsidR="007B4B80" w:rsidRPr="00E82286">
              <w:rPr>
                <w:rFonts w:ascii="Times New Roman" w:hAnsi="Times New Roman" w:cs="Times New Roman"/>
                <w:b/>
                <w:sz w:val="24"/>
              </w:rPr>
              <w:t xml:space="preserve">.1. Percent green cover of selected species and cultivars in comparison to the </w:t>
            </w:r>
            <w:r w:rsidR="007B4B80">
              <w:rPr>
                <w:rFonts w:ascii="Times New Roman" w:hAnsi="Times New Roman" w:cs="Times New Roman"/>
                <w:b/>
                <w:sz w:val="24"/>
              </w:rPr>
              <w:t>hybrid P. arachnifera × dusenii in 2010-2011 (A) and 2011-2012 (B)</w:t>
            </w:r>
          </w:p>
          <w:p w14:paraId="4B5E931D" w14:textId="77777777" w:rsidR="007B4B80" w:rsidRPr="0005685F" w:rsidRDefault="007B4B80" w:rsidP="005A7C92">
            <w:pPr>
              <w:rPr>
                <w:rFonts w:ascii="Times New Roman" w:hAnsi="Times New Roman" w:cs="Times New Roman"/>
                <w:sz w:val="24"/>
              </w:rPr>
            </w:pPr>
            <w:r w:rsidRPr="0005685F">
              <w:rPr>
                <w:rFonts w:ascii="Times New Roman" w:hAnsi="Times New Roman" w:cs="Times New Roman"/>
                <w:sz w:val="24"/>
                <w:vertAlign w:val="superscript"/>
              </w:rPr>
              <w:t>†</w:t>
            </w:r>
            <w:r>
              <w:rPr>
                <w:rFonts w:ascii="Times New Roman" w:hAnsi="Times New Roman" w:cs="Times New Roman"/>
                <w:sz w:val="24"/>
              </w:rPr>
              <w:t xml:space="preserve">The </w:t>
            </w:r>
            <w:r w:rsidRPr="0005685F">
              <w:rPr>
                <w:rFonts w:ascii="Times New Roman" w:hAnsi="Times New Roman" w:cs="Times New Roman"/>
                <w:i/>
                <w:sz w:val="24"/>
              </w:rPr>
              <w:t>P. arachnifera</w:t>
            </w:r>
            <w:r>
              <w:rPr>
                <w:rFonts w:ascii="Times New Roman" w:hAnsi="Times New Roman" w:cs="Times New Roman"/>
                <w:sz w:val="24"/>
              </w:rPr>
              <w:t xml:space="preserve"> and </w:t>
            </w:r>
            <w:r w:rsidRPr="0005685F">
              <w:rPr>
                <w:rFonts w:ascii="Times New Roman" w:hAnsi="Times New Roman" w:cs="Times New Roman"/>
                <w:i/>
                <w:sz w:val="24"/>
              </w:rPr>
              <w:t>P. dusenii</w:t>
            </w:r>
            <w:r>
              <w:rPr>
                <w:rFonts w:ascii="Times New Roman" w:hAnsi="Times New Roman" w:cs="Times New Roman"/>
                <w:i/>
                <w:sz w:val="24"/>
              </w:rPr>
              <w:t xml:space="preserve"> </w:t>
            </w:r>
            <w:r>
              <w:rPr>
                <w:rFonts w:ascii="Times New Roman" w:hAnsi="Times New Roman" w:cs="Times New Roman"/>
                <w:sz w:val="24"/>
              </w:rPr>
              <w:t>represented the species and were not the actual parent plants.</w:t>
            </w:r>
          </w:p>
        </w:tc>
      </w:tr>
    </w:tbl>
    <w:p w14:paraId="2A218E76" w14:textId="77777777" w:rsidR="007B4B80" w:rsidRDefault="007B4B80" w:rsidP="007B4B80"/>
    <w:p w14:paraId="64632167" w14:textId="77777777" w:rsidR="007B4B80" w:rsidRDefault="007B4B80">
      <w:r>
        <w:br w:type="page"/>
      </w:r>
    </w:p>
    <w:tbl>
      <w:tblPr>
        <w:tblStyle w:val="TableGrid"/>
        <w:tblW w:w="0" w:type="auto"/>
        <w:jc w:val="center"/>
        <w:tblInd w:w="90" w:type="dxa"/>
        <w:tblLook w:val="04A0" w:firstRow="1" w:lastRow="0" w:firstColumn="1" w:lastColumn="0" w:noHBand="0" w:noVBand="1"/>
      </w:tblPr>
      <w:tblGrid>
        <w:gridCol w:w="9270"/>
      </w:tblGrid>
      <w:tr w:rsidR="007B4B80" w14:paraId="49452E0D" w14:textId="77777777" w:rsidTr="005A1DAB">
        <w:trPr>
          <w:jc w:val="center"/>
        </w:trPr>
        <w:tc>
          <w:tcPr>
            <w:tcW w:w="9270" w:type="dxa"/>
            <w:tcBorders>
              <w:bottom w:val="single" w:sz="4" w:space="0" w:color="auto"/>
            </w:tcBorders>
          </w:tcPr>
          <w:p w14:paraId="4A0552C5" w14:textId="77777777" w:rsidR="007B4B80" w:rsidRDefault="007B4B80" w:rsidP="005A1DAB">
            <w:pPr>
              <w:jc w:val="center"/>
              <w:rPr>
                <w:b/>
              </w:rPr>
            </w:pPr>
            <w:r>
              <w:rPr>
                <w:noProof/>
              </w:rPr>
              <w:lastRenderedPageBreak/>
              <w:drawing>
                <wp:inline distT="0" distB="0" distL="0" distR="0" wp14:anchorId="4DF70BB5" wp14:editId="1988F500">
                  <wp:extent cx="5553075"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7B4B80" w14:paraId="016AFD5B" w14:textId="77777777" w:rsidTr="005A1DAB">
        <w:trPr>
          <w:jc w:val="center"/>
        </w:trPr>
        <w:tc>
          <w:tcPr>
            <w:tcW w:w="9270" w:type="dxa"/>
            <w:tcBorders>
              <w:top w:val="single" w:sz="4" w:space="0" w:color="auto"/>
              <w:left w:val="nil"/>
              <w:bottom w:val="nil"/>
              <w:right w:val="nil"/>
            </w:tcBorders>
          </w:tcPr>
          <w:p w14:paraId="7E04846E" w14:textId="77777777" w:rsidR="007B4B80" w:rsidRDefault="00F81BAF" w:rsidP="005A7C92">
            <w:pPr>
              <w:rPr>
                <w:b/>
              </w:rPr>
            </w:pPr>
            <w:r>
              <w:rPr>
                <w:b/>
              </w:rPr>
              <w:t>Figure F</w:t>
            </w:r>
            <w:r w:rsidR="007B4B80">
              <w:rPr>
                <w:b/>
              </w:rPr>
              <w:t>.2. Mature height in cm of selected species and cultivars in comparison to the</w:t>
            </w:r>
            <w:r w:rsidR="007B4B80" w:rsidRPr="00F727D0">
              <w:rPr>
                <w:b/>
              </w:rPr>
              <w:t xml:space="preserve"> </w:t>
            </w:r>
            <w:r w:rsidR="007B4B80">
              <w:rPr>
                <w:b/>
              </w:rPr>
              <w:t xml:space="preserve">hybrid P. </w:t>
            </w:r>
            <w:r w:rsidR="007B4B80" w:rsidRPr="003F44DD">
              <w:rPr>
                <w:b/>
                <w:i/>
              </w:rPr>
              <w:t>arachnifera</w:t>
            </w:r>
            <w:r w:rsidR="007B4B80">
              <w:rPr>
                <w:b/>
              </w:rPr>
              <w:t xml:space="preserve"> ×</w:t>
            </w:r>
            <w:r w:rsidR="007B4B80" w:rsidRPr="003F44DD">
              <w:rPr>
                <w:b/>
                <w:i/>
              </w:rPr>
              <w:t xml:space="preserve"> dusenii</w:t>
            </w:r>
            <w:r w:rsidR="007B4B80">
              <w:rPr>
                <w:b/>
              </w:rPr>
              <w:t>.</w:t>
            </w:r>
          </w:p>
          <w:p w14:paraId="0E597CC1" w14:textId="77777777" w:rsidR="007B4B80" w:rsidRPr="00323C65" w:rsidRDefault="007B4B80" w:rsidP="005A7C92">
            <w:r w:rsidRPr="00323C65">
              <w:rPr>
                <w:vertAlign w:val="superscript"/>
              </w:rPr>
              <w:t>†</w:t>
            </w:r>
            <w:r w:rsidRPr="00E82286">
              <w:rPr>
                <w:i/>
              </w:rPr>
              <w:t>P. arachnifera</w:t>
            </w:r>
            <w:r>
              <w:t xml:space="preserve"> and </w:t>
            </w:r>
            <w:r w:rsidRPr="00E82286">
              <w:rPr>
                <w:i/>
              </w:rPr>
              <w:t xml:space="preserve">P. dusenii </w:t>
            </w:r>
            <w:r>
              <w:t>represented these species and were not the actual parents of the hybrid.</w:t>
            </w:r>
          </w:p>
          <w:p w14:paraId="1A13B748" w14:textId="77777777" w:rsidR="007B4B80" w:rsidRDefault="007B4B80" w:rsidP="005A7C92">
            <w:pPr>
              <w:rPr>
                <w:b/>
              </w:rPr>
            </w:pPr>
          </w:p>
        </w:tc>
      </w:tr>
    </w:tbl>
    <w:p w14:paraId="00864861" w14:textId="77777777" w:rsidR="007B4B80" w:rsidRPr="007B4B80" w:rsidRDefault="007B4B80" w:rsidP="007B4B80"/>
    <w:p w14:paraId="3A936D2F" w14:textId="77777777" w:rsidR="007B4B80" w:rsidRDefault="007B4B80">
      <w:r>
        <w:br w:type="page"/>
      </w:r>
    </w:p>
    <w:tbl>
      <w:tblPr>
        <w:tblStyle w:val="TableGrid"/>
        <w:tblW w:w="0" w:type="auto"/>
        <w:tblInd w:w="108" w:type="dxa"/>
        <w:tblLayout w:type="fixed"/>
        <w:tblLook w:val="04A0" w:firstRow="1" w:lastRow="0" w:firstColumn="1" w:lastColumn="0" w:noHBand="0" w:noVBand="1"/>
      </w:tblPr>
      <w:tblGrid>
        <w:gridCol w:w="9270"/>
      </w:tblGrid>
      <w:tr w:rsidR="007B4B80" w14:paraId="0B409E64" w14:textId="77777777" w:rsidTr="005D69C5">
        <w:tc>
          <w:tcPr>
            <w:tcW w:w="9270" w:type="dxa"/>
            <w:tcBorders>
              <w:top w:val="nil"/>
              <w:left w:val="nil"/>
              <w:bottom w:val="nil"/>
              <w:right w:val="nil"/>
            </w:tcBorders>
          </w:tcPr>
          <w:p w14:paraId="44D06F0A" w14:textId="77777777" w:rsidR="007B4B80" w:rsidRDefault="007B4B80" w:rsidP="005A7C92">
            <w:pPr>
              <w:jc w:val="center"/>
              <w:rPr>
                <w:b/>
              </w:rPr>
            </w:pPr>
            <w:r>
              <w:rPr>
                <w:b/>
                <w:noProof/>
              </w:rPr>
              <w:lastRenderedPageBreak/>
              <w:drawing>
                <wp:inline distT="0" distB="0" distL="0" distR="0" wp14:anchorId="362BB719" wp14:editId="461C1977">
                  <wp:extent cx="5828023" cy="4371975"/>
                  <wp:effectExtent l="0" t="0" r="1905" b="0"/>
                  <wp:docPr id="9" name="Picture 9" descr="C:\Users\sfreshou\Dropbox\Masters thesis\Chapter 1 species evaluation\preliminary data (2009-2010)\Pictures\Taxonomy vouchers\DSC05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freshou\Dropbox\Masters thesis\Chapter 1 species evaluation\preliminary data (2009-2010)\Pictures\Taxonomy vouchers\DSC0553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29300" cy="4372933"/>
                          </a:xfrm>
                          <a:prstGeom prst="rect">
                            <a:avLst/>
                          </a:prstGeom>
                          <a:noFill/>
                          <a:ln>
                            <a:noFill/>
                          </a:ln>
                        </pic:spPr>
                      </pic:pic>
                    </a:graphicData>
                  </a:graphic>
                </wp:inline>
              </w:drawing>
            </w:r>
          </w:p>
        </w:tc>
      </w:tr>
      <w:tr w:rsidR="007B4B80" w14:paraId="7CDF3BD7" w14:textId="77777777" w:rsidTr="005D69C5">
        <w:tc>
          <w:tcPr>
            <w:tcW w:w="9270" w:type="dxa"/>
            <w:tcBorders>
              <w:top w:val="nil"/>
              <w:left w:val="nil"/>
              <w:bottom w:val="nil"/>
              <w:right w:val="nil"/>
            </w:tcBorders>
          </w:tcPr>
          <w:p w14:paraId="490907F1" w14:textId="77777777" w:rsidR="007B4B80" w:rsidRPr="007C0A1A" w:rsidRDefault="00F81BAF" w:rsidP="005A7C92">
            <w:pPr>
              <w:rPr>
                <w:rFonts w:ascii="Times New Roman" w:hAnsi="Times New Roman" w:cs="Times New Roman"/>
                <w:b/>
              </w:rPr>
            </w:pPr>
            <w:r>
              <w:rPr>
                <w:rFonts w:ascii="Times New Roman" w:hAnsi="Times New Roman" w:cs="Times New Roman"/>
                <w:b/>
              </w:rPr>
              <w:t>Figure F</w:t>
            </w:r>
            <w:r w:rsidR="007B4B80" w:rsidRPr="007C0A1A">
              <w:rPr>
                <w:rFonts w:ascii="Times New Roman" w:hAnsi="Times New Roman" w:cs="Times New Roman"/>
                <w:b/>
              </w:rPr>
              <w:t xml:space="preserve">.3. </w:t>
            </w:r>
            <w:r w:rsidR="007B4B80" w:rsidRPr="007C0A1A">
              <w:rPr>
                <w:rFonts w:ascii="Times New Roman" w:hAnsi="Times New Roman" w:cs="Times New Roman"/>
                <w:b/>
                <w:i/>
              </w:rPr>
              <w:t xml:space="preserve">P. arachnifera </w:t>
            </w:r>
            <w:r w:rsidR="007B4B80" w:rsidRPr="007C0A1A">
              <w:rPr>
                <w:rFonts w:ascii="Times New Roman" w:hAnsi="Times New Roman" w:cs="Times New Roman"/>
                <w:b/>
              </w:rPr>
              <w:t xml:space="preserve">left, </w:t>
            </w:r>
            <w:r w:rsidR="007B4B80" w:rsidRPr="007C0A1A">
              <w:rPr>
                <w:rFonts w:ascii="Times New Roman" w:hAnsi="Times New Roman" w:cs="Times New Roman"/>
                <w:b/>
                <w:i/>
              </w:rPr>
              <w:t xml:space="preserve">P. arachnifera </w:t>
            </w:r>
            <w:r w:rsidR="007B4B80" w:rsidRPr="007C0A1A">
              <w:rPr>
                <w:rFonts w:ascii="Times New Roman" w:hAnsi="Times New Roman" w:cs="Times New Roman"/>
                <w:b/>
              </w:rPr>
              <w:t>×</w:t>
            </w:r>
            <w:r w:rsidR="007B4B80" w:rsidRPr="007C0A1A">
              <w:rPr>
                <w:rFonts w:ascii="Times New Roman" w:hAnsi="Times New Roman" w:cs="Times New Roman"/>
                <w:b/>
                <w:i/>
              </w:rPr>
              <w:t xml:space="preserve"> P. dusenii</w:t>
            </w:r>
            <w:r w:rsidR="007B4B80" w:rsidRPr="007C0A1A">
              <w:rPr>
                <w:rFonts w:ascii="Times New Roman" w:hAnsi="Times New Roman" w:cs="Times New Roman"/>
                <w:b/>
              </w:rPr>
              <w:t xml:space="preserve"> center, and </w:t>
            </w:r>
            <w:r w:rsidR="007B4B80" w:rsidRPr="007C0A1A">
              <w:rPr>
                <w:rFonts w:ascii="Times New Roman" w:hAnsi="Times New Roman" w:cs="Times New Roman"/>
                <w:b/>
                <w:i/>
              </w:rPr>
              <w:t>P. dusenii</w:t>
            </w:r>
            <w:r w:rsidR="007B4B80" w:rsidRPr="007C0A1A">
              <w:rPr>
                <w:rFonts w:ascii="Times New Roman" w:hAnsi="Times New Roman" w:cs="Times New Roman"/>
                <w:b/>
              </w:rPr>
              <w:t xml:space="preserve"> right. </w:t>
            </w:r>
          </w:p>
          <w:p w14:paraId="7A82896E" w14:textId="77777777" w:rsidR="007B4B80" w:rsidRPr="00DD5EF6" w:rsidRDefault="007B4B80" w:rsidP="005A7C92">
            <w:pPr>
              <w:rPr>
                <w:b/>
              </w:rPr>
            </w:pPr>
            <w:r w:rsidRPr="007C0A1A">
              <w:rPr>
                <w:rFonts w:ascii="Times New Roman" w:hAnsi="Times New Roman" w:cs="Times New Roman"/>
                <w:b/>
                <w:vertAlign w:val="superscript"/>
              </w:rPr>
              <w:t>†</w:t>
            </w:r>
            <w:r w:rsidRPr="007C0A1A">
              <w:rPr>
                <w:rFonts w:ascii="Times New Roman" w:hAnsi="Times New Roman" w:cs="Times New Roman"/>
              </w:rPr>
              <w:t>The</w:t>
            </w:r>
            <w:r w:rsidRPr="007C0A1A">
              <w:rPr>
                <w:rFonts w:ascii="Times New Roman" w:hAnsi="Times New Roman" w:cs="Times New Roman"/>
                <w:vertAlign w:val="superscript"/>
              </w:rPr>
              <w:t xml:space="preserve"> </w:t>
            </w:r>
            <w:r w:rsidRPr="007C0A1A">
              <w:rPr>
                <w:rFonts w:ascii="Times New Roman" w:hAnsi="Times New Roman" w:cs="Times New Roman"/>
              </w:rPr>
              <w:t xml:space="preserve">plants of </w:t>
            </w:r>
            <w:r w:rsidRPr="007C0A1A">
              <w:rPr>
                <w:rFonts w:ascii="Times New Roman" w:hAnsi="Times New Roman" w:cs="Times New Roman"/>
                <w:i/>
              </w:rPr>
              <w:t>P. arachnifera</w:t>
            </w:r>
            <w:r w:rsidRPr="007C0A1A">
              <w:rPr>
                <w:rFonts w:ascii="Times New Roman" w:hAnsi="Times New Roman" w:cs="Times New Roman"/>
              </w:rPr>
              <w:t xml:space="preserve"> and </w:t>
            </w:r>
            <w:r w:rsidRPr="007C0A1A">
              <w:rPr>
                <w:rFonts w:ascii="Times New Roman" w:hAnsi="Times New Roman" w:cs="Times New Roman"/>
                <w:i/>
              </w:rPr>
              <w:t>P. dusenii</w:t>
            </w:r>
            <w:r w:rsidRPr="007C0A1A">
              <w:rPr>
                <w:rFonts w:ascii="Times New Roman" w:hAnsi="Times New Roman" w:cs="Times New Roman"/>
              </w:rPr>
              <w:t xml:space="preserve"> represent the species and</w:t>
            </w:r>
            <w:r>
              <w:rPr>
                <w:rFonts w:ascii="Times New Roman" w:hAnsi="Times New Roman" w:cs="Times New Roman"/>
              </w:rPr>
              <w:t xml:space="preserve"> were</w:t>
            </w:r>
            <w:r w:rsidRPr="007C0A1A">
              <w:rPr>
                <w:rFonts w:ascii="Times New Roman" w:hAnsi="Times New Roman" w:cs="Times New Roman"/>
              </w:rPr>
              <w:t xml:space="preserve"> not the actual parents used in the cross.</w:t>
            </w:r>
          </w:p>
        </w:tc>
      </w:tr>
    </w:tbl>
    <w:p w14:paraId="1B07A31D" w14:textId="77777777" w:rsidR="005A7C92" w:rsidRDefault="005A7C92" w:rsidP="00DC4D0A"/>
    <w:p w14:paraId="0F095AB1" w14:textId="77777777" w:rsidR="005A7C92" w:rsidRDefault="005A7C92">
      <w:r>
        <w:br w:type="page"/>
      </w:r>
    </w:p>
    <w:p w14:paraId="74E8F2E4" w14:textId="77777777" w:rsidR="00DC4D0A" w:rsidRDefault="00DC4D0A" w:rsidP="00DC4D0A"/>
    <w:p w14:paraId="27BB16AE" w14:textId="77777777" w:rsidR="005A7C92" w:rsidRDefault="005A7C92" w:rsidP="00DC4D0A"/>
    <w:p w14:paraId="4F61E2CF" w14:textId="77777777" w:rsidR="005A7C92" w:rsidRDefault="005A7C92" w:rsidP="00DC4D0A"/>
    <w:p w14:paraId="7946F19E" w14:textId="77777777" w:rsidR="005A7C92" w:rsidRDefault="005A7C92" w:rsidP="00DC4D0A"/>
    <w:p w14:paraId="31B0331C" w14:textId="77777777" w:rsidR="005A7C92" w:rsidRDefault="005A7C92" w:rsidP="00DC4D0A"/>
    <w:p w14:paraId="4FA584A0" w14:textId="77777777" w:rsidR="005A7C92" w:rsidRDefault="005A7C92" w:rsidP="00DC4D0A"/>
    <w:p w14:paraId="1BDDC498" w14:textId="77777777" w:rsidR="005A7C92" w:rsidRDefault="005A7C92" w:rsidP="00DC4D0A"/>
    <w:p w14:paraId="25CBC639" w14:textId="77777777" w:rsidR="005A7C92" w:rsidRDefault="005A7C92" w:rsidP="00DC4D0A"/>
    <w:p w14:paraId="15804BBB" w14:textId="77777777" w:rsidR="005A7C92" w:rsidRDefault="005A7C92" w:rsidP="00DC4D0A"/>
    <w:p w14:paraId="75E6024C" w14:textId="77777777" w:rsidR="005A7C92" w:rsidRDefault="005A7C92" w:rsidP="00DC4D0A"/>
    <w:p w14:paraId="13F314C0" w14:textId="77777777" w:rsidR="005A7C92" w:rsidRDefault="005A7C92" w:rsidP="00DC4D0A"/>
    <w:p w14:paraId="6F6FB608" w14:textId="77777777" w:rsidR="005A7C92" w:rsidRDefault="005A7C92" w:rsidP="00DC4D0A"/>
    <w:p w14:paraId="2BA73829" w14:textId="77777777" w:rsidR="005A7C92" w:rsidRDefault="005A7C92" w:rsidP="005A7C92">
      <w:pPr>
        <w:pStyle w:val="Heading2"/>
      </w:pPr>
      <w:bookmarkStart w:id="52" w:name="_Toc354003350"/>
      <w:r>
        <w:t xml:space="preserve">Appendix </w:t>
      </w:r>
      <w:r w:rsidR="00272F31">
        <w:t>G</w:t>
      </w:r>
      <w:bookmarkEnd w:id="52"/>
    </w:p>
    <w:p w14:paraId="49223C0F" w14:textId="77777777" w:rsidR="005A7C92" w:rsidRDefault="005A7C92" w:rsidP="005A7C92"/>
    <w:p w14:paraId="4166EA02" w14:textId="77777777" w:rsidR="005A7C92" w:rsidRDefault="005A7C92" w:rsidP="005A7C92">
      <w:pPr>
        <w:pStyle w:val="Heading2"/>
      </w:pPr>
      <w:bookmarkStart w:id="53" w:name="_Toc354003351"/>
      <w:r>
        <w:t>Un-mown characteristics</w:t>
      </w:r>
      <w:bookmarkEnd w:id="53"/>
    </w:p>
    <w:p w14:paraId="242C3169" w14:textId="77777777" w:rsidR="005A7C92" w:rsidRDefault="005A7C92" w:rsidP="005A7C92"/>
    <w:p w14:paraId="4E704516" w14:textId="77777777" w:rsidR="005A7C92" w:rsidRDefault="005A7C92" w:rsidP="005A7C92"/>
    <w:p w14:paraId="441742D2" w14:textId="77777777" w:rsidR="005A7C92" w:rsidRDefault="005A7C92" w:rsidP="005A7C92"/>
    <w:p w14:paraId="4B6B465C" w14:textId="77777777" w:rsidR="005A7C92" w:rsidRDefault="005A7C92" w:rsidP="005A7C92"/>
    <w:p w14:paraId="6D77099E" w14:textId="77777777" w:rsidR="005A7C92" w:rsidRDefault="005A7C92" w:rsidP="005A7C92"/>
    <w:p w14:paraId="0AB8D635" w14:textId="77777777" w:rsidR="005A7C92" w:rsidRDefault="005A7C92" w:rsidP="005A7C92"/>
    <w:p w14:paraId="6FFE60A1" w14:textId="77777777" w:rsidR="005A7C92" w:rsidRDefault="005A7C92" w:rsidP="005A7C92"/>
    <w:p w14:paraId="0CCDF53B" w14:textId="77777777" w:rsidR="005A7C92" w:rsidRDefault="005A7C92" w:rsidP="005A7C92"/>
    <w:p w14:paraId="54458BE9" w14:textId="77777777" w:rsidR="005A7C92" w:rsidRDefault="005A7C92" w:rsidP="005A7C92"/>
    <w:p w14:paraId="0B153B52" w14:textId="77777777" w:rsidR="005A7C92" w:rsidRDefault="005A7C92" w:rsidP="005A7C92"/>
    <w:p w14:paraId="48916BD1" w14:textId="77777777" w:rsidR="005A7C92" w:rsidRDefault="005A7C92">
      <w:r>
        <w:br w:type="page"/>
      </w:r>
    </w:p>
    <w:p w14:paraId="0DE1FF28" w14:textId="77777777" w:rsidR="005A7C92" w:rsidRPr="005A7C92" w:rsidRDefault="005A7C92" w:rsidP="00272F31">
      <w:pPr>
        <w:spacing w:line="480" w:lineRule="auto"/>
        <w:ind w:firstLine="720"/>
        <w:rPr>
          <w:rFonts w:ascii="Times New Roman" w:hAnsi="Times New Roman" w:cs="Times New Roman"/>
          <w:sz w:val="24"/>
        </w:rPr>
      </w:pPr>
      <w:r w:rsidRPr="005A7C92">
        <w:rPr>
          <w:rFonts w:ascii="Times New Roman" w:hAnsi="Times New Roman" w:cs="Times New Roman"/>
          <w:sz w:val="24"/>
        </w:rPr>
        <w:lastRenderedPageBreak/>
        <w:t>As part of the preliminary trial described in Appendix A, an additional trial was planted adjacent to that trial that differed only in that no mowing was performed. This trial was performed to study characteristics of these grasses when left un-mown. The characteristics measured included; maturity dates recorded as the first day of the year when flowers were visible; mature height, which was measured as height from the ground to top of 12 randomly sampled flowering culms; the number of flowering culms per plot; and the dried biomass in grams per plot (Table C.1.)</w:t>
      </w:r>
    </w:p>
    <w:p w14:paraId="320646EC" w14:textId="77777777" w:rsidR="001F009F" w:rsidRDefault="00AF211E" w:rsidP="00AF211E">
      <w:pPr>
        <w:rPr>
          <w:rFonts w:ascii="Times New Roman" w:hAnsi="Times New Roman" w:cs="Times New Roman"/>
          <w:sz w:val="24"/>
        </w:rPr>
        <w:sectPr w:rsidR="001F009F" w:rsidSect="00CB51DA">
          <w:pgSz w:w="12240" w:h="15840"/>
          <w:pgMar w:top="1440" w:right="1440" w:bottom="1440" w:left="1440" w:header="720" w:footer="720" w:gutter="0"/>
          <w:cols w:space="720"/>
          <w:docGrid w:linePitch="360"/>
        </w:sectPr>
      </w:pPr>
      <w:r>
        <w:rPr>
          <w:rFonts w:ascii="Times New Roman" w:hAnsi="Times New Roman" w:cs="Times New Roman"/>
          <w:sz w:val="24"/>
        </w:rPr>
        <w:br w:type="page"/>
      </w:r>
    </w:p>
    <w:p w14:paraId="35DB97B6" w14:textId="77777777" w:rsidR="005A7C92" w:rsidRDefault="005A1EB9" w:rsidP="005A1EB9">
      <w:pPr>
        <w:pStyle w:val="Heading2"/>
      </w:pPr>
      <w:bookmarkStart w:id="54" w:name="_Toc354003352"/>
      <w:r>
        <w:lastRenderedPageBreak/>
        <w:t>Tables</w:t>
      </w:r>
      <w:bookmarkEnd w:id="54"/>
    </w:p>
    <w:p w14:paraId="44580200" w14:textId="77777777" w:rsidR="005A1EB9" w:rsidRPr="005A1EB9" w:rsidRDefault="005A1EB9" w:rsidP="005A1EB9"/>
    <w:tbl>
      <w:tblPr>
        <w:tblW w:w="9105" w:type="dxa"/>
        <w:jc w:val="center"/>
        <w:tblInd w:w="93" w:type="dxa"/>
        <w:tblLayout w:type="fixed"/>
        <w:tblLook w:val="04A0" w:firstRow="1" w:lastRow="0" w:firstColumn="1" w:lastColumn="0" w:noHBand="0" w:noVBand="1"/>
      </w:tblPr>
      <w:tblGrid>
        <w:gridCol w:w="2856"/>
        <w:gridCol w:w="1583"/>
        <w:gridCol w:w="1154"/>
        <w:gridCol w:w="1155"/>
        <w:gridCol w:w="1154"/>
        <w:gridCol w:w="1203"/>
      </w:tblGrid>
      <w:tr w:rsidR="005A7C92" w:rsidRPr="005A7C92" w14:paraId="76D559F5" w14:textId="77777777" w:rsidTr="00272F31">
        <w:trPr>
          <w:trHeight w:val="288"/>
          <w:jc w:val="center"/>
        </w:trPr>
        <w:tc>
          <w:tcPr>
            <w:tcW w:w="9105" w:type="dxa"/>
            <w:gridSpan w:val="6"/>
            <w:tcBorders>
              <w:top w:val="nil"/>
              <w:left w:val="nil"/>
              <w:bottom w:val="single" w:sz="4" w:space="0" w:color="auto"/>
              <w:right w:val="nil"/>
            </w:tcBorders>
            <w:shd w:val="clear" w:color="auto" w:fill="auto"/>
            <w:noWrap/>
            <w:vAlign w:val="bottom"/>
          </w:tcPr>
          <w:p w14:paraId="7F518E84" w14:textId="77777777" w:rsidR="005A7C92" w:rsidRPr="005A7C92" w:rsidRDefault="001F009F" w:rsidP="005A7C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E.</w:t>
            </w:r>
            <w:r w:rsidR="005A7C92" w:rsidRPr="005A7C92">
              <w:rPr>
                <w:rFonts w:ascii="Times New Roman" w:eastAsia="Times New Roman" w:hAnsi="Times New Roman" w:cs="Times New Roman"/>
                <w:b/>
                <w:sz w:val="24"/>
                <w:szCs w:val="24"/>
              </w:rPr>
              <w:t xml:space="preserve">1. Un-mown characteristics of </w:t>
            </w:r>
            <w:r w:rsidR="005A7C92" w:rsidRPr="005A7C92">
              <w:rPr>
                <w:rFonts w:ascii="Times New Roman" w:eastAsia="Times New Roman" w:hAnsi="Times New Roman" w:cs="Times New Roman"/>
                <w:b/>
                <w:i/>
                <w:sz w:val="24"/>
                <w:szCs w:val="24"/>
              </w:rPr>
              <w:t>Poa</w:t>
            </w:r>
            <w:r w:rsidR="005A7C92" w:rsidRPr="005A7C92">
              <w:rPr>
                <w:rFonts w:ascii="Times New Roman" w:eastAsia="Times New Roman" w:hAnsi="Times New Roman" w:cs="Times New Roman"/>
                <w:b/>
                <w:sz w:val="24"/>
                <w:szCs w:val="24"/>
              </w:rPr>
              <w:t xml:space="preserve"> species and cultivars in 2010 in Knoxville, TN.</w:t>
            </w:r>
          </w:p>
        </w:tc>
      </w:tr>
      <w:tr w:rsidR="005A7C92" w:rsidRPr="005A7C92" w14:paraId="4C2D456C" w14:textId="77777777" w:rsidTr="00272F31">
        <w:trPr>
          <w:trHeight w:val="288"/>
          <w:jc w:val="center"/>
        </w:trPr>
        <w:tc>
          <w:tcPr>
            <w:tcW w:w="2856" w:type="dxa"/>
            <w:tcBorders>
              <w:top w:val="nil"/>
              <w:left w:val="nil"/>
              <w:bottom w:val="single" w:sz="4" w:space="0" w:color="auto"/>
              <w:right w:val="nil"/>
            </w:tcBorders>
            <w:shd w:val="clear" w:color="auto" w:fill="auto"/>
            <w:noWrap/>
            <w:vAlign w:val="bottom"/>
            <w:hideMark/>
          </w:tcPr>
          <w:p w14:paraId="71E8FD84"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Species/Cultivar</w:t>
            </w:r>
          </w:p>
        </w:tc>
        <w:tc>
          <w:tcPr>
            <w:tcW w:w="1583" w:type="dxa"/>
            <w:tcBorders>
              <w:top w:val="nil"/>
              <w:left w:val="nil"/>
              <w:bottom w:val="single" w:sz="4" w:space="0" w:color="auto"/>
              <w:right w:val="nil"/>
            </w:tcBorders>
            <w:shd w:val="clear" w:color="auto" w:fill="auto"/>
            <w:noWrap/>
            <w:vAlign w:val="bottom"/>
            <w:hideMark/>
          </w:tcPr>
          <w:p w14:paraId="1252B85A"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Identifier</w:t>
            </w:r>
          </w:p>
        </w:tc>
        <w:tc>
          <w:tcPr>
            <w:tcW w:w="1154" w:type="dxa"/>
            <w:tcBorders>
              <w:top w:val="nil"/>
              <w:left w:val="nil"/>
              <w:bottom w:val="single" w:sz="4" w:space="0" w:color="auto"/>
              <w:right w:val="nil"/>
            </w:tcBorders>
            <w:shd w:val="clear" w:color="auto" w:fill="auto"/>
            <w:noWrap/>
            <w:vAlign w:val="bottom"/>
            <w:hideMark/>
          </w:tcPr>
          <w:p w14:paraId="0A7710DE"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Biomass</w:t>
            </w:r>
          </w:p>
        </w:tc>
        <w:tc>
          <w:tcPr>
            <w:tcW w:w="1155" w:type="dxa"/>
            <w:tcBorders>
              <w:top w:val="nil"/>
              <w:left w:val="nil"/>
              <w:bottom w:val="single" w:sz="4" w:space="0" w:color="auto"/>
              <w:right w:val="nil"/>
            </w:tcBorders>
            <w:shd w:val="clear" w:color="auto" w:fill="auto"/>
            <w:noWrap/>
            <w:vAlign w:val="bottom"/>
            <w:hideMark/>
          </w:tcPr>
          <w:p w14:paraId="14CEC2A8"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Height</w:t>
            </w:r>
          </w:p>
        </w:tc>
        <w:tc>
          <w:tcPr>
            <w:tcW w:w="1154" w:type="dxa"/>
            <w:tcBorders>
              <w:top w:val="nil"/>
              <w:left w:val="nil"/>
              <w:bottom w:val="single" w:sz="4" w:space="0" w:color="auto"/>
              <w:right w:val="nil"/>
            </w:tcBorders>
            <w:shd w:val="clear" w:color="auto" w:fill="auto"/>
            <w:noWrap/>
            <w:vAlign w:val="bottom"/>
            <w:hideMark/>
          </w:tcPr>
          <w:p w14:paraId="5B0E6EBC"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Culms</w:t>
            </w:r>
          </w:p>
        </w:tc>
        <w:tc>
          <w:tcPr>
            <w:tcW w:w="1203" w:type="dxa"/>
            <w:tcBorders>
              <w:top w:val="nil"/>
              <w:left w:val="nil"/>
              <w:bottom w:val="single" w:sz="4" w:space="0" w:color="auto"/>
              <w:right w:val="nil"/>
            </w:tcBorders>
            <w:shd w:val="clear" w:color="auto" w:fill="auto"/>
            <w:noWrap/>
            <w:vAlign w:val="bottom"/>
            <w:hideMark/>
          </w:tcPr>
          <w:p w14:paraId="53BB1BFB"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Maturity</w:t>
            </w:r>
          </w:p>
        </w:tc>
      </w:tr>
      <w:tr w:rsidR="005A7C92" w:rsidRPr="005A7C92" w14:paraId="3CB28629"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7FCD26E2" w14:textId="77777777" w:rsidR="005A7C92" w:rsidRPr="005A7C92" w:rsidRDefault="005A7C92" w:rsidP="005A7C92">
            <w:pPr>
              <w:spacing w:after="0" w:line="240" w:lineRule="auto"/>
              <w:rPr>
                <w:rFonts w:ascii="Times New Roman" w:eastAsia="Times New Roman" w:hAnsi="Times New Roman" w:cs="Times New Roman"/>
                <w:b/>
                <w:sz w:val="24"/>
                <w:szCs w:val="24"/>
              </w:rPr>
            </w:pPr>
          </w:p>
        </w:tc>
        <w:tc>
          <w:tcPr>
            <w:tcW w:w="1583" w:type="dxa"/>
            <w:tcBorders>
              <w:top w:val="nil"/>
              <w:left w:val="nil"/>
              <w:bottom w:val="nil"/>
              <w:right w:val="nil"/>
            </w:tcBorders>
            <w:shd w:val="clear" w:color="auto" w:fill="auto"/>
            <w:noWrap/>
            <w:vAlign w:val="bottom"/>
            <w:hideMark/>
          </w:tcPr>
          <w:p w14:paraId="7C59A675" w14:textId="77777777" w:rsidR="005A7C92" w:rsidRPr="005A7C92" w:rsidRDefault="005A7C92" w:rsidP="005A7C92">
            <w:pPr>
              <w:spacing w:after="0" w:line="240" w:lineRule="auto"/>
              <w:rPr>
                <w:rFonts w:ascii="Times New Roman" w:eastAsia="Times New Roman" w:hAnsi="Times New Roman" w:cs="Times New Roman"/>
                <w:b/>
                <w:sz w:val="24"/>
                <w:szCs w:val="24"/>
              </w:rPr>
            </w:pPr>
          </w:p>
        </w:tc>
        <w:tc>
          <w:tcPr>
            <w:tcW w:w="1154" w:type="dxa"/>
            <w:tcBorders>
              <w:top w:val="nil"/>
              <w:left w:val="nil"/>
              <w:bottom w:val="nil"/>
              <w:right w:val="nil"/>
            </w:tcBorders>
            <w:shd w:val="clear" w:color="auto" w:fill="auto"/>
            <w:noWrap/>
            <w:vAlign w:val="bottom"/>
            <w:hideMark/>
          </w:tcPr>
          <w:p w14:paraId="1653C82C" w14:textId="77777777" w:rsidR="005A7C92" w:rsidRPr="005A7C92" w:rsidRDefault="005A7C92" w:rsidP="005A7C92">
            <w:pPr>
              <w:spacing w:after="0" w:line="240" w:lineRule="auto"/>
              <w:jc w:val="center"/>
              <w:rPr>
                <w:rFonts w:ascii="Times New Roman" w:eastAsia="Times New Roman" w:hAnsi="Times New Roman" w:cs="Times New Roman"/>
                <w:b/>
                <w:sz w:val="24"/>
                <w:szCs w:val="24"/>
                <w:vertAlign w:val="superscript"/>
              </w:rPr>
            </w:pPr>
            <w:r w:rsidRPr="005A7C92">
              <w:rPr>
                <w:rFonts w:ascii="Times New Roman" w:eastAsia="Times New Roman" w:hAnsi="Times New Roman" w:cs="Times New Roman"/>
                <w:b/>
                <w:sz w:val="24"/>
                <w:szCs w:val="24"/>
              </w:rPr>
              <w:t>g plot</w:t>
            </w:r>
            <w:r w:rsidRPr="005A7C92">
              <w:rPr>
                <w:rFonts w:ascii="Times New Roman" w:eastAsia="Times New Roman" w:hAnsi="Times New Roman" w:cs="Times New Roman"/>
                <w:b/>
                <w:sz w:val="24"/>
                <w:szCs w:val="24"/>
                <w:vertAlign w:val="superscript"/>
              </w:rPr>
              <w:t>-1</w:t>
            </w:r>
          </w:p>
        </w:tc>
        <w:tc>
          <w:tcPr>
            <w:tcW w:w="1155" w:type="dxa"/>
            <w:tcBorders>
              <w:top w:val="nil"/>
              <w:left w:val="nil"/>
              <w:bottom w:val="nil"/>
              <w:right w:val="nil"/>
            </w:tcBorders>
            <w:shd w:val="clear" w:color="auto" w:fill="auto"/>
            <w:noWrap/>
            <w:vAlign w:val="bottom"/>
            <w:hideMark/>
          </w:tcPr>
          <w:p w14:paraId="27330897"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cm</w:t>
            </w:r>
          </w:p>
        </w:tc>
        <w:tc>
          <w:tcPr>
            <w:tcW w:w="1154" w:type="dxa"/>
            <w:tcBorders>
              <w:top w:val="nil"/>
              <w:left w:val="nil"/>
              <w:bottom w:val="nil"/>
              <w:right w:val="nil"/>
            </w:tcBorders>
            <w:shd w:val="clear" w:color="auto" w:fill="auto"/>
            <w:noWrap/>
            <w:vAlign w:val="bottom"/>
            <w:hideMark/>
          </w:tcPr>
          <w:p w14:paraId="6BDD6311"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 plot</w:t>
            </w:r>
            <w:r w:rsidRPr="005A7C92">
              <w:rPr>
                <w:rFonts w:ascii="Times New Roman" w:eastAsia="Times New Roman" w:hAnsi="Times New Roman" w:cs="Times New Roman"/>
                <w:b/>
                <w:sz w:val="24"/>
                <w:szCs w:val="24"/>
                <w:vertAlign w:val="superscript"/>
              </w:rPr>
              <w:t>-1</w:t>
            </w:r>
            <w:r w:rsidRPr="005A7C92">
              <w:rPr>
                <w:rFonts w:ascii="Times New Roman" w:eastAsia="Times New Roman" w:hAnsi="Times New Roman" w:cs="Times New Roman"/>
                <w:b/>
                <w:sz w:val="24"/>
                <w:szCs w:val="24"/>
              </w:rPr>
              <w:t xml:space="preserve"> </w:t>
            </w:r>
          </w:p>
        </w:tc>
        <w:tc>
          <w:tcPr>
            <w:tcW w:w="1203" w:type="dxa"/>
            <w:tcBorders>
              <w:top w:val="nil"/>
              <w:left w:val="nil"/>
              <w:bottom w:val="nil"/>
              <w:right w:val="nil"/>
            </w:tcBorders>
            <w:shd w:val="clear" w:color="auto" w:fill="auto"/>
            <w:noWrap/>
            <w:vAlign w:val="bottom"/>
            <w:hideMark/>
          </w:tcPr>
          <w:p w14:paraId="272E77B1"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day</w:t>
            </w:r>
          </w:p>
        </w:tc>
      </w:tr>
      <w:tr w:rsidR="005A7C92" w:rsidRPr="005A7C92" w14:paraId="32C45930"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27D1A9F7"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alpina</w:t>
            </w:r>
          </w:p>
        </w:tc>
        <w:tc>
          <w:tcPr>
            <w:tcW w:w="1583" w:type="dxa"/>
            <w:tcBorders>
              <w:top w:val="nil"/>
              <w:left w:val="nil"/>
              <w:bottom w:val="nil"/>
              <w:right w:val="nil"/>
            </w:tcBorders>
            <w:shd w:val="clear" w:color="auto" w:fill="auto"/>
            <w:noWrap/>
            <w:vAlign w:val="bottom"/>
            <w:hideMark/>
          </w:tcPr>
          <w:p w14:paraId="31721EC1"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540425</w:t>
            </w:r>
          </w:p>
        </w:tc>
        <w:tc>
          <w:tcPr>
            <w:tcW w:w="1154" w:type="dxa"/>
            <w:tcBorders>
              <w:top w:val="nil"/>
              <w:left w:val="nil"/>
              <w:bottom w:val="nil"/>
              <w:right w:val="nil"/>
            </w:tcBorders>
            <w:shd w:val="clear" w:color="auto" w:fill="auto"/>
            <w:noWrap/>
            <w:vAlign w:val="bottom"/>
            <w:hideMark/>
          </w:tcPr>
          <w:p w14:paraId="0212AA88"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20</w:t>
            </w:r>
          </w:p>
        </w:tc>
        <w:tc>
          <w:tcPr>
            <w:tcW w:w="1155" w:type="dxa"/>
            <w:tcBorders>
              <w:top w:val="nil"/>
              <w:left w:val="nil"/>
              <w:bottom w:val="nil"/>
              <w:right w:val="nil"/>
            </w:tcBorders>
            <w:shd w:val="clear" w:color="auto" w:fill="auto"/>
            <w:noWrap/>
            <w:vAlign w:val="bottom"/>
            <w:hideMark/>
          </w:tcPr>
          <w:p w14:paraId="2124E3C6"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15</w:t>
            </w:r>
          </w:p>
        </w:tc>
        <w:tc>
          <w:tcPr>
            <w:tcW w:w="1154" w:type="dxa"/>
            <w:tcBorders>
              <w:top w:val="nil"/>
              <w:left w:val="nil"/>
              <w:bottom w:val="nil"/>
              <w:right w:val="nil"/>
            </w:tcBorders>
            <w:shd w:val="clear" w:color="auto" w:fill="auto"/>
            <w:noWrap/>
            <w:vAlign w:val="bottom"/>
            <w:hideMark/>
          </w:tcPr>
          <w:p w14:paraId="1F42D789"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c>
          <w:tcPr>
            <w:tcW w:w="1203" w:type="dxa"/>
            <w:tcBorders>
              <w:top w:val="nil"/>
              <w:left w:val="nil"/>
              <w:bottom w:val="nil"/>
              <w:right w:val="nil"/>
            </w:tcBorders>
            <w:shd w:val="clear" w:color="auto" w:fill="auto"/>
            <w:noWrap/>
            <w:vAlign w:val="bottom"/>
            <w:hideMark/>
          </w:tcPr>
          <w:p w14:paraId="62535A84"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112</w:t>
            </w:r>
          </w:p>
        </w:tc>
      </w:tr>
      <w:tr w:rsidR="005A7C92" w:rsidRPr="005A7C92" w14:paraId="1ECF5486"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319E5B1C"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 xml:space="preserve">P. trivialis </w:t>
            </w:r>
          </w:p>
        </w:tc>
        <w:tc>
          <w:tcPr>
            <w:tcW w:w="1583" w:type="dxa"/>
            <w:tcBorders>
              <w:top w:val="nil"/>
              <w:left w:val="nil"/>
              <w:bottom w:val="nil"/>
              <w:right w:val="nil"/>
            </w:tcBorders>
            <w:shd w:val="clear" w:color="auto" w:fill="auto"/>
            <w:noWrap/>
            <w:vAlign w:val="bottom"/>
            <w:hideMark/>
          </w:tcPr>
          <w:p w14:paraId="2319FE64"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WSGC</w:t>
            </w:r>
          </w:p>
        </w:tc>
        <w:tc>
          <w:tcPr>
            <w:tcW w:w="1154" w:type="dxa"/>
            <w:tcBorders>
              <w:top w:val="nil"/>
              <w:left w:val="nil"/>
              <w:bottom w:val="nil"/>
              <w:right w:val="nil"/>
            </w:tcBorders>
            <w:shd w:val="clear" w:color="auto" w:fill="auto"/>
            <w:noWrap/>
            <w:vAlign w:val="bottom"/>
            <w:hideMark/>
          </w:tcPr>
          <w:p w14:paraId="3741052A"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138</w:t>
            </w:r>
          </w:p>
        </w:tc>
        <w:tc>
          <w:tcPr>
            <w:tcW w:w="1155" w:type="dxa"/>
            <w:tcBorders>
              <w:top w:val="nil"/>
              <w:left w:val="nil"/>
              <w:bottom w:val="nil"/>
              <w:right w:val="nil"/>
            </w:tcBorders>
            <w:shd w:val="clear" w:color="auto" w:fill="auto"/>
            <w:noWrap/>
            <w:vAlign w:val="bottom"/>
            <w:hideMark/>
          </w:tcPr>
          <w:p w14:paraId="546FF6FF"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61</w:t>
            </w:r>
          </w:p>
        </w:tc>
        <w:tc>
          <w:tcPr>
            <w:tcW w:w="1154" w:type="dxa"/>
            <w:tcBorders>
              <w:top w:val="nil"/>
              <w:left w:val="nil"/>
              <w:bottom w:val="nil"/>
              <w:right w:val="nil"/>
            </w:tcBorders>
            <w:shd w:val="clear" w:color="auto" w:fill="auto"/>
            <w:noWrap/>
            <w:vAlign w:val="bottom"/>
            <w:hideMark/>
          </w:tcPr>
          <w:p w14:paraId="66636D33"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782</w:t>
            </w:r>
          </w:p>
        </w:tc>
        <w:tc>
          <w:tcPr>
            <w:tcW w:w="1203" w:type="dxa"/>
            <w:tcBorders>
              <w:top w:val="nil"/>
              <w:left w:val="nil"/>
              <w:bottom w:val="nil"/>
              <w:right w:val="nil"/>
            </w:tcBorders>
            <w:shd w:val="clear" w:color="auto" w:fill="auto"/>
            <w:noWrap/>
            <w:vAlign w:val="bottom"/>
            <w:hideMark/>
          </w:tcPr>
          <w:p w14:paraId="0F613232"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132</w:t>
            </w:r>
          </w:p>
        </w:tc>
      </w:tr>
      <w:tr w:rsidR="005A7C92" w:rsidRPr="005A7C92" w14:paraId="1969222B"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12EA608A"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annua</w:t>
            </w:r>
          </w:p>
        </w:tc>
        <w:tc>
          <w:tcPr>
            <w:tcW w:w="1583" w:type="dxa"/>
            <w:tcBorders>
              <w:top w:val="nil"/>
              <w:left w:val="nil"/>
              <w:bottom w:val="nil"/>
              <w:right w:val="nil"/>
            </w:tcBorders>
            <w:shd w:val="clear" w:color="auto" w:fill="auto"/>
            <w:noWrap/>
            <w:vAlign w:val="bottom"/>
            <w:hideMark/>
          </w:tcPr>
          <w:p w14:paraId="44864907"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CWA</w:t>
            </w:r>
          </w:p>
        </w:tc>
        <w:tc>
          <w:tcPr>
            <w:tcW w:w="1154" w:type="dxa"/>
            <w:tcBorders>
              <w:top w:val="nil"/>
              <w:left w:val="nil"/>
              <w:bottom w:val="nil"/>
              <w:right w:val="nil"/>
            </w:tcBorders>
            <w:shd w:val="clear" w:color="auto" w:fill="auto"/>
            <w:noWrap/>
            <w:vAlign w:val="bottom"/>
            <w:hideMark/>
          </w:tcPr>
          <w:p w14:paraId="6EAC628A"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27</w:t>
            </w:r>
          </w:p>
        </w:tc>
        <w:tc>
          <w:tcPr>
            <w:tcW w:w="1155" w:type="dxa"/>
            <w:tcBorders>
              <w:top w:val="nil"/>
              <w:left w:val="nil"/>
              <w:bottom w:val="nil"/>
              <w:right w:val="nil"/>
            </w:tcBorders>
            <w:shd w:val="clear" w:color="auto" w:fill="auto"/>
            <w:noWrap/>
            <w:vAlign w:val="bottom"/>
            <w:hideMark/>
          </w:tcPr>
          <w:p w14:paraId="664D2F88"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28</w:t>
            </w:r>
          </w:p>
        </w:tc>
        <w:tc>
          <w:tcPr>
            <w:tcW w:w="1154" w:type="dxa"/>
            <w:tcBorders>
              <w:top w:val="nil"/>
              <w:left w:val="nil"/>
              <w:bottom w:val="nil"/>
              <w:right w:val="nil"/>
            </w:tcBorders>
            <w:shd w:val="clear" w:color="auto" w:fill="auto"/>
            <w:noWrap/>
            <w:vAlign w:val="bottom"/>
            <w:hideMark/>
          </w:tcPr>
          <w:p w14:paraId="3A2567B9"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c>
          <w:tcPr>
            <w:tcW w:w="1203" w:type="dxa"/>
            <w:tcBorders>
              <w:top w:val="nil"/>
              <w:left w:val="nil"/>
              <w:bottom w:val="nil"/>
              <w:right w:val="nil"/>
            </w:tcBorders>
            <w:shd w:val="clear" w:color="auto" w:fill="auto"/>
            <w:noWrap/>
            <w:vAlign w:val="bottom"/>
            <w:hideMark/>
          </w:tcPr>
          <w:p w14:paraId="4808EC96"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48</w:t>
            </w:r>
          </w:p>
        </w:tc>
      </w:tr>
      <w:tr w:rsidR="005A7C92" w:rsidRPr="005A7C92" w14:paraId="4EDC0E2C"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71507FC5"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arachnifera</w:t>
            </w:r>
          </w:p>
        </w:tc>
        <w:tc>
          <w:tcPr>
            <w:tcW w:w="1583" w:type="dxa"/>
            <w:tcBorders>
              <w:top w:val="nil"/>
              <w:left w:val="nil"/>
              <w:bottom w:val="nil"/>
              <w:right w:val="nil"/>
            </w:tcBorders>
            <w:shd w:val="clear" w:color="auto" w:fill="auto"/>
            <w:noWrap/>
            <w:vAlign w:val="bottom"/>
            <w:hideMark/>
          </w:tcPr>
          <w:p w14:paraId="38429297"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W6 17703</w:t>
            </w:r>
          </w:p>
        </w:tc>
        <w:tc>
          <w:tcPr>
            <w:tcW w:w="1154" w:type="dxa"/>
            <w:tcBorders>
              <w:top w:val="nil"/>
              <w:left w:val="nil"/>
              <w:bottom w:val="nil"/>
              <w:right w:val="nil"/>
            </w:tcBorders>
            <w:shd w:val="clear" w:color="auto" w:fill="auto"/>
            <w:noWrap/>
            <w:vAlign w:val="bottom"/>
            <w:hideMark/>
          </w:tcPr>
          <w:p w14:paraId="6CFE8597"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77</w:t>
            </w:r>
          </w:p>
        </w:tc>
        <w:tc>
          <w:tcPr>
            <w:tcW w:w="1155" w:type="dxa"/>
            <w:tcBorders>
              <w:top w:val="nil"/>
              <w:left w:val="nil"/>
              <w:bottom w:val="nil"/>
              <w:right w:val="nil"/>
            </w:tcBorders>
            <w:shd w:val="clear" w:color="auto" w:fill="auto"/>
            <w:noWrap/>
            <w:vAlign w:val="bottom"/>
            <w:hideMark/>
          </w:tcPr>
          <w:p w14:paraId="7B57F0C8"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57</w:t>
            </w:r>
          </w:p>
        </w:tc>
        <w:tc>
          <w:tcPr>
            <w:tcW w:w="1154" w:type="dxa"/>
            <w:tcBorders>
              <w:top w:val="nil"/>
              <w:left w:val="nil"/>
              <w:bottom w:val="nil"/>
              <w:right w:val="nil"/>
            </w:tcBorders>
            <w:shd w:val="clear" w:color="auto" w:fill="auto"/>
            <w:noWrap/>
            <w:vAlign w:val="bottom"/>
            <w:hideMark/>
          </w:tcPr>
          <w:p w14:paraId="77BD1D77"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57</w:t>
            </w:r>
          </w:p>
        </w:tc>
        <w:tc>
          <w:tcPr>
            <w:tcW w:w="1203" w:type="dxa"/>
            <w:tcBorders>
              <w:top w:val="nil"/>
              <w:left w:val="nil"/>
              <w:bottom w:val="nil"/>
              <w:right w:val="nil"/>
            </w:tcBorders>
            <w:shd w:val="clear" w:color="auto" w:fill="auto"/>
            <w:noWrap/>
            <w:vAlign w:val="bottom"/>
            <w:hideMark/>
          </w:tcPr>
          <w:p w14:paraId="2D206554"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115</w:t>
            </w:r>
          </w:p>
        </w:tc>
      </w:tr>
      <w:tr w:rsidR="005A7C92" w:rsidRPr="005A7C92" w14:paraId="77BDE9EC"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6B1892D6"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arctica</w:t>
            </w:r>
          </w:p>
        </w:tc>
        <w:tc>
          <w:tcPr>
            <w:tcW w:w="1583" w:type="dxa"/>
            <w:tcBorders>
              <w:top w:val="nil"/>
              <w:left w:val="nil"/>
              <w:bottom w:val="nil"/>
              <w:right w:val="nil"/>
            </w:tcBorders>
            <w:shd w:val="clear" w:color="auto" w:fill="auto"/>
            <w:noWrap/>
            <w:vAlign w:val="bottom"/>
            <w:hideMark/>
          </w:tcPr>
          <w:p w14:paraId="28C60851"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236901</w:t>
            </w:r>
          </w:p>
        </w:tc>
        <w:tc>
          <w:tcPr>
            <w:tcW w:w="1154" w:type="dxa"/>
            <w:tcBorders>
              <w:top w:val="nil"/>
              <w:left w:val="nil"/>
              <w:bottom w:val="nil"/>
              <w:right w:val="nil"/>
            </w:tcBorders>
            <w:shd w:val="clear" w:color="auto" w:fill="auto"/>
            <w:noWrap/>
            <w:vAlign w:val="bottom"/>
            <w:hideMark/>
          </w:tcPr>
          <w:p w14:paraId="5039C68B"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42</w:t>
            </w:r>
          </w:p>
        </w:tc>
        <w:tc>
          <w:tcPr>
            <w:tcW w:w="1155" w:type="dxa"/>
            <w:tcBorders>
              <w:top w:val="nil"/>
              <w:left w:val="nil"/>
              <w:bottom w:val="nil"/>
              <w:right w:val="nil"/>
            </w:tcBorders>
            <w:shd w:val="clear" w:color="auto" w:fill="auto"/>
            <w:noWrap/>
            <w:vAlign w:val="bottom"/>
            <w:hideMark/>
          </w:tcPr>
          <w:p w14:paraId="5382A866"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19</w:t>
            </w:r>
          </w:p>
        </w:tc>
        <w:tc>
          <w:tcPr>
            <w:tcW w:w="1154" w:type="dxa"/>
            <w:tcBorders>
              <w:top w:val="nil"/>
              <w:left w:val="nil"/>
              <w:bottom w:val="nil"/>
              <w:right w:val="nil"/>
            </w:tcBorders>
            <w:shd w:val="clear" w:color="auto" w:fill="auto"/>
            <w:noWrap/>
            <w:vAlign w:val="bottom"/>
            <w:hideMark/>
          </w:tcPr>
          <w:p w14:paraId="56832C17"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c>
          <w:tcPr>
            <w:tcW w:w="1203" w:type="dxa"/>
            <w:tcBorders>
              <w:top w:val="nil"/>
              <w:left w:val="nil"/>
              <w:bottom w:val="nil"/>
              <w:right w:val="nil"/>
            </w:tcBorders>
            <w:shd w:val="clear" w:color="auto" w:fill="auto"/>
            <w:noWrap/>
            <w:vAlign w:val="bottom"/>
            <w:hideMark/>
          </w:tcPr>
          <w:p w14:paraId="013F62CC"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103</w:t>
            </w:r>
          </w:p>
        </w:tc>
      </w:tr>
      <w:tr w:rsidR="005A7C92" w:rsidRPr="005A7C92" w14:paraId="1980056F"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4BC3FD51"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arida</w:t>
            </w:r>
          </w:p>
        </w:tc>
        <w:tc>
          <w:tcPr>
            <w:tcW w:w="1583" w:type="dxa"/>
            <w:tcBorders>
              <w:top w:val="nil"/>
              <w:left w:val="nil"/>
              <w:bottom w:val="nil"/>
              <w:right w:val="nil"/>
            </w:tcBorders>
            <w:shd w:val="clear" w:color="auto" w:fill="auto"/>
            <w:noWrap/>
            <w:vAlign w:val="bottom"/>
            <w:hideMark/>
          </w:tcPr>
          <w:p w14:paraId="38D9F819"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578806</w:t>
            </w:r>
          </w:p>
        </w:tc>
        <w:tc>
          <w:tcPr>
            <w:tcW w:w="1154" w:type="dxa"/>
            <w:tcBorders>
              <w:top w:val="nil"/>
              <w:left w:val="nil"/>
              <w:bottom w:val="nil"/>
              <w:right w:val="nil"/>
            </w:tcBorders>
            <w:shd w:val="clear" w:color="auto" w:fill="auto"/>
            <w:noWrap/>
            <w:vAlign w:val="bottom"/>
            <w:hideMark/>
          </w:tcPr>
          <w:p w14:paraId="1D0FB199"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87</w:t>
            </w:r>
          </w:p>
        </w:tc>
        <w:tc>
          <w:tcPr>
            <w:tcW w:w="1155" w:type="dxa"/>
            <w:tcBorders>
              <w:top w:val="nil"/>
              <w:left w:val="nil"/>
              <w:bottom w:val="nil"/>
              <w:right w:val="nil"/>
            </w:tcBorders>
            <w:shd w:val="clear" w:color="auto" w:fill="auto"/>
            <w:noWrap/>
            <w:vAlign w:val="bottom"/>
            <w:hideMark/>
          </w:tcPr>
          <w:p w14:paraId="7E1CFE3D"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63</w:t>
            </w:r>
          </w:p>
        </w:tc>
        <w:tc>
          <w:tcPr>
            <w:tcW w:w="1154" w:type="dxa"/>
            <w:tcBorders>
              <w:top w:val="nil"/>
              <w:left w:val="nil"/>
              <w:bottom w:val="nil"/>
              <w:right w:val="nil"/>
            </w:tcBorders>
            <w:shd w:val="clear" w:color="auto" w:fill="auto"/>
            <w:noWrap/>
            <w:vAlign w:val="bottom"/>
            <w:hideMark/>
          </w:tcPr>
          <w:p w14:paraId="39526B30"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298</w:t>
            </w:r>
          </w:p>
        </w:tc>
        <w:tc>
          <w:tcPr>
            <w:tcW w:w="1203" w:type="dxa"/>
            <w:tcBorders>
              <w:top w:val="nil"/>
              <w:left w:val="nil"/>
              <w:bottom w:val="nil"/>
              <w:right w:val="nil"/>
            </w:tcBorders>
            <w:shd w:val="clear" w:color="auto" w:fill="auto"/>
            <w:noWrap/>
            <w:vAlign w:val="bottom"/>
            <w:hideMark/>
          </w:tcPr>
          <w:p w14:paraId="29E6E230"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120</w:t>
            </w:r>
          </w:p>
        </w:tc>
      </w:tr>
      <w:tr w:rsidR="005A7C92" w:rsidRPr="005A7C92" w14:paraId="6270F0C8"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5F5D3D6D"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chaixii</w:t>
            </w:r>
          </w:p>
        </w:tc>
        <w:tc>
          <w:tcPr>
            <w:tcW w:w="1583" w:type="dxa"/>
            <w:tcBorders>
              <w:top w:val="nil"/>
              <w:left w:val="nil"/>
              <w:bottom w:val="nil"/>
              <w:right w:val="nil"/>
            </w:tcBorders>
            <w:shd w:val="clear" w:color="auto" w:fill="auto"/>
            <w:noWrap/>
            <w:vAlign w:val="bottom"/>
            <w:hideMark/>
          </w:tcPr>
          <w:p w14:paraId="170A7117"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W6 28274</w:t>
            </w:r>
          </w:p>
        </w:tc>
        <w:tc>
          <w:tcPr>
            <w:tcW w:w="1154" w:type="dxa"/>
            <w:tcBorders>
              <w:top w:val="nil"/>
              <w:left w:val="nil"/>
              <w:bottom w:val="nil"/>
              <w:right w:val="nil"/>
            </w:tcBorders>
            <w:shd w:val="clear" w:color="auto" w:fill="auto"/>
            <w:noWrap/>
            <w:vAlign w:val="bottom"/>
            <w:hideMark/>
          </w:tcPr>
          <w:p w14:paraId="06A147D1"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25</w:t>
            </w:r>
          </w:p>
        </w:tc>
        <w:tc>
          <w:tcPr>
            <w:tcW w:w="1155" w:type="dxa"/>
            <w:tcBorders>
              <w:top w:val="nil"/>
              <w:left w:val="nil"/>
              <w:bottom w:val="nil"/>
              <w:right w:val="nil"/>
            </w:tcBorders>
            <w:shd w:val="clear" w:color="auto" w:fill="auto"/>
            <w:noWrap/>
            <w:vAlign w:val="bottom"/>
            <w:hideMark/>
          </w:tcPr>
          <w:p w14:paraId="744CC2D6"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58</w:t>
            </w:r>
          </w:p>
        </w:tc>
        <w:tc>
          <w:tcPr>
            <w:tcW w:w="1154" w:type="dxa"/>
            <w:tcBorders>
              <w:top w:val="nil"/>
              <w:left w:val="nil"/>
              <w:bottom w:val="nil"/>
              <w:right w:val="nil"/>
            </w:tcBorders>
            <w:shd w:val="clear" w:color="auto" w:fill="auto"/>
            <w:noWrap/>
            <w:vAlign w:val="bottom"/>
            <w:hideMark/>
          </w:tcPr>
          <w:p w14:paraId="3FDB8880"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w:t>
            </w:r>
          </w:p>
        </w:tc>
        <w:tc>
          <w:tcPr>
            <w:tcW w:w="1203" w:type="dxa"/>
            <w:tcBorders>
              <w:top w:val="nil"/>
              <w:left w:val="nil"/>
              <w:bottom w:val="nil"/>
              <w:right w:val="nil"/>
            </w:tcBorders>
            <w:shd w:val="clear" w:color="auto" w:fill="auto"/>
            <w:noWrap/>
            <w:vAlign w:val="bottom"/>
            <w:hideMark/>
          </w:tcPr>
          <w:p w14:paraId="64105A9C"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124</w:t>
            </w:r>
          </w:p>
        </w:tc>
      </w:tr>
      <w:tr w:rsidR="005A7C92" w:rsidRPr="005A7C92" w14:paraId="392D8D45"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21D207E4"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cita</w:t>
            </w:r>
          </w:p>
        </w:tc>
        <w:tc>
          <w:tcPr>
            <w:tcW w:w="1583" w:type="dxa"/>
            <w:tcBorders>
              <w:top w:val="nil"/>
              <w:left w:val="nil"/>
              <w:bottom w:val="nil"/>
              <w:right w:val="nil"/>
            </w:tcBorders>
            <w:shd w:val="clear" w:color="auto" w:fill="auto"/>
            <w:noWrap/>
            <w:vAlign w:val="bottom"/>
            <w:hideMark/>
          </w:tcPr>
          <w:p w14:paraId="11858A80"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W6 22519</w:t>
            </w:r>
          </w:p>
        </w:tc>
        <w:tc>
          <w:tcPr>
            <w:tcW w:w="1154" w:type="dxa"/>
            <w:tcBorders>
              <w:top w:val="nil"/>
              <w:left w:val="nil"/>
              <w:bottom w:val="nil"/>
              <w:right w:val="nil"/>
            </w:tcBorders>
            <w:shd w:val="clear" w:color="auto" w:fill="auto"/>
            <w:noWrap/>
            <w:vAlign w:val="bottom"/>
            <w:hideMark/>
          </w:tcPr>
          <w:p w14:paraId="4B1F0DB7"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353</w:t>
            </w:r>
          </w:p>
        </w:tc>
        <w:tc>
          <w:tcPr>
            <w:tcW w:w="1155" w:type="dxa"/>
            <w:tcBorders>
              <w:top w:val="nil"/>
              <w:left w:val="nil"/>
              <w:bottom w:val="nil"/>
              <w:right w:val="nil"/>
            </w:tcBorders>
            <w:shd w:val="clear" w:color="auto" w:fill="auto"/>
            <w:noWrap/>
            <w:vAlign w:val="bottom"/>
            <w:hideMark/>
          </w:tcPr>
          <w:p w14:paraId="015E0EAF"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83</w:t>
            </w:r>
          </w:p>
        </w:tc>
        <w:tc>
          <w:tcPr>
            <w:tcW w:w="1154" w:type="dxa"/>
            <w:tcBorders>
              <w:top w:val="nil"/>
              <w:left w:val="nil"/>
              <w:bottom w:val="nil"/>
              <w:right w:val="nil"/>
            </w:tcBorders>
            <w:shd w:val="clear" w:color="auto" w:fill="auto"/>
            <w:noWrap/>
            <w:vAlign w:val="bottom"/>
            <w:hideMark/>
          </w:tcPr>
          <w:p w14:paraId="106603F4"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22</w:t>
            </w:r>
          </w:p>
        </w:tc>
        <w:tc>
          <w:tcPr>
            <w:tcW w:w="1203" w:type="dxa"/>
            <w:tcBorders>
              <w:top w:val="nil"/>
              <w:left w:val="nil"/>
              <w:bottom w:val="nil"/>
              <w:right w:val="nil"/>
            </w:tcBorders>
            <w:shd w:val="clear" w:color="auto" w:fill="auto"/>
            <w:noWrap/>
            <w:vAlign w:val="bottom"/>
            <w:hideMark/>
          </w:tcPr>
          <w:p w14:paraId="34B259D8"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145</w:t>
            </w:r>
          </w:p>
        </w:tc>
      </w:tr>
      <w:tr w:rsidR="005A7C92" w:rsidRPr="005A7C92" w14:paraId="3A9A01E7"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23917170"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colensoi</w:t>
            </w:r>
          </w:p>
        </w:tc>
        <w:tc>
          <w:tcPr>
            <w:tcW w:w="1583" w:type="dxa"/>
            <w:tcBorders>
              <w:top w:val="nil"/>
              <w:left w:val="nil"/>
              <w:bottom w:val="nil"/>
              <w:right w:val="nil"/>
            </w:tcBorders>
            <w:shd w:val="clear" w:color="auto" w:fill="auto"/>
            <w:noWrap/>
            <w:vAlign w:val="bottom"/>
            <w:hideMark/>
          </w:tcPr>
          <w:p w14:paraId="1DB99DEC"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W6 22527</w:t>
            </w:r>
          </w:p>
        </w:tc>
        <w:tc>
          <w:tcPr>
            <w:tcW w:w="1154" w:type="dxa"/>
            <w:tcBorders>
              <w:top w:val="nil"/>
              <w:left w:val="nil"/>
              <w:bottom w:val="nil"/>
              <w:right w:val="nil"/>
            </w:tcBorders>
            <w:shd w:val="clear" w:color="auto" w:fill="auto"/>
            <w:noWrap/>
            <w:vAlign w:val="bottom"/>
            <w:hideMark/>
          </w:tcPr>
          <w:p w14:paraId="74EC1E1A"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28</w:t>
            </w:r>
          </w:p>
        </w:tc>
        <w:tc>
          <w:tcPr>
            <w:tcW w:w="1155" w:type="dxa"/>
            <w:tcBorders>
              <w:top w:val="nil"/>
              <w:left w:val="nil"/>
              <w:bottom w:val="nil"/>
              <w:right w:val="nil"/>
            </w:tcBorders>
            <w:shd w:val="clear" w:color="auto" w:fill="auto"/>
            <w:noWrap/>
            <w:vAlign w:val="bottom"/>
            <w:hideMark/>
          </w:tcPr>
          <w:p w14:paraId="214BD491"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39</w:t>
            </w:r>
          </w:p>
        </w:tc>
        <w:tc>
          <w:tcPr>
            <w:tcW w:w="1154" w:type="dxa"/>
            <w:tcBorders>
              <w:top w:val="nil"/>
              <w:left w:val="nil"/>
              <w:bottom w:val="nil"/>
              <w:right w:val="nil"/>
            </w:tcBorders>
            <w:shd w:val="clear" w:color="auto" w:fill="auto"/>
            <w:noWrap/>
            <w:vAlign w:val="bottom"/>
            <w:hideMark/>
          </w:tcPr>
          <w:p w14:paraId="752681BC"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22</w:t>
            </w:r>
          </w:p>
        </w:tc>
        <w:tc>
          <w:tcPr>
            <w:tcW w:w="1203" w:type="dxa"/>
            <w:tcBorders>
              <w:top w:val="nil"/>
              <w:left w:val="nil"/>
              <w:bottom w:val="nil"/>
              <w:right w:val="nil"/>
            </w:tcBorders>
            <w:shd w:val="clear" w:color="auto" w:fill="auto"/>
            <w:noWrap/>
            <w:vAlign w:val="bottom"/>
            <w:hideMark/>
          </w:tcPr>
          <w:p w14:paraId="614BF8F0"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111</w:t>
            </w:r>
          </w:p>
        </w:tc>
      </w:tr>
      <w:tr w:rsidR="005A7C92" w:rsidRPr="005A7C92" w14:paraId="224DB674"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4147D847"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compressa</w:t>
            </w:r>
          </w:p>
        </w:tc>
        <w:tc>
          <w:tcPr>
            <w:tcW w:w="1583" w:type="dxa"/>
            <w:tcBorders>
              <w:top w:val="nil"/>
              <w:left w:val="nil"/>
              <w:bottom w:val="nil"/>
              <w:right w:val="nil"/>
            </w:tcBorders>
            <w:shd w:val="clear" w:color="auto" w:fill="auto"/>
            <w:noWrap/>
            <w:vAlign w:val="bottom"/>
            <w:hideMark/>
          </w:tcPr>
          <w:p w14:paraId="7C410211"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CC</w:t>
            </w:r>
          </w:p>
        </w:tc>
        <w:tc>
          <w:tcPr>
            <w:tcW w:w="1154" w:type="dxa"/>
            <w:tcBorders>
              <w:top w:val="nil"/>
              <w:left w:val="nil"/>
              <w:bottom w:val="nil"/>
              <w:right w:val="nil"/>
            </w:tcBorders>
            <w:shd w:val="clear" w:color="auto" w:fill="auto"/>
            <w:noWrap/>
            <w:vAlign w:val="bottom"/>
            <w:hideMark/>
          </w:tcPr>
          <w:p w14:paraId="64F9440E"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171</w:t>
            </w:r>
          </w:p>
        </w:tc>
        <w:tc>
          <w:tcPr>
            <w:tcW w:w="1155" w:type="dxa"/>
            <w:tcBorders>
              <w:top w:val="nil"/>
              <w:left w:val="nil"/>
              <w:bottom w:val="nil"/>
              <w:right w:val="nil"/>
            </w:tcBorders>
            <w:shd w:val="clear" w:color="auto" w:fill="auto"/>
            <w:noWrap/>
            <w:vAlign w:val="bottom"/>
            <w:hideMark/>
          </w:tcPr>
          <w:p w14:paraId="49B4ACEB"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51</w:t>
            </w:r>
          </w:p>
        </w:tc>
        <w:tc>
          <w:tcPr>
            <w:tcW w:w="1154" w:type="dxa"/>
            <w:tcBorders>
              <w:top w:val="nil"/>
              <w:left w:val="nil"/>
              <w:bottom w:val="nil"/>
              <w:right w:val="nil"/>
            </w:tcBorders>
            <w:shd w:val="clear" w:color="auto" w:fill="auto"/>
            <w:noWrap/>
            <w:vAlign w:val="bottom"/>
            <w:hideMark/>
          </w:tcPr>
          <w:p w14:paraId="335A996D"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902</w:t>
            </w:r>
          </w:p>
        </w:tc>
        <w:tc>
          <w:tcPr>
            <w:tcW w:w="1203" w:type="dxa"/>
            <w:tcBorders>
              <w:top w:val="nil"/>
              <w:left w:val="nil"/>
              <w:bottom w:val="nil"/>
              <w:right w:val="nil"/>
            </w:tcBorders>
            <w:shd w:val="clear" w:color="auto" w:fill="auto"/>
            <w:noWrap/>
            <w:vAlign w:val="bottom"/>
            <w:hideMark/>
          </w:tcPr>
          <w:p w14:paraId="35BCAD36"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153</w:t>
            </w:r>
          </w:p>
        </w:tc>
      </w:tr>
      <w:tr w:rsidR="005A7C92" w:rsidRPr="005A7C92" w14:paraId="59F28989"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1A5D3EB5"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dusenii</w:t>
            </w:r>
          </w:p>
        </w:tc>
        <w:tc>
          <w:tcPr>
            <w:tcW w:w="1583" w:type="dxa"/>
            <w:tcBorders>
              <w:top w:val="nil"/>
              <w:left w:val="nil"/>
              <w:bottom w:val="nil"/>
              <w:right w:val="nil"/>
            </w:tcBorders>
            <w:shd w:val="clear" w:color="auto" w:fill="auto"/>
            <w:noWrap/>
            <w:vAlign w:val="bottom"/>
            <w:hideMark/>
          </w:tcPr>
          <w:p w14:paraId="063B72EF"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598733</w:t>
            </w:r>
          </w:p>
        </w:tc>
        <w:tc>
          <w:tcPr>
            <w:tcW w:w="1154" w:type="dxa"/>
            <w:tcBorders>
              <w:top w:val="nil"/>
              <w:left w:val="nil"/>
              <w:bottom w:val="nil"/>
              <w:right w:val="nil"/>
            </w:tcBorders>
            <w:shd w:val="clear" w:color="auto" w:fill="auto"/>
            <w:noWrap/>
            <w:vAlign w:val="bottom"/>
            <w:hideMark/>
          </w:tcPr>
          <w:p w14:paraId="31B4F1BF"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13</w:t>
            </w:r>
          </w:p>
        </w:tc>
        <w:tc>
          <w:tcPr>
            <w:tcW w:w="1155" w:type="dxa"/>
            <w:tcBorders>
              <w:top w:val="nil"/>
              <w:left w:val="nil"/>
              <w:bottom w:val="nil"/>
              <w:right w:val="nil"/>
            </w:tcBorders>
            <w:shd w:val="clear" w:color="auto" w:fill="auto"/>
            <w:noWrap/>
            <w:vAlign w:val="bottom"/>
            <w:hideMark/>
          </w:tcPr>
          <w:p w14:paraId="05AB0BB3"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34</w:t>
            </w:r>
          </w:p>
        </w:tc>
        <w:tc>
          <w:tcPr>
            <w:tcW w:w="1154" w:type="dxa"/>
            <w:tcBorders>
              <w:top w:val="nil"/>
              <w:left w:val="nil"/>
              <w:bottom w:val="nil"/>
              <w:right w:val="nil"/>
            </w:tcBorders>
            <w:shd w:val="clear" w:color="auto" w:fill="auto"/>
            <w:noWrap/>
            <w:vAlign w:val="bottom"/>
            <w:hideMark/>
          </w:tcPr>
          <w:p w14:paraId="0DEC874E"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39</w:t>
            </w:r>
          </w:p>
        </w:tc>
        <w:tc>
          <w:tcPr>
            <w:tcW w:w="1203" w:type="dxa"/>
            <w:tcBorders>
              <w:top w:val="nil"/>
              <w:left w:val="nil"/>
              <w:bottom w:val="nil"/>
              <w:right w:val="nil"/>
            </w:tcBorders>
            <w:shd w:val="clear" w:color="auto" w:fill="auto"/>
            <w:noWrap/>
            <w:vAlign w:val="bottom"/>
            <w:hideMark/>
          </w:tcPr>
          <w:p w14:paraId="460F746E"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102</w:t>
            </w:r>
          </w:p>
        </w:tc>
      </w:tr>
      <w:tr w:rsidR="005A7C92" w:rsidRPr="005A7C92" w14:paraId="5CC64826"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489323FC"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flexuosa</w:t>
            </w:r>
          </w:p>
        </w:tc>
        <w:tc>
          <w:tcPr>
            <w:tcW w:w="1583" w:type="dxa"/>
            <w:tcBorders>
              <w:top w:val="nil"/>
              <w:left w:val="nil"/>
              <w:bottom w:val="nil"/>
              <w:right w:val="nil"/>
            </w:tcBorders>
            <w:shd w:val="clear" w:color="auto" w:fill="auto"/>
            <w:noWrap/>
            <w:vAlign w:val="bottom"/>
            <w:hideMark/>
          </w:tcPr>
          <w:p w14:paraId="4FD864DF"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W6 25683</w:t>
            </w:r>
          </w:p>
        </w:tc>
        <w:tc>
          <w:tcPr>
            <w:tcW w:w="1154" w:type="dxa"/>
            <w:tcBorders>
              <w:top w:val="nil"/>
              <w:left w:val="nil"/>
              <w:bottom w:val="nil"/>
              <w:right w:val="nil"/>
            </w:tcBorders>
            <w:shd w:val="clear" w:color="auto" w:fill="auto"/>
            <w:noWrap/>
            <w:vAlign w:val="bottom"/>
            <w:hideMark/>
          </w:tcPr>
          <w:p w14:paraId="3BA28F30"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19</w:t>
            </w:r>
          </w:p>
        </w:tc>
        <w:tc>
          <w:tcPr>
            <w:tcW w:w="1155" w:type="dxa"/>
            <w:tcBorders>
              <w:top w:val="nil"/>
              <w:left w:val="nil"/>
              <w:bottom w:val="nil"/>
              <w:right w:val="nil"/>
            </w:tcBorders>
            <w:shd w:val="clear" w:color="auto" w:fill="auto"/>
            <w:noWrap/>
            <w:vAlign w:val="bottom"/>
            <w:hideMark/>
          </w:tcPr>
          <w:p w14:paraId="665BE58C"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39</w:t>
            </w:r>
          </w:p>
        </w:tc>
        <w:tc>
          <w:tcPr>
            <w:tcW w:w="1154" w:type="dxa"/>
            <w:tcBorders>
              <w:top w:val="nil"/>
              <w:left w:val="nil"/>
              <w:bottom w:val="nil"/>
              <w:right w:val="nil"/>
            </w:tcBorders>
            <w:shd w:val="clear" w:color="auto" w:fill="auto"/>
            <w:noWrap/>
            <w:vAlign w:val="bottom"/>
            <w:hideMark/>
          </w:tcPr>
          <w:p w14:paraId="6E822624"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70</w:t>
            </w:r>
          </w:p>
        </w:tc>
        <w:tc>
          <w:tcPr>
            <w:tcW w:w="1203" w:type="dxa"/>
            <w:tcBorders>
              <w:top w:val="nil"/>
              <w:left w:val="nil"/>
              <w:bottom w:val="nil"/>
              <w:right w:val="nil"/>
            </w:tcBorders>
            <w:shd w:val="clear" w:color="auto" w:fill="auto"/>
            <w:noWrap/>
            <w:vAlign w:val="bottom"/>
            <w:hideMark/>
          </w:tcPr>
          <w:p w14:paraId="11FE1DB4"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139</w:t>
            </w:r>
          </w:p>
        </w:tc>
      </w:tr>
      <w:tr w:rsidR="005A7C92" w:rsidRPr="005A7C92" w14:paraId="170955BF"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3DCAB7C4"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erinacea</w:t>
            </w:r>
          </w:p>
        </w:tc>
        <w:tc>
          <w:tcPr>
            <w:tcW w:w="1583" w:type="dxa"/>
            <w:tcBorders>
              <w:top w:val="nil"/>
              <w:left w:val="nil"/>
              <w:bottom w:val="nil"/>
              <w:right w:val="nil"/>
            </w:tcBorders>
            <w:shd w:val="clear" w:color="auto" w:fill="auto"/>
            <w:noWrap/>
            <w:vAlign w:val="bottom"/>
            <w:hideMark/>
          </w:tcPr>
          <w:p w14:paraId="24F8AB81"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204263</w:t>
            </w:r>
          </w:p>
        </w:tc>
        <w:tc>
          <w:tcPr>
            <w:tcW w:w="1154" w:type="dxa"/>
            <w:tcBorders>
              <w:top w:val="nil"/>
              <w:left w:val="nil"/>
              <w:bottom w:val="nil"/>
              <w:right w:val="nil"/>
            </w:tcBorders>
            <w:shd w:val="clear" w:color="auto" w:fill="auto"/>
            <w:noWrap/>
            <w:vAlign w:val="bottom"/>
            <w:hideMark/>
          </w:tcPr>
          <w:p w14:paraId="72D82A69"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263</w:t>
            </w:r>
          </w:p>
        </w:tc>
        <w:tc>
          <w:tcPr>
            <w:tcW w:w="1155" w:type="dxa"/>
            <w:tcBorders>
              <w:top w:val="nil"/>
              <w:left w:val="nil"/>
              <w:bottom w:val="nil"/>
              <w:right w:val="nil"/>
            </w:tcBorders>
            <w:shd w:val="clear" w:color="auto" w:fill="auto"/>
            <w:noWrap/>
            <w:vAlign w:val="bottom"/>
            <w:hideMark/>
          </w:tcPr>
          <w:p w14:paraId="69DFE0F9"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c>
          <w:tcPr>
            <w:tcW w:w="1154" w:type="dxa"/>
            <w:tcBorders>
              <w:top w:val="nil"/>
              <w:left w:val="nil"/>
              <w:bottom w:val="nil"/>
              <w:right w:val="nil"/>
            </w:tcBorders>
            <w:shd w:val="clear" w:color="auto" w:fill="auto"/>
            <w:noWrap/>
            <w:vAlign w:val="bottom"/>
            <w:hideMark/>
          </w:tcPr>
          <w:p w14:paraId="4CC6A0C6"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367</w:t>
            </w:r>
          </w:p>
        </w:tc>
        <w:tc>
          <w:tcPr>
            <w:tcW w:w="1203" w:type="dxa"/>
            <w:tcBorders>
              <w:top w:val="nil"/>
              <w:left w:val="nil"/>
              <w:bottom w:val="nil"/>
              <w:right w:val="nil"/>
            </w:tcBorders>
            <w:shd w:val="clear" w:color="auto" w:fill="auto"/>
            <w:noWrap/>
            <w:vAlign w:val="bottom"/>
            <w:hideMark/>
          </w:tcPr>
          <w:p w14:paraId="7B12B07B"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157</w:t>
            </w:r>
          </w:p>
        </w:tc>
      </w:tr>
      <w:tr w:rsidR="005A7C92" w:rsidRPr="005A7C92" w14:paraId="24195A91"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5C2B4BFD"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gilgiana</w:t>
            </w:r>
          </w:p>
        </w:tc>
        <w:tc>
          <w:tcPr>
            <w:tcW w:w="1583" w:type="dxa"/>
            <w:tcBorders>
              <w:top w:val="nil"/>
              <w:left w:val="nil"/>
              <w:bottom w:val="nil"/>
              <w:right w:val="nil"/>
            </w:tcBorders>
            <w:shd w:val="clear" w:color="auto" w:fill="auto"/>
            <w:noWrap/>
            <w:vAlign w:val="bottom"/>
            <w:hideMark/>
          </w:tcPr>
          <w:p w14:paraId="040F0D51"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478581</w:t>
            </w:r>
          </w:p>
        </w:tc>
        <w:tc>
          <w:tcPr>
            <w:tcW w:w="1154" w:type="dxa"/>
            <w:tcBorders>
              <w:top w:val="nil"/>
              <w:left w:val="nil"/>
              <w:bottom w:val="nil"/>
              <w:right w:val="nil"/>
            </w:tcBorders>
            <w:shd w:val="clear" w:color="auto" w:fill="auto"/>
            <w:noWrap/>
            <w:vAlign w:val="bottom"/>
            <w:hideMark/>
          </w:tcPr>
          <w:p w14:paraId="507E9F30"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167</w:t>
            </w:r>
          </w:p>
        </w:tc>
        <w:tc>
          <w:tcPr>
            <w:tcW w:w="1155" w:type="dxa"/>
            <w:tcBorders>
              <w:top w:val="nil"/>
              <w:left w:val="nil"/>
              <w:bottom w:val="nil"/>
              <w:right w:val="nil"/>
            </w:tcBorders>
            <w:shd w:val="clear" w:color="auto" w:fill="auto"/>
            <w:noWrap/>
            <w:vAlign w:val="bottom"/>
            <w:hideMark/>
          </w:tcPr>
          <w:p w14:paraId="24ADC836"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73</w:t>
            </w:r>
          </w:p>
        </w:tc>
        <w:tc>
          <w:tcPr>
            <w:tcW w:w="1154" w:type="dxa"/>
            <w:tcBorders>
              <w:top w:val="nil"/>
              <w:left w:val="nil"/>
              <w:bottom w:val="nil"/>
              <w:right w:val="nil"/>
            </w:tcBorders>
            <w:shd w:val="clear" w:color="auto" w:fill="auto"/>
            <w:noWrap/>
            <w:vAlign w:val="bottom"/>
            <w:hideMark/>
          </w:tcPr>
          <w:p w14:paraId="39E675F1"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12</w:t>
            </w:r>
          </w:p>
        </w:tc>
        <w:tc>
          <w:tcPr>
            <w:tcW w:w="1203" w:type="dxa"/>
            <w:tcBorders>
              <w:top w:val="nil"/>
              <w:left w:val="nil"/>
              <w:bottom w:val="nil"/>
              <w:right w:val="nil"/>
            </w:tcBorders>
            <w:shd w:val="clear" w:color="auto" w:fill="auto"/>
            <w:noWrap/>
            <w:vAlign w:val="bottom"/>
            <w:hideMark/>
          </w:tcPr>
          <w:p w14:paraId="59476C7A"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139</w:t>
            </w:r>
          </w:p>
        </w:tc>
      </w:tr>
      <w:tr w:rsidR="005A7C92" w:rsidRPr="005A7C92" w14:paraId="3D43F8D4"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7BB422C5"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hybrida</w:t>
            </w:r>
          </w:p>
        </w:tc>
        <w:tc>
          <w:tcPr>
            <w:tcW w:w="1583" w:type="dxa"/>
            <w:tcBorders>
              <w:top w:val="nil"/>
              <w:left w:val="nil"/>
              <w:bottom w:val="nil"/>
              <w:right w:val="nil"/>
            </w:tcBorders>
            <w:shd w:val="clear" w:color="auto" w:fill="auto"/>
            <w:noWrap/>
            <w:vAlign w:val="bottom"/>
            <w:hideMark/>
          </w:tcPr>
          <w:p w14:paraId="48A6E550"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249765</w:t>
            </w:r>
          </w:p>
        </w:tc>
        <w:tc>
          <w:tcPr>
            <w:tcW w:w="1154" w:type="dxa"/>
            <w:tcBorders>
              <w:top w:val="nil"/>
              <w:left w:val="nil"/>
              <w:bottom w:val="nil"/>
              <w:right w:val="nil"/>
            </w:tcBorders>
            <w:shd w:val="clear" w:color="auto" w:fill="auto"/>
            <w:noWrap/>
            <w:vAlign w:val="bottom"/>
            <w:hideMark/>
          </w:tcPr>
          <w:p w14:paraId="45B810BE"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95</w:t>
            </w:r>
          </w:p>
        </w:tc>
        <w:tc>
          <w:tcPr>
            <w:tcW w:w="1155" w:type="dxa"/>
            <w:tcBorders>
              <w:top w:val="nil"/>
              <w:left w:val="nil"/>
              <w:bottom w:val="nil"/>
              <w:right w:val="nil"/>
            </w:tcBorders>
            <w:shd w:val="clear" w:color="auto" w:fill="auto"/>
            <w:noWrap/>
            <w:vAlign w:val="bottom"/>
            <w:hideMark/>
          </w:tcPr>
          <w:p w14:paraId="41672B54"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87</w:t>
            </w:r>
          </w:p>
        </w:tc>
        <w:tc>
          <w:tcPr>
            <w:tcW w:w="1154" w:type="dxa"/>
            <w:tcBorders>
              <w:top w:val="nil"/>
              <w:left w:val="nil"/>
              <w:bottom w:val="nil"/>
              <w:right w:val="nil"/>
            </w:tcBorders>
            <w:shd w:val="clear" w:color="auto" w:fill="auto"/>
            <w:noWrap/>
            <w:vAlign w:val="bottom"/>
            <w:hideMark/>
          </w:tcPr>
          <w:p w14:paraId="2DF61B58"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15</w:t>
            </w:r>
          </w:p>
        </w:tc>
        <w:tc>
          <w:tcPr>
            <w:tcW w:w="1203" w:type="dxa"/>
            <w:tcBorders>
              <w:top w:val="nil"/>
              <w:left w:val="nil"/>
              <w:bottom w:val="nil"/>
              <w:right w:val="nil"/>
            </w:tcBorders>
            <w:shd w:val="clear" w:color="auto" w:fill="auto"/>
            <w:noWrap/>
            <w:vAlign w:val="bottom"/>
            <w:hideMark/>
          </w:tcPr>
          <w:p w14:paraId="5583D30A"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140</w:t>
            </w:r>
          </w:p>
        </w:tc>
      </w:tr>
      <w:tr w:rsidR="005A7C92" w:rsidRPr="005A7C92" w14:paraId="1BD7DB40"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73ADC0D1"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iridifolia</w:t>
            </w:r>
          </w:p>
        </w:tc>
        <w:tc>
          <w:tcPr>
            <w:tcW w:w="1583" w:type="dxa"/>
            <w:tcBorders>
              <w:top w:val="nil"/>
              <w:left w:val="nil"/>
              <w:bottom w:val="nil"/>
              <w:right w:val="nil"/>
            </w:tcBorders>
            <w:shd w:val="clear" w:color="auto" w:fill="auto"/>
            <w:noWrap/>
            <w:vAlign w:val="bottom"/>
            <w:hideMark/>
          </w:tcPr>
          <w:p w14:paraId="6BCB1007"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154882</w:t>
            </w:r>
          </w:p>
        </w:tc>
        <w:tc>
          <w:tcPr>
            <w:tcW w:w="1154" w:type="dxa"/>
            <w:tcBorders>
              <w:top w:val="nil"/>
              <w:left w:val="nil"/>
              <w:bottom w:val="nil"/>
              <w:right w:val="nil"/>
            </w:tcBorders>
            <w:shd w:val="clear" w:color="auto" w:fill="auto"/>
            <w:noWrap/>
            <w:vAlign w:val="bottom"/>
            <w:hideMark/>
          </w:tcPr>
          <w:p w14:paraId="6832D15B"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38</w:t>
            </w:r>
          </w:p>
        </w:tc>
        <w:tc>
          <w:tcPr>
            <w:tcW w:w="1155" w:type="dxa"/>
            <w:tcBorders>
              <w:top w:val="nil"/>
              <w:left w:val="nil"/>
              <w:bottom w:val="nil"/>
              <w:right w:val="nil"/>
            </w:tcBorders>
            <w:shd w:val="clear" w:color="auto" w:fill="auto"/>
            <w:noWrap/>
            <w:vAlign w:val="bottom"/>
            <w:hideMark/>
          </w:tcPr>
          <w:p w14:paraId="009670CC"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22</w:t>
            </w:r>
          </w:p>
        </w:tc>
        <w:tc>
          <w:tcPr>
            <w:tcW w:w="1154" w:type="dxa"/>
            <w:tcBorders>
              <w:top w:val="nil"/>
              <w:left w:val="nil"/>
              <w:bottom w:val="nil"/>
              <w:right w:val="nil"/>
            </w:tcBorders>
            <w:shd w:val="clear" w:color="auto" w:fill="auto"/>
            <w:noWrap/>
            <w:vAlign w:val="bottom"/>
            <w:hideMark/>
          </w:tcPr>
          <w:p w14:paraId="2671E255"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427</w:t>
            </w:r>
          </w:p>
        </w:tc>
        <w:tc>
          <w:tcPr>
            <w:tcW w:w="1203" w:type="dxa"/>
            <w:tcBorders>
              <w:top w:val="nil"/>
              <w:left w:val="nil"/>
              <w:bottom w:val="nil"/>
              <w:right w:val="nil"/>
            </w:tcBorders>
            <w:shd w:val="clear" w:color="auto" w:fill="auto"/>
            <w:noWrap/>
            <w:vAlign w:val="bottom"/>
            <w:hideMark/>
          </w:tcPr>
          <w:p w14:paraId="7A048E66"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140</w:t>
            </w:r>
          </w:p>
        </w:tc>
      </w:tr>
      <w:tr w:rsidR="005A7C92" w:rsidRPr="005A7C92" w14:paraId="414E9883"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4302EF9B"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lanigera</w:t>
            </w:r>
          </w:p>
        </w:tc>
        <w:tc>
          <w:tcPr>
            <w:tcW w:w="1583" w:type="dxa"/>
            <w:tcBorders>
              <w:top w:val="nil"/>
              <w:left w:val="nil"/>
              <w:bottom w:val="nil"/>
              <w:right w:val="nil"/>
            </w:tcBorders>
            <w:shd w:val="clear" w:color="auto" w:fill="auto"/>
            <w:noWrap/>
            <w:vAlign w:val="bottom"/>
            <w:hideMark/>
          </w:tcPr>
          <w:p w14:paraId="62AEE07A"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477105</w:t>
            </w:r>
          </w:p>
        </w:tc>
        <w:tc>
          <w:tcPr>
            <w:tcW w:w="1154" w:type="dxa"/>
            <w:tcBorders>
              <w:top w:val="nil"/>
              <w:left w:val="nil"/>
              <w:bottom w:val="nil"/>
              <w:right w:val="nil"/>
            </w:tcBorders>
            <w:shd w:val="clear" w:color="auto" w:fill="auto"/>
            <w:noWrap/>
            <w:vAlign w:val="bottom"/>
            <w:hideMark/>
          </w:tcPr>
          <w:p w14:paraId="69E699FC"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238</w:t>
            </w:r>
          </w:p>
        </w:tc>
        <w:tc>
          <w:tcPr>
            <w:tcW w:w="1155" w:type="dxa"/>
            <w:tcBorders>
              <w:top w:val="nil"/>
              <w:left w:val="nil"/>
              <w:bottom w:val="nil"/>
              <w:right w:val="nil"/>
            </w:tcBorders>
            <w:shd w:val="clear" w:color="auto" w:fill="auto"/>
            <w:noWrap/>
            <w:vAlign w:val="bottom"/>
            <w:hideMark/>
          </w:tcPr>
          <w:p w14:paraId="4EAE4771"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74</w:t>
            </w:r>
          </w:p>
        </w:tc>
        <w:tc>
          <w:tcPr>
            <w:tcW w:w="1154" w:type="dxa"/>
            <w:tcBorders>
              <w:top w:val="nil"/>
              <w:left w:val="nil"/>
              <w:bottom w:val="nil"/>
              <w:right w:val="nil"/>
            </w:tcBorders>
            <w:shd w:val="clear" w:color="auto" w:fill="auto"/>
            <w:noWrap/>
            <w:vAlign w:val="bottom"/>
            <w:hideMark/>
          </w:tcPr>
          <w:p w14:paraId="0EF78D4D"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229</w:t>
            </w:r>
          </w:p>
        </w:tc>
        <w:tc>
          <w:tcPr>
            <w:tcW w:w="1203" w:type="dxa"/>
            <w:tcBorders>
              <w:top w:val="nil"/>
              <w:left w:val="nil"/>
              <w:bottom w:val="nil"/>
              <w:right w:val="nil"/>
            </w:tcBorders>
            <w:shd w:val="clear" w:color="auto" w:fill="auto"/>
            <w:noWrap/>
            <w:vAlign w:val="bottom"/>
            <w:hideMark/>
          </w:tcPr>
          <w:p w14:paraId="49F46EE1"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124</w:t>
            </w:r>
          </w:p>
        </w:tc>
      </w:tr>
      <w:tr w:rsidR="005A7C92" w:rsidRPr="005A7C92" w14:paraId="3CFBD43E"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7F3DAD35"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lanuginosa</w:t>
            </w:r>
          </w:p>
        </w:tc>
        <w:tc>
          <w:tcPr>
            <w:tcW w:w="1583" w:type="dxa"/>
            <w:tcBorders>
              <w:top w:val="nil"/>
              <w:left w:val="nil"/>
              <w:bottom w:val="nil"/>
              <w:right w:val="nil"/>
            </w:tcBorders>
            <w:shd w:val="clear" w:color="auto" w:fill="auto"/>
            <w:noWrap/>
            <w:vAlign w:val="bottom"/>
            <w:hideMark/>
          </w:tcPr>
          <w:p w14:paraId="7C2ABF5D"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269649</w:t>
            </w:r>
          </w:p>
        </w:tc>
        <w:tc>
          <w:tcPr>
            <w:tcW w:w="1154" w:type="dxa"/>
            <w:tcBorders>
              <w:top w:val="nil"/>
              <w:left w:val="nil"/>
              <w:bottom w:val="nil"/>
              <w:right w:val="nil"/>
            </w:tcBorders>
            <w:shd w:val="clear" w:color="auto" w:fill="auto"/>
            <w:noWrap/>
            <w:vAlign w:val="bottom"/>
            <w:hideMark/>
          </w:tcPr>
          <w:p w14:paraId="0EFC4F65"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17</w:t>
            </w:r>
          </w:p>
        </w:tc>
        <w:tc>
          <w:tcPr>
            <w:tcW w:w="1155" w:type="dxa"/>
            <w:tcBorders>
              <w:top w:val="nil"/>
              <w:left w:val="nil"/>
              <w:bottom w:val="nil"/>
              <w:right w:val="nil"/>
            </w:tcBorders>
            <w:shd w:val="clear" w:color="auto" w:fill="auto"/>
            <w:noWrap/>
            <w:vAlign w:val="bottom"/>
            <w:hideMark/>
          </w:tcPr>
          <w:p w14:paraId="007E8BDE"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c>
          <w:tcPr>
            <w:tcW w:w="1154" w:type="dxa"/>
            <w:tcBorders>
              <w:top w:val="nil"/>
              <w:left w:val="nil"/>
              <w:bottom w:val="nil"/>
              <w:right w:val="nil"/>
            </w:tcBorders>
            <w:shd w:val="clear" w:color="auto" w:fill="auto"/>
            <w:noWrap/>
            <w:vAlign w:val="bottom"/>
            <w:hideMark/>
          </w:tcPr>
          <w:p w14:paraId="11C883A4"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40</w:t>
            </w:r>
          </w:p>
        </w:tc>
        <w:tc>
          <w:tcPr>
            <w:tcW w:w="1203" w:type="dxa"/>
            <w:tcBorders>
              <w:top w:val="nil"/>
              <w:left w:val="nil"/>
              <w:bottom w:val="nil"/>
              <w:right w:val="nil"/>
            </w:tcBorders>
            <w:shd w:val="clear" w:color="auto" w:fill="auto"/>
            <w:noWrap/>
            <w:vAlign w:val="bottom"/>
            <w:hideMark/>
          </w:tcPr>
          <w:p w14:paraId="546EE2B3"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124</w:t>
            </w:r>
          </w:p>
        </w:tc>
      </w:tr>
      <w:tr w:rsidR="005A7C92" w:rsidRPr="005A7C92" w14:paraId="62D9B250"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240A1D33"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ligularis</w:t>
            </w:r>
          </w:p>
        </w:tc>
        <w:tc>
          <w:tcPr>
            <w:tcW w:w="1583" w:type="dxa"/>
            <w:tcBorders>
              <w:top w:val="nil"/>
              <w:left w:val="nil"/>
              <w:bottom w:val="nil"/>
              <w:right w:val="nil"/>
            </w:tcBorders>
            <w:shd w:val="clear" w:color="auto" w:fill="auto"/>
            <w:noWrap/>
            <w:vAlign w:val="bottom"/>
            <w:hideMark/>
          </w:tcPr>
          <w:p w14:paraId="330EFCBA"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284255</w:t>
            </w:r>
          </w:p>
        </w:tc>
        <w:tc>
          <w:tcPr>
            <w:tcW w:w="1154" w:type="dxa"/>
            <w:tcBorders>
              <w:top w:val="nil"/>
              <w:left w:val="nil"/>
              <w:bottom w:val="nil"/>
              <w:right w:val="nil"/>
            </w:tcBorders>
            <w:shd w:val="clear" w:color="auto" w:fill="auto"/>
            <w:noWrap/>
            <w:vAlign w:val="bottom"/>
            <w:hideMark/>
          </w:tcPr>
          <w:p w14:paraId="6102452F"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12</w:t>
            </w:r>
          </w:p>
        </w:tc>
        <w:tc>
          <w:tcPr>
            <w:tcW w:w="1155" w:type="dxa"/>
            <w:tcBorders>
              <w:top w:val="nil"/>
              <w:left w:val="nil"/>
              <w:bottom w:val="nil"/>
              <w:right w:val="nil"/>
            </w:tcBorders>
            <w:shd w:val="clear" w:color="auto" w:fill="auto"/>
            <w:noWrap/>
            <w:vAlign w:val="bottom"/>
            <w:hideMark/>
          </w:tcPr>
          <w:p w14:paraId="2F24FF35"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22</w:t>
            </w:r>
          </w:p>
        </w:tc>
        <w:tc>
          <w:tcPr>
            <w:tcW w:w="1154" w:type="dxa"/>
            <w:tcBorders>
              <w:top w:val="nil"/>
              <w:left w:val="nil"/>
              <w:bottom w:val="nil"/>
              <w:right w:val="nil"/>
            </w:tcBorders>
            <w:shd w:val="clear" w:color="auto" w:fill="auto"/>
            <w:noWrap/>
            <w:vAlign w:val="bottom"/>
            <w:hideMark/>
          </w:tcPr>
          <w:p w14:paraId="395F53A5"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40</w:t>
            </w:r>
          </w:p>
        </w:tc>
        <w:tc>
          <w:tcPr>
            <w:tcW w:w="1203" w:type="dxa"/>
            <w:tcBorders>
              <w:top w:val="nil"/>
              <w:left w:val="nil"/>
              <w:bottom w:val="nil"/>
              <w:right w:val="nil"/>
            </w:tcBorders>
            <w:shd w:val="clear" w:color="auto" w:fill="auto"/>
            <w:noWrap/>
            <w:vAlign w:val="bottom"/>
            <w:hideMark/>
          </w:tcPr>
          <w:p w14:paraId="1918AE0C"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107</w:t>
            </w:r>
          </w:p>
        </w:tc>
      </w:tr>
      <w:tr w:rsidR="005A7C92" w:rsidRPr="005A7C92" w14:paraId="0E086294"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549A8A7E"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ligulata</w:t>
            </w:r>
          </w:p>
        </w:tc>
        <w:tc>
          <w:tcPr>
            <w:tcW w:w="1583" w:type="dxa"/>
            <w:tcBorders>
              <w:top w:val="nil"/>
              <w:left w:val="nil"/>
              <w:bottom w:val="nil"/>
              <w:right w:val="nil"/>
            </w:tcBorders>
            <w:shd w:val="clear" w:color="auto" w:fill="auto"/>
            <w:noWrap/>
            <w:vAlign w:val="bottom"/>
            <w:hideMark/>
          </w:tcPr>
          <w:p w14:paraId="47BFDF09"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517033</w:t>
            </w:r>
          </w:p>
        </w:tc>
        <w:tc>
          <w:tcPr>
            <w:tcW w:w="1154" w:type="dxa"/>
            <w:tcBorders>
              <w:top w:val="nil"/>
              <w:left w:val="nil"/>
              <w:bottom w:val="nil"/>
              <w:right w:val="nil"/>
            </w:tcBorders>
            <w:shd w:val="clear" w:color="auto" w:fill="auto"/>
            <w:noWrap/>
            <w:vAlign w:val="bottom"/>
            <w:hideMark/>
          </w:tcPr>
          <w:p w14:paraId="26DC3F40"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75</w:t>
            </w:r>
          </w:p>
        </w:tc>
        <w:tc>
          <w:tcPr>
            <w:tcW w:w="1155" w:type="dxa"/>
            <w:tcBorders>
              <w:top w:val="nil"/>
              <w:left w:val="nil"/>
              <w:bottom w:val="nil"/>
              <w:right w:val="nil"/>
            </w:tcBorders>
            <w:shd w:val="clear" w:color="auto" w:fill="auto"/>
            <w:noWrap/>
            <w:vAlign w:val="bottom"/>
            <w:hideMark/>
          </w:tcPr>
          <w:p w14:paraId="6A735210"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42</w:t>
            </w:r>
          </w:p>
        </w:tc>
        <w:tc>
          <w:tcPr>
            <w:tcW w:w="1154" w:type="dxa"/>
            <w:tcBorders>
              <w:top w:val="nil"/>
              <w:left w:val="nil"/>
              <w:bottom w:val="nil"/>
              <w:right w:val="nil"/>
            </w:tcBorders>
            <w:shd w:val="clear" w:color="auto" w:fill="auto"/>
            <w:noWrap/>
            <w:vAlign w:val="bottom"/>
            <w:hideMark/>
          </w:tcPr>
          <w:p w14:paraId="65202B84"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182</w:t>
            </w:r>
          </w:p>
        </w:tc>
        <w:tc>
          <w:tcPr>
            <w:tcW w:w="1203" w:type="dxa"/>
            <w:tcBorders>
              <w:top w:val="nil"/>
              <w:left w:val="nil"/>
              <w:bottom w:val="nil"/>
              <w:right w:val="nil"/>
            </w:tcBorders>
            <w:shd w:val="clear" w:color="auto" w:fill="auto"/>
            <w:noWrap/>
            <w:vAlign w:val="bottom"/>
            <w:hideMark/>
          </w:tcPr>
          <w:p w14:paraId="1E3262E3"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121</w:t>
            </w:r>
          </w:p>
        </w:tc>
      </w:tr>
      <w:tr w:rsidR="005A7C92" w:rsidRPr="005A7C92" w14:paraId="44F3216B"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72BA7F82"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lindsayi</w:t>
            </w:r>
          </w:p>
        </w:tc>
        <w:tc>
          <w:tcPr>
            <w:tcW w:w="1583" w:type="dxa"/>
            <w:tcBorders>
              <w:top w:val="nil"/>
              <w:left w:val="nil"/>
              <w:bottom w:val="nil"/>
              <w:right w:val="nil"/>
            </w:tcBorders>
            <w:shd w:val="clear" w:color="auto" w:fill="auto"/>
            <w:noWrap/>
            <w:vAlign w:val="bottom"/>
            <w:hideMark/>
          </w:tcPr>
          <w:p w14:paraId="77BAA3D2"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237163</w:t>
            </w:r>
          </w:p>
        </w:tc>
        <w:tc>
          <w:tcPr>
            <w:tcW w:w="1154" w:type="dxa"/>
            <w:tcBorders>
              <w:top w:val="nil"/>
              <w:left w:val="nil"/>
              <w:bottom w:val="nil"/>
              <w:right w:val="nil"/>
            </w:tcBorders>
            <w:shd w:val="clear" w:color="auto" w:fill="auto"/>
            <w:noWrap/>
            <w:vAlign w:val="bottom"/>
            <w:hideMark/>
          </w:tcPr>
          <w:p w14:paraId="4E2BAA65"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c>
          <w:tcPr>
            <w:tcW w:w="1155" w:type="dxa"/>
            <w:tcBorders>
              <w:top w:val="nil"/>
              <w:left w:val="nil"/>
              <w:bottom w:val="nil"/>
              <w:right w:val="nil"/>
            </w:tcBorders>
            <w:shd w:val="clear" w:color="auto" w:fill="auto"/>
            <w:noWrap/>
            <w:vAlign w:val="bottom"/>
            <w:hideMark/>
          </w:tcPr>
          <w:p w14:paraId="7C34CF50"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c>
          <w:tcPr>
            <w:tcW w:w="1154" w:type="dxa"/>
            <w:tcBorders>
              <w:top w:val="nil"/>
              <w:left w:val="nil"/>
              <w:bottom w:val="nil"/>
              <w:right w:val="nil"/>
            </w:tcBorders>
            <w:shd w:val="clear" w:color="auto" w:fill="auto"/>
            <w:noWrap/>
            <w:vAlign w:val="bottom"/>
            <w:hideMark/>
          </w:tcPr>
          <w:p w14:paraId="11021C1D"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c>
          <w:tcPr>
            <w:tcW w:w="1203" w:type="dxa"/>
            <w:tcBorders>
              <w:top w:val="nil"/>
              <w:left w:val="nil"/>
              <w:bottom w:val="nil"/>
              <w:right w:val="nil"/>
            </w:tcBorders>
            <w:shd w:val="clear" w:color="auto" w:fill="auto"/>
            <w:noWrap/>
            <w:vAlign w:val="bottom"/>
            <w:hideMark/>
          </w:tcPr>
          <w:p w14:paraId="18FD3551"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r>
      <w:tr w:rsidR="005A7C92" w:rsidRPr="005A7C92" w14:paraId="38D485CB"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3E55DA2A"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longifolia</w:t>
            </w:r>
          </w:p>
        </w:tc>
        <w:tc>
          <w:tcPr>
            <w:tcW w:w="1583" w:type="dxa"/>
            <w:tcBorders>
              <w:top w:val="nil"/>
              <w:left w:val="nil"/>
              <w:bottom w:val="nil"/>
              <w:right w:val="nil"/>
            </w:tcBorders>
            <w:shd w:val="clear" w:color="auto" w:fill="auto"/>
            <w:noWrap/>
            <w:vAlign w:val="bottom"/>
            <w:hideMark/>
          </w:tcPr>
          <w:p w14:paraId="7E9F645B"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380991</w:t>
            </w:r>
          </w:p>
        </w:tc>
        <w:tc>
          <w:tcPr>
            <w:tcW w:w="1154" w:type="dxa"/>
            <w:tcBorders>
              <w:top w:val="nil"/>
              <w:left w:val="nil"/>
              <w:bottom w:val="nil"/>
              <w:right w:val="nil"/>
            </w:tcBorders>
            <w:shd w:val="clear" w:color="auto" w:fill="auto"/>
            <w:noWrap/>
            <w:vAlign w:val="bottom"/>
            <w:hideMark/>
          </w:tcPr>
          <w:p w14:paraId="43D9F4DD"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95</w:t>
            </w:r>
          </w:p>
        </w:tc>
        <w:tc>
          <w:tcPr>
            <w:tcW w:w="1155" w:type="dxa"/>
            <w:tcBorders>
              <w:top w:val="nil"/>
              <w:left w:val="nil"/>
              <w:bottom w:val="nil"/>
              <w:right w:val="nil"/>
            </w:tcBorders>
            <w:shd w:val="clear" w:color="auto" w:fill="auto"/>
            <w:noWrap/>
            <w:vAlign w:val="bottom"/>
            <w:hideMark/>
          </w:tcPr>
          <w:p w14:paraId="1B939B3A"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62</w:t>
            </w:r>
          </w:p>
        </w:tc>
        <w:tc>
          <w:tcPr>
            <w:tcW w:w="1154" w:type="dxa"/>
            <w:tcBorders>
              <w:top w:val="nil"/>
              <w:left w:val="nil"/>
              <w:bottom w:val="nil"/>
              <w:right w:val="nil"/>
            </w:tcBorders>
            <w:shd w:val="clear" w:color="auto" w:fill="auto"/>
            <w:noWrap/>
            <w:vAlign w:val="bottom"/>
            <w:hideMark/>
          </w:tcPr>
          <w:p w14:paraId="08B6CADA"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265</w:t>
            </w:r>
          </w:p>
        </w:tc>
        <w:tc>
          <w:tcPr>
            <w:tcW w:w="1203" w:type="dxa"/>
            <w:tcBorders>
              <w:top w:val="nil"/>
              <w:left w:val="nil"/>
              <w:bottom w:val="nil"/>
              <w:right w:val="nil"/>
            </w:tcBorders>
            <w:shd w:val="clear" w:color="auto" w:fill="auto"/>
            <w:noWrap/>
            <w:vAlign w:val="bottom"/>
            <w:hideMark/>
          </w:tcPr>
          <w:p w14:paraId="6790CB4F"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126</w:t>
            </w:r>
          </w:p>
        </w:tc>
      </w:tr>
      <w:tr w:rsidR="005A7C92" w:rsidRPr="005A7C92" w14:paraId="05F887E4"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4C1D8C65"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marcantha</w:t>
            </w:r>
          </w:p>
        </w:tc>
        <w:tc>
          <w:tcPr>
            <w:tcW w:w="1583" w:type="dxa"/>
            <w:tcBorders>
              <w:top w:val="nil"/>
              <w:left w:val="nil"/>
              <w:bottom w:val="nil"/>
              <w:right w:val="nil"/>
            </w:tcBorders>
            <w:shd w:val="clear" w:color="auto" w:fill="auto"/>
            <w:noWrap/>
            <w:vAlign w:val="bottom"/>
            <w:hideMark/>
          </w:tcPr>
          <w:p w14:paraId="249FDBC1"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W6 26828</w:t>
            </w:r>
          </w:p>
        </w:tc>
        <w:tc>
          <w:tcPr>
            <w:tcW w:w="1154" w:type="dxa"/>
            <w:tcBorders>
              <w:top w:val="nil"/>
              <w:left w:val="nil"/>
              <w:bottom w:val="nil"/>
              <w:right w:val="nil"/>
            </w:tcBorders>
            <w:shd w:val="clear" w:color="auto" w:fill="auto"/>
            <w:noWrap/>
            <w:vAlign w:val="bottom"/>
            <w:hideMark/>
          </w:tcPr>
          <w:p w14:paraId="23BE4585"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17</w:t>
            </w:r>
          </w:p>
        </w:tc>
        <w:tc>
          <w:tcPr>
            <w:tcW w:w="1155" w:type="dxa"/>
            <w:tcBorders>
              <w:top w:val="nil"/>
              <w:left w:val="nil"/>
              <w:bottom w:val="nil"/>
              <w:right w:val="nil"/>
            </w:tcBorders>
            <w:shd w:val="clear" w:color="auto" w:fill="auto"/>
            <w:noWrap/>
            <w:vAlign w:val="bottom"/>
            <w:hideMark/>
          </w:tcPr>
          <w:p w14:paraId="557DC0F4"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28</w:t>
            </w:r>
          </w:p>
        </w:tc>
        <w:tc>
          <w:tcPr>
            <w:tcW w:w="1154" w:type="dxa"/>
            <w:tcBorders>
              <w:top w:val="nil"/>
              <w:left w:val="nil"/>
              <w:bottom w:val="nil"/>
              <w:right w:val="nil"/>
            </w:tcBorders>
            <w:shd w:val="clear" w:color="auto" w:fill="auto"/>
            <w:noWrap/>
            <w:vAlign w:val="bottom"/>
            <w:hideMark/>
          </w:tcPr>
          <w:p w14:paraId="54602EF9"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c>
          <w:tcPr>
            <w:tcW w:w="1203" w:type="dxa"/>
            <w:tcBorders>
              <w:top w:val="nil"/>
              <w:left w:val="nil"/>
              <w:bottom w:val="nil"/>
              <w:right w:val="nil"/>
            </w:tcBorders>
            <w:shd w:val="clear" w:color="auto" w:fill="auto"/>
            <w:noWrap/>
            <w:vAlign w:val="bottom"/>
            <w:hideMark/>
          </w:tcPr>
          <w:p w14:paraId="08F6FA99"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r>
      <w:tr w:rsidR="005A7C92" w:rsidRPr="005A7C92" w14:paraId="74590755"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2A81F42C"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maniototo</w:t>
            </w:r>
          </w:p>
        </w:tc>
        <w:tc>
          <w:tcPr>
            <w:tcW w:w="1583" w:type="dxa"/>
            <w:tcBorders>
              <w:top w:val="nil"/>
              <w:left w:val="nil"/>
              <w:bottom w:val="nil"/>
              <w:right w:val="nil"/>
            </w:tcBorders>
            <w:shd w:val="clear" w:color="auto" w:fill="auto"/>
            <w:noWrap/>
            <w:vAlign w:val="bottom"/>
            <w:hideMark/>
          </w:tcPr>
          <w:p w14:paraId="5680F441"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237164</w:t>
            </w:r>
          </w:p>
        </w:tc>
        <w:tc>
          <w:tcPr>
            <w:tcW w:w="1154" w:type="dxa"/>
            <w:tcBorders>
              <w:top w:val="nil"/>
              <w:left w:val="nil"/>
              <w:bottom w:val="nil"/>
              <w:right w:val="nil"/>
            </w:tcBorders>
            <w:shd w:val="clear" w:color="auto" w:fill="auto"/>
            <w:noWrap/>
            <w:vAlign w:val="bottom"/>
            <w:hideMark/>
          </w:tcPr>
          <w:p w14:paraId="2C274B44"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113</w:t>
            </w:r>
          </w:p>
        </w:tc>
        <w:tc>
          <w:tcPr>
            <w:tcW w:w="1155" w:type="dxa"/>
            <w:tcBorders>
              <w:top w:val="nil"/>
              <w:left w:val="nil"/>
              <w:bottom w:val="nil"/>
              <w:right w:val="nil"/>
            </w:tcBorders>
            <w:shd w:val="clear" w:color="auto" w:fill="auto"/>
            <w:noWrap/>
            <w:vAlign w:val="bottom"/>
            <w:hideMark/>
          </w:tcPr>
          <w:p w14:paraId="7A7F2785"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50</w:t>
            </w:r>
          </w:p>
        </w:tc>
        <w:tc>
          <w:tcPr>
            <w:tcW w:w="1154" w:type="dxa"/>
            <w:tcBorders>
              <w:top w:val="nil"/>
              <w:left w:val="nil"/>
              <w:bottom w:val="nil"/>
              <w:right w:val="nil"/>
            </w:tcBorders>
            <w:shd w:val="clear" w:color="auto" w:fill="auto"/>
            <w:noWrap/>
            <w:vAlign w:val="bottom"/>
            <w:hideMark/>
          </w:tcPr>
          <w:p w14:paraId="7B1C25E1"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389</w:t>
            </w:r>
          </w:p>
        </w:tc>
        <w:tc>
          <w:tcPr>
            <w:tcW w:w="1203" w:type="dxa"/>
            <w:tcBorders>
              <w:top w:val="nil"/>
              <w:left w:val="nil"/>
              <w:bottom w:val="nil"/>
              <w:right w:val="nil"/>
            </w:tcBorders>
            <w:shd w:val="clear" w:color="auto" w:fill="auto"/>
            <w:noWrap/>
            <w:vAlign w:val="bottom"/>
            <w:hideMark/>
          </w:tcPr>
          <w:p w14:paraId="01E61FA7"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124</w:t>
            </w:r>
          </w:p>
        </w:tc>
      </w:tr>
      <w:tr w:rsidR="005A7C92" w:rsidRPr="005A7C92" w14:paraId="5637B92A"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167B3488"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nemoralis</w:t>
            </w:r>
          </w:p>
        </w:tc>
        <w:tc>
          <w:tcPr>
            <w:tcW w:w="1583" w:type="dxa"/>
            <w:tcBorders>
              <w:top w:val="nil"/>
              <w:left w:val="nil"/>
              <w:bottom w:val="nil"/>
              <w:right w:val="nil"/>
            </w:tcBorders>
            <w:shd w:val="clear" w:color="auto" w:fill="auto"/>
            <w:noWrap/>
            <w:vAlign w:val="bottom"/>
            <w:hideMark/>
          </w:tcPr>
          <w:p w14:paraId="0F9AF823"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442544</w:t>
            </w:r>
          </w:p>
        </w:tc>
        <w:tc>
          <w:tcPr>
            <w:tcW w:w="1154" w:type="dxa"/>
            <w:tcBorders>
              <w:top w:val="nil"/>
              <w:left w:val="nil"/>
              <w:bottom w:val="nil"/>
              <w:right w:val="nil"/>
            </w:tcBorders>
            <w:shd w:val="clear" w:color="auto" w:fill="auto"/>
            <w:noWrap/>
            <w:vAlign w:val="bottom"/>
            <w:hideMark/>
          </w:tcPr>
          <w:p w14:paraId="472E0911"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256</w:t>
            </w:r>
          </w:p>
        </w:tc>
        <w:tc>
          <w:tcPr>
            <w:tcW w:w="1155" w:type="dxa"/>
            <w:tcBorders>
              <w:top w:val="nil"/>
              <w:left w:val="nil"/>
              <w:bottom w:val="nil"/>
              <w:right w:val="nil"/>
            </w:tcBorders>
            <w:shd w:val="clear" w:color="auto" w:fill="auto"/>
            <w:noWrap/>
            <w:vAlign w:val="bottom"/>
            <w:hideMark/>
          </w:tcPr>
          <w:p w14:paraId="4C1EAD69"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66</w:t>
            </w:r>
          </w:p>
        </w:tc>
        <w:tc>
          <w:tcPr>
            <w:tcW w:w="1154" w:type="dxa"/>
            <w:tcBorders>
              <w:top w:val="nil"/>
              <w:left w:val="nil"/>
              <w:bottom w:val="nil"/>
              <w:right w:val="nil"/>
            </w:tcBorders>
            <w:shd w:val="clear" w:color="auto" w:fill="auto"/>
            <w:noWrap/>
            <w:vAlign w:val="bottom"/>
            <w:hideMark/>
          </w:tcPr>
          <w:p w14:paraId="4FEF85FC"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1012</w:t>
            </w:r>
          </w:p>
        </w:tc>
        <w:tc>
          <w:tcPr>
            <w:tcW w:w="1203" w:type="dxa"/>
            <w:tcBorders>
              <w:top w:val="nil"/>
              <w:left w:val="nil"/>
              <w:bottom w:val="nil"/>
              <w:right w:val="nil"/>
            </w:tcBorders>
            <w:shd w:val="clear" w:color="auto" w:fill="auto"/>
            <w:noWrap/>
            <w:vAlign w:val="bottom"/>
            <w:hideMark/>
          </w:tcPr>
          <w:p w14:paraId="32F40384"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116</w:t>
            </w:r>
          </w:p>
        </w:tc>
      </w:tr>
      <w:tr w:rsidR="005A7C92" w:rsidRPr="005A7C92" w14:paraId="7E575BAC"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32C774C6"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nervosa</w:t>
            </w:r>
          </w:p>
        </w:tc>
        <w:tc>
          <w:tcPr>
            <w:tcW w:w="1583" w:type="dxa"/>
            <w:tcBorders>
              <w:top w:val="nil"/>
              <w:left w:val="nil"/>
              <w:bottom w:val="nil"/>
              <w:right w:val="nil"/>
            </w:tcBorders>
            <w:shd w:val="clear" w:color="auto" w:fill="auto"/>
            <w:noWrap/>
            <w:vAlign w:val="bottom"/>
            <w:hideMark/>
          </w:tcPr>
          <w:p w14:paraId="28D794B7"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232352</w:t>
            </w:r>
          </w:p>
        </w:tc>
        <w:tc>
          <w:tcPr>
            <w:tcW w:w="1154" w:type="dxa"/>
            <w:tcBorders>
              <w:top w:val="nil"/>
              <w:left w:val="nil"/>
              <w:bottom w:val="nil"/>
              <w:right w:val="nil"/>
            </w:tcBorders>
            <w:shd w:val="clear" w:color="auto" w:fill="auto"/>
            <w:noWrap/>
            <w:vAlign w:val="bottom"/>
            <w:hideMark/>
          </w:tcPr>
          <w:p w14:paraId="71710093"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102</w:t>
            </w:r>
          </w:p>
        </w:tc>
        <w:tc>
          <w:tcPr>
            <w:tcW w:w="1155" w:type="dxa"/>
            <w:tcBorders>
              <w:top w:val="nil"/>
              <w:left w:val="nil"/>
              <w:bottom w:val="nil"/>
              <w:right w:val="nil"/>
            </w:tcBorders>
            <w:shd w:val="clear" w:color="auto" w:fill="auto"/>
            <w:noWrap/>
            <w:vAlign w:val="bottom"/>
            <w:hideMark/>
          </w:tcPr>
          <w:p w14:paraId="17300E47"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22</w:t>
            </w:r>
          </w:p>
        </w:tc>
        <w:tc>
          <w:tcPr>
            <w:tcW w:w="1154" w:type="dxa"/>
            <w:tcBorders>
              <w:top w:val="nil"/>
              <w:left w:val="nil"/>
              <w:bottom w:val="nil"/>
              <w:right w:val="nil"/>
            </w:tcBorders>
            <w:shd w:val="clear" w:color="auto" w:fill="auto"/>
            <w:noWrap/>
            <w:vAlign w:val="bottom"/>
            <w:hideMark/>
          </w:tcPr>
          <w:p w14:paraId="29A06B79"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496</w:t>
            </w:r>
          </w:p>
        </w:tc>
        <w:tc>
          <w:tcPr>
            <w:tcW w:w="1203" w:type="dxa"/>
            <w:tcBorders>
              <w:top w:val="nil"/>
              <w:left w:val="nil"/>
              <w:bottom w:val="nil"/>
              <w:right w:val="nil"/>
            </w:tcBorders>
            <w:shd w:val="clear" w:color="auto" w:fill="auto"/>
            <w:noWrap/>
            <w:vAlign w:val="bottom"/>
            <w:hideMark/>
          </w:tcPr>
          <w:p w14:paraId="0A47C4D8"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97</w:t>
            </w:r>
          </w:p>
        </w:tc>
      </w:tr>
      <w:tr w:rsidR="005A7C92" w:rsidRPr="005A7C92" w14:paraId="6F115353"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7864C114"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palustris</w:t>
            </w:r>
          </w:p>
        </w:tc>
        <w:tc>
          <w:tcPr>
            <w:tcW w:w="1583" w:type="dxa"/>
            <w:tcBorders>
              <w:top w:val="nil"/>
              <w:left w:val="nil"/>
              <w:bottom w:val="nil"/>
              <w:right w:val="nil"/>
            </w:tcBorders>
            <w:shd w:val="clear" w:color="auto" w:fill="auto"/>
            <w:noWrap/>
            <w:vAlign w:val="bottom"/>
            <w:hideMark/>
          </w:tcPr>
          <w:p w14:paraId="4C50162C"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274644</w:t>
            </w:r>
          </w:p>
        </w:tc>
        <w:tc>
          <w:tcPr>
            <w:tcW w:w="1154" w:type="dxa"/>
            <w:tcBorders>
              <w:top w:val="nil"/>
              <w:left w:val="nil"/>
              <w:bottom w:val="nil"/>
              <w:right w:val="nil"/>
            </w:tcBorders>
            <w:shd w:val="clear" w:color="auto" w:fill="auto"/>
            <w:noWrap/>
            <w:vAlign w:val="bottom"/>
            <w:hideMark/>
          </w:tcPr>
          <w:p w14:paraId="376F8434"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122</w:t>
            </w:r>
          </w:p>
        </w:tc>
        <w:tc>
          <w:tcPr>
            <w:tcW w:w="1155" w:type="dxa"/>
            <w:tcBorders>
              <w:top w:val="nil"/>
              <w:left w:val="nil"/>
              <w:bottom w:val="nil"/>
              <w:right w:val="nil"/>
            </w:tcBorders>
            <w:shd w:val="clear" w:color="auto" w:fill="auto"/>
            <w:noWrap/>
            <w:vAlign w:val="bottom"/>
            <w:hideMark/>
          </w:tcPr>
          <w:p w14:paraId="4C2FA026"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72</w:t>
            </w:r>
          </w:p>
        </w:tc>
        <w:tc>
          <w:tcPr>
            <w:tcW w:w="1154" w:type="dxa"/>
            <w:tcBorders>
              <w:top w:val="nil"/>
              <w:left w:val="nil"/>
              <w:bottom w:val="nil"/>
              <w:right w:val="nil"/>
            </w:tcBorders>
            <w:shd w:val="clear" w:color="auto" w:fill="auto"/>
            <w:noWrap/>
            <w:vAlign w:val="bottom"/>
            <w:hideMark/>
          </w:tcPr>
          <w:p w14:paraId="5A1FA2CD"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153</w:t>
            </w:r>
          </w:p>
        </w:tc>
        <w:tc>
          <w:tcPr>
            <w:tcW w:w="1203" w:type="dxa"/>
            <w:tcBorders>
              <w:top w:val="nil"/>
              <w:left w:val="nil"/>
              <w:bottom w:val="nil"/>
              <w:right w:val="nil"/>
            </w:tcBorders>
            <w:shd w:val="clear" w:color="auto" w:fill="auto"/>
            <w:noWrap/>
            <w:vAlign w:val="bottom"/>
            <w:hideMark/>
          </w:tcPr>
          <w:p w14:paraId="0AB579E1"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r>
      <w:tr w:rsidR="005A7C92" w:rsidRPr="005A7C92" w14:paraId="5FD261F4"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06B685E6"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 xml:space="preserve">P. pratensis </w:t>
            </w:r>
          </w:p>
        </w:tc>
        <w:tc>
          <w:tcPr>
            <w:tcW w:w="1583" w:type="dxa"/>
            <w:tcBorders>
              <w:top w:val="nil"/>
              <w:left w:val="nil"/>
              <w:bottom w:val="nil"/>
              <w:right w:val="nil"/>
            </w:tcBorders>
            <w:shd w:val="clear" w:color="auto" w:fill="auto"/>
            <w:noWrap/>
            <w:vAlign w:val="bottom"/>
            <w:hideMark/>
          </w:tcPr>
          <w:p w14:paraId="233B8E04"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GC</w:t>
            </w:r>
          </w:p>
        </w:tc>
        <w:tc>
          <w:tcPr>
            <w:tcW w:w="1154" w:type="dxa"/>
            <w:tcBorders>
              <w:top w:val="nil"/>
              <w:left w:val="nil"/>
              <w:bottom w:val="nil"/>
              <w:right w:val="nil"/>
            </w:tcBorders>
            <w:shd w:val="clear" w:color="auto" w:fill="auto"/>
            <w:noWrap/>
            <w:vAlign w:val="bottom"/>
            <w:hideMark/>
          </w:tcPr>
          <w:p w14:paraId="3EC3F18A"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220</w:t>
            </w:r>
          </w:p>
        </w:tc>
        <w:tc>
          <w:tcPr>
            <w:tcW w:w="1155" w:type="dxa"/>
            <w:tcBorders>
              <w:top w:val="nil"/>
              <w:left w:val="nil"/>
              <w:bottom w:val="nil"/>
              <w:right w:val="nil"/>
            </w:tcBorders>
            <w:shd w:val="clear" w:color="auto" w:fill="auto"/>
            <w:noWrap/>
            <w:vAlign w:val="bottom"/>
            <w:hideMark/>
          </w:tcPr>
          <w:p w14:paraId="7E161CE9"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73</w:t>
            </w:r>
          </w:p>
        </w:tc>
        <w:tc>
          <w:tcPr>
            <w:tcW w:w="1154" w:type="dxa"/>
            <w:tcBorders>
              <w:top w:val="nil"/>
              <w:left w:val="nil"/>
              <w:bottom w:val="nil"/>
              <w:right w:val="nil"/>
            </w:tcBorders>
            <w:shd w:val="clear" w:color="auto" w:fill="auto"/>
            <w:noWrap/>
            <w:vAlign w:val="bottom"/>
            <w:hideMark/>
          </w:tcPr>
          <w:p w14:paraId="3160186C"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570</w:t>
            </w:r>
          </w:p>
        </w:tc>
        <w:tc>
          <w:tcPr>
            <w:tcW w:w="1203" w:type="dxa"/>
            <w:tcBorders>
              <w:top w:val="nil"/>
              <w:left w:val="nil"/>
              <w:bottom w:val="nil"/>
              <w:right w:val="nil"/>
            </w:tcBorders>
            <w:shd w:val="clear" w:color="auto" w:fill="auto"/>
            <w:noWrap/>
            <w:vAlign w:val="bottom"/>
            <w:hideMark/>
          </w:tcPr>
          <w:p w14:paraId="4E95B1CA"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119</w:t>
            </w:r>
          </w:p>
        </w:tc>
      </w:tr>
      <w:tr w:rsidR="005A7C92" w:rsidRPr="005A7C92" w14:paraId="37B7FA7D"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2504CA19"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 xml:space="preserve">P. pratensis </w:t>
            </w:r>
          </w:p>
        </w:tc>
        <w:tc>
          <w:tcPr>
            <w:tcW w:w="1583" w:type="dxa"/>
            <w:tcBorders>
              <w:top w:val="nil"/>
              <w:left w:val="nil"/>
              <w:bottom w:val="nil"/>
              <w:right w:val="nil"/>
            </w:tcBorders>
            <w:shd w:val="clear" w:color="auto" w:fill="auto"/>
            <w:noWrap/>
            <w:vAlign w:val="bottom"/>
            <w:hideMark/>
          </w:tcPr>
          <w:p w14:paraId="43C9EF9B" w14:textId="65BCC4F2" w:rsidR="005A7C92" w:rsidRPr="005A7C92" w:rsidRDefault="007002BE" w:rsidP="005A7C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KenB</w:t>
            </w:r>
            <w:r w:rsidR="005A7C92" w:rsidRPr="005A7C92">
              <w:rPr>
                <w:rFonts w:ascii="Times New Roman" w:eastAsia="Times New Roman" w:hAnsi="Times New Roman" w:cs="Times New Roman"/>
                <w:b/>
                <w:sz w:val="24"/>
                <w:szCs w:val="24"/>
              </w:rPr>
              <w:t>lue</w:t>
            </w:r>
          </w:p>
        </w:tc>
        <w:tc>
          <w:tcPr>
            <w:tcW w:w="1154" w:type="dxa"/>
            <w:tcBorders>
              <w:top w:val="nil"/>
              <w:left w:val="nil"/>
              <w:bottom w:val="nil"/>
              <w:right w:val="nil"/>
            </w:tcBorders>
            <w:shd w:val="clear" w:color="auto" w:fill="auto"/>
            <w:noWrap/>
            <w:vAlign w:val="bottom"/>
            <w:hideMark/>
          </w:tcPr>
          <w:p w14:paraId="34F9F4EF"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180</w:t>
            </w:r>
          </w:p>
        </w:tc>
        <w:tc>
          <w:tcPr>
            <w:tcW w:w="1155" w:type="dxa"/>
            <w:tcBorders>
              <w:top w:val="nil"/>
              <w:left w:val="nil"/>
              <w:bottom w:val="nil"/>
              <w:right w:val="nil"/>
            </w:tcBorders>
            <w:shd w:val="clear" w:color="auto" w:fill="auto"/>
            <w:noWrap/>
            <w:vAlign w:val="bottom"/>
            <w:hideMark/>
          </w:tcPr>
          <w:p w14:paraId="743656AD"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75</w:t>
            </w:r>
          </w:p>
        </w:tc>
        <w:tc>
          <w:tcPr>
            <w:tcW w:w="1154" w:type="dxa"/>
            <w:tcBorders>
              <w:top w:val="nil"/>
              <w:left w:val="nil"/>
              <w:bottom w:val="nil"/>
              <w:right w:val="nil"/>
            </w:tcBorders>
            <w:shd w:val="clear" w:color="auto" w:fill="auto"/>
            <w:noWrap/>
            <w:vAlign w:val="bottom"/>
            <w:hideMark/>
          </w:tcPr>
          <w:p w14:paraId="63A83397"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407</w:t>
            </w:r>
          </w:p>
        </w:tc>
        <w:tc>
          <w:tcPr>
            <w:tcW w:w="1203" w:type="dxa"/>
            <w:tcBorders>
              <w:top w:val="nil"/>
              <w:left w:val="nil"/>
              <w:bottom w:val="nil"/>
              <w:right w:val="nil"/>
            </w:tcBorders>
            <w:shd w:val="clear" w:color="auto" w:fill="auto"/>
            <w:noWrap/>
            <w:vAlign w:val="bottom"/>
            <w:hideMark/>
          </w:tcPr>
          <w:p w14:paraId="46D014BA"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119</w:t>
            </w:r>
          </w:p>
        </w:tc>
      </w:tr>
      <w:tr w:rsidR="005A7C92" w:rsidRPr="005A7C92" w14:paraId="4958062B"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28115BDD"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 xml:space="preserve">P. pratensis </w:t>
            </w:r>
          </w:p>
        </w:tc>
        <w:tc>
          <w:tcPr>
            <w:tcW w:w="1583" w:type="dxa"/>
            <w:tcBorders>
              <w:top w:val="nil"/>
              <w:left w:val="nil"/>
              <w:bottom w:val="nil"/>
              <w:right w:val="nil"/>
            </w:tcBorders>
            <w:shd w:val="clear" w:color="auto" w:fill="auto"/>
            <w:noWrap/>
            <w:vAlign w:val="bottom"/>
            <w:hideMark/>
          </w:tcPr>
          <w:p w14:paraId="3CFDE794"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Midnight Star</w:t>
            </w:r>
          </w:p>
        </w:tc>
        <w:tc>
          <w:tcPr>
            <w:tcW w:w="1154" w:type="dxa"/>
            <w:tcBorders>
              <w:top w:val="nil"/>
              <w:left w:val="nil"/>
              <w:bottom w:val="nil"/>
              <w:right w:val="nil"/>
            </w:tcBorders>
            <w:shd w:val="clear" w:color="auto" w:fill="auto"/>
            <w:noWrap/>
            <w:vAlign w:val="bottom"/>
            <w:hideMark/>
          </w:tcPr>
          <w:p w14:paraId="73A9FEBD"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78</w:t>
            </w:r>
          </w:p>
        </w:tc>
        <w:tc>
          <w:tcPr>
            <w:tcW w:w="1155" w:type="dxa"/>
            <w:tcBorders>
              <w:top w:val="nil"/>
              <w:left w:val="nil"/>
              <w:bottom w:val="nil"/>
              <w:right w:val="nil"/>
            </w:tcBorders>
            <w:shd w:val="clear" w:color="auto" w:fill="auto"/>
            <w:noWrap/>
            <w:vAlign w:val="bottom"/>
            <w:hideMark/>
          </w:tcPr>
          <w:p w14:paraId="5B9EA107"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42</w:t>
            </w:r>
          </w:p>
        </w:tc>
        <w:tc>
          <w:tcPr>
            <w:tcW w:w="1154" w:type="dxa"/>
            <w:tcBorders>
              <w:top w:val="nil"/>
              <w:left w:val="nil"/>
              <w:bottom w:val="nil"/>
              <w:right w:val="nil"/>
            </w:tcBorders>
            <w:shd w:val="clear" w:color="auto" w:fill="auto"/>
            <w:noWrap/>
            <w:vAlign w:val="bottom"/>
            <w:hideMark/>
          </w:tcPr>
          <w:p w14:paraId="6F9479DC"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476</w:t>
            </w:r>
          </w:p>
        </w:tc>
        <w:tc>
          <w:tcPr>
            <w:tcW w:w="1203" w:type="dxa"/>
            <w:tcBorders>
              <w:top w:val="nil"/>
              <w:left w:val="nil"/>
              <w:bottom w:val="nil"/>
              <w:right w:val="nil"/>
            </w:tcBorders>
            <w:shd w:val="clear" w:color="auto" w:fill="auto"/>
            <w:noWrap/>
            <w:vAlign w:val="bottom"/>
            <w:hideMark/>
          </w:tcPr>
          <w:p w14:paraId="2E13D17A"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124</w:t>
            </w:r>
          </w:p>
        </w:tc>
      </w:tr>
      <w:tr w:rsidR="005A7C92" w:rsidRPr="005A7C92" w14:paraId="6F446DE3"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50F17916"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 xml:space="preserve">P. pratensis X arachnifera </w:t>
            </w:r>
          </w:p>
        </w:tc>
        <w:tc>
          <w:tcPr>
            <w:tcW w:w="1583" w:type="dxa"/>
            <w:tcBorders>
              <w:top w:val="nil"/>
              <w:left w:val="nil"/>
              <w:bottom w:val="nil"/>
              <w:right w:val="nil"/>
            </w:tcBorders>
            <w:shd w:val="clear" w:color="auto" w:fill="auto"/>
            <w:noWrap/>
            <w:vAlign w:val="bottom"/>
            <w:hideMark/>
          </w:tcPr>
          <w:p w14:paraId="5ABF162F"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Thermal Blue</w:t>
            </w:r>
          </w:p>
        </w:tc>
        <w:tc>
          <w:tcPr>
            <w:tcW w:w="1154" w:type="dxa"/>
            <w:tcBorders>
              <w:top w:val="nil"/>
              <w:left w:val="nil"/>
              <w:bottom w:val="nil"/>
              <w:right w:val="nil"/>
            </w:tcBorders>
            <w:shd w:val="clear" w:color="auto" w:fill="auto"/>
            <w:noWrap/>
            <w:vAlign w:val="bottom"/>
            <w:hideMark/>
          </w:tcPr>
          <w:p w14:paraId="6FC2F711"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140</w:t>
            </w:r>
          </w:p>
        </w:tc>
        <w:tc>
          <w:tcPr>
            <w:tcW w:w="1155" w:type="dxa"/>
            <w:tcBorders>
              <w:top w:val="nil"/>
              <w:left w:val="nil"/>
              <w:bottom w:val="nil"/>
              <w:right w:val="nil"/>
            </w:tcBorders>
            <w:shd w:val="clear" w:color="auto" w:fill="auto"/>
            <w:noWrap/>
            <w:vAlign w:val="bottom"/>
            <w:hideMark/>
          </w:tcPr>
          <w:p w14:paraId="258D39E5"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53</w:t>
            </w:r>
          </w:p>
        </w:tc>
        <w:tc>
          <w:tcPr>
            <w:tcW w:w="1154" w:type="dxa"/>
            <w:tcBorders>
              <w:top w:val="nil"/>
              <w:left w:val="nil"/>
              <w:bottom w:val="nil"/>
              <w:right w:val="nil"/>
            </w:tcBorders>
            <w:shd w:val="clear" w:color="auto" w:fill="auto"/>
            <w:noWrap/>
            <w:vAlign w:val="bottom"/>
            <w:hideMark/>
          </w:tcPr>
          <w:p w14:paraId="35F2BD44"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492</w:t>
            </w:r>
          </w:p>
        </w:tc>
        <w:tc>
          <w:tcPr>
            <w:tcW w:w="1203" w:type="dxa"/>
            <w:tcBorders>
              <w:top w:val="nil"/>
              <w:left w:val="nil"/>
              <w:bottom w:val="nil"/>
              <w:right w:val="nil"/>
            </w:tcBorders>
            <w:shd w:val="clear" w:color="auto" w:fill="auto"/>
            <w:noWrap/>
            <w:vAlign w:val="bottom"/>
            <w:hideMark/>
          </w:tcPr>
          <w:p w14:paraId="3C53A096"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122</w:t>
            </w:r>
          </w:p>
        </w:tc>
      </w:tr>
      <w:tr w:rsidR="005A7C92" w:rsidRPr="005A7C92" w14:paraId="2AAFDC11"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2F387DAD"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 xml:space="preserve">P. pratensis X arachnifera </w:t>
            </w:r>
          </w:p>
        </w:tc>
        <w:tc>
          <w:tcPr>
            <w:tcW w:w="1583" w:type="dxa"/>
            <w:tcBorders>
              <w:top w:val="nil"/>
              <w:left w:val="nil"/>
              <w:bottom w:val="nil"/>
              <w:right w:val="nil"/>
            </w:tcBorders>
            <w:shd w:val="clear" w:color="auto" w:fill="auto"/>
            <w:noWrap/>
            <w:vAlign w:val="bottom"/>
            <w:hideMark/>
          </w:tcPr>
          <w:p w14:paraId="253A1204"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Armadillo</w:t>
            </w:r>
          </w:p>
        </w:tc>
        <w:tc>
          <w:tcPr>
            <w:tcW w:w="1154" w:type="dxa"/>
            <w:tcBorders>
              <w:top w:val="nil"/>
              <w:left w:val="nil"/>
              <w:bottom w:val="nil"/>
              <w:right w:val="nil"/>
            </w:tcBorders>
            <w:shd w:val="clear" w:color="auto" w:fill="auto"/>
            <w:noWrap/>
            <w:vAlign w:val="bottom"/>
            <w:hideMark/>
          </w:tcPr>
          <w:p w14:paraId="3FD1F7D3"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243</w:t>
            </w:r>
          </w:p>
        </w:tc>
        <w:tc>
          <w:tcPr>
            <w:tcW w:w="1155" w:type="dxa"/>
            <w:tcBorders>
              <w:top w:val="nil"/>
              <w:left w:val="nil"/>
              <w:bottom w:val="nil"/>
              <w:right w:val="nil"/>
            </w:tcBorders>
            <w:shd w:val="clear" w:color="auto" w:fill="auto"/>
            <w:noWrap/>
            <w:vAlign w:val="bottom"/>
            <w:hideMark/>
          </w:tcPr>
          <w:p w14:paraId="751D215B"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75</w:t>
            </w:r>
          </w:p>
        </w:tc>
        <w:tc>
          <w:tcPr>
            <w:tcW w:w="1154" w:type="dxa"/>
            <w:tcBorders>
              <w:top w:val="nil"/>
              <w:left w:val="nil"/>
              <w:bottom w:val="nil"/>
              <w:right w:val="nil"/>
            </w:tcBorders>
            <w:shd w:val="clear" w:color="auto" w:fill="auto"/>
            <w:noWrap/>
            <w:vAlign w:val="bottom"/>
            <w:hideMark/>
          </w:tcPr>
          <w:p w14:paraId="799599BD"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664</w:t>
            </w:r>
          </w:p>
        </w:tc>
        <w:tc>
          <w:tcPr>
            <w:tcW w:w="1203" w:type="dxa"/>
            <w:tcBorders>
              <w:top w:val="nil"/>
              <w:left w:val="nil"/>
              <w:bottom w:val="nil"/>
              <w:right w:val="nil"/>
            </w:tcBorders>
            <w:shd w:val="clear" w:color="auto" w:fill="auto"/>
            <w:noWrap/>
            <w:vAlign w:val="bottom"/>
            <w:hideMark/>
          </w:tcPr>
          <w:p w14:paraId="7B37E742"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119</w:t>
            </w:r>
          </w:p>
        </w:tc>
      </w:tr>
      <w:tr w:rsidR="005A7C92" w:rsidRPr="005A7C92" w14:paraId="79EB2CFA"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379A5337"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poecila</w:t>
            </w:r>
          </w:p>
        </w:tc>
        <w:tc>
          <w:tcPr>
            <w:tcW w:w="1583" w:type="dxa"/>
            <w:tcBorders>
              <w:top w:val="nil"/>
              <w:left w:val="nil"/>
              <w:bottom w:val="nil"/>
              <w:right w:val="nil"/>
            </w:tcBorders>
            <w:shd w:val="clear" w:color="auto" w:fill="auto"/>
            <w:noWrap/>
            <w:vAlign w:val="bottom"/>
            <w:hideMark/>
          </w:tcPr>
          <w:p w14:paraId="3677330F"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W6 13851</w:t>
            </w:r>
          </w:p>
        </w:tc>
        <w:tc>
          <w:tcPr>
            <w:tcW w:w="1154" w:type="dxa"/>
            <w:tcBorders>
              <w:top w:val="nil"/>
              <w:left w:val="nil"/>
              <w:bottom w:val="nil"/>
              <w:right w:val="nil"/>
            </w:tcBorders>
            <w:shd w:val="clear" w:color="auto" w:fill="auto"/>
            <w:noWrap/>
            <w:vAlign w:val="bottom"/>
            <w:hideMark/>
          </w:tcPr>
          <w:p w14:paraId="15EE8445"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c>
          <w:tcPr>
            <w:tcW w:w="1155" w:type="dxa"/>
            <w:tcBorders>
              <w:top w:val="nil"/>
              <w:left w:val="nil"/>
              <w:bottom w:val="nil"/>
              <w:right w:val="nil"/>
            </w:tcBorders>
            <w:shd w:val="clear" w:color="auto" w:fill="auto"/>
            <w:noWrap/>
            <w:vAlign w:val="bottom"/>
            <w:hideMark/>
          </w:tcPr>
          <w:p w14:paraId="7A54F8EB"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c>
          <w:tcPr>
            <w:tcW w:w="1154" w:type="dxa"/>
            <w:tcBorders>
              <w:top w:val="nil"/>
              <w:left w:val="nil"/>
              <w:bottom w:val="nil"/>
              <w:right w:val="nil"/>
            </w:tcBorders>
            <w:shd w:val="clear" w:color="auto" w:fill="auto"/>
            <w:noWrap/>
            <w:vAlign w:val="bottom"/>
            <w:hideMark/>
          </w:tcPr>
          <w:p w14:paraId="28DE55DE"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c>
          <w:tcPr>
            <w:tcW w:w="1203" w:type="dxa"/>
            <w:tcBorders>
              <w:top w:val="nil"/>
              <w:left w:val="nil"/>
              <w:bottom w:val="nil"/>
              <w:right w:val="nil"/>
            </w:tcBorders>
            <w:shd w:val="clear" w:color="auto" w:fill="auto"/>
            <w:noWrap/>
            <w:vAlign w:val="bottom"/>
            <w:hideMark/>
          </w:tcPr>
          <w:p w14:paraId="74910148"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r>
      <w:tr w:rsidR="005A7C92" w:rsidRPr="005A7C92" w14:paraId="14F9B0B3"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4E295C8B"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psilolepis</w:t>
            </w:r>
          </w:p>
        </w:tc>
        <w:tc>
          <w:tcPr>
            <w:tcW w:w="1583" w:type="dxa"/>
            <w:tcBorders>
              <w:top w:val="nil"/>
              <w:left w:val="nil"/>
              <w:bottom w:val="nil"/>
              <w:right w:val="nil"/>
            </w:tcBorders>
            <w:shd w:val="clear" w:color="auto" w:fill="auto"/>
            <w:noWrap/>
            <w:vAlign w:val="bottom"/>
            <w:hideMark/>
          </w:tcPr>
          <w:p w14:paraId="23D025BA"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W6 23610</w:t>
            </w:r>
          </w:p>
        </w:tc>
        <w:tc>
          <w:tcPr>
            <w:tcW w:w="1154" w:type="dxa"/>
            <w:tcBorders>
              <w:top w:val="nil"/>
              <w:left w:val="nil"/>
              <w:bottom w:val="nil"/>
              <w:right w:val="nil"/>
            </w:tcBorders>
            <w:shd w:val="clear" w:color="auto" w:fill="auto"/>
            <w:noWrap/>
            <w:vAlign w:val="bottom"/>
            <w:hideMark/>
          </w:tcPr>
          <w:p w14:paraId="03441343"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55</w:t>
            </w:r>
          </w:p>
        </w:tc>
        <w:tc>
          <w:tcPr>
            <w:tcW w:w="1155" w:type="dxa"/>
            <w:tcBorders>
              <w:top w:val="nil"/>
              <w:left w:val="nil"/>
              <w:bottom w:val="nil"/>
              <w:right w:val="nil"/>
            </w:tcBorders>
            <w:shd w:val="clear" w:color="auto" w:fill="auto"/>
            <w:noWrap/>
            <w:vAlign w:val="bottom"/>
            <w:hideMark/>
          </w:tcPr>
          <w:p w14:paraId="65A397C7"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65</w:t>
            </w:r>
          </w:p>
        </w:tc>
        <w:tc>
          <w:tcPr>
            <w:tcW w:w="1154" w:type="dxa"/>
            <w:tcBorders>
              <w:top w:val="nil"/>
              <w:left w:val="nil"/>
              <w:bottom w:val="nil"/>
              <w:right w:val="nil"/>
            </w:tcBorders>
            <w:shd w:val="clear" w:color="auto" w:fill="auto"/>
            <w:noWrap/>
            <w:vAlign w:val="bottom"/>
            <w:hideMark/>
          </w:tcPr>
          <w:p w14:paraId="50028E1A"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110</w:t>
            </w:r>
          </w:p>
        </w:tc>
        <w:tc>
          <w:tcPr>
            <w:tcW w:w="1203" w:type="dxa"/>
            <w:tcBorders>
              <w:top w:val="nil"/>
              <w:left w:val="nil"/>
              <w:bottom w:val="nil"/>
              <w:right w:val="nil"/>
            </w:tcBorders>
            <w:shd w:val="clear" w:color="auto" w:fill="auto"/>
            <w:noWrap/>
            <w:vAlign w:val="bottom"/>
            <w:hideMark/>
          </w:tcPr>
          <w:p w14:paraId="0D126001"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139</w:t>
            </w:r>
          </w:p>
        </w:tc>
      </w:tr>
      <w:tr w:rsidR="005A7C92" w:rsidRPr="005A7C92" w14:paraId="3E65FCD4"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49FC8E8E"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secunda</w:t>
            </w:r>
          </w:p>
        </w:tc>
        <w:tc>
          <w:tcPr>
            <w:tcW w:w="1583" w:type="dxa"/>
            <w:tcBorders>
              <w:top w:val="nil"/>
              <w:left w:val="nil"/>
              <w:bottom w:val="nil"/>
              <w:right w:val="nil"/>
            </w:tcBorders>
            <w:shd w:val="clear" w:color="auto" w:fill="auto"/>
            <w:noWrap/>
            <w:vAlign w:val="bottom"/>
            <w:hideMark/>
          </w:tcPr>
          <w:p w14:paraId="78F5BB05"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578850</w:t>
            </w:r>
          </w:p>
        </w:tc>
        <w:tc>
          <w:tcPr>
            <w:tcW w:w="1154" w:type="dxa"/>
            <w:tcBorders>
              <w:top w:val="nil"/>
              <w:left w:val="nil"/>
              <w:bottom w:val="nil"/>
              <w:right w:val="nil"/>
            </w:tcBorders>
            <w:shd w:val="clear" w:color="auto" w:fill="auto"/>
            <w:noWrap/>
            <w:vAlign w:val="bottom"/>
            <w:hideMark/>
          </w:tcPr>
          <w:p w14:paraId="06149C11"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301</w:t>
            </w:r>
          </w:p>
        </w:tc>
        <w:tc>
          <w:tcPr>
            <w:tcW w:w="1155" w:type="dxa"/>
            <w:tcBorders>
              <w:top w:val="nil"/>
              <w:left w:val="nil"/>
              <w:bottom w:val="nil"/>
              <w:right w:val="nil"/>
            </w:tcBorders>
            <w:shd w:val="clear" w:color="auto" w:fill="auto"/>
            <w:noWrap/>
            <w:vAlign w:val="bottom"/>
            <w:hideMark/>
          </w:tcPr>
          <w:p w14:paraId="5FB3E55B"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77</w:t>
            </w:r>
          </w:p>
        </w:tc>
        <w:tc>
          <w:tcPr>
            <w:tcW w:w="1154" w:type="dxa"/>
            <w:tcBorders>
              <w:top w:val="nil"/>
              <w:left w:val="nil"/>
              <w:bottom w:val="nil"/>
              <w:right w:val="nil"/>
            </w:tcBorders>
            <w:shd w:val="clear" w:color="auto" w:fill="auto"/>
            <w:noWrap/>
            <w:vAlign w:val="bottom"/>
            <w:hideMark/>
          </w:tcPr>
          <w:p w14:paraId="1372C235"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488</w:t>
            </w:r>
          </w:p>
        </w:tc>
        <w:tc>
          <w:tcPr>
            <w:tcW w:w="1203" w:type="dxa"/>
            <w:tcBorders>
              <w:top w:val="nil"/>
              <w:left w:val="nil"/>
              <w:bottom w:val="nil"/>
              <w:right w:val="nil"/>
            </w:tcBorders>
            <w:shd w:val="clear" w:color="auto" w:fill="auto"/>
            <w:noWrap/>
            <w:vAlign w:val="bottom"/>
            <w:hideMark/>
          </w:tcPr>
          <w:p w14:paraId="34911F2E"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124</w:t>
            </w:r>
          </w:p>
        </w:tc>
      </w:tr>
      <w:tr w:rsidR="005A7C92" w:rsidRPr="005A7C92" w14:paraId="556D42D1"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69A1380A"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sieberiana</w:t>
            </w:r>
          </w:p>
        </w:tc>
        <w:tc>
          <w:tcPr>
            <w:tcW w:w="1583" w:type="dxa"/>
            <w:tcBorders>
              <w:top w:val="nil"/>
              <w:left w:val="nil"/>
              <w:bottom w:val="nil"/>
              <w:right w:val="nil"/>
            </w:tcBorders>
            <w:shd w:val="clear" w:color="auto" w:fill="auto"/>
            <w:noWrap/>
            <w:vAlign w:val="bottom"/>
            <w:hideMark/>
          </w:tcPr>
          <w:p w14:paraId="68EFCE78"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282383</w:t>
            </w:r>
          </w:p>
        </w:tc>
        <w:tc>
          <w:tcPr>
            <w:tcW w:w="1154" w:type="dxa"/>
            <w:tcBorders>
              <w:top w:val="nil"/>
              <w:left w:val="nil"/>
              <w:bottom w:val="nil"/>
              <w:right w:val="nil"/>
            </w:tcBorders>
            <w:shd w:val="clear" w:color="auto" w:fill="auto"/>
            <w:noWrap/>
            <w:vAlign w:val="bottom"/>
            <w:hideMark/>
          </w:tcPr>
          <w:p w14:paraId="52D0AE94"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477</w:t>
            </w:r>
          </w:p>
        </w:tc>
        <w:tc>
          <w:tcPr>
            <w:tcW w:w="1155" w:type="dxa"/>
            <w:tcBorders>
              <w:top w:val="nil"/>
              <w:left w:val="nil"/>
              <w:bottom w:val="nil"/>
              <w:right w:val="nil"/>
            </w:tcBorders>
            <w:shd w:val="clear" w:color="auto" w:fill="auto"/>
            <w:noWrap/>
            <w:vAlign w:val="bottom"/>
            <w:hideMark/>
          </w:tcPr>
          <w:p w14:paraId="2AC64D91"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96</w:t>
            </w:r>
          </w:p>
        </w:tc>
        <w:tc>
          <w:tcPr>
            <w:tcW w:w="1154" w:type="dxa"/>
            <w:tcBorders>
              <w:top w:val="nil"/>
              <w:left w:val="nil"/>
              <w:bottom w:val="nil"/>
              <w:right w:val="nil"/>
            </w:tcBorders>
            <w:shd w:val="clear" w:color="auto" w:fill="auto"/>
            <w:noWrap/>
            <w:vAlign w:val="bottom"/>
            <w:hideMark/>
          </w:tcPr>
          <w:p w14:paraId="149A7970"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356</w:t>
            </w:r>
          </w:p>
        </w:tc>
        <w:tc>
          <w:tcPr>
            <w:tcW w:w="1203" w:type="dxa"/>
            <w:tcBorders>
              <w:top w:val="nil"/>
              <w:left w:val="nil"/>
              <w:bottom w:val="nil"/>
              <w:right w:val="nil"/>
            </w:tcBorders>
            <w:shd w:val="clear" w:color="auto" w:fill="auto"/>
            <w:noWrap/>
            <w:vAlign w:val="bottom"/>
            <w:hideMark/>
          </w:tcPr>
          <w:p w14:paraId="0531754A"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141</w:t>
            </w:r>
          </w:p>
        </w:tc>
      </w:tr>
      <w:tr w:rsidR="005A7C92" w:rsidRPr="005A7C92" w14:paraId="132DBEB9"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5BA928D6"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stiriaca</w:t>
            </w:r>
          </w:p>
        </w:tc>
        <w:tc>
          <w:tcPr>
            <w:tcW w:w="1583" w:type="dxa"/>
            <w:tcBorders>
              <w:top w:val="nil"/>
              <w:left w:val="nil"/>
              <w:bottom w:val="nil"/>
              <w:right w:val="nil"/>
            </w:tcBorders>
            <w:shd w:val="clear" w:color="auto" w:fill="auto"/>
            <w:noWrap/>
            <w:vAlign w:val="bottom"/>
            <w:hideMark/>
          </w:tcPr>
          <w:p w14:paraId="03907C94"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PI 283964</w:t>
            </w:r>
          </w:p>
        </w:tc>
        <w:tc>
          <w:tcPr>
            <w:tcW w:w="1154" w:type="dxa"/>
            <w:tcBorders>
              <w:top w:val="nil"/>
              <w:left w:val="nil"/>
              <w:bottom w:val="nil"/>
              <w:right w:val="nil"/>
            </w:tcBorders>
            <w:shd w:val="clear" w:color="auto" w:fill="auto"/>
            <w:noWrap/>
            <w:vAlign w:val="bottom"/>
            <w:hideMark/>
          </w:tcPr>
          <w:p w14:paraId="5907DD48"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218</w:t>
            </w:r>
          </w:p>
        </w:tc>
        <w:tc>
          <w:tcPr>
            <w:tcW w:w="1155" w:type="dxa"/>
            <w:tcBorders>
              <w:top w:val="nil"/>
              <w:left w:val="nil"/>
              <w:bottom w:val="nil"/>
              <w:right w:val="nil"/>
            </w:tcBorders>
            <w:shd w:val="clear" w:color="auto" w:fill="auto"/>
            <w:noWrap/>
            <w:vAlign w:val="bottom"/>
            <w:hideMark/>
          </w:tcPr>
          <w:p w14:paraId="1DC0F0BE"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60</w:t>
            </w:r>
          </w:p>
        </w:tc>
        <w:tc>
          <w:tcPr>
            <w:tcW w:w="1154" w:type="dxa"/>
            <w:tcBorders>
              <w:top w:val="nil"/>
              <w:left w:val="nil"/>
              <w:bottom w:val="nil"/>
              <w:right w:val="nil"/>
            </w:tcBorders>
            <w:shd w:val="clear" w:color="auto" w:fill="auto"/>
            <w:noWrap/>
            <w:vAlign w:val="bottom"/>
            <w:hideMark/>
          </w:tcPr>
          <w:p w14:paraId="0DE07DD8"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936</w:t>
            </w:r>
          </w:p>
        </w:tc>
        <w:tc>
          <w:tcPr>
            <w:tcW w:w="1203" w:type="dxa"/>
            <w:tcBorders>
              <w:top w:val="nil"/>
              <w:left w:val="nil"/>
              <w:bottom w:val="nil"/>
              <w:right w:val="nil"/>
            </w:tcBorders>
            <w:shd w:val="clear" w:color="auto" w:fill="auto"/>
            <w:noWrap/>
            <w:vAlign w:val="bottom"/>
            <w:hideMark/>
          </w:tcPr>
          <w:p w14:paraId="7848929E"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153</w:t>
            </w:r>
          </w:p>
        </w:tc>
      </w:tr>
      <w:tr w:rsidR="005A7C92" w:rsidRPr="005A7C92" w14:paraId="50536F0B" w14:textId="77777777" w:rsidTr="00272F31">
        <w:trPr>
          <w:trHeight w:val="144"/>
          <w:jc w:val="center"/>
        </w:trPr>
        <w:tc>
          <w:tcPr>
            <w:tcW w:w="2856" w:type="dxa"/>
            <w:tcBorders>
              <w:top w:val="nil"/>
              <w:left w:val="nil"/>
              <w:bottom w:val="nil"/>
              <w:right w:val="nil"/>
            </w:tcBorders>
            <w:shd w:val="clear" w:color="auto" w:fill="auto"/>
            <w:noWrap/>
            <w:vAlign w:val="bottom"/>
            <w:hideMark/>
          </w:tcPr>
          <w:p w14:paraId="5CFA747B" w14:textId="77777777" w:rsidR="005A7C92" w:rsidRPr="005A7C92" w:rsidRDefault="005A7C92"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lastRenderedPageBreak/>
              <w:t>P. supina</w:t>
            </w:r>
          </w:p>
        </w:tc>
        <w:tc>
          <w:tcPr>
            <w:tcW w:w="1583" w:type="dxa"/>
            <w:tcBorders>
              <w:top w:val="nil"/>
              <w:left w:val="nil"/>
              <w:bottom w:val="nil"/>
              <w:right w:val="nil"/>
            </w:tcBorders>
            <w:shd w:val="clear" w:color="auto" w:fill="auto"/>
            <w:noWrap/>
            <w:vAlign w:val="bottom"/>
            <w:hideMark/>
          </w:tcPr>
          <w:p w14:paraId="0F537225" w14:textId="77777777" w:rsidR="005A7C92" w:rsidRPr="005A7C92" w:rsidRDefault="005A7C92"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Supranova</w:t>
            </w:r>
          </w:p>
        </w:tc>
        <w:tc>
          <w:tcPr>
            <w:tcW w:w="1154" w:type="dxa"/>
            <w:tcBorders>
              <w:top w:val="nil"/>
              <w:left w:val="nil"/>
              <w:bottom w:val="nil"/>
              <w:right w:val="nil"/>
            </w:tcBorders>
            <w:shd w:val="clear" w:color="auto" w:fill="auto"/>
            <w:noWrap/>
            <w:vAlign w:val="bottom"/>
            <w:hideMark/>
          </w:tcPr>
          <w:p w14:paraId="0F4EB8A8"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9</w:t>
            </w:r>
          </w:p>
        </w:tc>
        <w:tc>
          <w:tcPr>
            <w:tcW w:w="1155" w:type="dxa"/>
            <w:tcBorders>
              <w:top w:val="nil"/>
              <w:left w:val="nil"/>
              <w:bottom w:val="nil"/>
              <w:right w:val="nil"/>
            </w:tcBorders>
            <w:shd w:val="clear" w:color="auto" w:fill="auto"/>
            <w:noWrap/>
            <w:vAlign w:val="bottom"/>
            <w:hideMark/>
          </w:tcPr>
          <w:p w14:paraId="5A0EB5E2"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29</w:t>
            </w:r>
          </w:p>
        </w:tc>
        <w:tc>
          <w:tcPr>
            <w:tcW w:w="1154" w:type="dxa"/>
            <w:tcBorders>
              <w:top w:val="nil"/>
              <w:left w:val="nil"/>
              <w:bottom w:val="nil"/>
              <w:right w:val="nil"/>
            </w:tcBorders>
            <w:shd w:val="clear" w:color="auto" w:fill="auto"/>
            <w:noWrap/>
            <w:vAlign w:val="bottom"/>
            <w:hideMark/>
          </w:tcPr>
          <w:p w14:paraId="0164896E"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ND</w:t>
            </w:r>
          </w:p>
        </w:tc>
        <w:tc>
          <w:tcPr>
            <w:tcW w:w="1203" w:type="dxa"/>
            <w:tcBorders>
              <w:top w:val="nil"/>
              <w:left w:val="nil"/>
              <w:bottom w:val="nil"/>
              <w:right w:val="nil"/>
            </w:tcBorders>
            <w:shd w:val="clear" w:color="auto" w:fill="auto"/>
            <w:noWrap/>
            <w:vAlign w:val="bottom"/>
            <w:hideMark/>
          </w:tcPr>
          <w:p w14:paraId="08F8EAC6" w14:textId="77777777" w:rsidR="005A7C92" w:rsidRPr="005A7C92" w:rsidRDefault="005A7C92"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71</w:t>
            </w:r>
          </w:p>
        </w:tc>
      </w:tr>
      <w:tr w:rsidR="009B0985" w:rsidRPr="005A7C92" w14:paraId="129653BF" w14:textId="77777777" w:rsidTr="00D34BB9">
        <w:trPr>
          <w:trHeight w:val="144"/>
          <w:jc w:val="center"/>
        </w:trPr>
        <w:tc>
          <w:tcPr>
            <w:tcW w:w="9105" w:type="dxa"/>
            <w:gridSpan w:val="6"/>
            <w:tcBorders>
              <w:top w:val="nil"/>
              <w:left w:val="nil"/>
              <w:bottom w:val="nil"/>
              <w:right w:val="nil"/>
            </w:tcBorders>
            <w:shd w:val="clear" w:color="auto" w:fill="auto"/>
            <w:noWrap/>
            <w:vAlign w:val="bottom"/>
          </w:tcPr>
          <w:p w14:paraId="2BD7D86B" w14:textId="77777777" w:rsidR="009B0985" w:rsidRPr="005A7C92" w:rsidRDefault="009B0985" w:rsidP="009B09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E.</w:t>
            </w:r>
            <w:r w:rsidRPr="005A7C92">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Continued</w:t>
            </w:r>
          </w:p>
        </w:tc>
      </w:tr>
      <w:tr w:rsidR="009B0985" w:rsidRPr="005A7C92" w14:paraId="0291F67E" w14:textId="77777777" w:rsidTr="00D34BB9">
        <w:trPr>
          <w:trHeight w:val="144"/>
          <w:jc w:val="center"/>
        </w:trPr>
        <w:tc>
          <w:tcPr>
            <w:tcW w:w="2856" w:type="dxa"/>
            <w:tcBorders>
              <w:top w:val="nil"/>
              <w:left w:val="nil"/>
              <w:bottom w:val="single" w:sz="4" w:space="0" w:color="auto"/>
              <w:right w:val="nil"/>
            </w:tcBorders>
            <w:shd w:val="clear" w:color="auto" w:fill="auto"/>
            <w:noWrap/>
            <w:vAlign w:val="bottom"/>
          </w:tcPr>
          <w:p w14:paraId="2C1775D1" w14:textId="77777777" w:rsidR="009B0985" w:rsidRPr="009B0985" w:rsidRDefault="009B0985"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Species/Cultivar</w:t>
            </w:r>
          </w:p>
        </w:tc>
        <w:tc>
          <w:tcPr>
            <w:tcW w:w="1583" w:type="dxa"/>
            <w:tcBorders>
              <w:top w:val="nil"/>
              <w:left w:val="nil"/>
              <w:bottom w:val="single" w:sz="4" w:space="0" w:color="auto"/>
              <w:right w:val="nil"/>
            </w:tcBorders>
            <w:shd w:val="clear" w:color="auto" w:fill="auto"/>
            <w:noWrap/>
            <w:vAlign w:val="bottom"/>
          </w:tcPr>
          <w:p w14:paraId="1B0FABF1" w14:textId="77777777" w:rsidR="009B0985" w:rsidRPr="005A7C92" w:rsidRDefault="009B0985"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Identifier</w:t>
            </w:r>
          </w:p>
        </w:tc>
        <w:tc>
          <w:tcPr>
            <w:tcW w:w="1154" w:type="dxa"/>
            <w:tcBorders>
              <w:top w:val="nil"/>
              <w:left w:val="nil"/>
              <w:bottom w:val="single" w:sz="4" w:space="0" w:color="auto"/>
              <w:right w:val="nil"/>
            </w:tcBorders>
            <w:shd w:val="clear" w:color="auto" w:fill="auto"/>
            <w:noWrap/>
            <w:vAlign w:val="bottom"/>
          </w:tcPr>
          <w:p w14:paraId="43440E4C" w14:textId="77777777" w:rsidR="009B0985" w:rsidRPr="005A7C92" w:rsidRDefault="009B0985"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Biomass</w:t>
            </w:r>
          </w:p>
        </w:tc>
        <w:tc>
          <w:tcPr>
            <w:tcW w:w="1155" w:type="dxa"/>
            <w:tcBorders>
              <w:top w:val="nil"/>
              <w:left w:val="nil"/>
              <w:bottom w:val="single" w:sz="4" w:space="0" w:color="auto"/>
              <w:right w:val="nil"/>
            </w:tcBorders>
            <w:shd w:val="clear" w:color="auto" w:fill="auto"/>
            <w:noWrap/>
            <w:vAlign w:val="bottom"/>
          </w:tcPr>
          <w:p w14:paraId="24E559F8" w14:textId="77777777" w:rsidR="009B0985" w:rsidRPr="005A7C92" w:rsidRDefault="009B0985"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Height</w:t>
            </w:r>
          </w:p>
        </w:tc>
        <w:tc>
          <w:tcPr>
            <w:tcW w:w="1154" w:type="dxa"/>
            <w:tcBorders>
              <w:top w:val="nil"/>
              <w:left w:val="nil"/>
              <w:bottom w:val="single" w:sz="4" w:space="0" w:color="auto"/>
              <w:right w:val="nil"/>
            </w:tcBorders>
            <w:shd w:val="clear" w:color="auto" w:fill="auto"/>
            <w:noWrap/>
            <w:vAlign w:val="bottom"/>
          </w:tcPr>
          <w:p w14:paraId="0DB94934" w14:textId="77777777" w:rsidR="009B0985" w:rsidRPr="005A7C92" w:rsidRDefault="009B0985"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Culms</w:t>
            </w:r>
          </w:p>
        </w:tc>
        <w:tc>
          <w:tcPr>
            <w:tcW w:w="1203" w:type="dxa"/>
            <w:tcBorders>
              <w:top w:val="nil"/>
              <w:left w:val="nil"/>
              <w:bottom w:val="single" w:sz="4" w:space="0" w:color="auto"/>
              <w:right w:val="nil"/>
            </w:tcBorders>
            <w:shd w:val="clear" w:color="auto" w:fill="auto"/>
            <w:noWrap/>
            <w:vAlign w:val="bottom"/>
          </w:tcPr>
          <w:p w14:paraId="1839F5A8" w14:textId="77777777" w:rsidR="009B0985" w:rsidRPr="005A7C92" w:rsidRDefault="009B0985"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Maturity</w:t>
            </w:r>
          </w:p>
        </w:tc>
      </w:tr>
      <w:tr w:rsidR="009B0985" w:rsidRPr="005A7C92" w14:paraId="2518EDEA" w14:textId="77777777" w:rsidTr="00D34BB9">
        <w:trPr>
          <w:trHeight w:val="288"/>
          <w:jc w:val="center"/>
        </w:trPr>
        <w:tc>
          <w:tcPr>
            <w:tcW w:w="2856" w:type="dxa"/>
            <w:tcBorders>
              <w:top w:val="nil"/>
              <w:left w:val="nil"/>
              <w:bottom w:val="nil"/>
              <w:right w:val="nil"/>
            </w:tcBorders>
            <w:shd w:val="clear" w:color="auto" w:fill="auto"/>
            <w:noWrap/>
            <w:vAlign w:val="bottom"/>
            <w:hideMark/>
          </w:tcPr>
          <w:p w14:paraId="34A9E5B0" w14:textId="77777777" w:rsidR="009B0985" w:rsidRPr="005A7C92" w:rsidRDefault="009B0985" w:rsidP="00D34BB9">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i/>
                <w:sz w:val="24"/>
                <w:szCs w:val="24"/>
              </w:rPr>
              <w:t>P. trivialis</w:t>
            </w:r>
          </w:p>
        </w:tc>
        <w:tc>
          <w:tcPr>
            <w:tcW w:w="1583" w:type="dxa"/>
            <w:tcBorders>
              <w:top w:val="nil"/>
              <w:left w:val="nil"/>
              <w:bottom w:val="nil"/>
              <w:right w:val="nil"/>
            </w:tcBorders>
            <w:shd w:val="clear" w:color="auto" w:fill="auto"/>
            <w:noWrap/>
            <w:vAlign w:val="bottom"/>
            <w:hideMark/>
          </w:tcPr>
          <w:p w14:paraId="74DD6754" w14:textId="77777777" w:rsidR="009B0985" w:rsidRPr="005A7C92" w:rsidRDefault="009B0985" w:rsidP="00D34BB9">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CR-91</w:t>
            </w:r>
          </w:p>
        </w:tc>
        <w:tc>
          <w:tcPr>
            <w:tcW w:w="1154" w:type="dxa"/>
            <w:tcBorders>
              <w:top w:val="nil"/>
              <w:left w:val="nil"/>
              <w:bottom w:val="nil"/>
              <w:right w:val="nil"/>
            </w:tcBorders>
            <w:shd w:val="clear" w:color="auto" w:fill="auto"/>
            <w:noWrap/>
            <w:vAlign w:val="bottom"/>
            <w:hideMark/>
          </w:tcPr>
          <w:p w14:paraId="6CD202EA" w14:textId="77777777" w:rsidR="009B0985" w:rsidRPr="005A7C92" w:rsidRDefault="009B0985" w:rsidP="00D34BB9">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102</w:t>
            </w:r>
          </w:p>
        </w:tc>
        <w:tc>
          <w:tcPr>
            <w:tcW w:w="1155" w:type="dxa"/>
            <w:tcBorders>
              <w:top w:val="nil"/>
              <w:left w:val="nil"/>
              <w:bottom w:val="nil"/>
              <w:right w:val="nil"/>
            </w:tcBorders>
            <w:shd w:val="clear" w:color="auto" w:fill="auto"/>
            <w:noWrap/>
            <w:vAlign w:val="bottom"/>
            <w:hideMark/>
          </w:tcPr>
          <w:p w14:paraId="4FC6BF85" w14:textId="77777777" w:rsidR="009B0985" w:rsidRPr="005A7C92" w:rsidRDefault="009B0985" w:rsidP="00D34BB9">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47</w:t>
            </w:r>
          </w:p>
        </w:tc>
        <w:tc>
          <w:tcPr>
            <w:tcW w:w="1154" w:type="dxa"/>
            <w:tcBorders>
              <w:top w:val="nil"/>
              <w:left w:val="nil"/>
              <w:bottom w:val="nil"/>
              <w:right w:val="nil"/>
            </w:tcBorders>
            <w:shd w:val="clear" w:color="auto" w:fill="auto"/>
            <w:noWrap/>
            <w:vAlign w:val="bottom"/>
            <w:hideMark/>
          </w:tcPr>
          <w:p w14:paraId="16AE3C8B" w14:textId="77777777" w:rsidR="009B0985" w:rsidRPr="005A7C92" w:rsidRDefault="009B0985" w:rsidP="00D34BB9">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968</w:t>
            </w:r>
          </w:p>
        </w:tc>
        <w:tc>
          <w:tcPr>
            <w:tcW w:w="1203" w:type="dxa"/>
            <w:tcBorders>
              <w:top w:val="nil"/>
              <w:left w:val="nil"/>
              <w:bottom w:val="nil"/>
              <w:right w:val="nil"/>
            </w:tcBorders>
            <w:shd w:val="clear" w:color="auto" w:fill="auto"/>
            <w:noWrap/>
            <w:vAlign w:val="bottom"/>
            <w:hideMark/>
          </w:tcPr>
          <w:p w14:paraId="35555133" w14:textId="77777777" w:rsidR="009B0985" w:rsidRPr="005A7C92" w:rsidRDefault="009B0985" w:rsidP="00D34BB9">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131</w:t>
            </w:r>
          </w:p>
        </w:tc>
      </w:tr>
      <w:tr w:rsidR="009B0985" w:rsidRPr="005A7C92" w14:paraId="514B15FB" w14:textId="77777777" w:rsidTr="00D34BB9">
        <w:trPr>
          <w:trHeight w:val="144"/>
          <w:jc w:val="center"/>
        </w:trPr>
        <w:tc>
          <w:tcPr>
            <w:tcW w:w="2856" w:type="dxa"/>
            <w:tcBorders>
              <w:top w:val="nil"/>
              <w:left w:val="nil"/>
              <w:bottom w:val="single" w:sz="4" w:space="0" w:color="auto"/>
              <w:right w:val="nil"/>
            </w:tcBorders>
            <w:shd w:val="clear" w:color="auto" w:fill="auto"/>
            <w:noWrap/>
            <w:vAlign w:val="bottom"/>
            <w:hideMark/>
          </w:tcPr>
          <w:p w14:paraId="486C026C" w14:textId="77777777" w:rsidR="009B0985" w:rsidRPr="005A7C92" w:rsidRDefault="009B0985"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i/>
                <w:sz w:val="24"/>
                <w:szCs w:val="24"/>
              </w:rPr>
              <w:t>P. trivialis</w:t>
            </w:r>
          </w:p>
        </w:tc>
        <w:tc>
          <w:tcPr>
            <w:tcW w:w="1583" w:type="dxa"/>
            <w:tcBorders>
              <w:top w:val="nil"/>
              <w:left w:val="nil"/>
              <w:bottom w:val="single" w:sz="4" w:space="0" w:color="auto"/>
              <w:right w:val="nil"/>
            </w:tcBorders>
            <w:shd w:val="clear" w:color="auto" w:fill="auto"/>
            <w:noWrap/>
            <w:vAlign w:val="bottom"/>
            <w:hideMark/>
          </w:tcPr>
          <w:p w14:paraId="72A5CFF5" w14:textId="77777777" w:rsidR="009B0985" w:rsidRPr="005A7C92" w:rsidRDefault="009B0985" w:rsidP="005A7C92">
            <w:pPr>
              <w:spacing w:after="0" w:line="240" w:lineRule="auto"/>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CCC</w:t>
            </w:r>
          </w:p>
        </w:tc>
        <w:tc>
          <w:tcPr>
            <w:tcW w:w="1154" w:type="dxa"/>
            <w:tcBorders>
              <w:top w:val="nil"/>
              <w:left w:val="nil"/>
              <w:bottom w:val="single" w:sz="4" w:space="0" w:color="auto"/>
              <w:right w:val="nil"/>
            </w:tcBorders>
            <w:shd w:val="clear" w:color="auto" w:fill="auto"/>
            <w:noWrap/>
            <w:vAlign w:val="bottom"/>
            <w:hideMark/>
          </w:tcPr>
          <w:p w14:paraId="5E27EB54" w14:textId="77777777" w:rsidR="009B0985" w:rsidRPr="005A7C92" w:rsidRDefault="009B0985"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200</w:t>
            </w:r>
          </w:p>
        </w:tc>
        <w:tc>
          <w:tcPr>
            <w:tcW w:w="1155" w:type="dxa"/>
            <w:tcBorders>
              <w:top w:val="nil"/>
              <w:left w:val="nil"/>
              <w:bottom w:val="single" w:sz="4" w:space="0" w:color="auto"/>
              <w:right w:val="nil"/>
            </w:tcBorders>
            <w:shd w:val="clear" w:color="auto" w:fill="auto"/>
            <w:noWrap/>
            <w:vAlign w:val="bottom"/>
            <w:hideMark/>
          </w:tcPr>
          <w:p w14:paraId="3C7BE323" w14:textId="77777777" w:rsidR="009B0985" w:rsidRPr="005A7C92" w:rsidRDefault="009B0985"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31</w:t>
            </w:r>
          </w:p>
        </w:tc>
        <w:tc>
          <w:tcPr>
            <w:tcW w:w="1154" w:type="dxa"/>
            <w:tcBorders>
              <w:top w:val="nil"/>
              <w:left w:val="nil"/>
              <w:bottom w:val="single" w:sz="4" w:space="0" w:color="auto"/>
              <w:right w:val="nil"/>
            </w:tcBorders>
            <w:shd w:val="clear" w:color="auto" w:fill="auto"/>
            <w:noWrap/>
            <w:vAlign w:val="bottom"/>
            <w:hideMark/>
          </w:tcPr>
          <w:p w14:paraId="77C58596" w14:textId="77777777" w:rsidR="009B0985" w:rsidRPr="005A7C92" w:rsidRDefault="009B0985"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737</w:t>
            </w:r>
          </w:p>
        </w:tc>
        <w:tc>
          <w:tcPr>
            <w:tcW w:w="1203" w:type="dxa"/>
            <w:tcBorders>
              <w:top w:val="nil"/>
              <w:left w:val="nil"/>
              <w:bottom w:val="single" w:sz="4" w:space="0" w:color="auto"/>
              <w:right w:val="nil"/>
            </w:tcBorders>
            <w:shd w:val="clear" w:color="auto" w:fill="auto"/>
            <w:noWrap/>
            <w:vAlign w:val="bottom"/>
            <w:hideMark/>
          </w:tcPr>
          <w:p w14:paraId="6FA2BD75" w14:textId="77777777" w:rsidR="009B0985" w:rsidRPr="005A7C92" w:rsidRDefault="009B0985"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103</w:t>
            </w:r>
          </w:p>
        </w:tc>
      </w:tr>
      <w:tr w:rsidR="009B0985" w:rsidRPr="005A7C92" w14:paraId="12AB3F24" w14:textId="77777777" w:rsidTr="00D34BB9">
        <w:trPr>
          <w:trHeight w:val="144"/>
          <w:jc w:val="center"/>
        </w:trPr>
        <w:tc>
          <w:tcPr>
            <w:tcW w:w="2856" w:type="dxa"/>
            <w:tcBorders>
              <w:top w:val="nil"/>
              <w:left w:val="nil"/>
              <w:bottom w:val="nil"/>
              <w:right w:val="nil"/>
            </w:tcBorders>
            <w:shd w:val="clear" w:color="auto" w:fill="auto"/>
            <w:noWrap/>
            <w:vAlign w:val="bottom"/>
            <w:hideMark/>
          </w:tcPr>
          <w:p w14:paraId="48972E5A" w14:textId="77777777" w:rsidR="009B0985" w:rsidRPr="005A7C92" w:rsidRDefault="009B0985" w:rsidP="005A7C92">
            <w:pPr>
              <w:spacing w:after="0" w:line="240" w:lineRule="auto"/>
              <w:rPr>
                <w:rFonts w:ascii="Times New Roman" w:eastAsia="Times New Roman" w:hAnsi="Times New Roman" w:cs="Times New Roman"/>
                <w:b/>
                <w:i/>
                <w:sz w:val="24"/>
                <w:szCs w:val="24"/>
              </w:rPr>
            </w:pPr>
            <w:r w:rsidRPr="005A7C92">
              <w:rPr>
                <w:rFonts w:ascii="Times New Roman" w:eastAsia="Times New Roman" w:hAnsi="Times New Roman" w:cs="Times New Roman"/>
                <w:b/>
                <w:sz w:val="24"/>
                <w:szCs w:val="24"/>
              </w:rPr>
              <w:t>LSD</w:t>
            </w:r>
            <w:r w:rsidRPr="005A7C92">
              <w:rPr>
                <w:rFonts w:ascii="Times New Roman" w:eastAsia="Times New Roman" w:hAnsi="Times New Roman" w:cs="Times New Roman"/>
                <w:b/>
                <w:sz w:val="24"/>
                <w:szCs w:val="24"/>
                <w:vertAlign w:val="subscript"/>
              </w:rPr>
              <w:t>(0.05)</w:t>
            </w:r>
          </w:p>
        </w:tc>
        <w:tc>
          <w:tcPr>
            <w:tcW w:w="1583" w:type="dxa"/>
            <w:tcBorders>
              <w:top w:val="nil"/>
              <w:left w:val="nil"/>
              <w:bottom w:val="nil"/>
              <w:right w:val="nil"/>
            </w:tcBorders>
            <w:shd w:val="clear" w:color="auto" w:fill="auto"/>
            <w:noWrap/>
            <w:vAlign w:val="bottom"/>
            <w:hideMark/>
          </w:tcPr>
          <w:p w14:paraId="6ADA094F" w14:textId="77777777" w:rsidR="009B0985" w:rsidRPr="005A7C92" w:rsidRDefault="009B0985" w:rsidP="005A7C92">
            <w:pPr>
              <w:spacing w:after="0" w:line="240" w:lineRule="auto"/>
              <w:rPr>
                <w:rFonts w:ascii="Times New Roman" w:eastAsia="Times New Roman" w:hAnsi="Times New Roman" w:cs="Times New Roman"/>
                <w:b/>
                <w:sz w:val="24"/>
                <w:szCs w:val="24"/>
              </w:rPr>
            </w:pPr>
          </w:p>
        </w:tc>
        <w:tc>
          <w:tcPr>
            <w:tcW w:w="1154" w:type="dxa"/>
            <w:tcBorders>
              <w:top w:val="nil"/>
              <w:left w:val="nil"/>
              <w:bottom w:val="nil"/>
              <w:right w:val="nil"/>
            </w:tcBorders>
            <w:shd w:val="clear" w:color="auto" w:fill="auto"/>
            <w:noWrap/>
            <w:vAlign w:val="bottom"/>
            <w:hideMark/>
          </w:tcPr>
          <w:p w14:paraId="49A41B01" w14:textId="77777777" w:rsidR="009B0985" w:rsidRPr="005A7C92" w:rsidRDefault="009B0985"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68</w:t>
            </w:r>
          </w:p>
        </w:tc>
        <w:tc>
          <w:tcPr>
            <w:tcW w:w="1155" w:type="dxa"/>
            <w:tcBorders>
              <w:top w:val="nil"/>
              <w:left w:val="nil"/>
              <w:bottom w:val="nil"/>
              <w:right w:val="nil"/>
            </w:tcBorders>
            <w:shd w:val="clear" w:color="auto" w:fill="auto"/>
            <w:noWrap/>
            <w:vAlign w:val="bottom"/>
            <w:hideMark/>
          </w:tcPr>
          <w:p w14:paraId="37ACC038" w14:textId="77777777" w:rsidR="009B0985" w:rsidRPr="005A7C92" w:rsidRDefault="009B0985"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9</w:t>
            </w:r>
          </w:p>
        </w:tc>
        <w:tc>
          <w:tcPr>
            <w:tcW w:w="1154" w:type="dxa"/>
            <w:tcBorders>
              <w:top w:val="nil"/>
              <w:left w:val="nil"/>
              <w:bottom w:val="nil"/>
              <w:right w:val="nil"/>
            </w:tcBorders>
            <w:shd w:val="clear" w:color="auto" w:fill="auto"/>
            <w:noWrap/>
            <w:vAlign w:val="bottom"/>
            <w:hideMark/>
          </w:tcPr>
          <w:p w14:paraId="7956E96D" w14:textId="77777777" w:rsidR="009B0985" w:rsidRPr="005A7C92" w:rsidRDefault="009B0985"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142</w:t>
            </w:r>
          </w:p>
        </w:tc>
        <w:tc>
          <w:tcPr>
            <w:tcW w:w="1203" w:type="dxa"/>
            <w:tcBorders>
              <w:top w:val="nil"/>
              <w:left w:val="nil"/>
              <w:bottom w:val="nil"/>
              <w:right w:val="nil"/>
            </w:tcBorders>
            <w:shd w:val="clear" w:color="auto" w:fill="auto"/>
            <w:noWrap/>
            <w:vAlign w:val="bottom"/>
            <w:hideMark/>
          </w:tcPr>
          <w:p w14:paraId="1645E692" w14:textId="77777777" w:rsidR="009B0985" w:rsidRPr="005A7C92" w:rsidRDefault="009B0985" w:rsidP="005A7C92">
            <w:pPr>
              <w:spacing w:after="0" w:line="240" w:lineRule="auto"/>
              <w:jc w:val="center"/>
              <w:rPr>
                <w:rFonts w:ascii="Times New Roman" w:eastAsia="Times New Roman" w:hAnsi="Times New Roman" w:cs="Times New Roman"/>
                <w:b/>
                <w:sz w:val="24"/>
                <w:szCs w:val="24"/>
              </w:rPr>
            </w:pPr>
            <w:r w:rsidRPr="005A7C92">
              <w:rPr>
                <w:rFonts w:ascii="Times New Roman" w:eastAsia="Times New Roman" w:hAnsi="Times New Roman" w:cs="Times New Roman"/>
                <w:b/>
                <w:sz w:val="24"/>
                <w:szCs w:val="24"/>
              </w:rPr>
              <w:t>16</w:t>
            </w:r>
          </w:p>
        </w:tc>
      </w:tr>
    </w:tbl>
    <w:p w14:paraId="4EA20239" w14:textId="77777777" w:rsidR="001F009F" w:rsidRDefault="005A7C92">
      <w:pPr>
        <w:sectPr w:rsidR="001F009F" w:rsidSect="00CB51DA">
          <w:pgSz w:w="12240" w:h="15840"/>
          <w:pgMar w:top="1440" w:right="1440" w:bottom="1440" w:left="1440" w:header="720" w:footer="720" w:gutter="0"/>
          <w:cols w:space="720"/>
          <w:docGrid w:linePitch="360"/>
        </w:sectPr>
      </w:pPr>
      <w:r>
        <w:br w:type="page"/>
      </w:r>
    </w:p>
    <w:p w14:paraId="383C1CC0" w14:textId="77777777" w:rsidR="005A7C92" w:rsidRDefault="005A7C92"/>
    <w:p w14:paraId="7527B5A2" w14:textId="77777777" w:rsidR="00823FDA" w:rsidRDefault="00823FDA" w:rsidP="005A7C92">
      <w:pPr>
        <w:pStyle w:val="Heading2"/>
      </w:pPr>
      <w:bookmarkStart w:id="55" w:name="_Toc354003353"/>
      <w:bookmarkStart w:id="56" w:name="_Toc350923012"/>
      <w:r>
        <w:t>Conclusions</w:t>
      </w:r>
      <w:bookmarkEnd w:id="55"/>
    </w:p>
    <w:p w14:paraId="0F6FF76C" w14:textId="77777777" w:rsidR="00864AEB" w:rsidRPr="00864AEB" w:rsidRDefault="00864AEB" w:rsidP="00864AEB"/>
    <w:p w14:paraId="5573AF8B" w14:textId="77777777" w:rsidR="00E906AE" w:rsidRDefault="00754B41" w:rsidP="00864AE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These studies confirm</w:t>
      </w:r>
      <w:r w:rsidR="00510963">
        <w:rPr>
          <w:rFonts w:ascii="Times New Roman" w:hAnsi="Times New Roman" w:cs="Times New Roman"/>
          <w:sz w:val="24"/>
          <w:szCs w:val="24"/>
        </w:rPr>
        <w:t xml:space="preserve"> that</w:t>
      </w:r>
      <w:r w:rsidR="00864AEB">
        <w:rPr>
          <w:rFonts w:ascii="Times New Roman" w:hAnsi="Times New Roman" w:cs="Times New Roman"/>
          <w:sz w:val="24"/>
          <w:szCs w:val="24"/>
        </w:rPr>
        <w:t xml:space="preserve"> there are other </w:t>
      </w:r>
      <w:r w:rsidR="00864AEB" w:rsidRPr="00864AEB">
        <w:rPr>
          <w:rFonts w:ascii="Times New Roman" w:hAnsi="Times New Roman" w:cs="Times New Roman"/>
          <w:i/>
          <w:sz w:val="24"/>
          <w:szCs w:val="24"/>
        </w:rPr>
        <w:t>Poa</w:t>
      </w:r>
      <w:r w:rsidR="00864AEB">
        <w:rPr>
          <w:rFonts w:ascii="Times New Roman" w:hAnsi="Times New Roman" w:cs="Times New Roman"/>
          <w:sz w:val="24"/>
          <w:szCs w:val="24"/>
        </w:rPr>
        <w:t xml:space="preserve"> species that perform similarly or better than the traditional turfgrass </w:t>
      </w:r>
      <w:r w:rsidR="00864AEB" w:rsidRPr="00864AEB">
        <w:rPr>
          <w:rFonts w:ascii="Times New Roman" w:hAnsi="Times New Roman" w:cs="Times New Roman"/>
          <w:i/>
          <w:sz w:val="24"/>
          <w:szCs w:val="24"/>
        </w:rPr>
        <w:t>Poa</w:t>
      </w:r>
      <w:r w:rsidR="00864AEB">
        <w:rPr>
          <w:rFonts w:ascii="Times New Roman" w:hAnsi="Times New Roman" w:cs="Times New Roman"/>
          <w:sz w:val="24"/>
          <w:szCs w:val="24"/>
        </w:rPr>
        <w:t xml:space="preserve"> species in the transition zone under typical turfgrass management. Where a permanent perennial turf is desi</w:t>
      </w:r>
      <w:r w:rsidR="00C6507C">
        <w:rPr>
          <w:rFonts w:ascii="Times New Roman" w:hAnsi="Times New Roman" w:cs="Times New Roman"/>
          <w:sz w:val="24"/>
          <w:szCs w:val="24"/>
        </w:rPr>
        <w:t xml:space="preserve">red the rhizomatous species as a group are the best choice because of their ability to maintain more percent green cover in summer in comparison to the stoloniferous and bunch type groups. Within the rhizomatous group the </w:t>
      </w:r>
      <w:r w:rsidR="00C6507C">
        <w:rPr>
          <w:rFonts w:ascii="Times New Roman" w:hAnsi="Times New Roman" w:cs="Times New Roman"/>
          <w:i/>
          <w:sz w:val="24"/>
          <w:szCs w:val="24"/>
        </w:rPr>
        <w:t>P.</w:t>
      </w:r>
      <w:r w:rsidR="00C6507C" w:rsidRPr="00C6507C">
        <w:rPr>
          <w:rFonts w:ascii="Times New Roman" w:hAnsi="Times New Roman" w:cs="Times New Roman"/>
          <w:i/>
          <w:sz w:val="24"/>
          <w:szCs w:val="24"/>
        </w:rPr>
        <w:t xml:space="preserve"> pratensis</w:t>
      </w:r>
      <w:r w:rsidR="00C6507C">
        <w:rPr>
          <w:rFonts w:ascii="Times New Roman" w:hAnsi="Times New Roman" w:cs="Times New Roman"/>
          <w:i/>
          <w:sz w:val="24"/>
          <w:szCs w:val="24"/>
        </w:rPr>
        <w:t xml:space="preserve"> </w:t>
      </w:r>
      <w:r w:rsidR="00C6507C">
        <w:rPr>
          <w:rFonts w:ascii="Times New Roman" w:hAnsi="Times New Roman" w:cs="Times New Roman"/>
          <w:sz w:val="24"/>
          <w:szCs w:val="24"/>
        </w:rPr>
        <w:t xml:space="preserve">entries performed well as expected. However, </w:t>
      </w:r>
      <w:r w:rsidR="00C6507C" w:rsidRPr="00C6507C">
        <w:rPr>
          <w:rFonts w:ascii="Times New Roman" w:hAnsi="Times New Roman" w:cs="Times New Roman"/>
          <w:i/>
          <w:sz w:val="24"/>
          <w:szCs w:val="24"/>
        </w:rPr>
        <w:t>P. stiriaca</w:t>
      </w:r>
      <w:r w:rsidR="00C6507C">
        <w:rPr>
          <w:rFonts w:ascii="Times New Roman" w:hAnsi="Times New Roman" w:cs="Times New Roman"/>
          <w:sz w:val="24"/>
          <w:szCs w:val="24"/>
        </w:rPr>
        <w:t xml:space="preserve"> and </w:t>
      </w:r>
      <w:r w:rsidR="00C6507C" w:rsidRPr="00C6507C">
        <w:rPr>
          <w:rFonts w:ascii="Times New Roman" w:hAnsi="Times New Roman" w:cs="Times New Roman"/>
          <w:i/>
          <w:sz w:val="24"/>
          <w:szCs w:val="24"/>
        </w:rPr>
        <w:t>P. maniototo</w:t>
      </w:r>
      <w:r w:rsidR="00C6507C">
        <w:rPr>
          <w:rFonts w:ascii="Times New Roman" w:hAnsi="Times New Roman" w:cs="Times New Roman"/>
          <w:i/>
          <w:sz w:val="24"/>
          <w:szCs w:val="24"/>
        </w:rPr>
        <w:t xml:space="preserve">, </w:t>
      </w:r>
      <w:r w:rsidR="00C6507C">
        <w:rPr>
          <w:rFonts w:ascii="Times New Roman" w:hAnsi="Times New Roman" w:cs="Times New Roman"/>
          <w:sz w:val="24"/>
          <w:szCs w:val="24"/>
        </w:rPr>
        <w:t>two species that have not previously been tested in turfgrass application,</w:t>
      </w:r>
      <w:r w:rsidR="00C6507C">
        <w:rPr>
          <w:rFonts w:ascii="Times New Roman" w:hAnsi="Times New Roman" w:cs="Times New Roman"/>
          <w:i/>
          <w:sz w:val="24"/>
          <w:szCs w:val="24"/>
        </w:rPr>
        <w:t xml:space="preserve"> </w:t>
      </w:r>
      <w:r w:rsidR="00C6507C">
        <w:rPr>
          <w:rFonts w:ascii="Times New Roman" w:hAnsi="Times New Roman" w:cs="Times New Roman"/>
          <w:sz w:val="24"/>
          <w:szCs w:val="24"/>
        </w:rPr>
        <w:t xml:space="preserve">are two species that perfomed as well or in some cases better than </w:t>
      </w:r>
      <w:r w:rsidR="00C6507C" w:rsidRPr="00C6507C">
        <w:rPr>
          <w:rFonts w:ascii="Times New Roman" w:hAnsi="Times New Roman" w:cs="Times New Roman"/>
          <w:i/>
          <w:sz w:val="24"/>
          <w:szCs w:val="24"/>
        </w:rPr>
        <w:t>P. pratensis</w:t>
      </w:r>
      <w:r w:rsidR="00B06942">
        <w:rPr>
          <w:rFonts w:ascii="Times New Roman" w:hAnsi="Times New Roman" w:cs="Times New Roman"/>
          <w:i/>
          <w:sz w:val="24"/>
          <w:szCs w:val="24"/>
        </w:rPr>
        <w:t xml:space="preserve">. </w:t>
      </w:r>
      <w:r w:rsidR="00B06942">
        <w:rPr>
          <w:rFonts w:ascii="Times New Roman" w:hAnsi="Times New Roman" w:cs="Times New Roman"/>
          <w:sz w:val="24"/>
          <w:szCs w:val="24"/>
        </w:rPr>
        <w:t xml:space="preserve">Further research is needed to test these species under differing climates, uses, and management styles to further determine their applicability as turfgrasses. </w:t>
      </w:r>
    </w:p>
    <w:p w14:paraId="52224202" w14:textId="77777777" w:rsidR="00B06942" w:rsidRDefault="00C6507C" w:rsidP="00864AE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stoloniferous group</w:t>
      </w:r>
      <w:r w:rsidR="00AE0317">
        <w:rPr>
          <w:rFonts w:ascii="Times New Roman" w:hAnsi="Times New Roman" w:cs="Times New Roman"/>
          <w:sz w:val="24"/>
          <w:szCs w:val="24"/>
        </w:rPr>
        <w:t xml:space="preserve">, representing </w:t>
      </w:r>
      <w:r w:rsidR="00AE0317" w:rsidRPr="00AE0317">
        <w:rPr>
          <w:rFonts w:ascii="Times New Roman" w:hAnsi="Times New Roman" w:cs="Times New Roman"/>
          <w:i/>
          <w:sz w:val="24"/>
          <w:szCs w:val="24"/>
        </w:rPr>
        <w:t>P. trivialis</w:t>
      </w:r>
      <w:r w:rsidR="00AE0317">
        <w:rPr>
          <w:rFonts w:ascii="Times New Roman" w:hAnsi="Times New Roman" w:cs="Times New Roman"/>
          <w:sz w:val="24"/>
          <w:szCs w:val="24"/>
        </w:rPr>
        <w:t xml:space="preserve"> and </w:t>
      </w:r>
      <w:r w:rsidR="00AE0317" w:rsidRPr="00AE0317">
        <w:rPr>
          <w:rFonts w:ascii="Times New Roman" w:hAnsi="Times New Roman" w:cs="Times New Roman"/>
          <w:i/>
          <w:sz w:val="24"/>
          <w:szCs w:val="24"/>
        </w:rPr>
        <w:t>P. supina</w:t>
      </w:r>
      <w:r w:rsidR="00AE0317">
        <w:rPr>
          <w:rFonts w:ascii="Times New Roman" w:hAnsi="Times New Roman" w:cs="Times New Roman"/>
          <w:sz w:val="24"/>
          <w:szCs w:val="24"/>
        </w:rPr>
        <w:t>,</w:t>
      </w:r>
      <w:r>
        <w:rPr>
          <w:rFonts w:ascii="Times New Roman" w:hAnsi="Times New Roman" w:cs="Times New Roman"/>
          <w:sz w:val="24"/>
          <w:szCs w:val="24"/>
        </w:rPr>
        <w:t xml:space="preserve"> as a whole displayed the fastest establishment</w:t>
      </w:r>
      <w:r w:rsidR="00AE0317">
        <w:rPr>
          <w:rFonts w:ascii="Times New Roman" w:hAnsi="Times New Roman" w:cs="Times New Roman"/>
          <w:sz w:val="24"/>
          <w:szCs w:val="24"/>
        </w:rPr>
        <w:t xml:space="preserve">. However, in hot summers these species tend to lose green cover and eventually complete death occurs. </w:t>
      </w:r>
      <w:r w:rsidR="00AE0317" w:rsidRPr="00AE0317">
        <w:rPr>
          <w:rFonts w:ascii="Times New Roman" w:hAnsi="Times New Roman" w:cs="Times New Roman"/>
          <w:i/>
          <w:sz w:val="24"/>
          <w:szCs w:val="24"/>
        </w:rPr>
        <w:t>P. trivialis</w:t>
      </w:r>
      <w:r w:rsidR="00AE0317">
        <w:rPr>
          <w:rFonts w:ascii="Times New Roman" w:hAnsi="Times New Roman" w:cs="Times New Roman"/>
          <w:sz w:val="24"/>
          <w:szCs w:val="24"/>
        </w:rPr>
        <w:t xml:space="preserve"> is used for winter overseeding of bermudagrass where it is treated as an annual. The results of this trial indicate differences among the entries of </w:t>
      </w:r>
      <w:r w:rsidR="00AE0317" w:rsidRPr="00AE0317">
        <w:rPr>
          <w:rFonts w:ascii="Times New Roman" w:hAnsi="Times New Roman" w:cs="Times New Roman"/>
          <w:i/>
          <w:sz w:val="24"/>
          <w:szCs w:val="24"/>
        </w:rPr>
        <w:t>P. trivialis</w:t>
      </w:r>
      <w:r w:rsidR="00AE0317">
        <w:rPr>
          <w:rFonts w:ascii="Times New Roman" w:hAnsi="Times New Roman" w:cs="Times New Roman"/>
          <w:sz w:val="24"/>
          <w:szCs w:val="24"/>
        </w:rPr>
        <w:t xml:space="preserve"> that suggest variation in the spring transition can be expected. Specif</w:t>
      </w:r>
      <w:r w:rsidR="00B06942">
        <w:rPr>
          <w:rFonts w:ascii="Times New Roman" w:hAnsi="Times New Roman" w:cs="Times New Roman"/>
          <w:sz w:val="24"/>
          <w:szCs w:val="24"/>
        </w:rPr>
        <w:t xml:space="preserve">ically, improved cultivars maintained green cover later into the summer and can behave as a perennial, whereas a wild type is more likely lose cover earlier and behave as an annual. </w:t>
      </w:r>
      <w:r w:rsidR="00B06942" w:rsidRPr="00B06942">
        <w:rPr>
          <w:rFonts w:ascii="Times New Roman" w:hAnsi="Times New Roman" w:cs="Times New Roman"/>
          <w:i/>
          <w:sz w:val="24"/>
          <w:szCs w:val="24"/>
        </w:rPr>
        <w:t>P. supina</w:t>
      </w:r>
      <w:r w:rsidR="00B06942">
        <w:rPr>
          <w:rFonts w:ascii="Times New Roman" w:hAnsi="Times New Roman" w:cs="Times New Roman"/>
          <w:sz w:val="24"/>
          <w:szCs w:val="24"/>
        </w:rPr>
        <w:t xml:space="preserve"> </w:t>
      </w:r>
      <w:r w:rsidR="00754B41">
        <w:rPr>
          <w:rFonts w:ascii="Times New Roman" w:hAnsi="Times New Roman" w:cs="Times New Roman"/>
          <w:sz w:val="24"/>
          <w:szCs w:val="24"/>
        </w:rPr>
        <w:t>performed</w:t>
      </w:r>
      <w:r w:rsidR="00B06942">
        <w:rPr>
          <w:rFonts w:ascii="Times New Roman" w:hAnsi="Times New Roman" w:cs="Times New Roman"/>
          <w:sz w:val="24"/>
          <w:szCs w:val="24"/>
        </w:rPr>
        <w:t xml:space="preserve"> similar to the improved types of </w:t>
      </w:r>
      <w:r w:rsidR="00B06942" w:rsidRPr="00B06942">
        <w:rPr>
          <w:rFonts w:ascii="Times New Roman" w:hAnsi="Times New Roman" w:cs="Times New Roman"/>
          <w:i/>
          <w:sz w:val="24"/>
          <w:szCs w:val="24"/>
        </w:rPr>
        <w:t xml:space="preserve">P. </w:t>
      </w:r>
      <w:r w:rsidR="00B06942">
        <w:rPr>
          <w:rFonts w:ascii="Times New Roman" w:hAnsi="Times New Roman" w:cs="Times New Roman"/>
          <w:i/>
          <w:sz w:val="24"/>
          <w:szCs w:val="24"/>
        </w:rPr>
        <w:t>trivialis</w:t>
      </w:r>
      <w:r w:rsidR="00B06942">
        <w:rPr>
          <w:rFonts w:ascii="Times New Roman" w:hAnsi="Times New Roman" w:cs="Times New Roman"/>
          <w:sz w:val="24"/>
          <w:szCs w:val="24"/>
        </w:rPr>
        <w:t>.</w:t>
      </w:r>
    </w:p>
    <w:p w14:paraId="074B30C1" w14:textId="77777777" w:rsidR="00754B41" w:rsidRDefault="00B06942" w:rsidP="00864A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bunch type group as a whole performed poorly in comparison to the rhizomatous and stoloniferous groups. However, it is important to realize that these species were at a disadvantage </w:t>
      </w:r>
      <w:r>
        <w:rPr>
          <w:rFonts w:ascii="Times New Roman" w:hAnsi="Times New Roman" w:cs="Times New Roman"/>
          <w:sz w:val="24"/>
          <w:szCs w:val="24"/>
        </w:rPr>
        <w:lastRenderedPageBreak/>
        <w:t xml:space="preserve">in comparison to the other growth habits that have the ability to spread and fill in a given area and thus produce more green cover. In terms of a permanent turf </w:t>
      </w:r>
      <w:r w:rsidRPr="00B06942">
        <w:rPr>
          <w:rFonts w:ascii="Times New Roman" w:hAnsi="Times New Roman" w:cs="Times New Roman"/>
          <w:i/>
          <w:sz w:val="24"/>
          <w:szCs w:val="24"/>
        </w:rPr>
        <w:t>P. lanigera</w:t>
      </w:r>
      <w:r>
        <w:rPr>
          <w:rFonts w:ascii="Times New Roman" w:hAnsi="Times New Roman" w:cs="Times New Roman"/>
          <w:sz w:val="24"/>
          <w:szCs w:val="24"/>
        </w:rPr>
        <w:t xml:space="preserve"> and </w:t>
      </w:r>
      <w:r w:rsidRPr="00B06942">
        <w:rPr>
          <w:rFonts w:ascii="Times New Roman" w:hAnsi="Times New Roman" w:cs="Times New Roman"/>
          <w:i/>
          <w:sz w:val="24"/>
          <w:szCs w:val="24"/>
        </w:rPr>
        <w:t>P. sierbiana</w:t>
      </w:r>
      <w:r>
        <w:rPr>
          <w:rFonts w:ascii="Times New Roman" w:hAnsi="Times New Roman" w:cs="Times New Roman"/>
          <w:i/>
          <w:sz w:val="24"/>
          <w:szCs w:val="24"/>
        </w:rPr>
        <w:t xml:space="preserve"> </w:t>
      </w:r>
      <w:r>
        <w:rPr>
          <w:rFonts w:ascii="Times New Roman" w:hAnsi="Times New Roman" w:cs="Times New Roman"/>
          <w:sz w:val="24"/>
          <w:szCs w:val="24"/>
        </w:rPr>
        <w:t>showed the most promise by maint</w:t>
      </w:r>
      <w:r w:rsidR="00754B41">
        <w:rPr>
          <w:rFonts w:ascii="Times New Roman" w:hAnsi="Times New Roman" w:cs="Times New Roman"/>
          <w:sz w:val="24"/>
          <w:szCs w:val="24"/>
        </w:rPr>
        <w:t>ain</w:t>
      </w:r>
      <w:r>
        <w:rPr>
          <w:rFonts w:ascii="Times New Roman" w:hAnsi="Times New Roman" w:cs="Times New Roman"/>
          <w:sz w:val="24"/>
          <w:szCs w:val="24"/>
        </w:rPr>
        <w:t xml:space="preserve">ing more green cover though the summer than the other bunch type entries. Further testing with these species planted in a higher density, either </w:t>
      </w:r>
      <w:r w:rsidR="00754B41">
        <w:rPr>
          <w:rFonts w:ascii="Times New Roman" w:hAnsi="Times New Roman" w:cs="Times New Roman"/>
          <w:sz w:val="24"/>
          <w:szCs w:val="24"/>
        </w:rPr>
        <w:t>vegetatively</w:t>
      </w:r>
      <w:r>
        <w:rPr>
          <w:rFonts w:ascii="Times New Roman" w:hAnsi="Times New Roman" w:cs="Times New Roman"/>
          <w:sz w:val="24"/>
          <w:szCs w:val="24"/>
        </w:rPr>
        <w:t xml:space="preserve"> or seeded, is warranted. </w:t>
      </w:r>
      <w:r w:rsidRPr="00754B41">
        <w:rPr>
          <w:rFonts w:ascii="Times New Roman" w:hAnsi="Times New Roman" w:cs="Times New Roman"/>
          <w:i/>
          <w:sz w:val="24"/>
          <w:szCs w:val="24"/>
        </w:rPr>
        <w:t>Poa annua</w:t>
      </w:r>
      <w:r>
        <w:rPr>
          <w:rFonts w:ascii="Times New Roman" w:hAnsi="Times New Roman" w:cs="Times New Roman"/>
          <w:sz w:val="24"/>
          <w:szCs w:val="24"/>
        </w:rPr>
        <w:t xml:space="preserve"> established and performed well </w:t>
      </w:r>
      <w:r w:rsidR="003F44DD">
        <w:rPr>
          <w:rFonts w:ascii="Times New Roman" w:hAnsi="Times New Roman" w:cs="Times New Roman"/>
          <w:sz w:val="24"/>
          <w:szCs w:val="24"/>
        </w:rPr>
        <w:t>until</w:t>
      </w:r>
      <w:r>
        <w:rPr>
          <w:rFonts w:ascii="Times New Roman" w:hAnsi="Times New Roman" w:cs="Times New Roman"/>
          <w:sz w:val="24"/>
          <w:szCs w:val="24"/>
        </w:rPr>
        <w:t xml:space="preserve"> </w:t>
      </w:r>
      <w:r w:rsidR="00754B41">
        <w:rPr>
          <w:rFonts w:ascii="Times New Roman" w:hAnsi="Times New Roman" w:cs="Times New Roman"/>
          <w:sz w:val="24"/>
          <w:szCs w:val="24"/>
        </w:rPr>
        <w:t>early</w:t>
      </w:r>
      <w:r>
        <w:rPr>
          <w:rFonts w:ascii="Times New Roman" w:hAnsi="Times New Roman" w:cs="Times New Roman"/>
          <w:sz w:val="24"/>
          <w:szCs w:val="24"/>
        </w:rPr>
        <w:t xml:space="preserve"> to mid-</w:t>
      </w:r>
      <w:r w:rsidR="00754B41">
        <w:rPr>
          <w:rFonts w:ascii="Times New Roman" w:hAnsi="Times New Roman" w:cs="Times New Roman"/>
          <w:sz w:val="24"/>
          <w:szCs w:val="24"/>
        </w:rPr>
        <w:t>summer. This indicates a potential use of this species as a temporary turf for winter overseeding of bermudagrass.</w:t>
      </w:r>
      <w:r>
        <w:rPr>
          <w:rFonts w:ascii="Times New Roman" w:hAnsi="Times New Roman" w:cs="Times New Roman"/>
          <w:sz w:val="24"/>
          <w:szCs w:val="24"/>
        </w:rPr>
        <w:t xml:space="preserve"> However</w:t>
      </w:r>
      <w:r w:rsidR="00754B41">
        <w:rPr>
          <w:rFonts w:ascii="Times New Roman" w:hAnsi="Times New Roman" w:cs="Times New Roman"/>
          <w:sz w:val="24"/>
          <w:szCs w:val="24"/>
        </w:rPr>
        <w:t>,</w:t>
      </w:r>
      <w:r>
        <w:rPr>
          <w:rFonts w:ascii="Times New Roman" w:hAnsi="Times New Roman" w:cs="Times New Roman"/>
          <w:sz w:val="24"/>
          <w:szCs w:val="24"/>
        </w:rPr>
        <w:t xml:space="preserve"> this species is not recommended because of invasive potential and prolific seed production</w:t>
      </w:r>
      <w:r w:rsidR="00754B41">
        <w:rPr>
          <w:rFonts w:ascii="Times New Roman" w:hAnsi="Times New Roman" w:cs="Times New Roman"/>
          <w:sz w:val="24"/>
          <w:szCs w:val="24"/>
        </w:rPr>
        <w:t xml:space="preserve">. </w:t>
      </w:r>
      <w:r w:rsidR="00754B41" w:rsidRPr="00754B41">
        <w:rPr>
          <w:rFonts w:ascii="Times New Roman" w:hAnsi="Times New Roman" w:cs="Times New Roman"/>
          <w:i/>
          <w:sz w:val="24"/>
          <w:szCs w:val="24"/>
        </w:rPr>
        <w:t>P. longifolia</w:t>
      </w:r>
      <w:r w:rsidR="00754B41">
        <w:rPr>
          <w:rFonts w:ascii="Times New Roman" w:hAnsi="Times New Roman" w:cs="Times New Roman"/>
          <w:i/>
          <w:sz w:val="24"/>
          <w:szCs w:val="24"/>
        </w:rPr>
        <w:t xml:space="preserve"> </w:t>
      </w:r>
      <w:r w:rsidR="00754B41">
        <w:rPr>
          <w:rFonts w:ascii="Times New Roman" w:hAnsi="Times New Roman" w:cs="Times New Roman"/>
          <w:sz w:val="24"/>
          <w:szCs w:val="24"/>
        </w:rPr>
        <w:t xml:space="preserve">is second species that displayed characteristics that indicate potential usefulness as </w:t>
      </w:r>
      <w:proofErr w:type="gramStart"/>
      <w:r w:rsidR="00754B41">
        <w:rPr>
          <w:rFonts w:ascii="Times New Roman" w:hAnsi="Times New Roman" w:cs="Times New Roman"/>
          <w:sz w:val="24"/>
          <w:szCs w:val="24"/>
        </w:rPr>
        <w:t>a</w:t>
      </w:r>
      <w:proofErr w:type="gramEnd"/>
      <w:r w:rsidR="00754B41">
        <w:rPr>
          <w:rFonts w:ascii="Times New Roman" w:hAnsi="Times New Roman" w:cs="Times New Roman"/>
          <w:sz w:val="24"/>
          <w:szCs w:val="24"/>
        </w:rPr>
        <w:t xml:space="preserve"> overseeding species because of its rapid establishment and high cover during winter.</w:t>
      </w:r>
    </w:p>
    <w:p w14:paraId="6A9A1069" w14:textId="77777777" w:rsidR="00754B41" w:rsidRDefault="00754B41" w:rsidP="00864A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terms of </w:t>
      </w:r>
      <w:r w:rsidRPr="00754B41">
        <w:rPr>
          <w:rFonts w:ascii="Times New Roman" w:hAnsi="Times New Roman" w:cs="Times New Roman"/>
          <w:i/>
          <w:sz w:val="24"/>
          <w:szCs w:val="24"/>
        </w:rPr>
        <w:t>Poa</w:t>
      </w:r>
      <w:r>
        <w:rPr>
          <w:rFonts w:ascii="Times New Roman" w:hAnsi="Times New Roman" w:cs="Times New Roman"/>
          <w:sz w:val="24"/>
          <w:szCs w:val="24"/>
        </w:rPr>
        <w:t xml:space="preserve"> species, for temporary turfs used for winter overseeding of bermudagrass, </w:t>
      </w:r>
      <w:r w:rsidRPr="00754B41">
        <w:rPr>
          <w:rFonts w:ascii="Times New Roman" w:hAnsi="Times New Roman" w:cs="Times New Roman"/>
          <w:i/>
          <w:sz w:val="24"/>
          <w:szCs w:val="24"/>
        </w:rPr>
        <w:t>P. trivialis</w:t>
      </w:r>
      <w:r>
        <w:rPr>
          <w:rFonts w:ascii="Times New Roman" w:hAnsi="Times New Roman" w:cs="Times New Roman"/>
          <w:sz w:val="24"/>
          <w:szCs w:val="24"/>
        </w:rPr>
        <w:t xml:space="preserve"> and </w:t>
      </w:r>
      <w:r w:rsidRPr="00754B41">
        <w:rPr>
          <w:rFonts w:ascii="Times New Roman" w:hAnsi="Times New Roman" w:cs="Times New Roman"/>
          <w:i/>
          <w:sz w:val="24"/>
          <w:szCs w:val="24"/>
        </w:rPr>
        <w:t>Lolium perenne</w:t>
      </w:r>
      <w:r>
        <w:rPr>
          <w:rFonts w:ascii="Times New Roman" w:hAnsi="Times New Roman" w:cs="Times New Roman"/>
          <w:sz w:val="24"/>
          <w:szCs w:val="24"/>
        </w:rPr>
        <w:t xml:space="preserve"> are the best choice for putting greens. </w:t>
      </w:r>
      <w:r w:rsidR="00F34099">
        <w:rPr>
          <w:rFonts w:ascii="Times New Roman" w:hAnsi="Times New Roman" w:cs="Times New Roman"/>
          <w:sz w:val="24"/>
          <w:szCs w:val="24"/>
        </w:rPr>
        <w:t xml:space="preserve">However, it is recommended that both of this species be removed via herbicides. </w:t>
      </w:r>
      <w:r w:rsidR="00F34099" w:rsidRPr="00F34099">
        <w:rPr>
          <w:rFonts w:ascii="Times New Roman" w:hAnsi="Times New Roman" w:cs="Times New Roman"/>
          <w:i/>
          <w:sz w:val="24"/>
          <w:szCs w:val="24"/>
        </w:rPr>
        <w:t>P. supina</w:t>
      </w:r>
      <w:r w:rsidR="00F34099">
        <w:rPr>
          <w:rFonts w:ascii="Times New Roman" w:hAnsi="Times New Roman" w:cs="Times New Roman"/>
          <w:sz w:val="24"/>
          <w:szCs w:val="24"/>
        </w:rPr>
        <w:t xml:space="preserve"> and </w:t>
      </w:r>
      <w:r w:rsidR="00F34099">
        <w:rPr>
          <w:rFonts w:ascii="Times New Roman" w:hAnsi="Times New Roman" w:cs="Times New Roman"/>
          <w:i/>
          <w:sz w:val="24"/>
          <w:szCs w:val="24"/>
        </w:rPr>
        <w:t xml:space="preserve">P.nemoralis </w:t>
      </w:r>
      <w:r w:rsidR="00F34099">
        <w:rPr>
          <w:rFonts w:ascii="Times New Roman" w:hAnsi="Times New Roman" w:cs="Times New Roman"/>
          <w:sz w:val="24"/>
          <w:szCs w:val="24"/>
        </w:rPr>
        <w:t xml:space="preserve">were also tested. </w:t>
      </w:r>
      <w:r w:rsidR="00F34099" w:rsidRPr="00F34099">
        <w:rPr>
          <w:rFonts w:ascii="Times New Roman" w:hAnsi="Times New Roman" w:cs="Times New Roman"/>
          <w:i/>
          <w:sz w:val="24"/>
          <w:szCs w:val="24"/>
        </w:rPr>
        <w:t>P. supina</w:t>
      </w:r>
      <w:r w:rsidR="00F34099">
        <w:rPr>
          <w:rFonts w:ascii="Times New Roman" w:hAnsi="Times New Roman" w:cs="Times New Roman"/>
          <w:sz w:val="24"/>
          <w:szCs w:val="24"/>
        </w:rPr>
        <w:t xml:space="preserve"> was found to be too aggressive and resulted in low percentages of bermudagrass well into the summer that resulted in poor performance in summer regardless of natural or chemical transition. </w:t>
      </w:r>
      <w:r w:rsidR="00F34099" w:rsidRPr="00F34099">
        <w:rPr>
          <w:rFonts w:ascii="Times New Roman" w:hAnsi="Times New Roman" w:cs="Times New Roman"/>
          <w:i/>
          <w:sz w:val="24"/>
          <w:szCs w:val="24"/>
        </w:rPr>
        <w:t>P. nemoralis</w:t>
      </w:r>
      <w:r w:rsidR="00F34099">
        <w:rPr>
          <w:rFonts w:ascii="Times New Roman" w:hAnsi="Times New Roman" w:cs="Times New Roman"/>
          <w:i/>
          <w:sz w:val="24"/>
          <w:szCs w:val="24"/>
        </w:rPr>
        <w:t xml:space="preserve"> </w:t>
      </w:r>
      <w:r w:rsidR="00F34099">
        <w:rPr>
          <w:rFonts w:ascii="Times New Roman" w:hAnsi="Times New Roman" w:cs="Times New Roman"/>
          <w:sz w:val="24"/>
          <w:szCs w:val="24"/>
        </w:rPr>
        <w:t xml:space="preserve">displayed acceptable cover in one year but not the other. In the year it provided cover the natural transition was superior to all other treatments except the non-overseeded control. However, due to the </w:t>
      </w:r>
      <w:r w:rsidR="003F44DD">
        <w:rPr>
          <w:rFonts w:ascii="Times New Roman" w:hAnsi="Times New Roman" w:cs="Times New Roman"/>
          <w:sz w:val="24"/>
          <w:szCs w:val="24"/>
        </w:rPr>
        <w:t>inconsistencies</w:t>
      </w:r>
      <w:r w:rsidR="00F34099">
        <w:rPr>
          <w:rFonts w:ascii="Times New Roman" w:hAnsi="Times New Roman" w:cs="Times New Roman"/>
          <w:sz w:val="24"/>
          <w:szCs w:val="24"/>
        </w:rPr>
        <w:t xml:space="preserve"> with this species it is not recommended.</w:t>
      </w:r>
    </w:p>
    <w:p w14:paraId="3374841B" w14:textId="3BC51A1C" w:rsidR="00823FDA" w:rsidRPr="00BF4024" w:rsidRDefault="00F34099" w:rsidP="00BF402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fairways and sports fields </w:t>
      </w:r>
      <w:r w:rsidRPr="00F34099">
        <w:rPr>
          <w:rFonts w:ascii="Times New Roman" w:hAnsi="Times New Roman" w:cs="Times New Roman"/>
          <w:i/>
          <w:sz w:val="24"/>
          <w:szCs w:val="24"/>
        </w:rPr>
        <w:t>L. perenne</w:t>
      </w:r>
      <w:r>
        <w:rPr>
          <w:rFonts w:ascii="Times New Roman" w:hAnsi="Times New Roman" w:cs="Times New Roman"/>
          <w:sz w:val="24"/>
          <w:szCs w:val="24"/>
        </w:rPr>
        <w:t xml:space="preserve"> and </w:t>
      </w:r>
      <w:r w:rsidRPr="00F34099">
        <w:rPr>
          <w:rFonts w:ascii="Times New Roman" w:hAnsi="Times New Roman" w:cs="Times New Roman"/>
          <w:i/>
          <w:sz w:val="24"/>
          <w:szCs w:val="24"/>
        </w:rPr>
        <w:t>L.perenne × L. multiflorum</w:t>
      </w:r>
      <w:r>
        <w:rPr>
          <w:rFonts w:ascii="Times New Roman" w:hAnsi="Times New Roman" w:cs="Times New Roman"/>
          <w:sz w:val="24"/>
          <w:szCs w:val="24"/>
        </w:rPr>
        <w:t xml:space="preserve"> provided the highest cover </w:t>
      </w:r>
      <w:r w:rsidR="009B0985">
        <w:rPr>
          <w:rFonts w:ascii="Times New Roman" w:hAnsi="Times New Roman" w:cs="Times New Roman"/>
          <w:sz w:val="24"/>
          <w:szCs w:val="24"/>
        </w:rPr>
        <w:t>throughout</w:t>
      </w:r>
      <w:r>
        <w:rPr>
          <w:rFonts w:ascii="Times New Roman" w:hAnsi="Times New Roman" w:cs="Times New Roman"/>
          <w:sz w:val="24"/>
          <w:szCs w:val="24"/>
        </w:rPr>
        <w:t xml:space="preserve"> the winter season. </w:t>
      </w:r>
      <w:r w:rsidRPr="00BF4024">
        <w:rPr>
          <w:rFonts w:ascii="Times New Roman" w:hAnsi="Times New Roman" w:cs="Times New Roman"/>
          <w:i/>
          <w:sz w:val="24"/>
          <w:szCs w:val="24"/>
        </w:rPr>
        <w:t>L. perenne</w:t>
      </w:r>
      <w:r>
        <w:rPr>
          <w:rFonts w:ascii="Times New Roman" w:hAnsi="Times New Roman" w:cs="Times New Roman"/>
          <w:sz w:val="24"/>
          <w:szCs w:val="24"/>
        </w:rPr>
        <w:t xml:space="preserve">, when treated with </w:t>
      </w:r>
      <w:proofErr w:type="gramStart"/>
      <w:r>
        <w:rPr>
          <w:rFonts w:ascii="Times New Roman" w:hAnsi="Times New Roman" w:cs="Times New Roman"/>
          <w:sz w:val="24"/>
          <w:szCs w:val="24"/>
        </w:rPr>
        <w:t>a</w:t>
      </w:r>
      <w:proofErr w:type="gramEnd"/>
      <w:r w:rsidR="00BF4024">
        <w:rPr>
          <w:rFonts w:ascii="Times New Roman" w:hAnsi="Times New Roman" w:cs="Times New Roman"/>
          <w:sz w:val="24"/>
          <w:szCs w:val="24"/>
        </w:rPr>
        <w:t xml:space="preserve"> herbicide, provided the best transition characteristics and is therefore recommended for these applications. </w:t>
      </w:r>
      <w:r w:rsidR="00BF4024" w:rsidRPr="00BF4024">
        <w:rPr>
          <w:rFonts w:ascii="Times New Roman" w:hAnsi="Times New Roman" w:cs="Times New Roman"/>
          <w:i/>
          <w:sz w:val="24"/>
          <w:szCs w:val="24"/>
        </w:rPr>
        <w:t>P. nemoralis</w:t>
      </w:r>
      <w:r w:rsidR="00BF4024">
        <w:rPr>
          <w:rFonts w:ascii="Times New Roman" w:hAnsi="Times New Roman" w:cs="Times New Roman"/>
          <w:sz w:val="24"/>
          <w:szCs w:val="24"/>
        </w:rPr>
        <w:t xml:space="preserve"> did not provide an acceptable level of cover.</w:t>
      </w:r>
      <w:r w:rsidR="00823FDA">
        <w:br w:type="page"/>
      </w:r>
    </w:p>
    <w:p w14:paraId="17FCD23C" w14:textId="77777777" w:rsidR="005A7C92" w:rsidRPr="00754B41" w:rsidRDefault="005A7C92" w:rsidP="00823FDA">
      <w:pPr>
        <w:pStyle w:val="Heading2"/>
        <w:rPr>
          <w:rFonts w:cs="Times New Roman"/>
          <w:sz w:val="24"/>
          <w:szCs w:val="24"/>
        </w:rPr>
      </w:pPr>
      <w:bookmarkStart w:id="57" w:name="_Toc354003354"/>
      <w:r w:rsidRPr="00754B41">
        <w:rPr>
          <w:rFonts w:cs="Times New Roman"/>
          <w:sz w:val="24"/>
          <w:szCs w:val="24"/>
        </w:rPr>
        <w:lastRenderedPageBreak/>
        <w:t>Vita</w:t>
      </w:r>
      <w:bookmarkEnd w:id="56"/>
      <w:bookmarkEnd w:id="57"/>
    </w:p>
    <w:p w14:paraId="5919F3C7" w14:textId="77777777" w:rsidR="005A7C92" w:rsidRPr="00754B41" w:rsidRDefault="005A7C92" w:rsidP="000A6AED">
      <w:pPr>
        <w:spacing w:line="480" w:lineRule="auto"/>
        <w:ind w:firstLine="720"/>
        <w:rPr>
          <w:rFonts w:ascii="Times New Roman" w:hAnsi="Times New Roman" w:cs="Times New Roman"/>
          <w:sz w:val="24"/>
          <w:szCs w:val="24"/>
        </w:rPr>
      </w:pPr>
    </w:p>
    <w:p w14:paraId="53AA0B09" w14:textId="6F51CE86" w:rsidR="005A7C92" w:rsidRPr="00754B41" w:rsidRDefault="005A7C92" w:rsidP="000A6AED">
      <w:pPr>
        <w:spacing w:line="480" w:lineRule="auto"/>
        <w:ind w:firstLine="720"/>
        <w:rPr>
          <w:rFonts w:ascii="Times New Roman" w:hAnsi="Times New Roman" w:cs="Times New Roman"/>
          <w:sz w:val="24"/>
          <w:szCs w:val="24"/>
        </w:rPr>
      </w:pPr>
      <w:r w:rsidRPr="00754B41">
        <w:rPr>
          <w:rFonts w:ascii="Times New Roman" w:hAnsi="Times New Roman" w:cs="Times New Roman"/>
          <w:sz w:val="24"/>
          <w:szCs w:val="24"/>
        </w:rPr>
        <w:t>Lucas Freshour was born in Greeneville, TN on July 21, 1980. He grew up in Greeneville and the surrounding area and attended high school at Chuckey-Doak High School, graduating in 1998. After graduation he e</w:t>
      </w:r>
      <w:r w:rsidR="000A6AED" w:rsidRPr="00754B41">
        <w:rPr>
          <w:rFonts w:ascii="Times New Roman" w:hAnsi="Times New Roman" w:cs="Times New Roman"/>
          <w:sz w:val="24"/>
          <w:szCs w:val="24"/>
        </w:rPr>
        <w:t>ntered the work force, working in various</w:t>
      </w:r>
      <w:r w:rsidRPr="00754B41">
        <w:rPr>
          <w:rFonts w:ascii="Times New Roman" w:hAnsi="Times New Roman" w:cs="Times New Roman"/>
          <w:sz w:val="24"/>
          <w:szCs w:val="24"/>
        </w:rPr>
        <w:t xml:space="preserve"> different manufacturing facilities. After becoming interested in the turfgrass field he enrolled at Walters State Community College and completed an Associate of Applied Science degree in Tur</w:t>
      </w:r>
      <w:r w:rsidR="00823FDA" w:rsidRPr="00754B41">
        <w:rPr>
          <w:rFonts w:ascii="Times New Roman" w:hAnsi="Times New Roman" w:cs="Times New Roman"/>
          <w:sz w:val="24"/>
          <w:szCs w:val="24"/>
        </w:rPr>
        <w:t>f</w:t>
      </w:r>
      <w:r w:rsidRPr="00754B41">
        <w:rPr>
          <w:rFonts w:ascii="Times New Roman" w:hAnsi="Times New Roman" w:cs="Times New Roman"/>
          <w:sz w:val="24"/>
          <w:szCs w:val="24"/>
        </w:rPr>
        <w:t xml:space="preserve">grass Science in the spring of 2005. He then went on to pursue his Bachelors of Science with a concentration in Turfgrass management, which he completed in the </w:t>
      </w:r>
      <w:r w:rsidR="004450C4" w:rsidRPr="00754B41">
        <w:rPr>
          <w:rFonts w:ascii="Times New Roman" w:hAnsi="Times New Roman" w:cs="Times New Roman"/>
          <w:sz w:val="24"/>
          <w:szCs w:val="24"/>
        </w:rPr>
        <w:t>fall</w:t>
      </w:r>
      <w:r w:rsidRPr="00754B41">
        <w:rPr>
          <w:rFonts w:ascii="Times New Roman" w:hAnsi="Times New Roman" w:cs="Times New Roman"/>
          <w:sz w:val="24"/>
          <w:szCs w:val="24"/>
        </w:rPr>
        <w:t xml:space="preserve"> of 2008. In </w:t>
      </w:r>
      <w:r w:rsidR="004450C4" w:rsidRPr="00754B41">
        <w:rPr>
          <w:rFonts w:ascii="Times New Roman" w:hAnsi="Times New Roman" w:cs="Times New Roman"/>
          <w:sz w:val="24"/>
          <w:szCs w:val="24"/>
        </w:rPr>
        <w:t>spring</w:t>
      </w:r>
      <w:r w:rsidRPr="00754B41">
        <w:rPr>
          <w:rFonts w:ascii="Times New Roman" w:hAnsi="Times New Roman" w:cs="Times New Roman"/>
          <w:sz w:val="24"/>
          <w:szCs w:val="24"/>
        </w:rPr>
        <w:t xml:space="preserve"> of 2009 Lucas accepted a graduate research position under the direction of John Sorochan. Upon graduation Lucas plans to work in industry in position he accepted with the Scotts </w:t>
      </w:r>
      <w:proofErr w:type="gramStart"/>
      <w:r w:rsidRPr="00754B41">
        <w:rPr>
          <w:rFonts w:ascii="Times New Roman" w:hAnsi="Times New Roman" w:cs="Times New Roman"/>
          <w:sz w:val="24"/>
          <w:szCs w:val="24"/>
        </w:rPr>
        <w:t>company</w:t>
      </w:r>
      <w:proofErr w:type="gramEnd"/>
      <w:r w:rsidRPr="00754B41">
        <w:rPr>
          <w:rFonts w:ascii="Times New Roman" w:hAnsi="Times New Roman" w:cs="Times New Roman"/>
          <w:sz w:val="24"/>
          <w:szCs w:val="24"/>
        </w:rPr>
        <w:t>.</w:t>
      </w:r>
    </w:p>
    <w:p w14:paraId="3D7627C5" w14:textId="77777777" w:rsidR="005A7C92" w:rsidRPr="005A7C92" w:rsidRDefault="005A7C92" w:rsidP="005A7C92"/>
    <w:p w14:paraId="78E07FB0" w14:textId="77777777" w:rsidR="005A7C92" w:rsidRPr="005A7C92" w:rsidRDefault="005A7C92" w:rsidP="005A7C92"/>
    <w:sectPr w:rsidR="005A7C92" w:rsidRPr="005A7C92" w:rsidSect="00CB51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B3D384" w14:textId="77777777" w:rsidR="00FA3EB6" w:rsidRDefault="00FA3EB6" w:rsidP="006919A1">
      <w:pPr>
        <w:spacing w:after="0" w:line="240" w:lineRule="auto"/>
      </w:pPr>
      <w:r>
        <w:separator/>
      </w:r>
    </w:p>
  </w:endnote>
  <w:endnote w:type="continuationSeparator" w:id="0">
    <w:p w14:paraId="127DF079" w14:textId="77777777" w:rsidR="00FA3EB6" w:rsidRDefault="00FA3EB6" w:rsidP="00691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4381870"/>
      <w:docPartObj>
        <w:docPartGallery w:val="Page Numbers (Bottom of Page)"/>
        <w:docPartUnique/>
      </w:docPartObj>
    </w:sdtPr>
    <w:sdtEndPr>
      <w:rPr>
        <w:noProof/>
      </w:rPr>
    </w:sdtEndPr>
    <w:sdtContent>
      <w:p w14:paraId="5C21CFE7" w14:textId="77777777" w:rsidR="00F25B7A" w:rsidRDefault="00F25B7A">
        <w:pPr>
          <w:pStyle w:val="Footer"/>
          <w:jc w:val="right"/>
        </w:pPr>
        <w:r>
          <w:fldChar w:fldCharType="begin"/>
        </w:r>
        <w:r>
          <w:instrText xml:space="preserve"> PAGE   \* MERGEFORMAT </w:instrText>
        </w:r>
        <w:r>
          <w:fldChar w:fldCharType="separate"/>
        </w:r>
        <w:r w:rsidR="00E67C9F">
          <w:rPr>
            <w:noProof/>
          </w:rPr>
          <w:t>xii</w:t>
        </w:r>
        <w:r>
          <w:rPr>
            <w:noProof/>
          </w:rPr>
          <w:fldChar w:fldCharType="end"/>
        </w:r>
      </w:p>
    </w:sdtContent>
  </w:sdt>
  <w:p w14:paraId="1831B566" w14:textId="77777777" w:rsidR="00F25B7A" w:rsidRDefault="00F25B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538188"/>
      <w:docPartObj>
        <w:docPartGallery w:val="Page Numbers (Bottom of Page)"/>
        <w:docPartUnique/>
      </w:docPartObj>
    </w:sdtPr>
    <w:sdtEndPr>
      <w:rPr>
        <w:noProof/>
      </w:rPr>
    </w:sdtEndPr>
    <w:sdtContent>
      <w:p w14:paraId="77B6EB1F" w14:textId="77777777" w:rsidR="00F25B7A" w:rsidRDefault="00F25B7A">
        <w:pPr>
          <w:pStyle w:val="Footer"/>
          <w:jc w:val="right"/>
        </w:pPr>
        <w:r>
          <w:fldChar w:fldCharType="begin"/>
        </w:r>
        <w:r>
          <w:instrText xml:space="preserve"> PAGE   \* MERGEFORMAT </w:instrText>
        </w:r>
        <w:r>
          <w:fldChar w:fldCharType="separate"/>
        </w:r>
        <w:r w:rsidR="001F68A7">
          <w:rPr>
            <w:noProof/>
          </w:rPr>
          <w:t>52</w:t>
        </w:r>
        <w:r>
          <w:rPr>
            <w:noProof/>
          </w:rPr>
          <w:fldChar w:fldCharType="end"/>
        </w:r>
      </w:p>
    </w:sdtContent>
  </w:sdt>
  <w:p w14:paraId="3F66F867" w14:textId="77777777" w:rsidR="00F25B7A" w:rsidRDefault="00F25B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B5A66" w14:textId="77777777" w:rsidR="00FA3EB6" w:rsidRDefault="00FA3EB6" w:rsidP="006919A1">
      <w:pPr>
        <w:spacing w:after="0" w:line="240" w:lineRule="auto"/>
      </w:pPr>
      <w:r>
        <w:separator/>
      </w:r>
    </w:p>
  </w:footnote>
  <w:footnote w:type="continuationSeparator" w:id="0">
    <w:p w14:paraId="2806C978" w14:textId="77777777" w:rsidR="00FA3EB6" w:rsidRDefault="00FA3EB6" w:rsidP="006919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195AB" w14:textId="77777777" w:rsidR="00F25B7A" w:rsidRDefault="00F25B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C3B7A" w14:textId="77777777" w:rsidR="00F25B7A" w:rsidRDefault="00F25B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A07454"/>
    <w:multiLevelType w:val="multilevel"/>
    <w:tmpl w:val="CB9E01BE"/>
    <w:lvl w:ilvl="0">
      <w:start w:val="1"/>
      <w:numFmt w:val="upperRoman"/>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nsid w:val="3DA654BD"/>
    <w:multiLevelType w:val="hybridMultilevel"/>
    <w:tmpl w:val="7ABAC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2C0EF4"/>
    <w:multiLevelType w:val="hybridMultilevel"/>
    <w:tmpl w:val="4E2C8788"/>
    <w:lvl w:ilvl="0" w:tplc="ECD65F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E73712D"/>
    <w:multiLevelType w:val="hybridMultilevel"/>
    <w:tmpl w:val="4E2C8788"/>
    <w:lvl w:ilvl="0" w:tplc="ECD65F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F246028"/>
    <w:multiLevelType w:val="multilevel"/>
    <w:tmpl w:val="03F67294"/>
    <w:lvl w:ilvl="0">
      <w:start w:val="1"/>
      <w:numFmt w:val="upperRoman"/>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9A1"/>
    <w:rsid w:val="0001663B"/>
    <w:rsid w:val="00053D06"/>
    <w:rsid w:val="000600AF"/>
    <w:rsid w:val="00072D8A"/>
    <w:rsid w:val="00081822"/>
    <w:rsid w:val="000A1CE5"/>
    <w:rsid w:val="000A6AED"/>
    <w:rsid w:val="000E0CB6"/>
    <w:rsid w:val="000E1B66"/>
    <w:rsid w:val="00151B3F"/>
    <w:rsid w:val="001A058C"/>
    <w:rsid w:val="001B3D6A"/>
    <w:rsid w:val="001C10CB"/>
    <w:rsid w:val="001C516A"/>
    <w:rsid w:val="001C6B45"/>
    <w:rsid w:val="001D6C42"/>
    <w:rsid w:val="001D6C56"/>
    <w:rsid w:val="001F009F"/>
    <w:rsid w:val="001F4A16"/>
    <w:rsid w:val="001F68A7"/>
    <w:rsid w:val="00204B96"/>
    <w:rsid w:val="00220AE5"/>
    <w:rsid w:val="002353C6"/>
    <w:rsid w:val="002508AF"/>
    <w:rsid w:val="0025765C"/>
    <w:rsid w:val="00263612"/>
    <w:rsid w:val="00272F31"/>
    <w:rsid w:val="00282AAC"/>
    <w:rsid w:val="00282B2D"/>
    <w:rsid w:val="00286B4D"/>
    <w:rsid w:val="00290D6D"/>
    <w:rsid w:val="002B5598"/>
    <w:rsid w:val="002B5D75"/>
    <w:rsid w:val="002D4CE6"/>
    <w:rsid w:val="002E7179"/>
    <w:rsid w:val="00302414"/>
    <w:rsid w:val="00307844"/>
    <w:rsid w:val="003151DE"/>
    <w:rsid w:val="00322002"/>
    <w:rsid w:val="0036796C"/>
    <w:rsid w:val="003721D2"/>
    <w:rsid w:val="003B6311"/>
    <w:rsid w:val="003B7EE6"/>
    <w:rsid w:val="003F44DD"/>
    <w:rsid w:val="00411DC6"/>
    <w:rsid w:val="004128EC"/>
    <w:rsid w:val="00423C0B"/>
    <w:rsid w:val="004277F7"/>
    <w:rsid w:val="004450C4"/>
    <w:rsid w:val="00474B49"/>
    <w:rsid w:val="0048750E"/>
    <w:rsid w:val="00491456"/>
    <w:rsid w:val="004A004B"/>
    <w:rsid w:val="004A61F9"/>
    <w:rsid w:val="004A62A7"/>
    <w:rsid w:val="004B0543"/>
    <w:rsid w:val="004C4F4B"/>
    <w:rsid w:val="00510963"/>
    <w:rsid w:val="005273B7"/>
    <w:rsid w:val="005302AA"/>
    <w:rsid w:val="005475B3"/>
    <w:rsid w:val="005A1DAB"/>
    <w:rsid w:val="005A1EB9"/>
    <w:rsid w:val="005A2894"/>
    <w:rsid w:val="005A7C92"/>
    <w:rsid w:val="005C2F7C"/>
    <w:rsid w:val="005D69C5"/>
    <w:rsid w:val="005E112A"/>
    <w:rsid w:val="005E613B"/>
    <w:rsid w:val="006258EE"/>
    <w:rsid w:val="00632F54"/>
    <w:rsid w:val="006544D6"/>
    <w:rsid w:val="00655977"/>
    <w:rsid w:val="006648FD"/>
    <w:rsid w:val="00666C53"/>
    <w:rsid w:val="0067413E"/>
    <w:rsid w:val="00686236"/>
    <w:rsid w:val="00686A92"/>
    <w:rsid w:val="006919A1"/>
    <w:rsid w:val="006B0A9E"/>
    <w:rsid w:val="006C761E"/>
    <w:rsid w:val="006D1DAE"/>
    <w:rsid w:val="006E165F"/>
    <w:rsid w:val="006E4775"/>
    <w:rsid w:val="006E4DD4"/>
    <w:rsid w:val="007002BE"/>
    <w:rsid w:val="007360A6"/>
    <w:rsid w:val="00754B41"/>
    <w:rsid w:val="0076797E"/>
    <w:rsid w:val="0078415D"/>
    <w:rsid w:val="00784586"/>
    <w:rsid w:val="007903A0"/>
    <w:rsid w:val="007B4B80"/>
    <w:rsid w:val="007C54EB"/>
    <w:rsid w:val="007C77DF"/>
    <w:rsid w:val="007E5FDD"/>
    <w:rsid w:val="007E630A"/>
    <w:rsid w:val="008072D0"/>
    <w:rsid w:val="00812798"/>
    <w:rsid w:val="00823FDA"/>
    <w:rsid w:val="008326EE"/>
    <w:rsid w:val="00843870"/>
    <w:rsid w:val="00844624"/>
    <w:rsid w:val="00853A5E"/>
    <w:rsid w:val="00864AEB"/>
    <w:rsid w:val="00872949"/>
    <w:rsid w:val="008C06C9"/>
    <w:rsid w:val="008C3C2C"/>
    <w:rsid w:val="00931168"/>
    <w:rsid w:val="009558FC"/>
    <w:rsid w:val="009858C5"/>
    <w:rsid w:val="009B0985"/>
    <w:rsid w:val="009B5EBA"/>
    <w:rsid w:val="009B6AC8"/>
    <w:rsid w:val="00A02D5E"/>
    <w:rsid w:val="00A120AF"/>
    <w:rsid w:val="00A53E89"/>
    <w:rsid w:val="00A706AD"/>
    <w:rsid w:val="00A927DA"/>
    <w:rsid w:val="00AB0E83"/>
    <w:rsid w:val="00AB32E4"/>
    <w:rsid w:val="00AB477F"/>
    <w:rsid w:val="00AE0317"/>
    <w:rsid w:val="00AF211E"/>
    <w:rsid w:val="00AF2627"/>
    <w:rsid w:val="00B0077C"/>
    <w:rsid w:val="00B06942"/>
    <w:rsid w:val="00B56E48"/>
    <w:rsid w:val="00B63D55"/>
    <w:rsid w:val="00BA40AB"/>
    <w:rsid w:val="00BA4C4E"/>
    <w:rsid w:val="00BD5F34"/>
    <w:rsid w:val="00BE785A"/>
    <w:rsid w:val="00BF4024"/>
    <w:rsid w:val="00C02233"/>
    <w:rsid w:val="00C05B3C"/>
    <w:rsid w:val="00C14DBB"/>
    <w:rsid w:val="00C35308"/>
    <w:rsid w:val="00C6352A"/>
    <w:rsid w:val="00C6507C"/>
    <w:rsid w:val="00C75ED8"/>
    <w:rsid w:val="00C87E31"/>
    <w:rsid w:val="00CB51DA"/>
    <w:rsid w:val="00CD6671"/>
    <w:rsid w:val="00CF3747"/>
    <w:rsid w:val="00D04371"/>
    <w:rsid w:val="00D23E9B"/>
    <w:rsid w:val="00D26680"/>
    <w:rsid w:val="00D27A8A"/>
    <w:rsid w:val="00D34BB9"/>
    <w:rsid w:val="00D50271"/>
    <w:rsid w:val="00D55A75"/>
    <w:rsid w:val="00D9571C"/>
    <w:rsid w:val="00D96E8F"/>
    <w:rsid w:val="00DC113E"/>
    <w:rsid w:val="00DC4D0A"/>
    <w:rsid w:val="00DC6980"/>
    <w:rsid w:val="00DE45D1"/>
    <w:rsid w:val="00E11D61"/>
    <w:rsid w:val="00E20531"/>
    <w:rsid w:val="00E67C9F"/>
    <w:rsid w:val="00E906AE"/>
    <w:rsid w:val="00E90848"/>
    <w:rsid w:val="00E964F9"/>
    <w:rsid w:val="00E97310"/>
    <w:rsid w:val="00EA3BA7"/>
    <w:rsid w:val="00EA6AE1"/>
    <w:rsid w:val="00ED36EE"/>
    <w:rsid w:val="00ED7955"/>
    <w:rsid w:val="00F077EF"/>
    <w:rsid w:val="00F13BF9"/>
    <w:rsid w:val="00F25B7A"/>
    <w:rsid w:val="00F336BF"/>
    <w:rsid w:val="00F34099"/>
    <w:rsid w:val="00F368ED"/>
    <w:rsid w:val="00F4011D"/>
    <w:rsid w:val="00F468CE"/>
    <w:rsid w:val="00F557E1"/>
    <w:rsid w:val="00F61CA2"/>
    <w:rsid w:val="00F72CBE"/>
    <w:rsid w:val="00F81BAF"/>
    <w:rsid w:val="00F9002C"/>
    <w:rsid w:val="00FA3EB6"/>
    <w:rsid w:val="00FB65BE"/>
    <w:rsid w:val="00FB70A1"/>
    <w:rsid w:val="00FC551A"/>
    <w:rsid w:val="00FE0D9E"/>
    <w:rsid w:val="00FE2E83"/>
    <w:rsid w:val="00FF1615"/>
    <w:rsid w:val="00FF75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182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985"/>
    <w:rPr>
      <w:rFonts w:eastAsiaTheme="minorEastAsia"/>
    </w:rPr>
  </w:style>
  <w:style w:type="paragraph" w:styleId="Heading1">
    <w:name w:val="heading 1"/>
    <w:basedOn w:val="Normal"/>
    <w:next w:val="Normal"/>
    <w:link w:val="Heading1Char"/>
    <w:uiPriority w:val="9"/>
    <w:qFormat/>
    <w:rsid w:val="006919A1"/>
    <w:pPr>
      <w:keepNext/>
      <w:keepLines/>
      <w:numPr>
        <w:numId w:val="4"/>
      </w:numPr>
      <w:spacing w:before="480" w:after="0"/>
      <w:jc w:val="cente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8072D0"/>
    <w:pPr>
      <w:keepNext/>
      <w:keepLines/>
      <w:numPr>
        <w:ilvl w:val="1"/>
        <w:numId w:val="4"/>
      </w:numPr>
      <w:spacing w:before="200" w:after="0"/>
      <w:jc w:val="center"/>
      <w:outlineLvl w:val="1"/>
    </w:pPr>
    <w:rPr>
      <w:rFonts w:ascii="Times New Roman" w:eastAsiaTheme="majorEastAsia" w:hAnsi="Times New Roman" w:cstheme="majorBidi"/>
      <w:b/>
      <w:bCs/>
      <w:sz w:val="28"/>
      <w:szCs w:val="26"/>
    </w:rPr>
  </w:style>
  <w:style w:type="paragraph" w:styleId="Heading3">
    <w:name w:val="heading 3"/>
    <w:basedOn w:val="Normal"/>
    <w:next w:val="Normal"/>
    <w:link w:val="Heading3Char"/>
    <w:uiPriority w:val="9"/>
    <w:unhideWhenUsed/>
    <w:qFormat/>
    <w:rsid w:val="003151DE"/>
    <w:pPr>
      <w:keepNext/>
      <w:keepLines/>
      <w:numPr>
        <w:ilvl w:val="2"/>
        <w:numId w:val="4"/>
      </w:numPr>
      <w:spacing w:before="200" w:after="0"/>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semiHidden/>
    <w:unhideWhenUsed/>
    <w:qFormat/>
    <w:rsid w:val="006919A1"/>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919A1"/>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919A1"/>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919A1"/>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919A1"/>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919A1"/>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9A1"/>
    <w:rPr>
      <w:rFonts w:ascii="Times New Roman" w:eastAsiaTheme="majorEastAsia" w:hAnsi="Times New Roman" w:cstheme="majorBidi"/>
      <w:b/>
      <w:bCs/>
      <w:sz w:val="28"/>
      <w:szCs w:val="28"/>
    </w:rPr>
  </w:style>
  <w:style w:type="paragraph" w:styleId="TOCHeading">
    <w:name w:val="TOC Heading"/>
    <w:basedOn w:val="Heading1"/>
    <w:next w:val="Normal"/>
    <w:uiPriority w:val="39"/>
    <w:unhideWhenUsed/>
    <w:qFormat/>
    <w:rsid w:val="006919A1"/>
    <w:pPr>
      <w:outlineLvl w:val="9"/>
    </w:pPr>
    <w:rPr>
      <w:lang w:eastAsia="ja-JP"/>
    </w:rPr>
  </w:style>
  <w:style w:type="paragraph" w:styleId="TOC1">
    <w:name w:val="toc 1"/>
    <w:basedOn w:val="Normal"/>
    <w:next w:val="Normal"/>
    <w:autoRedefine/>
    <w:uiPriority w:val="39"/>
    <w:unhideWhenUsed/>
    <w:qFormat/>
    <w:rsid w:val="006919A1"/>
    <w:pPr>
      <w:spacing w:after="100"/>
    </w:pPr>
  </w:style>
  <w:style w:type="paragraph" w:styleId="TOC2">
    <w:name w:val="toc 2"/>
    <w:basedOn w:val="Normal"/>
    <w:next w:val="Normal"/>
    <w:autoRedefine/>
    <w:uiPriority w:val="39"/>
    <w:unhideWhenUsed/>
    <w:qFormat/>
    <w:rsid w:val="006919A1"/>
    <w:pPr>
      <w:spacing w:after="100"/>
      <w:ind w:left="220"/>
    </w:pPr>
  </w:style>
  <w:style w:type="paragraph" w:styleId="TOC3">
    <w:name w:val="toc 3"/>
    <w:basedOn w:val="Normal"/>
    <w:next w:val="Normal"/>
    <w:autoRedefine/>
    <w:uiPriority w:val="39"/>
    <w:unhideWhenUsed/>
    <w:qFormat/>
    <w:rsid w:val="006919A1"/>
    <w:pPr>
      <w:spacing w:after="100"/>
      <w:ind w:left="440"/>
    </w:pPr>
  </w:style>
  <w:style w:type="character" w:styleId="Hyperlink">
    <w:name w:val="Hyperlink"/>
    <w:basedOn w:val="DefaultParagraphFont"/>
    <w:uiPriority w:val="99"/>
    <w:unhideWhenUsed/>
    <w:rsid w:val="006919A1"/>
    <w:rPr>
      <w:color w:val="0000FF" w:themeColor="hyperlink"/>
      <w:u w:val="single"/>
    </w:rPr>
  </w:style>
  <w:style w:type="paragraph" w:styleId="BalloonText">
    <w:name w:val="Balloon Text"/>
    <w:basedOn w:val="Normal"/>
    <w:link w:val="BalloonTextChar"/>
    <w:uiPriority w:val="99"/>
    <w:semiHidden/>
    <w:unhideWhenUsed/>
    <w:rsid w:val="006919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19A1"/>
    <w:rPr>
      <w:rFonts w:ascii="Tahoma" w:eastAsiaTheme="minorEastAsia" w:hAnsi="Tahoma" w:cs="Tahoma"/>
      <w:sz w:val="16"/>
      <w:szCs w:val="16"/>
    </w:rPr>
  </w:style>
  <w:style w:type="paragraph" w:styleId="Header">
    <w:name w:val="header"/>
    <w:basedOn w:val="Normal"/>
    <w:link w:val="HeaderChar"/>
    <w:uiPriority w:val="99"/>
    <w:unhideWhenUsed/>
    <w:rsid w:val="006919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9A1"/>
    <w:rPr>
      <w:rFonts w:eastAsiaTheme="minorEastAsia"/>
    </w:rPr>
  </w:style>
  <w:style w:type="paragraph" w:styleId="Footer">
    <w:name w:val="footer"/>
    <w:basedOn w:val="Normal"/>
    <w:link w:val="FooterChar"/>
    <w:uiPriority w:val="99"/>
    <w:unhideWhenUsed/>
    <w:rsid w:val="006919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9A1"/>
    <w:rPr>
      <w:rFonts w:eastAsiaTheme="minorEastAsia"/>
    </w:rPr>
  </w:style>
  <w:style w:type="character" w:customStyle="1" w:styleId="Heading2Char">
    <w:name w:val="Heading 2 Char"/>
    <w:basedOn w:val="DefaultParagraphFont"/>
    <w:link w:val="Heading2"/>
    <w:uiPriority w:val="9"/>
    <w:rsid w:val="008072D0"/>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3151DE"/>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semiHidden/>
    <w:rsid w:val="006919A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919A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919A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919A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919A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919A1"/>
    <w:rPr>
      <w:rFonts w:asciiTheme="majorHAnsi" w:eastAsiaTheme="majorEastAsia" w:hAnsiTheme="majorHAnsi" w:cstheme="majorBidi"/>
      <w:i/>
      <w:iCs/>
      <w:color w:val="404040" w:themeColor="text1" w:themeTint="BF"/>
      <w:sz w:val="20"/>
      <w:szCs w:val="20"/>
    </w:rPr>
  </w:style>
  <w:style w:type="character" w:customStyle="1" w:styleId="CommentTextChar">
    <w:name w:val="Comment Text Char"/>
    <w:basedOn w:val="DefaultParagraphFont"/>
    <w:link w:val="CommentText"/>
    <w:uiPriority w:val="99"/>
    <w:semiHidden/>
    <w:rsid w:val="0001663B"/>
    <w:rPr>
      <w:sz w:val="20"/>
      <w:szCs w:val="20"/>
    </w:rPr>
  </w:style>
  <w:style w:type="paragraph" w:styleId="CommentText">
    <w:name w:val="annotation text"/>
    <w:basedOn w:val="Normal"/>
    <w:link w:val="CommentTextChar"/>
    <w:uiPriority w:val="99"/>
    <w:semiHidden/>
    <w:unhideWhenUsed/>
    <w:rsid w:val="0001663B"/>
    <w:pPr>
      <w:spacing w:line="240" w:lineRule="auto"/>
    </w:pPr>
    <w:rPr>
      <w:rFonts w:eastAsiaTheme="minorHAnsi"/>
      <w:sz w:val="20"/>
      <w:szCs w:val="20"/>
    </w:rPr>
  </w:style>
  <w:style w:type="character" w:customStyle="1" w:styleId="CommentTextChar1">
    <w:name w:val="Comment Text Char1"/>
    <w:basedOn w:val="DefaultParagraphFont"/>
    <w:uiPriority w:val="99"/>
    <w:semiHidden/>
    <w:rsid w:val="0001663B"/>
    <w:rPr>
      <w:rFonts w:eastAsiaTheme="minorEastAsia"/>
      <w:sz w:val="20"/>
      <w:szCs w:val="20"/>
    </w:rPr>
  </w:style>
  <w:style w:type="character" w:styleId="CommentReference">
    <w:name w:val="annotation reference"/>
    <w:basedOn w:val="DefaultParagraphFont"/>
    <w:uiPriority w:val="99"/>
    <w:semiHidden/>
    <w:unhideWhenUsed/>
    <w:rsid w:val="0001663B"/>
    <w:rPr>
      <w:sz w:val="16"/>
      <w:szCs w:val="16"/>
    </w:rPr>
  </w:style>
  <w:style w:type="paragraph" w:styleId="Revision">
    <w:name w:val="Revision"/>
    <w:hidden/>
    <w:uiPriority w:val="99"/>
    <w:semiHidden/>
    <w:rsid w:val="001C516A"/>
    <w:pPr>
      <w:spacing w:after="0" w:line="240" w:lineRule="auto"/>
    </w:pPr>
    <w:rPr>
      <w:rFonts w:eastAsiaTheme="minorEastAsia"/>
    </w:rPr>
  </w:style>
  <w:style w:type="table" w:styleId="TableGrid">
    <w:name w:val="Table Grid"/>
    <w:basedOn w:val="TableNormal"/>
    <w:uiPriority w:val="59"/>
    <w:rsid w:val="00686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BA4C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1C10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985"/>
    <w:rPr>
      <w:rFonts w:eastAsiaTheme="minorEastAsia"/>
    </w:rPr>
  </w:style>
  <w:style w:type="paragraph" w:styleId="Heading1">
    <w:name w:val="heading 1"/>
    <w:basedOn w:val="Normal"/>
    <w:next w:val="Normal"/>
    <w:link w:val="Heading1Char"/>
    <w:uiPriority w:val="9"/>
    <w:qFormat/>
    <w:rsid w:val="006919A1"/>
    <w:pPr>
      <w:keepNext/>
      <w:keepLines/>
      <w:numPr>
        <w:numId w:val="4"/>
      </w:numPr>
      <w:spacing w:before="480" w:after="0"/>
      <w:jc w:val="cente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8072D0"/>
    <w:pPr>
      <w:keepNext/>
      <w:keepLines/>
      <w:numPr>
        <w:ilvl w:val="1"/>
        <w:numId w:val="4"/>
      </w:numPr>
      <w:spacing w:before="200" w:after="0"/>
      <w:jc w:val="center"/>
      <w:outlineLvl w:val="1"/>
    </w:pPr>
    <w:rPr>
      <w:rFonts w:ascii="Times New Roman" w:eastAsiaTheme="majorEastAsia" w:hAnsi="Times New Roman" w:cstheme="majorBidi"/>
      <w:b/>
      <w:bCs/>
      <w:sz w:val="28"/>
      <w:szCs w:val="26"/>
    </w:rPr>
  </w:style>
  <w:style w:type="paragraph" w:styleId="Heading3">
    <w:name w:val="heading 3"/>
    <w:basedOn w:val="Normal"/>
    <w:next w:val="Normal"/>
    <w:link w:val="Heading3Char"/>
    <w:uiPriority w:val="9"/>
    <w:unhideWhenUsed/>
    <w:qFormat/>
    <w:rsid w:val="003151DE"/>
    <w:pPr>
      <w:keepNext/>
      <w:keepLines/>
      <w:numPr>
        <w:ilvl w:val="2"/>
        <w:numId w:val="4"/>
      </w:numPr>
      <w:spacing w:before="200" w:after="0"/>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semiHidden/>
    <w:unhideWhenUsed/>
    <w:qFormat/>
    <w:rsid w:val="006919A1"/>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919A1"/>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919A1"/>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919A1"/>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919A1"/>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919A1"/>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9A1"/>
    <w:rPr>
      <w:rFonts w:ascii="Times New Roman" w:eastAsiaTheme="majorEastAsia" w:hAnsi="Times New Roman" w:cstheme="majorBidi"/>
      <w:b/>
      <w:bCs/>
      <w:sz w:val="28"/>
      <w:szCs w:val="28"/>
    </w:rPr>
  </w:style>
  <w:style w:type="paragraph" w:styleId="TOCHeading">
    <w:name w:val="TOC Heading"/>
    <w:basedOn w:val="Heading1"/>
    <w:next w:val="Normal"/>
    <w:uiPriority w:val="39"/>
    <w:unhideWhenUsed/>
    <w:qFormat/>
    <w:rsid w:val="006919A1"/>
    <w:pPr>
      <w:outlineLvl w:val="9"/>
    </w:pPr>
    <w:rPr>
      <w:lang w:eastAsia="ja-JP"/>
    </w:rPr>
  </w:style>
  <w:style w:type="paragraph" w:styleId="TOC1">
    <w:name w:val="toc 1"/>
    <w:basedOn w:val="Normal"/>
    <w:next w:val="Normal"/>
    <w:autoRedefine/>
    <w:uiPriority w:val="39"/>
    <w:unhideWhenUsed/>
    <w:qFormat/>
    <w:rsid w:val="006919A1"/>
    <w:pPr>
      <w:spacing w:after="100"/>
    </w:pPr>
  </w:style>
  <w:style w:type="paragraph" w:styleId="TOC2">
    <w:name w:val="toc 2"/>
    <w:basedOn w:val="Normal"/>
    <w:next w:val="Normal"/>
    <w:autoRedefine/>
    <w:uiPriority w:val="39"/>
    <w:unhideWhenUsed/>
    <w:qFormat/>
    <w:rsid w:val="006919A1"/>
    <w:pPr>
      <w:spacing w:after="100"/>
      <w:ind w:left="220"/>
    </w:pPr>
  </w:style>
  <w:style w:type="paragraph" w:styleId="TOC3">
    <w:name w:val="toc 3"/>
    <w:basedOn w:val="Normal"/>
    <w:next w:val="Normal"/>
    <w:autoRedefine/>
    <w:uiPriority w:val="39"/>
    <w:unhideWhenUsed/>
    <w:qFormat/>
    <w:rsid w:val="006919A1"/>
    <w:pPr>
      <w:spacing w:after="100"/>
      <w:ind w:left="440"/>
    </w:pPr>
  </w:style>
  <w:style w:type="character" w:styleId="Hyperlink">
    <w:name w:val="Hyperlink"/>
    <w:basedOn w:val="DefaultParagraphFont"/>
    <w:uiPriority w:val="99"/>
    <w:unhideWhenUsed/>
    <w:rsid w:val="006919A1"/>
    <w:rPr>
      <w:color w:val="0000FF" w:themeColor="hyperlink"/>
      <w:u w:val="single"/>
    </w:rPr>
  </w:style>
  <w:style w:type="paragraph" w:styleId="BalloonText">
    <w:name w:val="Balloon Text"/>
    <w:basedOn w:val="Normal"/>
    <w:link w:val="BalloonTextChar"/>
    <w:uiPriority w:val="99"/>
    <w:semiHidden/>
    <w:unhideWhenUsed/>
    <w:rsid w:val="006919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19A1"/>
    <w:rPr>
      <w:rFonts w:ascii="Tahoma" w:eastAsiaTheme="minorEastAsia" w:hAnsi="Tahoma" w:cs="Tahoma"/>
      <w:sz w:val="16"/>
      <w:szCs w:val="16"/>
    </w:rPr>
  </w:style>
  <w:style w:type="paragraph" w:styleId="Header">
    <w:name w:val="header"/>
    <w:basedOn w:val="Normal"/>
    <w:link w:val="HeaderChar"/>
    <w:uiPriority w:val="99"/>
    <w:unhideWhenUsed/>
    <w:rsid w:val="006919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9A1"/>
    <w:rPr>
      <w:rFonts w:eastAsiaTheme="minorEastAsia"/>
    </w:rPr>
  </w:style>
  <w:style w:type="paragraph" w:styleId="Footer">
    <w:name w:val="footer"/>
    <w:basedOn w:val="Normal"/>
    <w:link w:val="FooterChar"/>
    <w:uiPriority w:val="99"/>
    <w:unhideWhenUsed/>
    <w:rsid w:val="006919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9A1"/>
    <w:rPr>
      <w:rFonts w:eastAsiaTheme="minorEastAsia"/>
    </w:rPr>
  </w:style>
  <w:style w:type="character" w:customStyle="1" w:styleId="Heading2Char">
    <w:name w:val="Heading 2 Char"/>
    <w:basedOn w:val="DefaultParagraphFont"/>
    <w:link w:val="Heading2"/>
    <w:uiPriority w:val="9"/>
    <w:rsid w:val="008072D0"/>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3151DE"/>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semiHidden/>
    <w:rsid w:val="006919A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919A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919A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919A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919A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919A1"/>
    <w:rPr>
      <w:rFonts w:asciiTheme="majorHAnsi" w:eastAsiaTheme="majorEastAsia" w:hAnsiTheme="majorHAnsi" w:cstheme="majorBidi"/>
      <w:i/>
      <w:iCs/>
      <w:color w:val="404040" w:themeColor="text1" w:themeTint="BF"/>
      <w:sz w:val="20"/>
      <w:szCs w:val="20"/>
    </w:rPr>
  </w:style>
  <w:style w:type="character" w:customStyle="1" w:styleId="CommentTextChar">
    <w:name w:val="Comment Text Char"/>
    <w:basedOn w:val="DefaultParagraphFont"/>
    <w:link w:val="CommentText"/>
    <w:uiPriority w:val="99"/>
    <w:semiHidden/>
    <w:rsid w:val="0001663B"/>
    <w:rPr>
      <w:sz w:val="20"/>
      <w:szCs w:val="20"/>
    </w:rPr>
  </w:style>
  <w:style w:type="paragraph" w:styleId="CommentText">
    <w:name w:val="annotation text"/>
    <w:basedOn w:val="Normal"/>
    <w:link w:val="CommentTextChar"/>
    <w:uiPriority w:val="99"/>
    <w:semiHidden/>
    <w:unhideWhenUsed/>
    <w:rsid w:val="0001663B"/>
    <w:pPr>
      <w:spacing w:line="240" w:lineRule="auto"/>
    </w:pPr>
    <w:rPr>
      <w:rFonts w:eastAsiaTheme="minorHAnsi"/>
      <w:sz w:val="20"/>
      <w:szCs w:val="20"/>
    </w:rPr>
  </w:style>
  <w:style w:type="character" w:customStyle="1" w:styleId="CommentTextChar1">
    <w:name w:val="Comment Text Char1"/>
    <w:basedOn w:val="DefaultParagraphFont"/>
    <w:uiPriority w:val="99"/>
    <w:semiHidden/>
    <w:rsid w:val="0001663B"/>
    <w:rPr>
      <w:rFonts w:eastAsiaTheme="minorEastAsia"/>
      <w:sz w:val="20"/>
      <w:szCs w:val="20"/>
    </w:rPr>
  </w:style>
  <w:style w:type="character" w:styleId="CommentReference">
    <w:name w:val="annotation reference"/>
    <w:basedOn w:val="DefaultParagraphFont"/>
    <w:uiPriority w:val="99"/>
    <w:semiHidden/>
    <w:unhideWhenUsed/>
    <w:rsid w:val="0001663B"/>
    <w:rPr>
      <w:sz w:val="16"/>
      <w:szCs w:val="16"/>
    </w:rPr>
  </w:style>
  <w:style w:type="paragraph" w:styleId="Revision">
    <w:name w:val="Revision"/>
    <w:hidden/>
    <w:uiPriority w:val="99"/>
    <w:semiHidden/>
    <w:rsid w:val="001C516A"/>
    <w:pPr>
      <w:spacing w:after="0" w:line="240" w:lineRule="auto"/>
    </w:pPr>
    <w:rPr>
      <w:rFonts w:eastAsiaTheme="minorEastAsia"/>
    </w:rPr>
  </w:style>
  <w:style w:type="table" w:styleId="TableGrid">
    <w:name w:val="Table Grid"/>
    <w:basedOn w:val="TableNormal"/>
    <w:uiPriority w:val="59"/>
    <w:rsid w:val="00686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BA4C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1C10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278479">
      <w:bodyDiv w:val="1"/>
      <w:marLeft w:val="0"/>
      <w:marRight w:val="0"/>
      <w:marTop w:val="0"/>
      <w:marBottom w:val="0"/>
      <w:divBdr>
        <w:top w:val="none" w:sz="0" w:space="0" w:color="auto"/>
        <w:left w:val="none" w:sz="0" w:space="0" w:color="auto"/>
        <w:bottom w:val="none" w:sz="0" w:space="0" w:color="auto"/>
        <w:right w:val="none" w:sz="0" w:space="0" w:color="auto"/>
      </w:divBdr>
      <w:divsChild>
        <w:div w:id="667706763">
          <w:marLeft w:val="0"/>
          <w:marRight w:val="0"/>
          <w:marTop w:val="0"/>
          <w:marBottom w:val="0"/>
          <w:divBdr>
            <w:top w:val="none" w:sz="0" w:space="0" w:color="auto"/>
            <w:left w:val="none" w:sz="0" w:space="0" w:color="auto"/>
            <w:bottom w:val="none" w:sz="0" w:space="0" w:color="auto"/>
            <w:right w:val="none" w:sz="0" w:space="0" w:color="auto"/>
          </w:divBdr>
          <w:divsChild>
            <w:div w:id="784889004">
              <w:marLeft w:val="0"/>
              <w:marRight w:val="0"/>
              <w:marTop w:val="0"/>
              <w:marBottom w:val="0"/>
              <w:divBdr>
                <w:top w:val="none" w:sz="0" w:space="0" w:color="auto"/>
                <w:left w:val="none" w:sz="0" w:space="0" w:color="auto"/>
                <w:bottom w:val="none" w:sz="0" w:space="0" w:color="auto"/>
                <w:right w:val="none" w:sz="0" w:space="0" w:color="auto"/>
              </w:divBdr>
              <w:divsChild>
                <w:div w:id="332034918">
                  <w:marLeft w:val="0"/>
                  <w:marRight w:val="0"/>
                  <w:marTop w:val="0"/>
                  <w:marBottom w:val="0"/>
                  <w:divBdr>
                    <w:top w:val="none" w:sz="0" w:space="0" w:color="auto"/>
                    <w:left w:val="none" w:sz="0" w:space="0" w:color="auto"/>
                    <w:bottom w:val="none" w:sz="0" w:space="0" w:color="auto"/>
                    <w:right w:val="none" w:sz="0" w:space="0" w:color="auto"/>
                  </w:divBdr>
                  <w:divsChild>
                    <w:div w:id="972323896">
                      <w:marLeft w:val="0"/>
                      <w:marRight w:val="0"/>
                      <w:marTop w:val="0"/>
                      <w:marBottom w:val="0"/>
                      <w:divBdr>
                        <w:top w:val="none" w:sz="0" w:space="0" w:color="auto"/>
                        <w:left w:val="none" w:sz="0" w:space="0" w:color="auto"/>
                        <w:bottom w:val="none" w:sz="0" w:space="0" w:color="auto"/>
                        <w:right w:val="none" w:sz="0" w:space="0" w:color="auto"/>
                      </w:divBdr>
                      <w:divsChild>
                        <w:div w:id="828519689">
                          <w:marLeft w:val="0"/>
                          <w:marRight w:val="0"/>
                          <w:marTop w:val="0"/>
                          <w:marBottom w:val="0"/>
                          <w:divBdr>
                            <w:top w:val="none" w:sz="0" w:space="0" w:color="auto"/>
                            <w:left w:val="none" w:sz="0" w:space="0" w:color="auto"/>
                            <w:bottom w:val="none" w:sz="0" w:space="0" w:color="auto"/>
                            <w:right w:val="none" w:sz="0" w:space="0" w:color="auto"/>
                          </w:divBdr>
                          <w:divsChild>
                            <w:div w:id="188621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452292">
      <w:bodyDiv w:val="1"/>
      <w:marLeft w:val="0"/>
      <w:marRight w:val="0"/>
      <w:marTop w:val="0"/>
      <w:marBottom w:val="0"/>
      <w:divBdr>
        <w:top w:val="none" w:sz="0" w:space="0" w:color="auto"/>
        <w:left w:val="none" w:sz="0" w:space="0" w:color="auto"/>
        <w:bottom w:val="none" w:sz="0" w:space="0" w:color="auto"/>
        <w:right w:val="none" w:sz="0" w:space="0" w:color="auto"/>
      </w:divBdr>
      <w:divsChild>
        <w:div w:id="1499923649">
          <w:marLeft w:val="0"/>
          <w:marRight w:val="0"/>
          <w:marTop w:val="0"/>
          <w:marBottom w:val="0"/>
          <w:divBdr>
            <w:top w:val="none" w:sz="0" w:space="0" w:color="auto"/>
            <w:left w:val="none" w:sz="0" w:space="0" w:color="auto"/>
            <w:bottom w:val="none" w:sz="0" w:space="0" w:color="auto"/>
            <w:right w:val="none" w:sz="0" w:space="0" w:color="auto"/>
          </w:divBdr>
          <w:divsChild>
            <w:div w:id="420563128">
              <w:marLeft w:val="0"/>
              <w:marRight w:val="0"/>
              <w:marTop w:val="0"/>
              <w:marBottom w:val="0"/>
              <w:divBdr>
                <w:top w:val="none" w:sz="0" w:space="0" w:color="auto"/>
                <w:left w:val="none" w:sz="0" w:space="0" w:color="auto"/>
                <w:bottom w:val="none" w:sz="0" w:space="0" w:color="auto"/>
                <w:right w:val="none" w:sz="0" w:space="0" w:color="auto"/>
              </w:divBdr>
              <w:divsChild>
                <w:div w:id="1075664816">
                  <w:marLeft w:val="0"/>
                  <w:marRight w:val="0"/>
                  <w:marTop w:val="0"/>
                  <w:marBottom w:val="0"/>
                  <w:divBdr>
                    <w:top w:val="none" w:sz="0" w:space="0" w:color="auto"/>
                    <w:left w:val="none" w:sz="0" w:space="0" w:color="auto"/>
                    <w:bottom w:val="none" w:sz="0" w:space="0" w:color="auto"/>
                    <w:right w:val="none" w:sz="0" w:space="0" w:color="auto"/>
                  </w:divBdr>
                  <w:divsChild>
                    <w:div w:id="2133161704">
                      <w:marLeft w:val="0"/>
                      <w:marRight w:val="0"/>
                      <w:marTop w:val="0"/>
                      <w:marBottom w:val="0"/>
                      <w:divBdr>
                        <w:top w:val="none" w:sz="0" w:space="0" w:color="auto"/>
                        <w:left w:val="none" w:sz="0" w:space="0" w:color="auto"/>
                        <w:bottom w:val="none" w:sz="0" w:space="0" w:color="auto"/>
                        <w:right w:val="none" w:sz="0" w:space="0" w:color="auto"/>
                      </w:divBdr>
                      <w:divsChild>
                        <w:div w:id="1640109234">
                          <w:marLeft w:val="0"/>
                          <w:marRight w:val="0"/>
                          <w:marTop w:val="0"/>
                          <w:marBottom w:val="0"/>
                          <w:divBdr>
                            <w:top w:val="none" w:sz="0" w:space="0" w:color="auto"/>
                            <w:left w:val="none" w:sz="0" w:space="0" w:color="auto"/>
                            <w:bottom w:val="none" w:sz="0" w:space="0" w:color="auto"/>
                            <w:right w:val="none" w:sz="0" w:space="0" w:color="auto"/>
                          </w:divBdr>
                          <w:divsChild>
                            <w:div w:id="47483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chart" Target="charts/chart2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4.xml"/><Relationship Id="rId10" Type="http://schemas.openxmlformats.org/officeDocument/2006/relationships/header" Target="header1.xml"/><Relationship Id="rId19" Type="http://schemas.openxmlformats.org/officeDocument/2006/relationships/chart" Target="charts/chart7.xml"/><Relationship Id="rId31" Type="http://schemas.openxmlformats.org/officeDocument/2006/relationships/chart" Target="charts/chart19.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3.bin"/><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4.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Sheet1!$A$14</c:f>
              <c:strCache>
                <c:ptCount val="1"/>
                <c:pt idx="0">
                  <c:v>Bunch</c:v>
                </c:pt>
              </c:strCache>
            </c:strRef>
          </c:tx>
          <c:marker>
            <c:symbol val="none"/>
          </c:marker>
          <c:errBars>
            <c:errDir val="y"/>
            <c:errBarType val="both"/>
            <c:errValType val="cust"/>
            <c:noEndCap val="0"/>
            <c:plus>
              <c:numRef>
                <c:f>Sheet1!$B$18:$M$18</c:f>
                <c:numCache>
                  <c:formatCode>General</c:formatCode>
                  <c:ptCount val="12"/>
                  <c:pt idx="0">
                    <c:v>0.46939500000000001</c:v>
                  </c:pt>
                  <c:pt idx="1">
                    <c:v>1.113885</c:v>
                  </c:pt>
                  <c:pt idx="2">
                    <c:v>1.269415</c:v>
                  </c:pt>
                  <c:pt idx="3">
                    <c:v>1.5533650000000001</c:v>
                  </c:pt>
                  <c:pt idx="4">
                    <c:v>1.7919449999999999</c:v>
                  </c:pt>
                  <c:pt idx="5">
                    <c:v>2.1844950000000001</c:v>
                  </c:pt>
                  <c:pt idx="6">
                    <c:v>2.9758599999999991</c:v>
                  </c:pt>
                  <c:pt idx="7">
                    <c:v>3.319494999999999</c:v>
                  </c:pt>
                  <c:pt idx="8">
                    <c:v>3.869664999999999</c:v>
                  </c:pt>
                  <c:pt idx="9">
                    <c:v>4.6786500000000002</c:v>
                  </c:pt>
                  <c:pt idx="10">
                    <c:v>2.2492399999999999</c:v>
                  </c:pt>
                  <c:pt idx="11">
                    <c:v>2.4722499999999989</c:v>
                  </c:pt>
                </c:numCache>
              </c:numRef>
            </c:plus>
            <c:minus>
              <c:numRef>
                <c:f>Sheet1!$B$18:$M$18</c:f>
                <c:numCache>
                  <c:formatCode>General</c:formatCode>
                  <c:ptCount val="12"/>
                  <c:pt idx="0">
                    <c:v>0.46939500000000001</c:v>
                  </c:pt>
                  <c:pt idx="1">
                    <c:v>1.113885</c:v>
                  </c:pt>
                  <c:pt idx="2">
                    <c:v>1.269415</c:v>
                  </c:pt>
                  <c:pt idx="3">
                    <c:v>1.5533650000000001</c:v>
                  </c:pt>
                  <c:pt idx="4">
                    <c:v>1.7919449999999999</c:v>
                  </c:pt>
                  <c:pt idx="5">
                    <c:v>2.1844950000000001</c:v>
                  </c:pt>
                  <c:pt idx="6">
                    <c:v>2.9758599999999991</c:v>
                  </c:pt>
                  <c:pt idx="7">
                    <c:v>3.319494999999999</c:v>
                  </c:pt>
                  <c:pt idx="8">
                    <c:v>3.869664999999999</c:v>
                  </c:pt>
                  <c:pt idx="9">
                    <c:v>4.6786500000000002</c:v>
                  </c:pt>
                  <c:pt idx="10">
                    <c:v>2.2492399999999999</c:v>
                  </c:pt>
                  <c:pt idx="11">
                    <c:v>2.4722499999999989</c:v>
                  </c:pt>
                </c:numCache>
              </c:numRef>
            </c:minus>
          </c:errBars>
          <c:cat>
            <c:strRef>
              <c:f>Sheet1!$B$13:$M$13</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Sheet1!$B$14:$M$14</c:f>
              <c:numCache>
                <c:formatCode>General</c:formatCode>
                <c:ptCount val="12"/>
                <c:pt idx="0">
                  <c:v>12.618499999999999</c:v>
                </c:pt>
                <c:pt idx="1">
                  <c:v>33.622300000000003</c:v>
                </c:pt>
                <c:pt idx="2">
                  <c:v>36.111899999999999</c:v>
                </c:pt>
                <c:pt idx="3">
                  <c:v>35.148499999999999</c:v>
                </c:pt>
                <c:pt idx="4">
                  <c:v>75.750100000000003</c:v>
                </c:pt>
                <c:pt idx="5">
                  <c:v>76.906099999999995</c:v>
                </c:pt>
                <c:pt idx="6">
                  <c:v>66.240600000000001</c:v>
                </c:pt>
                <c:pt idx="7">
                  <c:v>56.514499999999998</c:v>
                </c:pt>
                <c:pt idx="8">
                  <c:v>47.901600000000002</c:v>
                </c:pt>
                <c:pt idx="9">
                  <c:v>17.5197</c:v>
                </c:pt>
                <c:pt idx="10">
                  <c:v>10.8546</c:v>
                </c:pt>
                <c:pt idx="11">
                  <c:v>18.250299999999999</c:v>
                </c:pt>
              </c:numCache>
            </c:numRef>
          </c:val>
          <c:smooth val="0"/>
        </c:ser>
        <c:ser>
          <c:idx val="1"/>
          <c:order val="1"/>
          <c:tx>
            <c:strRef>
              <c:f>Sheet1!$A$15</c:f>
              <c:strCache>
                <c:ptCount val="1"/>
                <c:pt idx="0">
                  <c:v>Rhizomatous</c:v>
                </c:pt>
              </c:strCache>
            </c:strRef>
          </c:tx>
          <c:marker>
            <c:symbol val="none"/>
          </c:marker>
          <c:errBars>
            <c:errDir val="y"/>
            <c:errBarType val="both"/>
            <c:errValType val="cust"/>
            <c:noEndCap val="0"/>
            <c:plus>
              <c:numRef>
                <c:f>Sheet1!$B$18:$M$18</c:f>
                <c:numCache>
                  <c:formatCode>General</c:formatCode>
                  <c:ptCount val="12"/>
                  <c:pt idx="0">
                    <c:v>0.46939500000000001</c:v>
                  </c:pt>
                  <c:pt idx="1">
                    <c:v>1.113885</c:v>
                  </c:pt>
                  <c:pt idx="2">
                    <c:v>1.269415</c:v>
                  </c:pt>
                  <c:pt idx="3">
                    <c:v>1.5533650000000001</c:v>
                  </c:pt>
                  <c:pt idx="4">
                    <c:v>1.7919449999999999</c:v>
                  </c:pt>
                  <c:pt idx="5">
                    <c:v>2.1844950000000001</c:v>
                  </c:pt>
                  <c:pt idx="6">
                    <c:v>2.9758599999999991</c:v>
                  </c:pt>
                  <c:pt idx="7">
                    <c:v>3.319494999999999</c:v>
                  </c:pt>
                  <c:pt idx="8">
                    <c:v>3.869664999999999</c:v>
                  </c:pt>
                  <c:pt idx="9">
                    <c:v>4.6786500000000002</c:v>
                  </c:pt>
                  <c:pt idx="10">
                    <c:v>2.2492399999999999</c:v>
                  </c:pt>
                  <c:pt idx="11">
                    <c:v>2.4722499999999989</c:v>
                  </c:pt>
                </c:numCache>
              </c:numRef>
            </c:plus>
            <c:minus>
              <c:numRef>
                <c:f>Sheet1!$B$18:$M$18</c:f>
                <c:numCache>
                  <c:formatCode>General</c:formatCode>
                  <c:ptCount val="12"/>
                  <c:pt idx="0">
                    <c:v>0.46939500000000001</c:v>
                  </c:pt>
                  <c:pt idx="1">
                    <c:v>1.113885</c:v>
                  </c:pt>
                  <c:pt idx="2">
                    <c:v>1.269415</c:v>
                  </c:pt>
                  <c:pt idx="3">
                    <c:v>1.5533650000000001</c:v>
                  </c:pt>
                  <c:pt idx="4">
                    <c:v>1.7919449999999999</c:v>
                  </c:pt>
                  <c:pt idx="5">
                    <c:v>2.1844950000000001</c:v>
                  </c:pt>
                  <c:pt idx="6">
                    <c:v>2.9758599999999991</c:v>
                  </c:pt>
                  <c:pt idx="7">
                    <c:v>3.319494999999999</c:v>
                  </c:pt>
                  <c:pt idx="8">
                    <c:v>3.869664999999999</c:v>
                  </c:pt>
                  <c:pt idx="9">
                    <c:v>4.6786500000000002</c:v>
                  </c:pt>
                  <c:pt idx="10">
                    <c:v>2.2492399999999999</c:v>
                  </c:pt>
                  <c:pt idx="11">
                    <c:v>2.4722499999999989</c:v>
                  </c:pt>
                </c:numCache>
              </c:numRef>
            </c:minus>
          </c:errBars>
          <c:cat>
            <c:strRef>
              <c:f>Sheet1!$B$13:$M$13</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Sheet1!$B$15:$M$15</c:f>
              <c:numCache>
                <c:formatCode>General</c:formatCode>
                <c:ptCount val="12"/>
                <c:pt idx="0">
                  <c:v>12.759600000000001</c:v>
                </c:pt>
                <c:pt idx="1">
                  <c:v>36.7254</c:v>
                </c:pt>
                <c:pt idx="2">
                  <c:v>41.479000000000013</c:v>
                </c:pt>
                <c:pt idx="3">
                  <c:v>39.183700000000002</c:v>
                </c:pt>
                <c:pt idx="4">
                  <c:v>79.37939999999999</c:v>
                </c:pt>
                <c:pt idx="5">
                  <c:v>80.801699999999997</c:v>
                </c:pt>
                <c:pt idx="6">
                  <c:v>74.704800000000006</c:v>
                </c:pt>
                <c:pt idx="7">
                  <c:v>75.721300000000014</c:v>
                </c:pt>
                <c:pt idx="8">
                  <c:v>70.816900000000004</c:v>
                </c:pt>
                <c:pt idx="9">
                  <c:v>48.055</c:v>
                </c:pt>
                <c:pt idx="10">
                  <c:v>48.743299999999998</c:v>
                </c:pt>
                <c:pt idx="11">
                  <c:v>63.5306</c:v>
                </c:pt>
              </c:numCache>
            </c:numRef>
          </c:val>
          <c:smooth val="0"/>
        </c:ser>
        <c:ser>
          <c:idx val="2"/>
          <c:order val="2"/>
          <c:tx>
            <c:strRef>
              <c:f>Sheet1!$A$16</c:f>
              <c:strCache>
                <c:ptCount val="1"/>
                <c:pt idx="0">
                  <c:v>Stoloniferous</c:v>
                </c:pt>
              </c:strCache>
            </c:strRef>
          </c:tx>
          <c:marker>
            <c:symbol val="none"/>
          </c:marker>
          <c:errBars>
            <c:errDir val="y"/>
            <c:errBarType val="both"/>
            <c:errValType val="cust"/>
            <c:noEndCap val="0"/>
            <c:plus>
              <c:numRef>
                <c:f>Sheet1!$B$18:$M$18</c:f>
                <c:numCache>
                  <c:formatCode>General</c:formatCode>
                  <c:ptCount val="12"/>
                  <c:pt idx="0">
                    <c:v>0.46939500000000001</c:v>
                  </c:pt>
                  <c:pt idx="1">
                    <c:v>1.113885</c:v>
                  </c:pt>
                  <c:pt idx="2">
                    <c:v>1.269415</c:v>
                  </c:pt>
                  <c:pt idx="3">
                    <c:v>1.5533650000000001</c:v>
                  </c:pt>
                  <c:pt idx="4">
                    <c:v>1.7919449999999999</c:v>
                  </c:pt>
                  <c:pt idx="5">
                    <c:v>2.1844950000000001</c:v>
                  </c:pt>
                  <c:pt idx="6">
                    <c:v>2.9758599999999991</c:v>
                  </c:pt>
                  <c:pt idx="7">
                    <c:v>3.319494999999999</c:v>
                  </c:pt>
                  <c:pt idx="8">
                    <c:v>3.869664999999999</c:v>
                  </c:pt>
                  <c:pt idx="9">
                    <c:v>4.6786500000000002</c:v>
                  </c:pt>
                  <c:pt idx="10">
                    <c:v>2.2492399999999999</c:v>
                  </c:pt>
                  <c:pt idx="11">
                    <c:v>2.4722499999999989</c:v>
                  </c:pt>
                </c:numCache>
              </c:numRef>
            </c:plus>
            <c:minus>
              <c:numRef>
                <c:f>Sheet1!$B$18:$M$18</c:f>
                <c:numCache>
                  <c:formatCode>General</c:formatCode>
                  <c:ptCount val="12"/>
                  <c:pt idx="0">
                    <c:v>0.46939500000000001</c:v>
                  </c:pt>
                  <c:pt idx="1">
                    <c:v>1.113885</c:v>
                  </c:pt>
                  <c:pt idx="2">
                    <c:v>1.269415</c:v>
                  </c:pt>
                  <c:pt idx="3">
                    <c:v>1.5533650000000001</c:v>
                  </c:pt>
                  <c:pt idx="4">
                    <c:v>1.7919449999999999</c:v>
                  </c:pt>
                  <c:pt idx="5">
                    <c:v>2.1844950000000001</c:v>
                  </c:pt>
                  <c:pt idx="6">
                    <c:v>2.9758599999999991</c:v>
                  </c:pt>
                  <c:pt idx="7">
                    <c:v>3.319494999999999</c:v>
                  </c:pt>
                  <c:pt idx="8">
                    <c:v>3.869664999999999</c:v>
                  </c:pt>
                  <c:pt idx="9">
                    <c:v>4.6786500000000002</c:v>
                  </c:pt>
                  <c:pt idx="10">
                    <c:v>2.2492399999999999</c:v>
                  </c:pt>
                  <c:pt idx="11">
                    <c:v>2.4722499999999989</c:v>
                  </c:pt>
                </c:numCache>
              </c:numRef>
            </c:minus>
          </c:errBars>
          <c:cat>
            <c:strRef>
              <c:f>Sheet1!$B$13:$M$13</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Sheet1!$B$16:$M$16</c:f>
              <c:numCache>
                <c:formatCode>General</c:formatCode>
                <c:ptCount val="12"/>
                <c:pt idx="0">
                  <c:v>17.1495</c:v>
                </c:pt>
                <c:pt idx="1">
                  <c:v>42.451500000000003</c:v>
                </c:pt>
                <c:pt idx="2">
                  <c:v>46.239000000000011</c:v>
                </c:pt>
                <c:pt idx="3">
                  <c:v>47.793000000000013</c:v>
                </c:pt>
                <c:pt idx="4">
                  <c:v>87.239000000000004</c:v>
                </c:pt>
                <c:pt idx="5">
                  <c:v>80.248999999999995</c:v>
                </c:pt>
                <c:pt idx="6">
                  <c:v>79.215999999999994</c:v>
                </c:pt>
                <c:pt idx="7">
                  <c:v>69.718999999999994</c:v>
                </c:pt>
                <c:pt idx="8">
                  <c:v>68.302000000000007</c:v>
                </c:pt>
                <c:pt idx="9">
                  <c:v>19.0075</c:v>
                </c:pt>
                <c:pt idx="10">
                  <c:v>10.6675</c:v>
                </c:pt>
                <c:pt idx="11">
                  <c:v>14.1555</c:v>
                </c:pt>
              </c:numCache>
            </c:numRef>
          </c:val>
          <c:smooth val="0"/>
        </c:ser>
        <c:dLbls>
          <c:showLegendKey val="0"/>
          <c:showVal val="0"/>
          <c:showCatName val="0"/>
          <c:showSerName val="0"/>
          <c:showPercent val="0"/>
          <c:showBubbleSize val="0"/>
        </c:dLbls>
        <c:marker val="1"/>
        <c:smooth val="0"/>
        <c:axId val="173490176"/>
        <c:axId val="173496576"/>
      </c:lineChart>
      <c:catAx>
        <c:axId val="173490176"/>
        <c:scaling>
          <c:orientation val="minMax"/>
        </c:scaling>
        <c:delete val="1"/>
        <c:axPos val="b"/>
        <c:majorTickMark val="out"/>
        <c:minorTickMark val="none"/>
        <c:tickLblPos val="nextTo"/>
        <c:crossAx val="173496576"/>
        <c:crosses val="autoZero"/>
        <c:auto val="1"/>
        <c:lblAlgn val="ctr"/>
        <c:lblOffset val="100"/>
        <c:noMultiLvlLbl val="0"/>
      </c:catAx>
      <c:valAx>
        <c:axId val="173496576"/>
        <c:scaling>
          <c:orientation val="minMax"/>
          <c:min val="10"/>
        </c:scaling>
        <c:delete val="0"/>
        <c:axPos val="l"/>
        <c:majorGridlines/>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en-US"/>
          </a:p>
        </c:txPr>
        <c:crossAx val="173490176"/>
        <c:crosses val="autoZero"/>
        <c:crossBetween val="between"/>
      </c:valAx>
    </c:plotArea>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66788782981075"/>
          <c:y val="0.130502500668741"/>
          <c:w val="0.67012875915763004"/>
          <c:h val="0.754118771628011"/>
        </c:manualLayout>
      </c:layout>
      <c:barChart>
        <c:barDir val="bar"/>
        <c:grouping val="stacked"/>
        <c:varyColors val="0"/>
        <c:ser>
          <c:idx val="0"/>
          <c:order val="0"/>
          <c:tx>
            <c:strRef>
              <c:f>Fwy!$P$137</c:f>
              <c:strCache>
                <c:ptCount val="1"/>
                <c:pt idx="0">
                  <c:v>Bermuda LSD(0.05) 2.3</c:v>
                </c:pt>
              </c:strCache>
            </c:strRef>
          </c:tx>
          <c:invertIfNegative val="0"/>
          <c:cat>
            <c:multiLvlStrRef>
              <c:f>Fwy!$N$138:$O$149</c:f>
              <c:multiLvlStrCache>
                <c:ptCount val="12"/>
                <c:lvl>
                  <c:pt idx="0">
                    <c:v>control</c:v>
                  </c:pt>
                  <c:pt idx="1">
                    <c:v>annual ryegrass</c:v>
                  </c:pt>
                  <c:pt idx="2">
                    <c:v>intermediate ryegrass </c:v>
                  </c:pt>
                  <c:pt idx="3">
                    <c:v>perennial ryegrass</c:v>
                  </c:pt>
                  <c:pt idx="4">
                    <c:v>rough bluegrass</c:v>
                  </c:pt>
                  <c:pt idx="5">
                    <c:v>wood bluegrass</c:v>
                  </c:pt>
                  <c:pt idx="6">
                    <c:v>control</c:v>
                  </c:pt>
                  <c:pt idx="7">
                    <c:v>annual ryegrass</c:v>
                  </c:pt>
                  <c:pt idx="8">
                    <c:v>intermediate ryegrass </c:v>
                  </c:pt>
                  <c:pt idx="9">
                    <c:v>perennial ryegrass</c:v>
                  </c:pt>
                  <c:pt idx="10">
                    <c:v>rough bluegrass</c:v>
                  </c:pt>
                  <c:pt idx="11">
                    <c:v>wood bluegrass</c:v>
                  </c:pt>
                </c:lvl>
                <c:lvl>
                  <c:pt idx="0">
                    <c:v>NT</c:v>
                  </c:pt>
                  <c:pt idx="6">
                    <c:v>TS</c:v>
                  </c:pt>
                </c:lvl>
              </c:multiLvlStrCache>
            </c:multiLvlStrRef>
          </c:cat>
          <c:val>
            <c:numRef>
              <c:f>Fwy!$P$138:$P$149</c:f>
              <c:numCache>
                <c:formatCode>0.0</c:formatCode>
                <c:ptCount val="12"/>
                <c:pt idx="0">
                  <c:v>98.75</c:v>
                </c:pt>
                <c:pt idx="1">
                  <c:v>94.5</c:v>
                </c:pt>
                <c:pt idx="2">
                  <c:v>75.5</c:v>
                </c:pt>
                <c:pt idx="3">
                  <c:v>82</c:v>
                </c:pt>
                <c:pt idx="4">
                  <c:v>71.75</c:v>
                </c:pt>
                <c:pt idx="5">
                  <c:v>95.5</c:v>
                </c:pt>
                <c:pt idx="6">
                  <c:v>100</c:v>
                </c:pt>
                <c:pt idx="7">
                  <c:v>99.75</c:v>
                </c:pt>
                <c:pt idx="8">
                  <c:v>98.75</c:v>
                </c:pt>
                <c:pt idx="9">
                  <c:v>99.25</c:v>
                </c:pt>
                <c:pt idx="10">
                  <c:v>97.75</c:v>
                </c:pt>
                <c:pt idx="11">
                  <c:v>99.75</c:v>
                </c:pt>
              </c:numCache>
            </c:numRef>
          </c:val>
        </c:ser>
        <c:ser>
          <c:idx val="1"/>
          <c:order val="1"/>
          <c:tx>
            <c:strRef>
              <c:f>Fwy!$Q$137</c:f>
              <c:strCache>
                <c:ptCount val="1"/>
                <c:pt idx="0">
                  <c:v>Overseed LSD(0.05) 8.8</c:v>
                </c:pt>
              </c:strCache>
            </c:strRef>
          </c:tx>
          <c:invertIfNegative val="0"/>
          <c:cat>
            <c:multiLvlStrRef>
              <c:f>Fwy!$N$138:$O$149</c:f>
              <c:multiLvlStrCache>
                <c:ptCount val="12"/>
                <c:lvl>
                  <c:pt idx="0">
                    <c:v>control</c:v>
                  </c:pt>
                  <c:pt idx="1">
                    <c:v>annual ryegrass</c:v>
                  </c:pt>
                  <c:pt idx="2">
                    <c:v>intermediate ryegrass </c:v>
                  </c:pt>
                  <c:pt idx="3">
                    <c:v>perennial ryegrass</c:v>
                  </c:pt>
                  <c:pt idx="4">
                    <c:v>rough bluegrass</c:v>
                  </c:pt>
                  <c:pt idx="5">
                    <c:v>wood bluegrass</c:v>
                  </c:pt>
                  <c:pt idx="6">
                    <c:v>control</c:v>
                  </c:pt>
                  <c:pt idx="7">
                    <c:v>annual ryegrass</c:v>
                  </c:pt>
                  <c:pt idx="8">
                    <c:v>intermediate ryegrass </c:v>
                  </c:pt>
                  <c:pt idx="9">
                    <c:v>perennial ryegrass</c:v>
                  </c:pt>
                  <c:pt idx="10">
                    <c:v>rough bluegrass</c:v>
                  </c:pt>
                  <c:pt idx="11">
                    <c:v>wood bluegrass</c:v>
                  </c:pt>
                </c:lvl>
                <c:lvl>
                  <c:pt idx="0">
                    <c:v>NT</c:v>
                  </c:pt>
                  <c:pt idx="6">
                    <c:v>TS</c:v>
                  </c:pt>
                </c:lvl>
              </c:multiLvlStrCache>
            </c:multiLvlStrRef>
          </c:cat>
          <c:val>
            <c:numRef>
              <c:f>Fwy!$Q$138:$Q$149</c:f>
              <c:numCache>
                <c:formatCode>General</c:formatCode>
                <c:ptCount val="12"/>
                <c:pt idx="0">
                  <c:v>3.75</c:v>
                </c:pt>
                <c:pt idx="1">
                  <c:v>5.25</c:v>
                </c:pt>
                <c:pt idx="2">
                  <c:v>23.25</c:v>
                </c:pt>
                <c:pt idx="3">
                  <c:v>25.25</c:v>
                </c:pt>
                <c:pt idx="4">
                  <c:v>26.25</c:v>
                </c:pt>
                <c:pt idx="5">
                  <c:v>4.25</c:v>
                </c:pt>
                <c:pt idx="6">
                  <c:v>0</c:v>
                </c:pt>
                <c:pt idx="7">
                  <c:v>0</c:v>
                </c:pt>
                <c:pt idx="8">
                  <c:v>0</c:v>
                </c:pt>
                <c:pt idx="9">
                  <c:v>0</c:v>
                </c:pt>
                <c:pt idx="10">
                  <c:v>0</c:v>
                </c:pt>
                <c:pt idx="11">
                  <c:v>0.25</c:v>
                </c:pt>
              </c:numCache>
            </c:numRef>
          </c:val>
        </c:ser>
        <c:dLbls>
          <c:showLegendKey val="0"/>
          <c:showVal val="0"/>
          <c:showCatName val="0"/>
          <c:showSerName val="0"/>
          <c:showPercent val="0"/>
          <c:showBubbleSize val="0"/>
        </c:dLbls>
        <c:gapWidth val="150"/>
        <c:overlap val="100"/>
        <c:axId val="177497216"/>
        <c:axId val="177498752"/>
      </c:barChart>
      <c:catAx>
        <c:axId val="177497216"/>
        <c:scaling>
          <c:orientation val="minMax"/>
        </c:scaling>
        <c:delete val="0"/>
        <c:axPos val="l"/>
        <c:majorTickMark val="out"/>
        <c:minorTickMark val="none"/>
        <c:tickLblPos val="nextTo"/>
        <c:txPr>
          <a:bodyPr/>
          <a:lstStyle/>
          <a:p>
            <a:pPr>
              <a:defRPr b="1"/>
            </a:pPr>
            <a:endParaRPr lang="en-US"/>
          </a:p>
        </c:txPr>
        <c:crossAx val="177498752"/>
        <c:crosses val="autoZero"/>
        <c:auto val="1"/>
        <c:lblAlgn val="ctr"/>
        <c:lblOffset val="100"/>
        <c:noMultiLvlLbl val="0"/>
      </c:catAx>
      <c:valAx>
        <c:axId val="177498752"/>
        <c:scaling>
          <c:orientation val="minMax"/>
          <c:max val="100"/>
        </c:scaling>
        <c:delete val="0"/>
        <c:axPos val="b"/>
        <c:majorGridlines/>
        <c:numFmt formatCode="0" sourceLinked="0"/>
        <c:majorTickMark val="out"/>
        <c:minorTickMark val="none"/>
        <c:tickLblPos val="nextTo"/>
        <c:txPr>
          <a:bodyPr/>
          <a:lstStyle/>
          <a:p>
            <a:pPr>
              <a:defRPr b="1"/>
            </a:pPr>
            <a:endParaRPr lang="en-US"/>
          </a:p>
        </c:txPr>
        <c:crossAx val="177497216"/>
        <c:crosses val="autoZero"/>
        <c:crossBetween val="between"/>
      </c:valAx>
    </c:plotArea>
    <c:legend>
      <c:legendPos val="t"/>
      <c:overlay val="0"/>
      <c:txPr>
        <a:bodyPr/>
        <a:lstStyle/>
        <a:p>
          <a:pPr>
            <a:defRPr b="1"/>
          </a:pPr>
          <a:endParaRPr lang="en-US"/>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66788782981075"/>
          <c:y val="0.130502500668741"/>
          <c:w val="0.67012875915763004"/>
          <c:h val="0.754118771628011"/>
        </c:manualLayout>
      </c:layout>
      <c:barChart>
        <c:barDir val="bar"/>
        <c:grouping val="stacked"/>
        <c:varyColors val="0"/>
        <c:ser>
          <c:idx val="0"/>
          <c:order val="0"/>
          <c:tx>
            <c:strRef>
              <c:f>'[Chart in Microsoft Word]Fwy'!$P$168</c:f>
              <c:strCache>
                <c:ptCount val="1"/>
                <c:pt idx="0">
                  <c:v>Bermuda LSD (0.05) 4.4</c:v>
                </c:pt>
              </c:strCache>
            </c:strRef>
          </c:tx>
          <c:invertIfNegative val="0"/>
          <c:cat>
            <c:multiLvlStrRef>
              <c:f>'[Chart in Microsoft Word]Fwy'!$N$169:$O$180</c:f>
              <c:multiLvlStrCache>
                <c:ptCount val="12"/>
                <c:lvl>
                  <c:pt idx="0">
                    <c:v>control</c:v>
                  </c:pt>
                  <c:pt idx="1">
                    <c:v>annual ryegrass</c:v>
                  </c:pt>
                  <c:pt idx="2">
                    <c:v>intermediate ryegrass </c:v>
                  </c:pt>
                  <c:pt idx="3">
                    <c:v>perennial ryegrass</c:v>
                  </c:pt>
                  <c:pt idx="4">
                    <c:v>rough bluegrass</c:v>
                  </c:pt>
                  <c:pt idx="5">
                    <c:v>wood bluegrass</c:v>
                  </c:pt>
                  <c:pt idx="6">
                    <c:v>control</c:v>
                  </c:pt>
                  <c:pt idx="7">
                    <c:v>annual ryegrass</c:v>
                  </c:pt>
                  <c:pt idx="8">
                    <c:v>intermediate ryegrass </c:v>
                  </c:pt>
                  <c:pt idx="9">
                    <c:v>perennial ryegrass</c:v>
                  </c:pt>
                  <c:pt idx="10">
                    <c:v>rough bluegrass</c:v>
                  </c:pt>
                  <c:pt idx="11">
                    <c:v>wood bluegrass</c:v>
                  </c:pt>
                </c:lvl>
                <c:lvl>
                  <c:pt idx="0">
                    <c:v>NT</c:v>
                  </c:pt>
                  <c:pt idx="6">
                    <c:v>TS</c:v>
                  </c:pt>
                </c:lvl>
              </c:multiLvlStrCache>
            </c:multiLvlStrRef>
          </c:cat>
          <c:val>
            <c:numRef>
              <c:f>'[Chart in Microsoft Word]Fwy'!$P$169:$P$180</c:f>
              <c:numCache>
                <c:formatCode>0</c:formatCode>
                <c:ptCount val="12"/>
                <c:pt idx="0">
                  <c:v>99.75</c:v>
                </c:pt>
                <c:pt idx="1">
                  <c:v>99.75</c:v>
                </c:pt>
                <c:pt idx="2">
                  <c:v>92.75</c:v>
                </c:pt>
                <c:pt idx="3">
                  <c:v>74.5</c:v>
                </c:pt>
                <c:pt idx="4">
                  <c:v>55.75</c:v>
                </c:pt>
                <c:pt idx="5">
                  <c:v>99</c:v>
                </c:pt>
                <c:pt idx="6">
                  <c:v>100</c:v>
                </c:pt>
                <c:pt idx="7">
                  <c:v>100</c:v>
                </c:pt>
                <c:pt idx="8">
                  <c:v>99.5</c:v>
                </c:pt>
                <c:pt idx="9">
                  <c:v>98.5</c:v>
                </c:pt>
                <c:pt idx="10">
                  <c:v>99.75</c:v>
                </c:pt>
                <c:pt idx="11">
                  <c:v>100</c:v>
                </c:pt>
              </c:numCache>
            </c:numRef>
          </c:val>
        </c:ser>
        <c:ser>
          <c:idx val="1"/>
          <c:order val="1"/>
          <c:tx>
            <c:strRef>
              <c:f>'[Chart in Microsoft Word]Fwy'!$Q$168</c:f>
              <c:strCache>
                <c:ptCount val="1"/>
                <c:pt idx="0">
                  <c:v>Overseed LSD (0.05) 2.4</c:v>
                </c:pt>
              </c:strCache>
            </c:strRef>
          </c:tx>
          <c:invertIfNegative val="0"/>
          <c:cat>
            <c:multiLvlStrRef>
              <c:f>'[Chart in Microsoft Word]Fwy'!$N$169:$O$180</c:f>
              <c:multiLvlStrCache>
                <c:ptCount val="12"/>
                <c:lvl>
                  <c:pt idx="0">
                    <c:v>control</c:v>
                  </c:pt>
                  <c:pt idx="1">
                    <c:v>annual ryegrass</c:v>
                  </c:pt>
                  <c:pt idx="2">
                    <c:v>intermediate ryegrass </c:v>
                  </c:pt>
                  <c:pt idx="3">
                    <c:v>perennial ryegrass</c:v>
                  </c:pt>
                  <c:pt idx="4">
                    <c:v>rough bluegrass</c:v>
                  </c:pt>
                  <c:pt idx="5">
                    <c:v>wood bluegrass</c:v>
                  </c:pt>
                  <c:pt idx="6">
                    <c:v>control</c:v>
                  </c:pt>
                  <c:pt idx="7">
                    <c:v>annual ryegrass</c:v>
                  </c:pt>
                  <c:pt idx="8">
                    <c:v>intermediate ryegrass </c:v>
                  </c:pt>
                  <c:pt idx="9">
                    <c:v>perennial ryegrass</c:v>
                  </c:pt>
                  <c:pt idx="10">
                    <c:v>rough bluegrass</c:v>
                  </c:pt>
                  <c:pt idx="11">
                    <c:v>wood bluegrass</c:v>
                  </c:pt>
                </c:lvl>
                <c:lvl>
                  <c:pt idx="0">
                    <c:v>NT</c:v>
                  </c:pt>
                  <c:pt idx="6">
                    <c:v>TS</c:v>
                  </c:pt>
                </c:lvl>
              </c:multiLvlStrCache>
            </c:multiLvlStrRef>
          </c:cat>
          <c:val>
            <c:numRef>
              <c:f>'[Chart in Microsoft Word]Fwy'!$Q$169:$Q$180</c:f>
              <c:numCache>
                <c:formatCode>General</c:formatCode>
                <c:ptCount val="12"/>
                <c:pt idx="0">
                  <c:v>0.25</c:v>
                </c:pt>
                <c:pt idx="1">
                  <c:v>0</c:v>
                </c:pt>
                <c:pt idx="2">
                  <c:v>7.25</c:v>
                </c:pt>
                <c:pt idx="3">
                  <c:v>26.5</c:v>
                </c:pt>
                <c:pt idx="4">
                  <c:v>47</c:v>
                </c:pt>
                <c:pt idx="5">
                  <c:v>1</c:v>
                </c:pt>
                <c:pt idx="6">
                  <c:v>0</c:v>
                </c:pt>
                <c:pt idx="7">
                  <c:v>0</c:v>
                </c:pt>
                <c:pt idx="8">
                  <c:v>0.5</c:v>
                </c:pt>
                <c:pt idx="9">
                  <c:v>1.5</c:v>
                </c:pt>
                <c:pt idx="10">
                  <c:v>0.25</c:v>
                </c:pt>
                <c:pt idx="11">
                  <c:v>0</c:v>
                </c:pt>
              </c:numCache>
            </c:numRef>
          </c:val>
        </c:ser>
        <c:dLbls>
          <c:showLegendKey val="0"/>
          <c:showVal val="0"/>
          <c:showCatName val="0"/>
          <c:showSerName val="0"/>
          <c:showPercent val="0"/>
          <c:showBubbleSize val="0"/>
        </c:dLbls>
        <c:gapWidth val="150"/>
        <c:overlap val="100"/>
        <c:axId val="177851392"/>
        <c:axId val="177857280"/>
      </c:barChart>
      <c:catAx>
        <c:axId val="177851392"/>
        <c:scaling>
          <c:orientation val="minMax"/>
        </c:scaling>
        <c:delete val="0"/>
        <c:axPos val="l"/>
        <c:majorTickMark val="out"/>
        <c:minorTickMark val="none"/>
        <c:tickLblPos val="nextTo"/>
        <c:txPr>
          <a:bodyPr/>
          <a:lstStyle/>
          <a:p>
            <a:pPr>
              <a:defRPr b="1"/>
            </a:pPr>
            <a:endParaRPr lang="en-US"/>
          </a:p>
        </c:txPr>
        <c:crossAx val="177857280"/>
        <c:crosses val="autoZero"/>
        <c:auto val="1"/>
        <c:lblAlgn val="ctr"/>
        <c:lblOffset val="100"/>
        <c:noMultiLvlLbl val="0"/>
      </c:catAx>
      <c:valAx>
        <c:axId val="177857280"/>
        <c:scaling>
          <c:orientation val="minMax"/>
          <c:max val="100"/>
        </c:scaling>
        <c:delete val="0"/>
        <c:axPos val="b"/>
        <c:majorGridlines/>
        <c:numFmt formatCode="0" sourceLinked="1"/>
        <c:majorTickMark val="out"/>
        <c:minorTickMark val="none"/>
        <c:tickLblPos val="nextTo"/>
        <c:txPr>
          <a:bodyPr/>
          <a:lstStyle/>
          <a:p>
            <a:pPr>
              <a:defRPr b="1"/>
            </a:pPr>
            <a:endParaRPr lang="en-US"/>
          </a:p>
        </c:txPr>
        <c:crossAx val="177851392"/>
        <c:crosses val="autoZero"/>
        <c:crossBetween val="between"/>
      </c:valAx>
    </c:plotArea>
    <c:legend>
      <c:legendPos val="t"/>
      <c:overlay val="0"/>
      <c:txPr>
        <a:bodyPr/>
        <a:lstStyle/>
        <a:p>
          <a:pPr>
            <a:defRPr b="1"/>
          </a:pPr>
          <a:endParaRPr lang="en-US"/>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66788782981075"/>
          <c:y val="0.130502500668741"/>
          <c:w val="0.67012875915763004"/>
          <c:h val="0.754118771628011"/>
        </c:manualLayout>
      </c:layout>
      <c:barChart>
        <c:barDir val="bar"/>
        <c:grouping val="stacked"/>
        <c:varyColors val="0"/>
        <c:ser>
          <c:idx val="0"/>
          <c:order val="0"/>
          <c:tx>
            <c:strRef>
              <c:f>'[Chart in Microsoft Word]Fwy'!$P$182</c:f>
              <c:strCache>
                <c:ptCount val="1"/>
                <c:pt idx="0">
                  <c:v>Bermuda</c:v>
                </c:pt>
              </c:strCache>
            </c:strRef>
          </c:tx>
          <c:invertIfNegative val="0"/>
          <c:cat>
            <c:multiLvlStrRef>
              <c:f>'[Chart in Microsoft Word]Fwy'!$N$183:$O$194</c:f>
              <c:multiLvlStrCache>
                <c:ptCount val="12"/>
                <c:lvl>
                  <c:pt idx="0">
                    <c:v>control</c:v>
                  </c:pt>
                  <c:pt idx="1">
                    <c:v>annual ryegrass</c:v>
                  </c:pt>
                  <c:pt idx="2">
                    <c:v>intermediate ryegrass </c:v>
                  </c:pt>
                  <c:pt idx="3">
                    <c:v>perennial ryegrass</c:v>
                  </c:pt>
                  <c:pt idx="4">
                    <c:v>rough bluegrass</c:v>
                  </c:pt>
                  <c:pt idx="5">
                    <c:v>wood bluegrass</c:v>
                  </c:pt>
                  <c:pt idx="6">
                    <c:v>control</c:v>
                  </c:pt>
                  <c:pt idx="7">
                    <c:v>annual ryegrass</c:v>
                  </c:pt>
                  <c:pt idx="8">
                    <c:v>intermediate ryegrass </c:v>
                  </c:pt>
                  <c:pt idx="9">
                    <c:v>perennial ryegrass</c:v>
                  </c:pt>
                  <c:pt idx="10">
                    <c:v>rough bluegrass</c:v>
                  </c:pt>
                  <c:pt idx="11">
                    <c:v>wood bluegrass</c:v>
                  </c:pt>
                </c:lvl>
                <c:lvl>
                  <c:pt idx="0">
                    <c:v>NT</c:v>
                  </c:pt>
                  <c:pt idx="6">
                    <c:v>TS</c:v>
                  </c:pt>
                </c:lvl>
              </c:multiLvlStrCache>
            </c:multiLvlStrRef>
          </c:cat>
          <c:val>
            <c:numRef>
              <c:f>'[Chart in Microsoft Word]Fwy'!$P$183:$P$194</c:f>
              <c:numCache>
                <c:formatCode>0</c:formatCode>
                <c:ptCount val="12"/>
                <c:pt idx="0">
                  <c:v>99.75</c:v>
                </c:pt>
                <c:pt idx="1">
                  <c:v>99.75</c:v>
                </c:pt>
                <c:pt idx="2">
                  <c:v>99.75</c:v>
                </c:pt>
                <c:pt idx="3">
                  <c:v>99.75</c:v>
                </c:pt>
                <c:pt idx="4">
                  <c:v>99.75</c:v>
                </c:pt>
                <c:pt idx="5">
                  <c:v>99.75</c:v>
                </c:pt>
                <c:pt idx="6">
                  <c:v>99.75</c:v>
                </c:pt>
                <c:pt idx="7">
                  <c:v>99.75</c:v>
                </c:pt>
                <c:pt idx="8">
                  <c:v>99.75</c:v>
                </c:pt>
                <c:pt idx="9">
                  <c:v>99.75</c:v>
                </c:pt>
                <c:pt idx="10">
                  <c:v>99.75</c:v>
                </c:pt>
                <c:pt idx="11">
                  <c:v>99.75</c:v>
                </c:pt>
              </c:numCache>
            </c:numRef>
          </c:val>
        </c:ser>
        <c:ser>
          <c:idx val="1"/>
          <c:order val="1"/>
          <c:tx>
            <c:strRef>
              <c:f>'[Chart in Microsoft Word]Fwy'!$Q$182</c:f>
              <c:strCache>
                <c:ptCount val="1"/>
                <c:pt idx="0">
                  <c:v>Overseed </c:v>
                </c:pt>
              </c:strCache>
            </c:strRef>
          </c:tx>
          <c:invertIfNegative val="0"/>
          <c:cat>
            <c:multiLvlStrRef>
              <c:f>'[Chart in Microsoft Word]Fwy'!$N$183:$O$194</c:f>
              <c:multiLvlStrCache>
                <c:ptCount val="12"/>
                <c:lvl>
                  <c:pt idx="0">
                    <c:v>control</c:v>
                  </c:pt>
                  <c:pt idx="1">
                    <c:v>annual ryegrass</c:v>
                  </c:pt>
                  <c:pt idx="2">
                    <c:v>intermediate ryegrass </c:v>
                  </c:pt>
                  <c:pt idx="3">
                    <c:v>perennial ryegrass</c:v>
                  </c:pt>
                  <c:pt idx="4">
                    <c:v>rough bluegrass</c:v>
                  </c:pt>
                  <c:pt idx="5">
                    <c:v>wood bluegrass</c:v>
                  </c:pt>
                  <c:pt idx="6">
                    <c:v>control</c:v>
                  </c:pt>
                  <c:pt idx="7">
                    <c:v>annual ryegrass</c:v>
                  </c:pt>
                  <c:pt idx="8">
                    <c:v>intermediate ryegrass </c:v>
                  </c:pt>
                  <c:pt idx="9">
                    <c:v>perennial ryegrass</c:v>
                  </c:pt>
                  <c:pt idx="10">
                    <c:v>rough bluegrass</c:v>
                  </c:pt>
                  <c:pt idx="11">
                    <c:v>wood bluegrass</c:v>
                  </c:pt>
                </c:lvl>
                <c:lvl>
                  <c:pt idx="0">
                    <c:v>NT</c:v>
                  </c:pt>
                  <c:pt idx="6">
                    <c:v>TS</c:v>
                  </c:pt>
                </c:lvl>
              </c:multiLvlStrCache>
            </c:multiLvlStrRef>
          </c:cat>
          <c:val>
            <c:numRef>
              <c:f>'[Chart in Microsoft Word]Fwy'!$Q$183:$Q$194</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er>
        <c:dLbls>
          <c:showLegendKey val="0"/>
          <c:showVal val="0"/>
          <c:showCatName val="0"/>
          <c:showSerName val="0"/>
          <c:showPercent val="0"/>
          <c:showBubbleSize val="0"/>
        </c:dLbls>
        <c:gapWidth val="150"/>
        <c:overlap val="100"/>
        <c:axId val="178205824"/>
        <c:axId val="178207360"/>
      </c:barChart>
      <c:catAx>
        <c:axId val="178205824"/>
        <c:scaling>
          <c:orientation val="minMax"/>
        </c:scaling>
        <c:delete val="0"/>
        <c:axPos val="l"/>
        <c:majorTickMark val="out"/>
        <c:minorTickMark val="none"/>
        <c:tickLblPos val="nextTo"/>
        <c:txPr>
          <a:bodyPr/>
          <a:lstStyle/>
          <a:p>
            <a:pPr>
              <a:defRPr b="1"/>
            </a:pPr>
            <a:endParaRPr lang="en-US"/>
          </a:p>
        </c:txPr>
        <c:crossAx val="178207360"/>
        <c:crosses val="autoZero"/>
        <c:auto val="1"/>
        <c:lblAlgn val="ctr"/>
        <c:lblOffset val="100"/>
        <c:noMultiLvlLbl val="0"/>
      </c:catAx>
      <c:valAx>
        <c:axId val="178207360"/>
        <c:scaling>
          <c:orientation val="minMax"/>
          <c:max val="100"/>
          <c:min val="0"/>
        </c:scaling>
        <c:delete val="0"/>
        <c:axPos val="b"/>
        <c:majorGridlines/>
        <c:numFmt formatCode="0" sourceLinked="1"/>
        <c:majorTickMark val="out"/>
        <c:minorTickMark val="none"/>
        <c:tickLblPos val="nextTo"/>
        <c:txPr>
          <a:bodyPr/>
          <a:lstStyle/>
          <a:p>
            <a:pPr>
              <a:defRPr b="1"/>
            </a:pPr>
            <a:endParaRPr lang="en-US"/>
          </a:p>
        </c:txPr>
        <c:crossAx val="178205824"/>
        <c:crosses val="autoZero"/>
        <c:crossBetween val="between"/>
      </c:valAx>
    </c:plotArea>
    <c:legend>
      <c:legendPos val="t"/>
      <c:overlay val="0"/>
      <c:txPr>
        <a:bodyPr/>
        <a:lstStyle/>
        <a:p>
          <a:pPr>
            <a:defRPr b="1"/>
          </a:pPr>
          <a:endParaRPr lang="en-US"/>
        </a:p>
      </c:txPr>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66788782981075"/>
          <c:y val="0.130502500668741"/>
          <c:w val="0.67012875915763004"/>
          <c:h val="0.754118771628011"/>
        </c:manualLayout>
      </c:layout>
      <c:barChart>
        <c:barDir val="bar"/>
        <c:grouping val="stacked"/>
        <c:varyColors val="0"/>
        <c:ser>
          <c:idx val="0"/>
          <c:order val="0"/>
          <c:tx>
            <c:strRef>
              <c:f>Sports!$Q$135</c:f>
              <c:strCache>
                <c:ptCount val="1"/>
                <c:pt idx="0">
                  <c:v>Bermuda LSD(0.05) 3.7</c:v>
                </c:pt>
              </c:strCache>
            </c:strRef>
          </c:tx>
          <c:invertIfNegative val="0"/>
          <c:cat>
            <c:multiLvlStrRef>
              <c:f>Sports!$O$136:$P$147</c:f>
              <c:multiLvlStrCache>
                <c:ptCount val="12"/>
                <c:lvl>
                  <c:pt idx="0">
                    <c:v>control</c:v>
                  </c:pt>
                  <c:pt idx="1">
                    <c:v>annual Ryegrass</c:v>
                  </c:pt>
                  <c:pt idx="2">
                    <c:v>intermediate Ryegrass</c:v>
                  </c:pt>
                  <c:pt idx="3">
                    <c:v>perennial Ryegrass</c:v>
                  </c:pt>
                  <c:pt idx="4">
                    <c:v>rough bluegrass</c:v>
                  </c:pt>
                  <c:pt idx="5">
                    <c:v>wood bluegrass</c:v>
                  </c:pt>
                  <c:pt idx="6">
                    <c:v>control</c:v>
                  </c:pt>
                  <c:pt idx="7">
                    <c:v>annual Ryegrass</c:v>
                  </c:pt>
                  <c:pt idx="8">
                    <c:v>intermediate Ryegrass</c:v>
                  </c:pt>
                  <c:pt idx="9">
                    <c:v>perennial Ryegrass</c:v>
                  </c:pt>
                  <c:pt idx="10">
                    <c:v>rough bluegrass</c:v>
                  </c:pt>
                  <c:pt idx="11">
                    <c:v>wood bluegrass</c:v>
                  </c:pt>
                </c:lvl>
                <c:lvl>
                  <c:pt idx="0">
                    <c:v>NT</c:v>
                  </c:pt>
                  <c:pt idx="6">
                    <c:v>TS</c:v>
                  </c:pt>
                </c:lvl>
              </c:multiLvlStrCache>
            </c:multiLvlStrRef>
          </c:cat>
          <c:val>
            <c:numRef>
              <c:f>Sports!$Q$136:$Q$147</c:f>
              <c:numCache>
                <c:formatCode>General</c:formatCode>
                <c:ptCount val="12"/>
                <c:pt idx="0">
                  <c:v>99</c:v>
                </c:pt>
                <c:pt idx="1">
                  <c:v>96.75</c:v>
                </c:pt>
                <c:pt idx="2">
                  <c:v>85</c:v>
                </c:pt>
                <c:pt idx="3">
                  <c:v>72.25</c:v>
                </c:pt>
                <c:pt idx="4">
                  <c:v>74.25</c:v>
                </c:pt>
                <c:pt idx="5">
                  <c:v>98.5</c:v>
                </c:pt>
                <c:pt idx="6">
                  <c:v>100</c:v>
                </c:pt>
                <c:pt idx="7">
                  <c:v>100</c:v>
                </c:pt>
                <c:pt idx="8">
                  <c:v>100</c:v>
                </c:pt>
                <c:pt idx="9">
                  <c:v>100</c:v>
                </c:pt>
                <c:pt idx="10">
                  <c:v>100</c:v>
                </c:pt>
                <c:pt idx="11">
                  <c:v>100</c:v>
                </c:pt>
              </c:numCache>
            </c:numRef>
          </c:val>
        </c:ser>
        <c:ser>
          <c:idx val="1"/>
          <c:order val="1"/>
          <c:tx>
            <c:strRef>
              <c:f>Sports!$R$135</c:f>
              <c:strCache>
                <c:ptCount val="1"/>
                <c:pt idx="0">
                  <c:v>Overseed LSD(0.05) 7.5</c:v>
                </c:pt>
              </c:strCache>
            </c:strRef>
          </c:tx>
          <c:invertIfNegative val="0"/>
          <c:cat>
            <c:multiLvlStrRef>
              <c:f>Sports!$O$136:$P$147</c:f>
              <c:multiLvlStrCache>
                <c:ptCount val="12"/>
                <c:lvl>
                  <c:pt idx="0">
                    <c:v>control</c:v>
                  </c:pt>
                  <c:pt idx="1">
                    <c:v>annual Ryegrass</c:v>
                  </c:pt>
                  <c:pt idx="2">
                    <c:v>intermediate Ryegrass</c:v>
                  </c:pt>
                  <c:pt idx="3">
                    <c:v>perennial Ryegrass</c:v>
                  </c:pt>
                  <c:pt idx="4">
                    <c:v>rough bluegrass</c:v>
                  </c:pt>
                  <c:pt idx="5">
                    <c:v>wood bluegrass</c:v>
                  </c:pt>
                  <c:pt idx="6">
                    <c:v>control</c:v>
                  </c:pt>
                  <c:pt idx="7">
                    <c:v>annual Ryegrass</c:v>
                  </c:pt>
                  <c:pt idx="8">
                    <c:v>intermediate Ryegrass</c:v>
                  </c:pt>
                  <c:pt idx="9">
                    <c:v>perennial Ryegrass</c:v>
                  </c:pt>
                  <c:pt idx="10">
                    <c:v>rough bluegrass</c:v>
                  </c:pt>
                  <c:pt idx="11">
                    <c:v>wood bluegrass</c:v>
                  </c:pt>
                </c:lvl>
                <c:lvl>
                  <c:pt idx="0">
                    <c:v>NT</c:v>
                  </c:pt>
                  <c:pt idx="6">
                    <c:v>TS</c:v>
                  </c:pt>
                </c:lvl>
              </c:multiLvlStrCache>
            </c:multiLvlStrRef>
          </c:cat>
          <c:val>
            <c:numRef>
              <c:f>Sports!$R$136:$R$147</c:f>
              <c:numCache>
                <c:formatCode>General</c:formatCode>
                <c:ptCount val="12"/>
                <c:pt idx="0">
                  <c:v>1</c:v>
                </c:pt>
                <c:pt idx="1">
                  <c:v>3.25</c:v>
                </c:pt>
                <c:pt idx="2">
                  <c:v>14.5</c:v>
                </c:pt>
                <c:pt idx="3">
                  <c:v>27.5</c:v>
                </c:pt>
                <c:pt idx="4">
                  <c:v>25.75</c:v>
                </c:pt>
                <c:pt idx="5">
                  <c:v>1.5</c:v>
                </c:pt>
                <c:pt idx="6">
                  <c:v>0</c:v>
                </c:pt>
                <c:pt idx="7">
                  <c:v>0</c:v>
                </c:pt>
                <c:pt idx="8">
                  <c:v>0</c:v>
                </c:pt>
                <c:pt idx="9">
                  <c:v>0</c:v>
                </c:pt>
                <c:pt idx="10">
                  <c:v>0</c:v>
                </c:pt>
                <c:pt idx="11">
                  <c:v>0</c:v>
                </c:pt>
              </c:numCache>
            </c:numRef>
          </c:val>
        </c:ser>
        <c:dLbls>
          <c:showLegendKey val="0"/>
          <c:showVal val="0"/>
          <c:showCatName val="0"/>
          <c:showSerName val="0"/>
          <c:showPercent val="0"/>
          <c:showBubbleSize val="0"/>
        </c:dLbls>
        <c:gapWidth val="150"/>
        <c:overlap val="100"/>
        <c:axId val="177822720"/>
        <c:axId val="177824512"/>
      </c:barChart>
      <c:catAx>
        <c:axId val="177822720"/>
        <c:scaling>
          <c:orientation val="minMax"/>
        </c:scaling>
        <c:delete val="0"/>
        <c:axPos val="l"/>
        <c:majorTickMark val="out"/>
        <c:minorTickMark val="none"/>
        <c:tickLblPos val="nextTo"/>
        <c:txPr>
          <a:bodyPr/>
          <a:lstStyle/>
          <a:p>
            <a:pPr>
              <a:defRPr b="1"/>
            </a:pPr>
            <a:endParaRPr lang="en-US"/>
          </a:p>
        </c:txPr>
        <c:crossAx val="177824512"/>
        <c:crosses val="autoZero"/>
        <c:auto val="1"/>
        <c:lblAlgn val="ctr"/>
        <c:lblOffset val="100"/>
        <c:noMultiLvlLbl val="0"/>
      </c:catAx>
      <c:valAx>
        <c:axId val="177824512"/>
        <c:scaling>
          <c:orientation val="minMax"/>
          <c:max val="100"/>
        </c:scaling>
        <c:delete val="0"/>
        <c:axPos val="b"/>
        <c:majorGridlines/>
        <c:numFmt formatCode="General" sourceLinked="1"/>
        <c:majorTickMark val="out"/>
        <c:minorTickMark val="none"/>
        <c:tickLblPos val="nextTo"/>
        <c:txPr>
          <a:bodyPr/>
          <a:lstStyle/>
          <a:p>
            <a:pPr>
              <a:defRPr b="1"/>
            </a:pPr>
            <a:endParaRPr lang="en-US"/>
          </a:p>
        </c:txPr>
        <c:crossAx val="177822720"/>
        <c:crosses val="autoZero"/>
        <c:crossBetween val="between"/>
      </c:valAx>
    </c:plotArea>
    <c:legend>
      <c:legendPos val="t"/>
      <c:overlay val="0"/>
      <c:txPr>
        <a:bodyPr/>
        <a:lstStyle/>
        <a:p>
          <a:pPr>
            <a:defRPr b="1"/>
          </a:pPr>
          <a:endParaRPr lang="en-US"/>
        </a:p>
      </c:txPr>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66788782981075"/>
          <c:y val="0.130502500668741"/>
          <c:w val="0.67012875915763004"/>
          <c:h val="0.754118771628011"/>
        </c:manualLayout>
      </c:layout>
      <c:barChart>
        <c:barDir val="bar"/>
        <c:grouping val="stacked"/>
        <c:varyColors val="0"/>
        <c:ser>
          <c:idx val="0"/>
          <c:order val="0"/>
          <c:tx>
            <c:strRef>
              <c:f>Sports!$Q$153</c:f>
              <c:strCache>
                <c:ptCount val="1"/>
                <c:pt idx="0">
                  <c:v>Bermuda LSD (0.05) 2.4</c:v>
                </c:pt>
              </c:strCache>
            </c:strRef>
          </c:tx>
          <c:invertIfNegative val="0"/>
          <c:cat>
            <c:multiLvlStrRef>
              <c:f>Sports!$O$154:$P$165</c:f>
              <c:multiLvlStrCache>
                <c:ptCount val="12"/>
                <c:lvl>
                  <c:pt idx="0">
                    <c:v>control</c:v>
                  </c:pt>
                  <c:pt idx="1">
                    <c:v>annual Ryegrass</c:v>
                  </c:pt>
                  <c:pt idx="2">
                    <c:v>intermediate Ryegrass</c:v>
                  </c:pt>
                  <c:pt idx="3">
                    <c:v>perennial Ryegrass</c:v>
                  </c:pt>
                  <c:pt idx="4">
                    <c:v>rough bluegrass</c:v>
                  </c:pt>
                  <c:pt idx="5">
                    <c:v>wood bluegrass</c:v>
                  </c:pt>
                  <c:pt idx="6">
                    <c:v>control</c:v>
                  </c:pt>
                  <c:pt idx="7">
                    <c:v>annual Ryegrass</c:v>
                  </c:pt>
                  <c:pt idx="8">
                    <c:v>intermediate Ryegrass</c:v>
                  </c:pt>
                  <c:pt idx="9">
                    <c:v>perennial Ryegrass</c:v>
                  </c:pt>
                  <c:pt idx="10">
                    <c:v>rough bluegrass</c:v>
                  </c:pt>
                  <c:pt idx="11">
                    <c:v>wood bluegrass</c:v>
                  </c:pt>
                </c:lvl>
                <c:lvl>
                  <c:pt idx="0">
                    <c:v>NT</c:v>
                  </c:pt>
                  <c:pt idx="6">
                    <c:v>TS</c:v>
                  </c:pt>
                </c:lvl>
              </c:multiLvlStrCache>
            </c:multiLvlStrRef>
          </c:cat>
          <c:val>
            <c:numRef>
              <c:f>Sports!$Q$154:$Q$165</c:f>
              <c:numCache>
                <c:formatCode>General</c:formatCode>
                <c:ptCount val="12"/>
                <c:pt idx="0">
                  <c:v>100</c:v>
                </c:pt>
                <c:pt idx="1">
                  <c:v>100</c:v>
                </c:pt>
                <c:pt idx="2">
                  <c:v>99.25</c:v>
                </c:pt>
                <c:pt idx="3">
                  <c:v>83.25</c:v>
                </c:pt>
                <c:pt idx="4">
                  <c:v>86.75</c:v>
                </c:pt>
                <c:pt idx="5">
                  <c:v>100</c:v>
                </c:pt>
                <c:pt idx="6">
                  <c:v>100</c:v>
                </c:pt>
                <c:pt idx="7">
                  <c:v>100</c:v>
                </c:pt>
                <c:pt idx="8">
                  <c:v>100</c:v>
                </c:pt>
                <c:pt idx="9">
                  <c:v>100</c:v>
                </c:pt>
                <c:pt idx="10">
                  <c:v>100</c:v>
                </c:pt>
                <c:pt idx="11">
                  <c:v>100</c:v>
                </c:pt>
              </c:numCache>
            </c:numRef>
          </c:val>
        </c:ser>
        <c:ser>
          <c:idx val="1"/>
          <c:order val="1"/>
          <c:tx>
            <c:strRef>
              <c:f>Sports!$R$153</c:f>
              <c:strCache>
                <c:ptCount val="1"/>
                <c:pt idx="0">
                  <c:v>Overseed (LSD) 2.4</c:v>
                </c:pt>
              </c:strCache>
            </c:strRef>
          </c:tx>
          <c:invertIfNegative val="0"/>
          <c:cat>
            <c:multiLvlStrRef>
              <c:f>Sports!$O$154:$P$165</c:f>
              <c:multiLvlStrCache>
                <c:ptCount val="12"/>
                <c:lvl>
                  <c:pt idx="0">
                    <c:v>control</c:v>
                  </c:pt>
                  <c:pt idx="1">
                    <c:v>annual Ryegrass</c:v>
                  </c:pt>
                  <c:pt idx="2">
                    <c:v>intermediate Ryegrass</c:v>
                  </c:pt>
                  <c:pt idx="3">
                    <c:v>perennial Ryegrass</c:v>
                  </c:pt>
                  <c:pt idx="4">
                    <c:v>rough bluegrass</c:v>
                  </c:pt>
                  <c:pt idx="5">
                    <c:v>wood bluegrass</c:v>
                  </c:pt>
                  <c:pt idx="6">
                    <c:v>control</c:v>
                  </c:pt>
                  <c:pt idx="7">
                    <c:v>annual Ryegrass</c:v>
                  </c:pt>
                  <c:pt idx="8">
                    <c:v>intermediate Ryegrass</c:v>
                  </c:pt>
                  <c:pt idx="9">
                    <c:v>perennial Ryegrass</c:v>
                  </c:pt>
                  <c:pt idx="10">
                    <c:v>rough bluegrass</c:v>
                  </c:pt>
                  <c:pt idx="11">
                    <c:v>wood bluegrass</c:v>
                  </c:pt>
                </c:lvl>
                <c:lvl>
                  <c:pt idx="0">
                    <c:v>NT</c:v>
                  </c:pt>
                  <c:pt idx="6">
                    <c:v>TS</c:v>
                  </c:pt>
                </c:lvl>
              </c:multiLvlStrCache>
            </c:multiLvlStrRef>
          </c:cat>
          <c:val>
            <c:numRef>
              <c:f>Sports!$R$154:$R$165</c:f>
              <c:numCache>
                <c:formatCode>General</c:formatCode>
                <c:ptCount val="12"/>
                <c:pt idx="0">
                  <c:v>0</c:v>
                </c:pt>
                <c:pt idx="1">
                  <c:v>0</c:v>
                </c:pt>
                <c:pt idx="2">
                  <c:v>0.75</c:v>
                </c:pt>
                <c:pt idx="3">
                  <c:v>16.75</c:v>
                </c:pt>
                <c:pt idx="4">
                  <c:v>13.25</c:v>
                </c:pt>
                <c:pt idx="5">
                  <c:v>0</c:v>
                </c:pt>
                <c:pt idx="6">
                  <c:v>0</c:v>
                </c:pt>
                <c:pt idx="7">
                  <c:v>0</c:v>
                </c:pt>
                <c:pt idx="8">
                  <c:v>0</c:v>
                </c:pt>
                <c:pt idx="9">
                  <c:v>0</c:v>
                </c:pt>
                <c:pt idx="10">
                  <c:v>0</c:v>
                </c:pt>
                <c:pt idx="11">
                  <c:v>0</c:v>
                </c:pt>
              </c:numCache>
            </c:numRef>
          </c:val>
        </c:ser>
        <c:dLbls>
          <c:showLegendKey val="0"/>
          <c:showVal val="0"/>
          <c:showCatName val="0"/>
          <c:showSerName val="0"/>
          <c:showPercent val="0"/>
          <c:showBubbleSize val="0"/>
        </c:dLbls>
        <c:gapWidth val="150"/>
        <c:overlap val="100"/>
        <c:axId val="180520064"/>
        <c:axId val="180521600"/>
      </c:barChart>
      <c:catAx>
        <c:axId val="180520064"/>
        <c:scaling>
          <c:orientation val="minMax"/>
        </c:scaling>
        <c:delete val="0"/>
        <c:axPos val="l"/>
        <c:majorTickMark val="out"/>
        <c:minorTickMark val="none"/>
        <c:tickLblPos val="nextTo"/>
        <c:txPr>
          <a:bodyPr/>
          <a:lstStyle/>
          <a:p>
            <a:pPr>
              <a:defRPr b="1"/>
            </a:pPr>
            <a:endParaRPr lang="en-US"/>
          </a:p>
        </c:txPr>
        <c:crossAx val="180521600"/>
        <c:crosses val="autoZero"/>
        <c:auto val="1"/>
        <c:lblAlgn val="ctr"/>
        <c:lblOffset val="100"/>
        <c:noMultiLvlLbl val="0"/>
      </c:catAx>
      <c:valAx>
        <c:axId val="180521600"/>
        <c:scaling>
          <c:orientation val="minMax"/>
          <c:max val="100"/>
        </c:scaling>
        <c:delete val="0"/>
        <c:axPos val="b"/>
        <c:majorGridlines/>
        <c:numFmt formatCode="General" sourceLinked="1"/>
        <c:majorTickMark val="out"/>
        <c:minorTickMark val="none"/>
        <c:tickLblPos val="nextTo"/>
        <c:txPr>
          <a:bodyPr/>
          <a:lstStyle/>
          <a:p>
            <a:pPr>
              <a:defRPr b="1"/>
            </a:pPr>
            <a:endParaRPr lang="en-US"/>
          </a:p>
        </c:txPr>
        <c:crossAx val="180520064"/>
        <c:crosses val="autoZero"/>
        <c:crossBetween val="between"/>
      </c:valAx>
    </c:plotArea>
    <c:legend>
      <c:legendPos val="t"/>
      <c:overlay val="0"/>
      <c:txPr>
        <a:bodyPr/>
        <a:lstStyle/>
        <a:p>
          <a:pPr>
            <a:defRPr b="1"/>
          </a:pPr>
          <a:endParaRPr lang="en-US"/>
        </a:p>
      </c:txPr>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66788782981075"/>
          <c:y val="0.130502500668741"/>
          <c:w val="0.67012875915763004"/>
          <c:h val="0.754118771628011"/>
        </c:manualLayout>
      </c:layout>
      <c:barChart>
        <c:barDir val="bar"/>
        <c:grouping val="stacked"/>
        <c:varyColors val="0"/>
        <c:ser>
          <c:idx val="0"/>
          <c:order val="0"/>
          <c:tx>
            <c:strRef>
              <c:f>Sports!$Q$172</c:f>
              <c:strCache>
                <c:ptCount val="1"/>
                <c:pt idx="0">
                  <c:v>Bermuda LSD(0.05) 4.7</c:v>
                </c:pt>
              </c:strCache>
            </c:strRef>
          </c:tx>
          <c:invertIfNegative val="0"/>
          <c:cat>
            <c:multiLvlStrRef>
              <c:f>Sports!$O$173:$P$184</c:f>
              <c:multiLvlStrCache>
                <c:ptCount val="12"/>
                <c:lvl>
                  <c:pt idx="0">
                    <c:v>control</c:v>
                  </c:pt>
                  <c:pt idx="1">
                    <c:v>annual Ryegrass</c:v>
                  </c:pt>
                  <c:pt idx="2">
                    <c:v>intermediate Ryegrass</c:v>
                  </c:pt>
                  <c:pt idx="3">
                    <c:v>perennial Ryegrass</c:v>
                  </c:pt>
                  <c:pt idx="4">
                    <c:v>rough bluegrass</c:v>
                  </c:pt>
                  <c:pt idx="5">
                    <c:v>wood bluegrass</c:v>
                  </c:pt>
                  <c:pt idx="6">
                    <c:v>control</c:v>
                  </c:pt>
                  <c:pt idx="7">
                    <c:v>annual Ryegrass</c:v>
                  </c:pt>
                  <c:pt idx="8">
                    <c:v>intermediate Ryegrass</c:v>
                  </c:pt>
                  <c:pt idx="9">
                    <c:v>perennial Ryegrass</c:v>
                  </c:pt>
                  <c:pt idx="10">
                    <c:v>rough bluegrass</c:v>
                  </c:pt>
                  <c:pt idx="11">
                    <c:v>wood bluegrass</c:v>
                  </c:pt>
                </c:lvl>
                <c:lvl>
                  <c:pt idx="0">
                    <c:v>NT</c:v>
                  </c:pt>
                  <c:pt idx="6">
                    <c:v>TS</c:v>
                  </c:pt>
                </c:lvl>
              </c:multiLvlStrCache>
            </c:multiLvlStrRef>
          </c:cat>
          <c:val>
            <c:numRef>
              <c:f>Sports!$Q$173:$Q$184</c:f>
              <c:numCache>
                <c:formatCode>General</c:formatCode>
                <c:ptCount val="12"/>
                <c:pt idx="0">
                  <c:v>97.5</c:v>
                </c:pt>
                <c:pt idx="1">
                  <c:v>98</c:v>
                </c:pt>
                <c:pt idx="2">
                  <c:v>88.75</c:v>
                </c:pt>
                <c:pt idx="3">
                  <c:v>64.25</c:v>
                </c:pt>
                <c:pt idx="4">
                  <c:v>80.25</c:v>
                </c:pt>
                <c:pt idx="5">
                  <c:v>94</c:v>
                </c:pt>
                <c:pt idx="6">
                  <c:v>99.5</c:v>
                </c:pt>
                <c:pt idx="7">
                  <c:v>100</c:v>
                </c:pt>
                <c:pt idx="8">
                  <c:v>99.5</c:v>
                </c:pt>
                <c:pt idx="9">
                  <c:v>99.25</c:v>
                </c:pt>
                <c:pt idx="10">
                  <c:v>98.25</c:v>
                </c:pt>
                <c:pt idx="11">
                  <c:v>99.75</c:v>
                </c:pt>
              </c:numCache>
            </c:numRef>
          </c:val>
        </c:ser>
        <c:ser>
          <c:idx val="1"/>
          <c:order val="1"/>
          <c:tx>
            <c:strRef>
              <c:f>Sports!$R$172</c:f>
              <c:strCache>
                <c:ptCount val="1"/>
                <c:pt idx="0">
                  <c:v>Overseed LSD (0.05) 1.7</c:v>
                </c:pt>
              </c:strCache>
            </c:strRef>
          </c:tx>
          <c:invertIfNegative val="0"/>
          <c:cat>
            <c:multiLvlStrRef>
              <c:f>Sports!$O$173:$P$184</c:f>
              <c:multiLvlStrCache>
                <c:ptCount val="12"/>
                <c:lvl>
                  <c:pt idx="0">
                    <c:v>control</c:v>
                  </c:pt>
                  <c:pt idx="1">
                    <c:v>annual Ryegrass</c:v>
                  </c:pt>
                  <c:pt idx="2">
                    <c:v>intermediate Ryegrass</c:v>
                  </c:pt>
                  <c:pt idx="3">
                    <c:v>perennial Ryegrass</c:v>
                  </c:pt>
                  <c:pt idx="4">
                    <c:v>rough bluegrass</c:v>
                  </c:pt>
                  <c:pt idx="5">
                    <c:v>wood bluegrass</c:v>
                  </c:pt>
                  <c:pt idx="6">
                    <c:v>control</c:v>
                  </c:pt>
                  <c:pt idx="7">
                    <c:v>annual Ryegrass</c:v>
                  </c:pt>
                  <c:pt idx="8">
                    <c:v>intermediate Ryegrass</c:v>
                  </c:pt>
                  <c:pt idx="9">
                    <c:v>perennial Ryegrass</c:v>
                  </c:pt>
                  <c:pt idx="10">
                    <c:v>rough bluegrass</c:v>
                  </c:pt>
                  <c:pt idx="11">
                    <c:v>wood bluegrass</c:v>
                  </c:pt>
                </c:lvl>
                <c:lvl>
                  <c:pt idx="0">
                    <c:v>NT</c:v>
                  </c:pt>
                  <c:pt idx="6">
                    <c:v>TS</c:v>
                  </c:pt>
                </c:lvl>
              </c:multiLvlStrCache>
            </c:multiLvlStrRef>
          </c:cat>
          <c:val>
            <c:numRef>
              <c:f>Sports!$R$173:$R$184</c:f>
              <c:numCache>
                <c:formatCode>General</c:formatCode>
                <c:ptCount val="12"/>
                <c:pt idx="0">
                  <c:v>2.5</c:v>
                </c:pt>
                <c:pt idx="1">
                  <c:v>2</c:v>
                </c:pt>
                <c:pt idx="2">
                  <c:v>11.25</c:v>
                </c:pt>
                <c:pt idx="3">
                  <c:v>35.75</c:v>
                </c:pt>
                <c:pt idx="4">
                  <c:v>19.75</c:v>
                </c:pt>
                <c:pt idx="5">
                  <c:v>6</c:v>
                </c:pt>
                <c:pt idx="6">
                  <c:v>0.5</c:v>
                </c:pt>
                <c:pt idx="7">
                  <c:v>0</c:v>
                </c:pt>
                <c:pt idx="8">
                  <c:v>0.5</c:v>
                </c:pt>
                <c:pt idx="9">
                  <c:v>0.75</c:v>
                </c:pt>
                <c:pt idx="10">
                  <c:v>1.75</c:v>
                </c:pt>
                <c:pt idx="11">
                  <c:v>0.25</c:v>
                </c:pt>
              </c:numCache>
            </c:numRef>
          </c:val>
        </c:ser>
        <c:dLbls>
          <c:showLegendKey val="0"/>
          <c:showVal val="0"/>
          <c:showCatName val="0"/>
          <c:showSerName val="0"/>
          <c:showPercent val="0"/>
          <c:showBubbleSize val="0"/>
        </c:dLbls>
        <c:gapWidth val="150"/>
        <c:overlap val="100"/>
        <c:axId val="180583424"/>
        <c:axId val="180765440"/>
      </c:barChart>
      <c:catAx>
        <c:axId val="180583424"/>
        <c:scaling>
          <c:orientation val="minMax"/>
        </c:scaling>
        <c:delete val="0"/>
        <c:axPos val="l"/>
        <c:majorTickMark val="out"/>
        <c:minorTickMark val="none"/>
        <c:tickLblPos val="nextTo"/>
        <c:txPr>
          <a:bodyPr/>
          <a:lstStyle/>
          <a:p>
            <a:pPr>
              <a:defRPr b="1"/>
            </a:pPr>
            <a:endParaRPr lang="en-US"/>
          </a:p>
        </c:txPr>
        <c:crossAx val="180765440"/>
        <c:crosses val="autoZero"/>
        <c:auto val="1"/>
        <c:lblAlgn val="ctr"/>
        <c:lblOffset val="100"/>
        <c:noMultiLvlLbl val="0"/>
      </c:catAx>
      <c:valAx>
        <c:axId val="180765440"/>
        <c:scaling>
          <c:orientation val="minMax"/>
          <c:max val="100"/>
        </c:scaling>
        <c:delete val="0"/>
        <c:axPos val="b"/>
        <c:majorGridlines/>
        <c:numFmt formatCode="General" sourceLinked="1"/>
        <c:majorTickMark val="out"/>
        <c:minorTickMark val="none"/>
        <c:tickLblPos val="nextTo"/>
        <c:txPr>
          <a:bodyPr/>
          <a:lstStyle/>
          <a:p>
            <a:pPr>
              <a:defRPr b="1"/>
            </a:pPr>
            <a:endParaRPr lang="en-US"/>
          </a:p>
        </c:txPr>
        <c:crossAx val="180583424"/>
        <c:crosses val="autoZero"/>
        <c:crossBetween val="between"/>
      </c:valAx>
    </c:plotArea>
    <c:legend>
      <c:legendPos val="t"/>
      <c:overlay val="0"/>
      <c:txPr>
        <a:bodyPr/>
        <a:lstStyle/>
        <a:p>
          <a:pPr>
            <a:defRPr b="1"/>
          </a:pPr>
          <a:endParaRPr lang="en-US"/>
        </a:p>
      </c:txPr>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66788782981075"/>
          <c:y val="0.130502500668741"/>
          <c:w val="0.67012875915763004"/>
          <c:h val="0.754118771628011"/>
        </c:manualLayout>
      </c:layout>
      <c:barChart>
        <c:barDir val="bar"/>
        <c:grouping val="stacked"/>
        <c:varyColors val="0"/>
        <c:ser>
          <c:idx val="0"/>
          <c:order val="0"/>
          <c:tx>
            <c:strRef>
              <c:f>Sports!$Q$189</c:f>
              <c:strCache>
                <c:ptCount val="1"/>
                <c:pt idx="0">
                  <c:v>Bermuda LSD(0.05) 1.1</c:v>
                </c:pt>
              </c:strCache>
            </c:strRef>
          </c:tx>
          <c:invertIfNegative val="0"/>
          <c:cat>
            <c:multiLvlStrRef>
              <c:f>Sports!$O$190:$P$201</c:f>
              <c:multiLvlStrCache>
                <c:ptCount val="12"/>
                <c:lvl>
                  <c:pt idx="0">
                    <c:v>control</c:v>
                  </c:pt>
                  <c:pt idx="1">
                    <c:v>annual Ryegrass</c:v>
                  </c:pt>
                  <c:pt idx="2">
                    <c:v>intermediate Ryegrass</c:v>
                  </c:pt>
                  <c:pt idx="3">
                    <c:v>perennial Ryegrass</c:v>
                  </c:pt>
                  <c:pt idx="4">
                    <c:v>rough bluegrass</c:v>
                  </c:pt>
                  <c:pt idx="5">
                    <c:v>wood bluegrass</c:v>
                  </c:pt>
                  <c:pt idx="6">
                    <c:v>control</c:v>
                  </c:pt>
                  <c:pt idx="7">
                    <c:v>annual Ryegrass</c:v>
                  </c:pt>
                  <c:pt idx="8">
                    <c:v>intermediate Ryegrass</c:v>
                  </c:pt>
                  <c:pt idx="9">
                    <c:v>perennial Ryegrass</c:v>
                  </c:pt>
                  <c:pt idx="10">
                    <c:v>rough bluegrass</c:v>
                  </c:pt>
                  <c:pt idx="11">
                    <c:v>wood bluegrass</c:v>
                  </c:pt>
                </c:lvl>
                <c:lvl>
                  <c:pt idx="0">
                    <c:v>NT</c:v>
                  </c:pt>
                  <c:pt idx="6">
                    <c:v>TS</c:v>
                  </c:pt>
                </c:lvl>
              </c:multiLvlStrCache>
            </c:multiLvlStrRef>
          </c:cat>
          <c:val>
            <c:numRef>
              <c:f>Sports!$Q$190:$Q$201</c:f>
              <c:numCache>
                <c:formatCode>General</c:formatCode>
                <c:ptCount val="12"/>
                <c:pt idx="0">
                  <c:v>100</c:v>
                </c:pt>
                <c:pt idx="1">
                  <c:v>100</c:v>
                </c:pt>
                <c:pt idx="2">
                  <c:v>99.25</c:v>
                </c:pt>
                <c:pt idx="3">
                  <c:v>98.25</c:v>
                </c:pt>
                <c:pt idx="4">
                  <c:v>99.5</c:v>
                </c:pt>
                <c:pt idx="5">
                  <c:v>99.25</c:v>
                </c:pt>
                <c:pt idx="6">
                  <c:v>100</c:v>
                </c:pt>
                <c:pt idx="7">
                  <c:v>100</c:v>
                </c:pt>
                <c:pt idx="8">
                  <c:v>100</c:v>
                </c:pt>
                <c:pt idx="9">
                  <c:v>99.5</c:v>
                </c:pt>
                <c:pt idx="10">
                  <c:v>100</c:v>
                </c:pt>
                <c:pt idx="11">
                  <c:v>99.5</c:v>
                </c:pt>
              </c:numCache>
            </c:numRef>
          </c:val>
        </c:ser>
        <c:ser>
          <c:idx val="1"/>
          <c:order val="1"/>
          <c:tx>
            <c:strRef>
              <c:f>Sports!$R$189</c:f>
              <c:strCache>
                <c:ptCount val="1"/>
                <c:pt idx="0">
                  <c:v>Overseed (LSD) 1.1</c:v>
                </c:pt>
              </c:strCache>
            </c:strRef>
          </c:tx>
          <c:invertIfNegative val="0"/>
          <c:cat>
            <c:multiLvlStrRef>
              <c:f>Sports!$O$190:$P$201</c:f>
              <c:multiLvlStrCache>
                <c:ptCount val="12"/>
                <c:lvl>
                  <c:pt idx="0">
                    <c:v>control</c:v>
                  </c:pt>
                  <c:pt idx="1">
                    <c:v>annual Ryegrass</c:v>
                  </c:pt>
                  <c:pt idx="2">
                    <c:v>intermediate Ryegrass</c:v>
                  </c:pt>
                  <c:pt idx="3">
                    <c:v>perennial Ryegrass</c:v>
                  </c:pt>
                  <c:pt idx="4">
                    <c:v>rough bluegrass</c:v>
                  </c:pt>
                  <c:pt idx="5">
                    <c:v>wood bluegrass</c:v>
                  </c:pt>
                  <c:pt idx="6">
                    <c:v>control</c:v>
                  </c:pt>
                  <c:pt idx="7">
                    <c:v>annual Ryegrass</c:v>
                  </c:pt>
                  <c:pt idx="8">
                    <c:v>intermediate Ryegrass</c:v>
                  </c:pt>
                  <c:pt idx="9">
                    <c:v>perennial Ryegrass</c:v>
                  </c:pt>
                  <c:pt idx="10">
                    <c:v>rough bluegrass</c:v>
                  </c:pt>
                  <c:pt idx="11">
                    <c:v>wood bluegrass</c:v>
                  </c:pt>
                </c:lvl>
                <c:lvl>
                  <c:pt idx="0">
                    <c:v>NT</c:v>
                  </c:pt>
                  <c:pt idx="6">
                    <c:v>TS</c:v>
                  </c:pt>
                </c:lvl>
              </c:multiLvlStrCache>
            </c:multiLvlStrRef>
          </c:cat>
          <c:val>
            <c:numRef>
              <c:f>Sports!$R$190:$R$201</c:f>
              <c:numCache>
                <c:formatCode>General</c:formatCode>
                <c:ptCount val="12"/>
                <c:pt idx="0">
                  <c:v>0</c:v>
                </c:pt>
                <c:pt idx="1">
                  <c:v>0</c:v>
                </c:pt>
                <c:pt idx="2">
                  <c:v>0.75</c:v>
                </c:pt>
                <c:pt idx="3">
                  <c:v>1.75</c:v>
                </c:pt>
                <c:pt idx="4">
                  <c:v>0.5</c:v>
                </c:pt>
                <c:pt idx="5">
                  <c:v>0.75</c:v>
                </c:pt>
                <c:pt idx="6">
                  <c:v>0</c:v>
                </c:pt>
                <c:pt idx="7">
                  <c:v>0</c:v>
                </c:pt>
                <c:pt idx="8">
                  <c:v>0</c:v>
                </c:pt>
                <c:pt idx="9">
                  <c:v>0.5</c:v>
                </c:pt>
                <c:pt idx="10">
                  <c:v>0</c:v>
                </c:pt>
                <c:pt idx="11">
                  <c:v>0.5</c:v>
                </c:pt>
              </c:numCache>
            </c:numRef>
          </c:val>
        </c:ser>
        <c:dLbls>
          <c:showLegendKey val="0"/>
          <c:showVal val="0"/>
          <c:showCatName val="0"/>
          <c:showSerName val="0"/>
          <c:showPercent val="0"/>
          <c:showBubbleSize val="0"/>
        </c:dLbls>
        <c:gapWidth val="150"/>
        <c:overlap val="100"/>
        <c:axId val="180937856"/>
        <c:axId val="180939392"/>
      </c:barChart>
      <c:catAx>
        <c:axId val="180937856"/>
        <c:scaling>
          <c:orientation val="minMax"/>
        </c:scaling>
        <c:delete val="0"/>
        <c:axPos val="l"/>
        <c:majorTickMark val="out"/>
        <c:minorTickMark val="none"/>
        <c:tickLblPos val="nextTo"/>
        <c:txPr>
          <a:bodyPr/>
          <a:lstStyle/>
          <a:p>
            <a:pPr>
              <a:defRPr b="1"/>
            </a:pPr>
            <a:endParaRPr lang="en-US"/>
          </a:p>
        </c:txPr>
        <c:crossAx val="180939392"/>
        <c:crosses val="autoZero"/>
        <c:auto val="1"/>
        <c:lblAlgn val="ctr"/>
        <c:lblOffset val="100"/>
        <c:noMultiLvlLbl val="0"/>
      </c:catAx>
      <c:valAx>
        <c:axId val="180939392"/>
        <c:scaling>
          <c:orientation val="minMax"/>
          <c:max val="100"/>
          <c:min val="0"/>
        </c:scaling>
        <c:delete val="0"/>
        <c:axPos val="b"/>
        <c:majorGridlines/>
        <c:numFmt formatCode="General" sourceLinked="1"/>
        <c:majorTickMark val="out"/>
        <c:minorTickMark val="none"/>
        <c:tickLblPos val="nextTo"/>
        <c:txPr>
          <a:bodyPr/>
          <a:lstStyle/>
          <a:p>
            <a:pPr>
              <a:defRPr b="1"/>
            </a:pPr>
            <a:endParaRPr lang="en-US"/>
          </a:p>
        </c:txPr>
        <c:crossAx val="180937856"/>
        <c:crosses val="autoZero"/>
        <c:crossBetween val="between"/>
      </c:valAx>
    </c:plotArea>
    <c:legend>
      <c:legendPos val="t"/>
      <c:overlay val="0"/>
      <c:txPr>
        <a:bodyPr/>
        <a:lstStyle/>
        <a:p>
          <a:pPr>
            <a:defRPr b="1"/>
          </a:pPr>
          <a:endParaRPr lang="en-US"/>
        </a:p>
      </c:txPr>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Sheet2!$B$14</c:f>
              <c:strCache>
                <c:ptCount val="1"/>
                <c:pt idx="0">
                  <c:v>2010-2011</c:v>
                </c:pt>
              </c:strCache>
            </c:strRef>
          </c:tx>
          <c:marker>
            <c:symbol val="none"/>
          </c:marker>
          <c:cat>
            <c:strRef>
              <c:f>Sheet2!$A$15:$A$26</c:f>
              <c:strCache>
                <c:ptCount val="12"/>
                <c:pt idx="0">
                  <c:v>September</c:v>
                </c:pt>
                <c:pt idx="1">
                  <c:v>October</c:v>
                </c:pt>
                <c:pt idx="2">
                  <c:v>November</c:v>
                </c:pt>
                <c:pt idx="3">
                  <c:v>December</c:v>
                </c:pt>
                <c:pt idx="4">
                  <c:v>January</c:v>
                </c:pt>
                <c:pt idx="5">
                  <c:v>February</c:v>
                </c:pt>
                <c:pt idx="6">
                  <c:v>March</c:v>
                </c:pt>
                <c:pt idx="7">
                  <c:v>April</c:v>
                </c:pt>
                <c:pt idx="8">
                  <c:v>May</c:v>
                </c:pt>
                <c:pt idx="9">
                  <c:v>June</c:v>
                </c:pt>
                <c:pt idx="10">
                  <c:v>July</c:v>
                </c:pt>
                <c:pt idx="11">
                  <c:v>August</c:v>
                </c:pt>
              </c:strCache>
            </c:strRef>
          </c:cat>
          <c:val>
            <c:numRef>
              <c:f>Sheet2!$B$15:$B$26</c:f>
              <c:numCache>
                <c:formatCode>General</c:formatCode>
                <c:ptCount val="12"/>
                <c:pt idx="0">
                  <c:v>22.888888888888889</c:v>
                </c:pt>
                <c:pt idx="1">
                  <c:v>15.555555555555561</c:v>
                </c:pt>
                <c:pt idx="2">
                  <c:v>10.555555555555561</c:v>
                </c:pt>
                <c:pt idx="3">
                  <c:v>0.44444444444444298</c:v>
                </c:pt>
                <c:pt idx="4">
                  <c:v>2.2222222222222232</c:v>
                </c:pt>
                <c:pt idx="5">
                  <c:v>7.8888888888888893</c:v>
                </c:pt>
                <c:pt idx="6">
                  <c:v>11.611111111111111</c:v>
                </c:pt>
                <c:pt idx="7">
                  <c:v>17.444444444444439</c:v>
                </c:pt>
                <c:pt idx="8">
                  <c:v>20.05555555555555</c:v>
                </c:pt>
                <c:pt idx="9">
                  <c:v>25.555555555555561</c:v>
                </c:pt>
                <c:pt idx="10">
                  <c:v>27.666666666666671</c:v>
                </c:pt>
                <c:pt idx="11">
                  <c:v>26.722222222222211</c:v>
                </c:pt>
              </c:numCache>
            </c:numRef>
          </c:val>
          <c:smooth val="0"/>
        </c:ser>
        <c:ser>
          <c:idx val="1"/>
          <c:order val="1"/>
          <c:tx>
            <c:strRef>
              <c:f>Sheet2!$C$14</c:f>
              <c:strCache>
                <c:ptCount val="1"/>
                <c:pt idx="0">
                  <c:v>2011-2012</c:v>
                </c:pt>
              </c:strCache>
            </c:strRef>
          </c:tx>
          <c:marker>
            <c:symbol val="none"/>
          </c:marker>
          <c:cat>
            <c:strRef>
              <c:f>Sheet2!$A$15:$A$26</c:f>
              <c:strCache>
                <c:ptCount val="12"/>
                <c:pt idx="0">
                  <c:v>September</c:v>
                </c:pt>
                <c:pt idx="1">
                  <c:v>October</c:v>
                </c:pt>
                <c:pt idx="2">
                  <c:v>November</c:v>
                </c:pt>
                <c:pt idx="3">
                  <c:v>December</c:v>
                </c:pt>
                <c:pt idx="4">
                  <c:v>January</c:v>
                </c:pt>
                <c:pt idx="5">
                  <c:v>February</c:v>
                </c:pt>
                <c:pt idx="6">
                  <c:v>March</c:v>
                </c:pt>
                <c:pt idx="7">
                  <c:v>April</c:v>
                </c:pt>
                <c:pt idx="8">
                  <c:v>May</c:v>
                </c:pt>
                <c:pt idx="9">
                  <c:v>June</c:v>
                </c:pt>
                <c:pt idx="10">
                  <c:v>July</c:v>
                </c:pt>
                <c:pt idx="11">
                  <c:v>August</c:v>
                </c:pt>
              </c:strCache>
            </c:strRef>
          </c:cat>
          <c:val>
            <c:numRef>
              <c:f>Sheet2!$C$15:$C$26</c:f>
              <c:numCache>
                <c:formatCode>General</c:formatCode>
                <c:ptCount val="12"/>
                <c:pt idx="0">
                  <c:v>21.055555555555561</c:v>
                </c:pt>
                <c:pt idx="1">
                  <c:v>14.44444444444445</c:v>
                </c:pt>
                <c:pt idx="2">
                  <c:v>10.66666666666667</c:v>
                </c:pt>
                <c:pt idx="3">
                  <c:v>7.2222222222222223</c:v>
                </c:pt>
                <c:pt idx="4">
                  <c:v>6.2777777777777759</c:v>
                </c:pt>
                <c:pt idx="5">
                  <c:v>7.8888888888888893</c:v>
                </c:pt>
                <c:pt idx="6">
                  <c:v>15.77777777777778</c:v>
                </c:pt>
                <c:pt idx="7">
                  <c:v>16.388888888888889</c:v>
                </c:pt>
                <c:pt idx="8">
                  <c:v>22.166666666666671</c:v>
                </c:pt>
                <c:pt idx="9">
                  <c:v>24.444444444444439</c:v>
                </c:pt>
                <c:pt idx="10">
                  <c:v>27.222222222222211</c:v>
                </c:pt>
                <c:pt idx="11">
                  <c:v>24.611111111111111</c:v>
                </c:pt>
              </c:numCache>
            </c:numRef>
          </c:val>
          <c:smooth val="0"/>
        </c:ser>
        <c:ser>
          <c:idx val="2"/>
          <c:order val="2"/>
          <c:tx>
            <c:strRef>
              <c:f>Sheet2!$D$14</c:f>
              <c:strCache>
                <c:ptCount val="1"/>
                <c:pt idx="0">
                  <c:v>Normal</c:v>
                </c:pt>
              </c:strCache>
            </c:strRef>
          </c:tx>
          <c:marker>
            <c:symbol val="none"/>
          </c:marker>
          <c:cat>
            <c:strRef>
              <c:f>Sheet2!$A$15:$A$26</c:f>
              <c:strCache>
                <c:ptCount val="12"/>
                <c:pt idx="0">
                  <c:v>September</c:v>
                </c:pt>
                <c:pt idx="1">
                  <c:v>October</c:v>
                </c:pt>
                <c:pt idx="2">
                  <c:v>November</c:v>
                </c:pt>
                <c:pt idx="3">
                  <c:v>December</c:v>
                </c:pt>
                <c:pt idx="4">
                  <c:v>January</c:v>
                </c:pt>
                <c:pt idx="5">
                  <c:v>February</c:v>
                </c:pt>
                <c:pt idx="6">
                  <c:v>March</c:v>
                </c:pt>
                <c:pt idx="7">
                  <c:v>April</c:v>
                </c:pt>
                <c:pt idx="8">
                  <c:v>May</c:v>
                </c:pt>
                <c:pt idx="9">
                  <c:v>June</c:v>
                </c:pt>
                <c:pt idx="10">
                  <c:v>July</c:v>
                </c:pt>
                <c:pt idx="11">
                  <c:v>August</c:v>
                </c:pt>
              </c:strCache>
            </c:strRef>
          </c:cat>
          <c:val>
            <c:numRef>
              <c:f>Sheet2!$D$15:$D$26</c:f>
              <c:numCache>
                <c:formatCode>General</c:formatCode>
                <c:ptCount val="12"/>
                <c:pt idx="0">
                  <c:v>21.722222222222211</c:v>
                </c:pt>
                <c:pt idx="1">
                  <c:v>15.5</c:v>
                </c:pt>
                <c:pt idx="2">
                  <c:v>9.8333333333333357</c:v>
                </c:pt>
                <c:pt idx="3">
                  <c:v>4.8888888888888866</c:v>
                </c:pt>
                <c:pt idx="4">
                  <c:v>3.444444444444446</c:v>
                </c:pt>
                <c:pt idx="5">
                  <c:v>5.7777777777777768</c:v>
                </c:pt>
                <c:pt idx="6">
                  <c:v>10.16666666666667</c:v>
                </c:pt>
                <c:pt idx="7">
                  <c:v>14.888888888888889</c:v>
                </c:pt>
                <c:pt idx="8">
                  <c:v>19.555555555555561</c:v>
                </c:pt>
                <c:pt idx="9">
                  <c:v>23.888888888888889</c:v>
                </c:pt>
                <c:pt idx="10">
                  <c:v>25.777777777777779</c:v>
                </c:pt>
                <c:pt idx="11">
                  <c:v>25.444444444444439</c:v>
                </c:pt>
              </c:numCache>
            </c:numRef>
          </c:val>
          <c:smooth val="0"/>
        </c:ser>
        <c:dLbls>
          <c:showLegendKey val="0"/>
          <c:showVal val="0"/>
          <c:showCatName val="0"/>
          <c:showSerName val="0"/>
          <c:showPercent val="0"/>
          <c:showBubbleSize val="0"/>
        </c:dLbls>
        <c:marker val="1"/>
        <c:smooth val="0"/>
        <c:axId val="183275520"/>
        <c:axId val="183277056"/>
      </c:lineChart>
      <c:catAx>
        <c:axId val="183275520"/>
        <c:scaling>
          <c:orientation val="minMax"/>
        </c:scaling>
        <c:delete val="0"/>
        <c:axPos val="b"/>
        <c:majorTickMark val="out"/>
        <c:minorTickMark val="none"/>
        <c:tickLblPos val="nextTo"/>
        <c:crossAx val="183277056"/>
        <c:crosses val="autoZero"/>
        <c:auto val="1"/>
        <c:lblAlgn val="ctr"/>
        <c:lblOffset val="100"/>
        <c:noMultiLvlLbl val="0"/>
      </c:catAx>
      <c:valAx>
        <c:axId val="183277056"/>
        <c:scaling>
          <c:orientation val="minMax"/>
        </c:scaling>
        <c:delete val="0"/>
        <c:axPos val="l"/>
        <c:majorGridlines/>
        <c:numFmt formatCode="General" sourceLinked="1"/>
        <c:majorTickMark val="out"/>
        <c:minorTickMark val="none"/>
        <c:tickLblPos val="nextTo"/>
        <c:crossAx val="183275520"/>
        <c:crosses val="autoZero"/>
        <c:crossBetween val="between"/>
      </c:valAx>
    </c:plotArea>
    <c:legend>
      <c:legendPos val="r"/>
      <c:overlay val="0"/>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2011</c:v>
                </c:pt>
              </c:strCache>
            </c:strRef>
          </c:tx>
          <c:marker>
            <c:symbol val="none"/>
          </c:marker>
          <c:cat>
            <c:numRef>
              <c:f>Sheet1!$A$2:$A$63</c:f>
              <c:numCache>
                <c:formatCode>m/d;@</c:formatCode>
                <c:ptCount val="62"/>
                <c:pt idx="0">
                  <c:v>41501</c:v>
                </c:pt>
                <c:pt idx="1">
                  <c:v>41502</c:v>
                </c:pt>
                <c:pt idx="2">
                  <c:v>41503</c:v>
                </c:pt>
                <c:pt idx="3">
                  <c:v>41504</c:v>
                </c:pt>
                <c:pt idx="4">
                  <c:v>41505</c:v>
                </c:pt>
                <c:pt idx="5">
                  <c:v>41506</c:v>
                </c:pt>
                <c:pt idx="6">
                  <c:v>41507</c:v>
                </c:pt>
                <c:pt idx="7">
                  <c:v>41508</c:v>
                </c:pt>
                <c:pt idx="8">
                  <c:v>41509</c:v>
                </c:pt>
                <c:pt idx="9">
                  <c:v>41510</c:v>
                </c:pt>
                <c:pt idx="10">
                  <c:v>41511</c:v>
                </c:pt>
                <c:pt idx="11">
                  <c:v>41512</c:v>
                </c:pt>
                <c:pt idx="12">
                  <c:v>41513</c:v>
                </c:pt>
                <c:pt idx="13">
                  <c:v>41514</c:v>
                </c:pt>
                <c:pt idx="14">
                  <c:v>41515</c:v>
                </c:pt>
                <c:pt idx="15">
                  <c:v>41516</c:v>
                </c:pt>
                <c:pt idx="16">
                  <c:v>41517</c:v>
                </c:pt>
                <c:pt idx="17">
                  <c:v>41518</c:v>
                </c:pt>
                <c:pt idx="18">
                  <c:v>41519</c:v>
                </c:pt>
                <c:pt idx="19">
                  <c:v>41520</c:v>
                </c:pt>
                <c:pt idx="20">
                  <c:v>41521</c:v>
                </c:pt>
                <c:pt idx="21">
                  <c:v>41522</c:v>
                </c:pt>
                <c:pt idx="22">
                  <c:v>41523</c:v>
                </c:pt>
                <c:pt idx="23">
                  <c:v>41524</c:v>
                </c:pt>
                <c:pt idx="24">
                  <c:v>41525</c:v>
                </c:pt>
                <c:pt idx="25">
                  <c:v>41526</c:v>
                </c:pt>
                <c:pt idx="26">
                  <c:v>41527</c:v>
                </c:pt>
                <c:pt idx="27">
                  <c:v>41528</c:v>
                </c:pt>
                <c:pt idx="28">
                  <c:v>41529</c:v>
                </c:pt>
                <c:pt idx="29">
                  <c:v>41530</c:v>
                </c:pt>
                <c:pt idx="30">
                  <c:v>41531</c:v>
                </c:pt>
                <c:pt idx="31">
                  <c:v>41532</c:v>
                </c:pt>
                <c:pt idx="32">
                  <c:v>41533</c:v>
                </c:pt>
                <c:pt idx="33">
                  <c:v>41534</c:v>
                </c:pt>
                <c:pt idx="34">
                  <c:v>41535</c:v>
                </c:pt>
                <c:pt idx="35">
                  <c:v>41536</c:v>
                </c:pt>
                <c:pt idx="36">
                  <c:v>41537</c:v>
                </c:pt>
                <c:pt idx="37">
                  <c:v>41538</c:v>
                </c:pt>
                <c:pt idx="38">
                  <c:v>41539</c:v>
                </c:pt>
                <c:pt idx="39">
                  <c:v>41540</c:v>
                </c:pt>
                <c:pt idx="40">
                  <c:v>41541</c:v>
                </c:pt>
                <c:pt idx="41">
                  <c:v>41542</c:v>
                </c:pt>
                <c:pt idx="42">
                  <c:v>41543</c:v>
                </c:pt>
                <c:pt idx="43">
                  <c:v>41544</c:v>
                </c:pt>
                <c:pt idx="44">
                  <c:v>41545</c:v>
                </c:pt>
                <c:pt idx="45">
                  <c:v>41546</c:v>
                </c:pt>
                <c:pt idx="46">
                  <c:v>41547</c:v>
                </c:pt>
                <c:pt idx="47">
                  <c:v>41548</c:v>
                </c:pt>
                <c:pt idx="48">
                  <c:v>41549</c:v>
                </c:pt>
                <c:pt idx="49">
                  <c:v>41550</c:v>
                </c:pt>
                <c:pt idx="50">
                  <c:v>41551</c:v>
                </c:pt>
                <c:pt idx="51">
                  <c:v>41552</c:v>
                </c:pt>
                <c:pt idx="52">
                  <c:v>41553</c:v>
                </c:pt>
                <c:pt idx="53">
                  <c:v>41554</c:v>
                </c:pt>
                <c:pt idx="54">
                  <c:v>41555</c:v>
                </c:pt>
                <c:pt idx="55">
                  <c:v>41556</c:v>
                </c:pt>
                <c:pt idx="56">
                  <c:v>41557</c:v>
                </c:pt>
                <c:pt idx="57">
                  <c:v>41558</c:v>
                </c:pt>
                <c:pt idx="58">
                  <c:v>41559</c:v>
                </c:pt>
                <c:pt idx="59">
                  <c:v>41560</c:v>
                </c:pt>
                <c:pt idx="60">
                  <c:v>41561</c:v>
                </c:pt>
                <c:pt idx="61">
                  <c:v>41562</c:v>
                </c:pt>
              </c:numCache>
            </c:numRef>
          </c:cat>
          <c:val>
            <c:numRef>
              <c:f>Sheet1!$B$2:$B$63</c:f>
              <c:numCache>
                <c:formatCode>General</c:formatCode>
                <c:ptCount val="62"/>
                <c:pt idx="0">
                  <c:v>26.21761574074073</c:v>
                </c:pt>
                <c:pt idx="1">
                  <c:v>25.839618055555562</c:v>
                </c:pt>
                <c:pt idx="2">
                  <c:v>26.11830439814814</c:v>
                </c:pt>
                <c:pt idx="3">
                  <c:v>26.812523148148149</c:v>
                </c:pt>
                <c:pt idx="4">
                  <c:v>26.949351851851841</c:v>
                </c:pt>
                <c:pt idx="5">
                  <c:v>27.19768518518519</c:v>
                </c:pt>
                <c:pt idx="6">
                  <c:v>27.127621527777769</c:v>
                </c:pt>
                <c:pt idx="7">
                  <c:v>27.107818287037031</c:v>
                </c:pt>
                <c:pt idx="8">
                  <c:v>26.174409722222229</c:v>
                </c:pt>
                <c:pt idx="9">
                  <c:v>25.940410879629621</c:v>
                </c:pt>
                <c:pt idx="10">
                  <c:v>26.652459490740739</c:v>
                </c:pt>
                <c:pt idx="11">
                  <c:v>26.99252893518517</c:v>
                </c:pt>
                <c:pt idx="12">
                  <c:v>26.725364583333331</c:v>
                </c:pt>
                <c:pt idx="13">
                  <c:v>25.858894675925931</c:v>
                </c:pt>
                <c:pt idx="14">
                  <c:v>25.285960648148141</c:v>
                </c:pt>
                <c:pt idx="15">
                  <c:v>25.403749999999981</c:v>
                </c:pt>
                <c:pt idx="16">
                  <c:v>26.132060185185171</c:v>
                </c:pt>
                <c:pt idx="17">
                  <c:v>26.636782407407399</c:v>
                </c:pt>
                <c:pt idx="18">
                  <c:v>26.922934027777771</c:v>
                </c:pt>
                <c:pt idx="19">
                  <c:v>26.998182870370361</c:v>
                </c:pt>
                <c:pt idx="20">
                  <c:v>26.19609375000001</c:v>
                </c:pt>
                <c:pt idx="21">
                  <c:v>24.187800925925931</c:v>
                </c:pt>
                <c:pt idx="22">
                  <c:v>22.19593750000001</c:v>
                </c:pt>
                <c:pt idx="23">
                  <c:v>22.475219907407389</c:v>
                </c:pt>
                <c:pt idx="24">
                  <c:v>22.53501736111112</c:v>
                </c:pt>
                <c:pt idx="25">
                  <c:v>22.799687500000012</c:v>
                </c:pt>
                <c:pt idx="26">
                  <c:v>22.731921296296299</c:v>
                </c:pt>
                <c:pt idx="27">
                  <c:v>22.97816550925927</c:v>
                </c:pt>
                <c:pt idx="28">
                  <c:v>23.525254629629639</c:v>
                </c:pt>
                <c:pt idx="29">
                  <c:v>23.738651620370391</c:v>
                </c:pt>
                <c:pt idx="30">
                  <c:v>23.759670138888911</c:v>
                </c:pt>
                <c:pt idx="31">
                  <c:v>23.104305555555559</c:v>
                </c:pt>
                <c:pt idx="32">
                  <c:v>21.33514467592591</c:v>
                </c:pt>
                <c:pt idx="33">
                  <c:v>21.917604166666671</c:v>
                </c:pt>
                <c:pt idx="34">
                  <c:v>22.44289351851852</c:v>
                </c:pt>
                <c:pt idx="35">
                  <c:v>22.666394675925911</c:v>
                </c:pt>
                <c:pt idx="36">
                  <c:v>22.869114583333332</c:v>
                </c:pt>
                <c:pt idx="37">
                  <c:v>23.594670138888901</c:v>
                </c:pt>
                <c:pt idx="38">
                  <c:v>23.765445601851859</c:v>
                </c:pt>
                <c:pt idx="39">
                  <c:v>23.55900462962963</c:v>
                </c:pt>
                <c:pt idx="40">
                  <c:v>22.921811342592591</c:v>
                </c:pt>
                <c:pt idx="41">
                  <c:v>22.32058449074075</c:v>
                </c:pt>
                <c:pt idx="42">
                  <c:v>22.381464120370381</c:v>
                </c:pt>
                <c:pt idx="43">
                  <c:v>22.26979166666667</c:v>
                </c:pt>
                <c:pt idx="44">
                  <c:v>21.639519675925911</c:v>
                </c:pt>
                <c:pt idx="45">
                  <c:v>21.75920138888889</c:v>
                </c:pt>
                <c:pt idx="46">
                  <c:v>21.221163194444451</c:v>
                </c:pt>
                <c:pt idx="47">
                  <c:v>19.462795138888879</c:v>
                </c:pt>
                <c:pt idx="48">
                  <c:v>18.6713252314815</c:v>
                </c:pt>
                <c:pt idx="49">
                  <c:v>18.110590277777781</c:v>
                </c:pt>
                <c:pt idx="50">
                  <c:v>18.548223379629629</c:v>
                </c:pt>
                <c:pt idx="51">
                  <c:v>18.906215277777779</c:v>
                </c:pt>
                <c:pt idx="52">
                  <c:v>19.21925925925926</c:v>
                </c:pt>
                <c:pt idx="53">
                  <c:v>19.62367476851853</c:v>
                </c:pt>
                <c:pt idx="54">
                  <c:v>19.50986689814815</c:v>
                </c:pt>
                <c:pt idx="55">
                  <c:v>19.152054398148149</c:v>
                </c:pt>
                <c:pt idx="56">
                  <c:v>19.598275462962981</c:v>
                </c:pt>
                <c:pt idx="57">
                  <c:v>19.902170138888891</c:v>
                </c:pt>
                <c:pt idx="58">
                  <c:v>19.819212962962968</c:v>
                </c:pt>
                <c:pt idx="59">
                  <c:v>19.78226851851851</c:v>
                </c:pt>
                <c:pt idx="60">
                  <c:v>19.061400462962961</c:v>
                </c:pt>
                <c:pt idx="61">
                  <c:v>18.339131944444439</c:v>
                </c:pt>
              </c:numCache>
            </c:numRef>
          </c:val>
          <c:smooth val="0"/>
        </c:ser>
        <c:ser>
          <c:idx val="1"/>
          <c:order val="1"/>
          <c:tx>
            <c:strRef>
              <c:f>Sheet1!$C$1</c:f>
              <c:strCache>
                <c:ptCount val="1"/>
                <c:pt idx="0">
                  <c:v>2010</c:v>
                </c:pt>
              </c:strCache>
            </c:strRef>
          </c:tx>
          <c:marker>
            <c:symbol val="none"/>
          </c:marker>
          <c:cat>
            <c:numRef>
              <c:f>Sheet1!$A$2:$A$63</c:f>
              <c:numCache>
                <c:formatCode>m/d;@</c:formatCode>
                <c:ptCount val="62"/>
                <c:pt idx="0">
                  <c:v>41501</c:v>
                </c:pt>
                <c:pt idx="1">
                  <c:v>41502</c:v>
                </c:pt>
                <c:pt idx="2">
                  <c:v>41503</c:v>
                </c:pt>
                <c:pt idx="3">
                  <c:v>41504</c:v>
                </c:pt>
                <c:pt idx="4">
                  <c:v>41505</c:v>
                </c:pt>
                <c:pt idx="5">
                  <c:v>41506</c:v>
                </c:pt>
                <c:pt idx="6">
                  <c:v>41507</c:v>
                </c:pt>
                <c:pt idx="7">
                  <c:v>41508</c:v>
                </c:pt>
                <c:pt idx="8">
                  <c:v>41509</c:v>
                </c:pt>
                <c:pt idx="9">
                  <c:v>41510</c:v>
                </c:pt>
                <c:pt idx="10">
                  <c:v>41511</c:v>
                </c:pt>
                <c:pt idx="11">
                  <c:v>41512</c:v>
                </c:pt>
                <c:pt idx="12">
                  <c:v>41513</c:v>
                </c:pt>
                <c:pt idx="13">
                  <c:v>41514</c:v>
                </c:pt>
                <c:pt idx="14">
                  <c:v>41515</c:v>
                </c:pt>
                <c:pt idx="15">
                  <c:v>41516</c:v>
                </c:pt>
                <c:pt idx="16">
                  <c:v>41517</c:v>
                </c:pt>
                <c:pt idx="17">
                  <c:v>41518</c:v>
                </c:pt>
                <c:pt idx="18">
                  <c:v>41519</c:v>
                </c:pt>
                <c:pt idx="19">
                  <c:v>41520</c:v>
                </c:pt>
                <c:pt idx="20">
                  <c:v>41521</c:v>
                </c:pt>
                <c:pt idx="21">
                  <c:v>41522</c:v>
                </c:pt>
                <c:pt idx="22">
                  <c:v>41523</c:v>
                </c:pt>
                <c:pt idx="23">
                  <c:v>41524</c:v>
                </c:pt>
                <c:pt idx="24">
                  <c:v>41525</c:v>
                </c:pt>
                <c:pt idx="25">
                  <c:v>41526</c:v>
                </c:pt>
                <c:pt idx="26">
                  <c:v>41527</c:v>
                </c:pt>
                <c:pt idx="27">
                  <c:v>41528</c:v>
                </c:pt>
                <c:pt idx="28">
                  <c:v>41529</c:v>
                </c:pt>
                <c:pt idx="29">
                  <c:v>41530</c:v>
                </c:pt>
                <c:pt idx="30">
                  <c:v>41531</c:v>
                </c:pt>
                <c:pt idx="31">
                  <c:v>41532</c:v>
                </c:pt>
                <c:pt idx="32">
                  <c:v>41533</c:v>
                </c:pt>
                <c:pt idx="33">
                  <c:v>41534</c:v>
                </c:pt>
                <c:pt idx="34">
                  <c:v>41535</c:v>
                </c:pt>
                <c:pt idx="35">
                  <c:v>41536</c:v>
                </c:pt>
                <c:pt idx="36">
                  <c:v>41537</c:v>
                </c:pt>
                <c:pt idx="37">
                  <c:v>41538</c:v>
                </c:pt>
                <c:pt idx="38">
                  <c:v>41539</c:v>
                </c:pt>
                <c:pt idx="39">
                  <c:v>41540</c:v>
                </c:pt>
                <c:pt idx="40">
                  <c:v>41541</c:v>
                </c:pt>
                <c:pt idx="41">
                  <c:v>41542</c:v>
                </c:pt>
                <c:pt idx="42">
                  <c:v>41543</c:v>
                </c:pt>
                <c:pt idx="43">
                  <c:v>41544</c:v>
                </c:pt>
                <c:pt idx="44">
                  <c:v>41545</c:v>
                </c:pt>
                <c:pt idx="45">
                  <c:v>41546</c:v>
                </c:pt>
                <c:pt idx="46">
                  <c:v>41547</c:v>
                </c:pt>
                <c:pt idx="47">
                  <c:v>41548</c:v>
                </c:pt>
                <c:pt idx="48">
                  <c:v>41549</c:v>
                </c:pt>
                <c:pt idx="49">
                  <c:v>41550</c:v>
                </c:pt>
                <c:pt idx="50">
                  <c:v>41551</c:v>
                </c:pt>
                <c:pt idx="51">
                  <c:v>41552</c:v>
                </c:pt>
                <c:pt idx="52">
                  <c:v>41553</c:v>
                </c:pt>
                <c:pt idx="53">
                  <c:v>41554</c:v>
                </c:pt>
                <c:pt idx="54">
                  <c:v>41555</c:v>
                </c:pt>
                <c:pt idx="55">
                  <c:v>41556</c:v>
                </c:pt>
                <c:pt idx="56">
                  <c:v>41557</c:v>
                </c:pt>
                <c:pt idx="57">
                  <c:v>41558</c:v>
                </c:pt>
                <c:pt idx="58">
                  <c:v>41559</c:v>
                </c:pt>
                <c:pt idx="59">
                  <c:v>41560</c:v>
                </c:pt>
                <c:pt idx="60">
                  <c:v>41561</c:v>
                </c:pt>
                <c:pt idx="61">
                  <c:v>41562</c:v>
                </c:pt>
              </c:numCache>
            </c:numRef>
          </c:cat>
          <c:val>
            <c:numRef>
              <c:f>Sheet1!$C$2:$C$63</c:f>
              <c:numCache>
                <c:formatCode>General</c:formatCode>
                <c:ptCount val="62"/>
                <c:pt idx="0">
                  <c:v>29.737725694444439</c:v>
                </c:pt>
                <c:pt idx="1">
                  <c:v>28.819398148148149</c:v>
                </c:pt>
                <c:pt idx="2">
                  <c:v>28.275214120370379</c:v>
                </c:pt>
                <c:pt idx="3">
                  <c:v>27.97835648148148</c:v>
                </c:pt>
                <c:pt idx="4">
                  <c:v>27.391736111111101</c:v>
                </c:pt>
                <c:pt idx="5">
                  <c:v>27.614126157407409</c:v>
                </c:pt>
                <c:pt idx="6">
                  <c:v>27.67952546296295</c:v>
                </c:pt>
                <c:pt idx="7">
                  <c:v>27.8556481</c:v>
                </c:pt>
                <c:pt idx="8">
                  <c:v>27.19903356481483</c:v>
                </c:pt>
                <c:pt idx="9">
                  <c:v>26.513009259259249</c:v>
                </c:pt>
                <c:pt idx="10">
                  <c:v>26.411770833333339</c:v>
                </c:pt>
                <c:pt idx="11">
                  <c:v>26.302054398148151</c:v>
                </c:pt>
                <c:pt idx="12">
                  <c:v>26.248501157407411</c:v>
                </c:pt>
                <c:pt idx="13">
                  <c:v>26.421840277777768</c:v>
                </c:pt>
                <c:pt idx="14">
                  <c:v>26.39185185185184</c:v>
                </c:pt>
                <c:pt idx="15">
                  <c:v>26.674351851851849</c:v>
                </c:pt>
                <c:pt idx="16">
                  <c:v>26.345879629629639</c:v>
                </c:pt>
                <c:pt idx="17">
                  <c:v>26.129467592592601</c:v>
                </c:pt>
                <c:pt idx="18">
                  <c:v>26.099942129629628</c:v>
                </c:pt>
                <c:pt idx="19">
                  <c:v>25.78397569444444</c:v>
                </c:pt>
                <c:pt idx="20">
                  <c:v>24.681961805555559</c:v>
                </c:pt>
                <c:pt idx="21">
                  <c:v>23.882418981481479</c:v>
                </c:pt>
                <c:pt idx="22">
                  <c:v>23.9841724537037</c:v>
                </c:pt>
                <c:pt idx="23">
                  <c:v>24.666082175925929</c:v>
                </c:pt>
                <c:pt idx="24">
                  <c:v>25.07227430555556</c:v>
                </c:pt>
                <c:pt idx="25">
                  <c:v>24.251163194444452</c:v>
                </c:pt>
                <c:pt idx="26">
                  <c:v>23.87756944444445</c:v>
                </c:pt>
                <c:pt idx="27">
                  <c:v>23.348443287037039</c:v>
                </c:pt>
                <c:pt idx="28">
                  <c:v>24.043802083333329</c:v>
                </c:pt>
                <c:pt idx="29">
                  <c:v>23.13153356481482</c:v>
                </c:pt>
                <c:pt idx="30">
                  <c:v>23.32108796296297</c:v>
                </c:pt>
                <c:pt idx="31">
                  <c:v>23.907598379629629</c:v>
                </c:pt>
                <c:pt idx="32">
                  <c:v>23.7892534722222</c:v>
                </c:pt>
                <c:pt idx="33">
                  <c:v>24.729270833333331</c:v>
                </c:pt>
                <c:pt idx="34">
                  <c:v>23.99784143518518</c:v>
                </c:pt>
                <c:pt idx="35">
                  <c:v>24.31457175925927</c:v>
                </c:pt>
                <c:pt idx="36">
                  <c:v>24.372424768518531</c:v>
                </c:pt>
                <c:pt idx="37">
                  <c:v>24.558836805555561</c:v>
                </c:pt>
                <c:pt idx="38">
                  <c:v>24.811788194444439</c:v>
                </c:pt>
                <c:pt idx="39">
                  <c:v>24.991574074074101</c:v>
                </c:pt>
                <c:pt idx="40">
                  <c:v>24.740318287037031</c:v>
                </c:pt>
                <c:pt idx="41">
                  <c:v>24.458923611111121</c:v>
                </c:pt>
                <c:pt idx="42">
                  <c:v>23.25986689814815</c:v>
                </c:pt>
                <c:pt idx="43">
                  <c:v>21.85902777777779</c:v>
                </c:pt>
                <c:pt idx="44">
                  <c:v>21.420306712962951</c:v>
                </c:pt>
                <c:pt idx="45">
                  <c:v>21.392025462962959</c:v>
                </c:pt>
                <c:pt idx="46">
                  <c:v>21.774247685185181</c:v>
                </c:pt>
                <c:pt idx="47">
                  <c:v>20.691302083333319</c:v>
                </c:pt>
                <c:pt idx="48">
                  <c:v>20.047835648148141</c:v>
                </c:pt>
                <c:pt idx="49">
                  <c:v>18.91777777777779</c:v>
                </c:pt>
                <c:pt idx="50">
                  <c:v>17.86057870370372</c:v>
                </c:pt>
                <c:pt idx="51">
                  <c:v>17.371979166666669</c:v>
                </c:pt>
                <c:pt idx="52">
                  <c:v>17.140584490740739</c:v>
                </c:pt>
                <c:pt idx="53">
                  <c:v>17.694780092592602</c:v>
                </c:pt>
                <c:pt idx="54">
                  <c:v>18.492256944444438</c:v>
                </c:pt>
                <c:pt idx="55">
                  <c:v>18.440902777777769</c:v>
                </c:pt>
                <c:pt idx="56">
                  <c:v>18.604016203703701</c:v>
                </c:pt>
                <c:pt idx="57">
                  <c:v>18.914033564814819</c:v>
                </c:pt>
                <c:pt idx="58">
                  <c:v>18.656909722222231</c:v>
                </c:pt>
                <c:pt idx="59">
                  <c:v>19.159247685185189</c:v>
                </c:pt>
                <c:pt idx="60">
                  <c:v>18.880781249999991</c:v>
                </c:pt>
                <c:pt idx="61">
                  <c:v>17.012696759259249</c:v>
                </c:pt>
              </c:numCache>
            </c:numRef>
          </c:val>
          <c:smooth val="0"/>
        </c:ser>
        <c:dLbls>
          <c:showLegendKey val="0"/>
          <c:showVal val="0"/>
          <c:showCatName val="0"/>
          <c:showSerName val="0"/>
          <c:showPercent val="0"/>
          <c:showBubbleSize val="0"/>
        </c:dLbls>
        <c:marker val="1"/>
        <c:smooth val="0"/>
        <c:axId val="184612736"/>
        <c:axId val="184614272"/>
      </c:lineChart>
      <c:dateAx>
        <c:axId val="184612736"/>
        <c:scaling>
          <c:orientation val="minMax"/>
        </c:scaling>
        <c:delete val="0"/>
        <c:axPos val="b"/>
        <c:numFmt formatCode="m/d;@" sourceLinked="1"/>
        <c:majorTickMark val="out"/>
        <c:minorTickMark val="none"/>
        <c:tickLblPos val="nextTo"/>
        <c:crossAx val="184614272"/>
        <c:crosses val="autoZero"/>
        <c:auto val="1"/>
        <c:lblOffset val="100"/>
        <c:baseTimeUnit val="days"/>
      </c:dateAx>
      <c:valAx>
        <c:axId val="184614272"/>
        <c:scaling>
          <c:orientation val="minMax"/>
          <c:max val="28"/>
          <c:min val="20"/>
        </c:scaling>
        <c:delete val="0"/>
        <c:axPos val="l"/>
        <c:majorGridlines/>
        <c:numFmt formatCode="General" sourceLinked="1"/>
        <c:majorTickMark val="out"/>
        <c:minorTickMark val="none"/>
        <c:tickLblPos val="nextTo"/>
        <c:crossAx val="184612736"/>
        <c:crosses val="autoZero"/>
        <c:crossBetween val="between"/>
      </c:valAx>
    </c:plotArea>
    <c:legend>
      <c:legendPos val="r"/>
      <c:overlay val="0"/>
    </c:legend>
    <c:plotVisOnly val="1"/>
    <c:dispBlanksAs val="gap"/>
    <c:showDLblsOverMax val="0"/>
  </c:chart>
  <c:externalData r:id="rId2">
    <c:autoUpdate val="0"/>
  </c:externalData>
  <c:userShapes r:id="rId3"/>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Sheet1!$Q$375</c:f>
              <c:strCache>
                <c:ptCount val="1"/>
                <c:pt idx="0">
                  <c:v>2011</c:v>
                </c:pt>
              </c:strCache>
            </c:strRef>
          </c:tx>
          <c:marker>
            <c:symbol val="none"/>
          </c:marker>
          <c:cat>
            <c:numRef>
              <c:f>Sheet1!$P$376:$P$389</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Sheet1!$Q$376:$Q$389</c:f>
              <c:numCache>
                <c:formatCode>General</c:formatCode>
                <c:ptCount val="14"/>
                <c:pt idx="0">
                  <c:v>22.777777777777779</c:v>
                </c:pt>
                <c:pt idx="1">
                  <c:v>20</c:v>
                </c:pt>
                <c:pt idx="2">
                  <c:v>20</c:v>
                </c:pt>
                <c:pt idx="3">
                  <c:v>20.555555555555561</c:v>
                </c:pt>
                <c:pt idx="4">
                  <c:v>23.888888888888889</c:v>
                </c:pt>
                <c:pt idx="5">
                  <c:v>18.888888888888889</c:v>
                </c:pt>
                <c:pt idx="6">
                  <c:v>19.444444444444439</c:v>
                </c:pt>
                <c:pt idx="7">
                  <c:v>21.111111111111111</c:v>
                </c:pt>
                <c:pt idx="8">
                  <c:v>16.111111111111111</c:v>
                </c:pt>
                <c:pt idx="9">
                  <c:v>11.111111111111111</c:v>
                </c:pt>
                <c:pt idx="10">
                  <c:v>11.66666666666667</c:v>
                </c:pt>
                <c:pt idx="11">
                  <c:v>12.22222222222222</c:v>
                </c:pt>
                <c:pt idx="12">
                  <c:v>15.555555555555561</c:v>
                </c:pt>
                <c:pt idx="13">
                  <c:v>18.333333333333321</c:v>
                </c:pt>
              </c:numCache>
            </c:numRef>
          </c:val>
          <c:smooth val="0"/>
        </c:ser>
        <c:ser>
          <c:idx val="1"/>
          <c:order val="1"/>
          <c:tx>
            <c:strRef>
              <c:f>Sheet1!$R$375</c:f>
              <c:strCache>
                <c:ptCount val="1"/>
                <c:pt idx="0">
                  <c:v>2010</c:v>
                </c:pt>
              </c:strCache>
            </c:strRef>
          </c:tx>
          <c:marker>
            <c:symbol val="none"/>
          </c:marker>
          <c:cat>
            <c:numRef>
              <c:f>Sheet1!$P$376:$P$389</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Sheet1!$R$376:$R$389</c:f>
              <c:numCache>
                <c:formatCode>General</c:formatCode>
                <c:ptCount val="14"/>
                <c:pt idx="0">
                  <c:v>20</c:v>
                </c:pt>
                <c:pt idx="1">
                  <c:v>17.777777777777779</c:v>
                </c:pt>
                <c:pt idx="2">
                  <c:v>17.222222222222211</c:v>
                </c:pt>
                <c:pt idx="3">
                  <c:v>12.22222222222222</c:v>
                </c:pt>
                <c:pt idx="4">
                  <c:v>10.555555555555561</c:v>
                </c:pt>
                <c:pt idx="5">
                  <c:v>11.66666666666667</c:v>
                </c:pt>
                <c:pt idx="6">
                  <c:v>12.77777777777778</c:v>
                </c:pt>
                <c:pt idx="7">
                  <c:v>17.777777777777779</c:v>
                </c:pt>
                <c:pt idx="8">
                  <c:v>18.888888888888889</c:v>
                </c:pt>
                <c:pt idx="9">
                  <c:v>18.333333333333321</c:v>
                </c:pt>
                <c:pt idx="10">
                  <c:v>18.333333333333321</c:v>
                </c:pt>
                <c:pt idx="11">
                  <c:v>19.444444444444439</c:v>
                </c:pt>
                <c:pt idx="12">
                  <c:v>16.666666666666671</c:v>
                </c:pt>
                <c:pt idx="13">
                  <c:v>18.333333333333321</c:v>
                </c:pt>
              </c:numCache>
            </c:numRef>
          </c:val>
          <c:smooth val="0"/>
        </c:ser>
        <c:dLbls>
          <c:showLegendKey val="0"/>
          <c:showVal val="0"/>
          <c:showCatName val="0"/>
          <c:showSerName val="0"/>
          <c:showPercent val="0"/>
          <c:showBubbleSize val="0"/>
        </c:dLbls>
        <c:marker val="1"/>
        <c:smooth val="0"/>
        <c:axId val="184697984"/>
        <c:axId val="184699520"/>
      </c:lineChart>
      <c:catAx>
        <c:axId val="184697984"/>
        <c:scaling>
          <c:orientation val="minMax"/>
        </c:scaling>
        <c:delete val="0"/>
        <c:axPos val="b"/>
        <c:numFmt formatCode="General" sourceLinked="1"/>
        <c:majorTickMark val="out"/>
        <c:minorTickMark val="none"/>
        <c:tickLblPos val="nextTo"/>
        <c:crossAx val="184699520"/>
        <c:crosses val="autoZero"/>
        <c:auto val="1"/>
        <c:lblAlgn val="ctr"/>
        <c:lblOffset val="100"/>
        <c:noMultiLvlLbl val="0"/>
      </c:catAx>
      <c:valAx>
        <c:axId val="184699520"/>
        <c:scaling>
          <c:orientation val="minMax"/>
          <c:max val="25"/>
          <c:min val="10"/>
        </c:scaling>
        <c:delete val="0"/>
        <c:axPos val="l"/>
        <c:majorGridlines/>
        <c:numFmt formatCode="General" sourceLinked="1"/>
        <c:majorTickMark val="out"/>
        <c:minorTickMark val="none"/>
        <c:tickLblPos val="nextTo"/>
        <c:crossAx val="184697984"/>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Sheet1!$A$20</c:f>
              <c:strCache>
                <c:ptCount val="1"/>
                <c:pt idx="0">
                  <c:v>Bunch</c:v>
                </c:pt>
              </c:strCache>
            </c:strRef>
          </c:tx>
          <c:marker>
            <c:symbol val="none"/>
          </c:marker>
          <c:errBars>
            <c:errDir val="y"/>
            <c:errBarType val="both"/>
            <c:errValType val="cust"/>
            <c:noEndCap val="0"/>
            <c:plus>
              <c:numRef>
                <c:f>Sheet1!$B$24:$M$24</c:f>
                <c:numCache>
                  <c:formatCode>General</c:formatCode>
                  <c:ptCount val="12"/>
                  <c:pt idx="0">
                    <c:v>0.54008</c:v>
                  </c:pt>
                  <c:pt idx="1">
                    <c:v>0.79972500000000002</c:v>
                  </c:pt>
                  <c:pt idx="2">
                    <c:v>1.5030600000000001</c:v>
                  </c:pt>
                  <c:pt idx="3">
                    <c:v>1.3370500000000001</c:v>
                  </c:pt>
                  <c:pt idx="4">
                    <c:v>1.498535</c:v>
                  </c:pt>
                  <c:pt idx="5">
                    <c:v>1.3754200000000001</c:v>
                  </c:pt>
                  <c:pt idx="6">
                    <c:v>1.4430750000000001</c:v>
                  </c:pt>
                  <c:pt idx="7">
                    <c:v>1.48478</c:v>
                  </c:pt>
                  <c:pt idx="8">
                    <c:v>1.9840450000000001</c:v>
                  </c:pt>
                  <c:pt idx="9">
                    <c:v>1.97563</c:v>
                  </c:pt>
                  <c:pt idx="10">
                    <c:v>2.3029700000000002</c:v>
                  </c:pt>
                  <c:pt idx="11">
                    <c:v>2.5735049999999999</c:v>
                  </c:pt>
                </c:numCache>
              </c:numRef>
            </c:plus>
            <c:minus>
              <c:numRef>
                <c:f>Sheet1!$B$24:$M$24</c:f>
                <c:numCache>
                  <c:formatCode>General</c:formatCode>
                  <c:ptCount val="12"/>
                  <c:pt idx="0">
                    <c:v>0.54008</c:v>
                  </c:pt>
                  <c:pt idx="1">
                    <c:v>0.79972500000000002</c:v>
                  </c:pt>
                  <c:pt idx="2">
                    <c:v>1.5030600000000001</c:v>
                  </c:pt>
                  <c:pt idx="3">
                    <c:v>1.3370500000000001</c:v>
                  </c:pt>
                  <c:pt idx="4">
                    <c:v>1.498535</c:v>
                  </c:pt>
                  <c:pt idx="5">
                    <c:v>1.3754200000000001</c:v>
                  </c:pt>
                  <c:pt idx="6">
                    <c:v>1.4430750000000001</c:v>
                  </c:pt>
                  <c:pt idx="7">
                    <c:v>1.48478</c:v>
                  </c:pt>
                  <c:pt idx="8">
                    <c:v>1.9840450000000001</c:v>
                  </c:pt>
                  <c:pt idx="9">
                    <c:v>1.97563</c:v>
                  </c:pt>
                  <c:pt idx="10">
                    <c:v>2.3029700000000002</c:v>
                  </c:pt>
                  <c:pt idx="11">
                    <c:v>2.5735049999999999</c:v>
                  </c:pt>
                </c:numCache>
              </c:numRef>
            </c:minus>
          </c:errBars>
          <c:cat>
            <c:strRef>
              <c:f>Sheet1!$B$19:$M$19</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Sheet1!$B$20:$M$20</c:f>
              <c:numCache>
                <c:formatCode>General</c:formatCode>
                <c:ptCount val="12"/>
                <c:pt idx="0">
                  <c:v>14.7723</c:v>
                </c:pt>
                <c:pt idx="1">
                  <c:v>30.4071</c:v>
                </c:pt>
                <c:pt idx="2">
                  <c:v>45.507100000000001</c:v>
                </c:pt>
                <c:pt idx="3">
                  <c:v>46.3902</c:v>
                </c:pt>
                <c:pt idx="4">
                  <c:v>58.596400000000003</c:v>
                </c:pt>
                <c:pt idx="5">
                  <c:v>42.7196</c:v>
                </c:pt>
                <c:pt idx="6">
                  <c:v>26.332999999999991</c:v>
                </c:pt>
                <c:pt idx="7">
                  <c:v>24.759799999999991</c:v>
                </c:pt>
                <c:pt idx="8">
                  <c:v>23.483000000000001</c:v>
                </c:pt>
                <c:pt idx="9">
                  <c:v>21.4527</c:v>
                </c:pt>
                <c:pt idx="10">
                  <c:v>31.1768</c:v>
                </c:pt>
                <c:pt idx="11">
                  <c:v>48.024099999999997</c:v>
                </c:pt>
              </c:numCache>
            </c:numRef>
          </c:val>
          <c:smooth val="0"/>
        </c:ser>
        <c:ser>
          <c:idx val="1"/>
          <c:order val="1"/>
          <c:tx>
            <c:strRef>
              <c:f>Sheet1!$A$21</c:f>
              <c:strCache>
                <c:ptCount val="1"/>
                <c:pt idx="0">
                  <c:v>Rhizomatous</c:v>
                </c:pt>
              </c:strCache>
            </c:strRef>
          </c:tx>
          <c:marker>
            <c:symbol val="none"/>
          </c:marker>
          <c:errBars>
            <c:errDir val="y"/>
            <c:errBarType val="both"/>
            <c:errValType val="cust"/>
            <c:noEndCap val="0"/>
            <c:plus>
              <c:numRef>
                <c:f>Sheet1!$B$24:$M$24</c:f>
                <c:numCache>
                  <c:formatCode>General</c:formatCode>
                  <c:ptCount val="12"/>
                  <c:pt idx="0">
                    <c:v>0.54008</c:v>
                  </c:pt>
                  <c:pt idx="1">
                    <c:v>0.79972500000000002</c:v>
                  </c:pt>
                  <c:pt idx="2">
                    <c:v>1.5030600000000001</c:v>
                  </c:pt>
                  <c:pt idx="3">
                    <c:v>1.3370500000000001</c:v>
                  </c:pt>
                  <c:pt idx="4">
                    <c:v>1.498535</c:v>
                  </c:pt>
                  <c:pt idx="5">
                    <c:v>1.3754200000000001</c:v>
                  </c:pt>
                  <c:pt idx="6">
                    <c:v>1.4430750000000001</c:v>
                  </c:pt>
                  <c:pt idx="7">
                    <c:v>1.48478</c:v>
                  </c:pt>
                  <c:pt idx="8">
                    <c:v>1.9840450000000001</c:v>
                  </c:pt>
                  <c:pt idx="9">
                    <c:v>1.97563</c:v>
                  </c:pt>
                  <c:pt idx="10">
                    <c:v>2.3029700000000002</c:v>
                  </c:pt>
                  <c:pt idx="11">
                    <c:v>2.5735049999999999</c:v>
                  </c:pt>
                </c:numCache>
              </c:numRef>
            </c:plus>
            <c:minus>
              <c:numRef>
                <c:f>Sheet1!$B$24:$M$24</c:f>
                <c:numCache>
                  <c:formatCode>General</c:formatCode>
                  <c:ptCount val="12"/>
                  <c:pt idx="0">
                    <c:v>0.54008</c:v>
                  </c:pt>
                  <c:pt idx="1">
                    <c:v>0.79972500000000002</c:v>
                  </c:pt>
                  <c:pt idx="2">
                    <c:v>1.5030600000000001</c:v>
                  </c:pt>
                  <c:pt idx="3">
                    <c:v>1.3370500000000001</c:v>
                  </c:pt>
                  <c:pt idx="4">
                    <c:v>1.498535</c:v>
                  </c:pt>
                  <c:pt idx="5">
                    <c:v>1.3754200000000001</c:v>
                  </c:pt>
                  <c:pt idx="6">
                    <c:v>1.4430750000000001</c:v>
                  </c:pt>
                  <c:pt idx="7">
                    <c:v>1.48478</c:v>
                  </c:pt>
                  <c:pt idx="8">
                    <c:v>1.9840450000000001</c:v>
                  </c:pt>
                  <c:pt idx="9">
                    <c:v>1.97563</c:v>
                  </c:pt>
                  <c:pt idx="10">
                    <c:v>2.3029700000000002</c:v>
                  </c:pt>
                  <c:pt idx="11">
                    <c:v>2.5735049999999999</c:v>
                  </c:pt>
                </c:numCache>
              </c:numRef>
            </c:minus>
          </c:errBars>
          <c:cat>
            <c:strRef>
              <c:f>Sheet1!$B$19:$M$19</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Sheet1!$B$21:$M$21</c:f>
              <c:numCache>
                <c:formatCode>General</c:formatCode>
                <c:ptCount val="12"/>
                <c:pt idx="0">
                  <c:v>14.5</c:v>
                </c:pt>
                <c:pt idx="1">
                  <c:v>31.285399999999989</c:v>
                </c:pt>
                <c:pt idx="2">
                  <c:v>48.404200000000003</c:v>
                </c:pt>
                <c:pt idx="3">
                  <c:v>51.7729</c:v>
                </c:pt>
                <c:pt idx="4">
                  <c:v>69.916700000000006</c:v>
                </c:pt>
                <c:pt idx="5">
                  <c:v>55.939600000000013</c:v>
                </c:pt>
                <c:pt idx="6">
                  <c:v>48.262500000000003</c:v>
                </c:pt>
                <c:pt idx="7">
                  <c:v>53.691699999999997</c:v>
                </c:pt>
                <c:pt idx="8">
                  <c:v>61.8</c:v>
                </c:pt>
                <c:pt idx="9">
                  <c:v>61.7333</c:v>
                </c:pt>
                <c:pt idx="10">
                  <c:v>68.193700000000007</c:v>
                </c:pt>
                <c:pt idx="11">
                  <c:v>81.7958</c:v>
                </c:pt>
              </c:numCache>
            </c:numRef>
          </c:val>
          <c:smooth val="0"/>
        </c:ser>
        <c:ser>
          <c:idx val="2"/>
          <c:order val="2"/>
          <c:tx>
            <c:strRef>
              <c:f>Sheet1!$A$22</c:f>
              <c:strCache>
                <c:ptCount val="1"/>
                <c:pt idx="0">
                  <c:v>Stoloniferous</c:v>
                </c:pt>
              </c:strCache>
            </c:strRef>
          </c:tx>
          <c:marker>
            <c:symbol val="none"/>
          </c:marker>
          <c:errBars>
            <c:errDir val="y"/>
            <c:errBarType val="both"/>
            <c:errValType val="cust"/>
            <c:noEndCap val="0"/>
            <c:plus>
              <c:numRef>
                <c:f>Sheet1!$B$24:$M$24</c:f>
                <c:numCache>
                  <c:formatCode>General</c:formatCode>
                  <c:ptCount val="12"/>
                  <c:pt idx="0">
                    <c:v>0.54008</c:v>
                  </c:pt>
                  <c:pt idx="1">
                    <c:v>0.79972500000000002</c:v>
                  </c:pt>
                  <c:pt idx="2">
                    <c:v>1.5030600000000001</c:v>
                  </c:pt>
                  <c:pt idx="3">
                    <c:v>1.3370500000000001</c:v>
                  </c:pt>
                  <c:pt idx="4">
                    <c:v>1.498535</c:v>
                  </c:pt>
                  <c:pt idx="5">
                    <c:v>1.3754200000000001</c:v>
                  </c:pt>
                  <c:pt idx="6">
                    <c:v>1.4430750000000001</c:v>
                  </c:pt>
                  <c:pt idx="7">
                    <c:v>1.48478</c:v>
                  </c:pt>
                  <c:pt idx="8">
                    <c:v>1.9840450000000001</c:v>
                  </c:pt>
                  <c:pt idx="9">
                    <c:v>1.97563</c:v>
                  </c:pt>
                  <c:pt idx="10">
                    <c:v>2.3029700000000002</c:v>
                  </c:pt>
                  <c:pt idx="11">
                    <c:v>2.5735049999999999</c:v>
                  </c:pt>
                </c:numCache>
              </c:numRef>
            </c:plus>
            <c:minus>
              <c:numRef>
                <c:f>Sheet1!$B$24:$M$24</c:f>
                <c:numCache>
                  <c:formatCode>General</c:formatCode>
                  <c:ptCount val="12"/>
                  <c:pt idx="0">
                    <c:v>0.54008</c:v>
                  </c:pt>
                  <c:pt idx="1">
                    <c:v>0.79972500000000002</c:v>
                  </c:pt>
                  <c:pt idx="2">
                    <c:v>1.5030600000000001</c:v>
                  </c:pt>
                  <c:pt idx="3">
                    <c:v>1.3370500000000001</c:v>
                  </c:pt>
                  <c:pt idx="4">
                    <c:v>1.498535</c:v>
                  </c:pt>
                  <c:pt idx="5">
                    <c:v>1.3754200000000001</c:v>
                  </c:pt>
                  <c:pt idx="6">
                    <c:v>1.4430750000000001</c:v>
                  </c:pt>
                  <c:pt idx="7">
                    <c:v>1.48478</c:v>
                  </c:pt>
                  <c:pt idx="8">
                    <c:v>1.9840450000000001</c:v>
                  </c:pt>
                  <c:pt idx="9">
                    <c:v>1.97563</c:v>
                  </c:pt>
                  <c:pt idx="10">
                    <c:v>2.3029700000000002</c:v>
                  </c:pt>
                  <c:pt idx="11">
                    <c:v>2.5735049999999999</c:v>
                  </c:pt>
                </c:numCache>
              </c:numRef>
            </c:minus>
          </c:errBars>
          <c:cat>
            <c:strRef>
              <c:f>Sheet1!$B$19:$M$19</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Sheet1!$B$22:$M$22</c:f>
              <c:numCache>
                <c:formatCode>General</c:formatCode>
                <c:ptCount val="12"/>
                <c:pt idx="0">
                  <c:v>17.765000000000001</c:v>
                </c:pt>
                <c:pt idx="1">
                  <c:v>37.25</c:v>
                </c:pt>
                <c:pt idx="2">
                  <c:v>61.935000000000002</c:v>
                </c:pt>
                <c:pt idx="3">
                  <c:v>70.88</c:v>
                </c:pt>
                <c:pt idx="4">
                  <c:v>88.874999999999986</c:v>
                </c:pt>
                <c:pt idx="5">
                  <c:v>75.75</c:v>
                </c:pt>
                <c:pt idx="6">
                  <c:v>67.415000000000006</c:v>
                </c:pt>
                <c:pt idx="7">
                  <c:v>81.745000000000005</c:v>
                </c:pt>
                <c:pt idx="8">
                  <c:v>82.679999999999993</c:v>
                </c:pt>
                <c:pt idx="9">
                  <c:v>82.184999999999974</c:v>
                </c:pt>
                <c:pt idx="10">
                  <c:v>75.349999999999994</c:v>
                </c:pt>
                <c:pt idx="11">
                  <c:v>93.04</c:v>
                </c:pt>
              </c:numCache>
            </c:numRef>
          </c:val>
          <c:smooth val="0"/>
        </c:ser>
        <c:dLbls>
          <c:showLegendKey val="0"/>
          <c:showVal val="0"/>
          <c:showCatName val="0"/>
          <c:showSerName val="0"/>
          <c:showPercent val="0"/>
          <c:showBubbleSize val="0"/>
        </c:dLbls>
        <c:marker val="1"/>
        <c:smooth val="0"/>
        <c:axId val="172454272"/>
        <c:axId val="172455808"/>
      </c:lineChart>
      <c:catAx>
        <c:axId val="172454272"/>
        <c:scaling>
          <c:orientation val="minMax"/>
        </c:scaling>
        <c:delete val="0"/>
        <c:axPos val="b"/>
        <c:majorTickMark val="out"/>
        <c:minorTickMark val="none"/>
        <c:tickLblPos val="nextTo"/>
        <c:txPr>
          <a:bodyPr/>
          <a:lstStyle/>
          <a:p>
            <a:pPr>
              <a:defRPr sz="1200" b="1">
                <a:latin typeface="Times New Roman" pitchFamily="18" charset="0"/>
                <a:cs typeface="Times New Roman" pitchFamily="18" charset="0"/>
              </a:defRPr>
            </a:pPr>
            <a:endParaRPr lang="en-US"/>
          </a:p>
        </c:txPr>
        <c:crossAx val="172455808"/>
        <c:crosses val="autoZero"/>
        <c:auto val="1"/>
        <c:lblAlgn val="ctr"/>
        <c:lblOffset val="100"/>
        <c:noMultiLvlLbl val="0"/>
      </c:catAx>
      <c:valAx>
        <c:axId val="172455808"/>
        <c:scaling>
          <c:orientation val="minMax"/>
          <c:max val="100"/>
          <c:min val="10"/>
        </c:scaling>
        <c:delete val="0"/>
        <c:axPos val="l"/>
        <c:majorGridlines/>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en-US"/>
          </a:p>
        </c:txPr>
        <c:crossAx val="172454272"/>
        <c:crosses val="autoZero"/>
        <c:crossBetween val="between"/>
      </c:valAx>
    </c:plotArea>
    <c:legend>
      <c:legendPos val="b"/>
      <c:overlay val="0"/>
      <c:txPr>
        <a:bodyPr/>
        <a:lstStyle/>
        <a:p>
          <a:pPr>
            <a:defRPr sz="1200" b="1">
              <a:latin typeface="Times New Roman" pitchFamily="18" charset="0"/>
              <a:cs typeface="Times New Roman" pitchFamily="18" charset="0"/>
            </a:defRPr>
          </a:pPr>
          <a:endParaRPr lang="en-US"/>
        </a:p>
      </c:txPr>
    </c:legend>
    <c:plotVisOnly val="1"/>
    <c:dispBlanksAs val="gap"/>
    <c:showDLblsOverMax val="0"/>
  </c:chart>
  <c:spPr>
    <a:ln>
      <a:noFill/>
    </a:ln>
  </c:sp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Sheet3!$K$1</c:f>
              <c:strCache>
                <c:ptCount val="1"/>
                <c:pt idx="0">
                  <c:v>2010 GDD</c:v>
                </c:pt>
              </c:strCache>
            </c:strRef>
          </c:tx>
          <c:marker>
            <c:symbol val="none"/>
          </c:marker>
          <c:cat>
            <c:strRef>
              <c:f>Sheet3!$J$2:$J$367</c:f>
              <c:strCache>
                <c:ptCount val="336"/>
                <c:pt idx="0">
                  <c:v>January</c:v>
                </c:pt>
                <c:pt idx="31">
                  <c:v>February</c:v>
                </c:pt>
                <c:pt idx="60">
                  <c:v>March</c:v>
                </c:pt>
                <c:pt idx="91">
                  <c:v>April</c:v>
                </c:pt>
                <c:pt idx="121">
                  <c:v>May</c:v>
                </c:pt>
                <c:pt idx="152">
                  <c:v>June</c:v>
                </c:pt>
                <c:pt idx="182">
                  <c:v>July</c:v>
                </c:pt>
                <c:pt idx="213">
                  <c:v>August</c:v>
                </c:pt>
                <c:pt idx="244">
                  <c:v>September</c:v>
                </c:pt>
                <c:pt idx="274">
                  <c:v>October</c:v>
                </c:pt>
                <c:pt idx="305">
                  <c:v>November</c:v>
                </c:pt>
                <c:pt idx="335">
                  <c:v>December</c:v>
                </c:pt>
              </c:strCache>
            </c:strRef>
          </c:cat>
          <c:val>
            <c:numRef>
              <c:f>Sheet3!$K$2:$K$367</c:f>
              <c:numCache>
                <c:formatCode>General</c:formatCode>
                <c:ptCount val="36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1</c:v>
                </c:pt>
                <c:pt idx="92">
                  <c:v>3</c:v>
                </c:pt>
                <c:pt idx="93">
                  <c:v>3</c:v>
                </c:pt>
                <c:pt idx="94">
                  <c:v>7</c:v>
                </c:pt>
                <c:pt idx="95">
                  <c:v>17</c:v>
                </c:pt>
                <c:pt idx="96">
                  <c:v>24</c:v>
                </c:pt>
                <c:pt idx="97">
                  <c:v>24</c:v>
                </c:pt>
                <c:pt idx="98">
                  <c:v>24</c:v>
                </c:pt>
                <c:pt idx="99">
                  <c:v>24</c:v>
                </c:pt>
                <c:pt idx="100">
                  <c:v>24</c:v>
                </c:pt>
                <c:pt idx="101">
                  <c:v>24</c:v>
                </c:pt>
                <c:pt idx="102">
                  <c:v>24</c:v>
                </c:pt>
                <c:pt idx="103">
                  <c:v>26</c:v>
                </c:pt>
                <c:pt idx="104">
                  <c:v>30</c:v>
                </c:pt>
                <c:pt idx="105">
                  <c:v>35</c:v>
                </c:pt>
                <c:pt idx="106">
                  <c:v>35</c:v>
                </c:pt>
                <c:pt idx="107">
                  <c:v>35</c:v>
                </c:pt>
                <c:pt idx="108">
                  <c:v>35</c:v>
                </c:pt>
                <c:pt idx="109">
                  <c:v>35</c:v>
                </c:pt>
                <c:pt idx="110">
                  <c:v>35</c:v>
                </c:pt>
                <c:pt idx="111">
                  <c:v>35</c:v>
                </c:pt>
                <c:pt idx="112">
                  <c:v>39</c:v>
                </c:pt>
                <c:pt idx="113">
                  <c:v>41</c:v>
                </c:pt>
                <c:pt idx="114">
                  <c:v>45</c:v>
                </c:pt>
                <c:pt idx="115">
                  <c:v>45</c:v>
                </c:pt>
                <c:pt idx="116">
                  <c:v>45</c:v>
                </c:pt>
                <c:pt idx="117">
                  <c:v>45</c:v>
                </c:pt>
                <c:pt idx="118">
                  <c:v>45</c:v>
                </c:pt>
                <c:pt idx="119">
                  <c:v>46</c:v>
                </c:pt>
                <c:pt idx="120">
                  <c:v>50</c:v>
                </c:pt>
                <c:pt idx="121">
                  <c:v>62</c:v>
                </c:pt>
                <c:pt idx="122">
                  <c:v>70</c:v>
                </c:pt>
                <c:pt idx="123">
                  <c:v>77</c:v>
                </c:pt>
                <c:pt idx="124">
                  <c:v>82</c:v>
                </c:pt>
                <c:pt idx="125">
                  <c:v>91</c:v>
                </c:pt>
                <c:pt idx="126">
                  <c:v>100</c:v>
                </c:pt>
                <c:pt idx="127">
                  <c:v>101</c:v>
                </c:pt>
                <c:pt idx="128">
                  <c:v>101</c:v>
                </c:pt>
                <c:pt idx="129">
                  <c:v>101</c:v>
                </c:pt>
                <c:pt idx="130">
                  <c:v>101</c:v>
                </c:pt>
                <c:pt idx="131">
                  <c:v>109</c:v>
                </c:pt>
                <c:pt idx="132">
                  <c:v>118</c:v>
                </c:pt>
                <c:pt idx="133">
                  <c:v>130</c:v>
                </c:pt>
                <c:pt idx="134">
                  <c:v>138</c:v>
                </c:pt>
                <c:pt idx="135">
                  <c:v>144</c:v>
                </c:pt>
                <c:pt idx="136">
                  <c:v>150</c:v>
                </c:pt>
                <c:pt idx="137">
                  <c:v>153</c:v>
                </c:pt>
                <c:pt idx="138">
                  <c:v>151</c:v>
                </c:pt>
                <c:pt idx="139">
                  <c:v>152</c:v>
                </c:pt>
                <c:pt idx="140">
                  <c:v>158</c:v>
                </c:pt>
                <c:pt idx="141">
                  <c:v>166</c:v>
                </c:pt>
                <c:pt idx="142">
                  <c:v>176</c:v>
                </c:pt>
                <c:pt idx="143">
                  <c:v>186</c:v>
                </c:pt>
                <c:pt idx="144">
                  <c:v>194</c:v>
                </c:pt>
                <c:pt idx="145">
                  <c:v>204</c:v>
                </c:pt>
                <c:pt idx="146">
                  <c:v>213</c:v>
                </c:pt>
                <c:pt idx="147">
                  <c:v>223</c:v>
                </c:pt>
                <c:pt idx="148">
                  <c:v>232</c:v>
                </c:pt>
                <c:pt idx="149">
                  <c:v>242</c:v>
                </c:pt>
                <c:pt idx="150">
                  <c:v>253</c:v>
                </c:pt>
                <c:pt idx="151">
                  <c:v>264</c:v>
                </c:pt>
                <c:pt idx="152">
                  <c:v>275</c:v>
                </c:pt>
                <c:pt idx="153">
                  <c:v>288</c:v>
                </c:pt>
                <c:pt idx="154">
                  <c:v>302</c:v>
                </c:pt>
                <c:pt idx="155">
                  <c:v>317</c:v>
                </c:pt>
                <c:pt idx="156">
                  <c:v>329</c:v>
                </c:pt>
                <c:pt idx="157">
                  <c:v>335</c:v>
                </c:pt>
                <c:pt idx="158">
                  <c:v>344</c:v>
                </c:pt>
                <c:pt idx="159">
                  <c:v>354</c:v>
                </c:pt>
                <c:pt idx="160">
                  <c:v>366</c:v>
                </c:pt>
                <c:pt idx="161">
                  <c:v>380</c:v>
                </c:pt>
                <c:pt idx="162">
                  <c:v>398</c:v>
                </c:pt>
                <c:pt idx="163">
                  <c:v>417</c:v>
                </c:pt>
                <c:pt idx="164">
                  <c:v>436</c:v>
                </c:pt>
                <c:pt idx="165">
                  <c:v>452</c:v>
                </c:pt>
                <c:pt idx="166">
                  <c:v>466</c:v>
                </c:pt>
                <c:pt idx="167">
                  <c:v>482</c:v>
                </c:pt>
                <c:pt idx="168">
                  <c:v>496</c:v>
                </c:pt>
                <c:pt idx="169">
                  <c:v>511</c:v>
                </c:pt>
                <c:pt idx="170">
                  <c:v>528</c:v>
                </c:pt>
                <c:pt idx="171">
                  <c:v>545</c:v>
                </c:pt>
                <c:pt idx="172">
                  <c:v>562</c:v>
                </c:pt>
                <c:pt idx="173">
                  <c:v>582</c:v>
                </c:pt>
                <c:pt idx="174">
                  <c:v>602</c:v>
                </c:pt>
                <c:pt idx="175">
                  <c:v>620</c:v>
                </c:pt>
                <c:pt idx="176">
                  <c:v>638</c:v>
                </c:pt>
                <c:pt idx="177">
                  <c:v>657</c:v>
                </c:pt>
                <c:pt idx="178">
                  <c:v>676</c:v>
                </c:pt>
                <c:pt idx="179">
                  <c:v>692</c:v>
                </c:pt>
                <c:pt idx="180">
                  <c:v>707</c:v>
                </c:pt>
                <c:pt idx="181">
                  <c:v>719</c:v>
                </c:pt>
                <c:pt idx="182">
                  <c:v>731</c:v>
                </c:pt>
                <c:pt idx="183">
                  <c:v>746</c:v>
                </c:pt>
                <c:pt idx="184">
                  <c:v>761</c:v>
                </c:pt>
                <c:pt idx="185">
                  <c:v>778</c:v>
                </c:pt>
                <c:pt idx="186">
                  <c:v>795</c:v>
                </c:pt>
                <c:pt idx="187">
                  <c:v>814</c:v>
                </c:pt>
                <c:pt idx="188">
                  <c:v>835</c:v>
                </c:pt>
                <c:pt idx="189">
                  <c:v>853</c:v>
                </c:pt>
                <c:pt idx="190">
                  <c:v>870</c:v>
                </c:pt>
                <c:pt idx="191">
                  <c:v>887</c:v>
                </c:pt>
                <c:pt idx="192">
                  <c:v>901</c:v>
                </c:pt>
                <c:pt idx="193">
                  <c:v>917</c:v>
                </c:pt>
                <c:pt idx="194">
                  <c:v>934</c:v>
                </c:pt>
                <c:pt idx="195">
                  <c:v>951</c:v>
                </c:pt>
                <c:pt idx="196">
                  <c:v>971</c:v>
                </c:pt>
                <c:pt idx="197">
                  <c:v>988</c:v>
                </c:pt>
                <c:pt idx="198">
                  <c:v>1005</c:v>
                </c:pt>
                <c:pt idx="199">
                  <c:v>1020</c:v>
                </c:pt>
                <c:pt idx="200">
                  <c:v>1036</c:v>
                </c:pt>
                <c:pt idx="201">
                  <c:v>1054</c:v>
                </c:pt>
                <c:pt idx="202">
                  <c:v>1070</c:v>
                </c:pt>
                <c:pt idx="203">
                  <c:v>1089</c:v>
                </c:pt>
                <c:pt idx="204">
                  <c:v>1110</c:v>
                </c:pt>
                <c:pt idx="205">
                  <c:v>1133</c:v>
                </c:pt>
                <c:pt idx="206">
                  <c:v>1154</c:v>
                </c:pt>
                <c:pt idx="207">
                  <c:v>1172</c:v>
                </c:pt>
                <c:pt idx="208">
                  <c:v>1190</c:v>
                </c:pt>
                <c:pt idx="209">
                  <c:v>1207</c:v>
                </c:pt>
                <c:pt idx="210">
                  <c:v>1224</c:v>
                </c:pt>
                <c:pt idx="211">
                  <c:v>1236</c:v>
                </c:pt>
                <c:pt idx="212">
                  <c:v>1255</c:v>
                </c:pt>
                <c:pt idx="213">
                  <c:v>1273</c:v>
                </c:pt>
                <c:pt idx="214">
                  <c:v>1293</c:v>
                </c:pt>
                <c:pt idx="215">
                  <c:v>1314</c:v>
                </c:pt>
                <c:pt idx="216">
                  <c:v>1334</c:v>
                </c:pt>
                <c:pt idx="217">
                  <c:v>1350</c:v>
                </c:pt>
                <c:pt idx="218">
                  <c:v>1365</c:v>
                </c:pt>
                <c:pt idx="219">
                  <c:v>1381</c:v>
                </c:pt>
                <c:pt idx="220">
                  <c:v>1400</c:v>
                </c:pt>
                <c:pt idx="221">
                  <c:v>1421</c:v>
                </c:pt>
                <c:pt idx="222">
                  <c:v>1442</c:v>
                </c:pt>
                <c:pt idx="223">
                  <c:v>1461</c:v>
                </c:pt>
                <c:pt idx="224">
                  <c:v>1482</c:v>
                </c:pt>
                <c:pt idx="225">
                  <c:v>1501</c:v>
                </c:pt>
                <c:pt idx="226">
                  <c:v>1521</c:v>
                </c:pt>
                <c:pt idx="227">
                  <c:v>1539</c:v>
                </c:pt>
                <c:pt idx="228">
                  <c:v>1555</c:v>
                </c:pt>
                <c:pt idx="229">
                  <c:v>1573</c:v>
                </c:pt>
                <c:pt idx="230">
                  <c:v>1588</c:v>
                </c:pt>
                <c:pt idx="231">
                  <c:v>1604</c:v>
                </c:pt>
                <c:pt idx="232">
                  <c:v>1619</c:v>
                </c:pt>
                <c:pt idx="233">
                  <c:v>1636</c:v>
                </c:pt>
                <c:pt idx="234">
                  <c:v>1650</c:v>
                </c:pt>
                <c:pt idx="235">
                  <c:v>1661</c:v>
                </c:pt>
                <c:pt idx="236">
                  <c:v>1672</c:v>
                </c:pt>
                <c:pt idx="237">
                  <c:v>1684</c:v>
                </c:pt>
                <c:pt idx="238">
                  <c:v>1697</c:v>
                </c:pt>
                <c:pt idx="239">
                  <c:v>1711</c:v>
                </c:pt>
                <c:pt idx="240">
                  <c:v>1724</c:v>
                </c:pt>
                <c:pt idx="241">
                  <c:v>1739</c:v>
                </c:pt>
                <c:pt idx="242">
                  <c:v>1752</c:v>
                </c:pt>
                <c:pt idx="243">
                  <c:v>1765</c:v>
                </c:pt>
                <c:pt idx="244">
                  <c:v>1779</c:v>
                </c:pt>
                <c:pt idx="245">
                  <c:v>1793</c:v>
                </c:pt>
                <c:pt idx="246">
                  <c:v>1796</c:v>
                </c:pt>
                <c:pt idx="247">
                  <c:v>1798</c:v>
                </c:pt>
                <c:pt idx="248">
                  <c:v>1805</c:v>
                </c:pt>
                <c:pt idx="249">
                  <c:v>1817</c:v>
                </c:pt>
                <c:pt idx="250">
                  <c:v>1828</c:v>
                </c:pt>
                <c:pt idx="251">
                  <c:v>1835</c:v>
                </c:pt>
                <c:pt idx="252">
                  <c:v>1843</c:v>
                </c:pt>
                <c:pt idx="253">
                  <c:v>1854</c:v>
                </c:pt>
                <c:pt idx="254">
                  <c:v>1860</c:v>
                </c:pt>
                <c:pt idx="255">
                  <c:v>1864</c:v>
                </c:pt>
                <c:pt idx="256">
                  <c:v>1872</c:v>
                </c:pt>
                <c:pt idx="257">
                  <c:v>1882</c:v>
                </c:pt>
                <c:pt idx="258">
                  <c:v>1893</c:v>
                </c:pt>
                <c:pt idx="259">
                  <c:v>1905</c:v>
                </c:pt>
                <c:pt idx="260">
                  <c:v>1915</c:v>
                </c:pt>
                <c:pt idx="261">
                  <c:v>1926</c:v>
                </c:pt>
                <c:pt idx="262">
                  <c:v>1938</c:v>
                </c:pt>
                <c:pt idx="263">
                  <c:v>1952</c:v>
                </c:pt>
                <c:pt idx="264">
                  <c:v>1966</c:v>
                </c:pt>
                <c:pt idx="265">
                  <c:v>1980</c:v>
                </c:pt>
                <c:pt idx="266">
                  <c:v>1993</c:v>
                </c:pt>
                <c:pt idx="267">
                  <c:v>2002</c:v>
                </c:pt>
                <c:pt idx="268">
                  <c:v>2003</c:v>
                </c:pt>
                <c:pt idx="269">
                  <c:v>2003</c:v>
                </c:pt>
                <c:pt idx="270">
                  <c:v>2003</c:v>
                </c:pt>
                <c:pt idx="271">
                  <c:v>2005</c:v>
                </c:pt>
                <c:pt idx="272">
                  <c:v>2008</c:v>
                </c:pt>
                <c:pt idx="273">
                  <c:v>2008</c:v>
                </c:pt>
                <c:pt idx="274">
                  <c:v>2008</c:v>
                </c:pt>
                <c:pt idx="275">
                  <c:v>2008</c:v>
                </c:pt>
                <c:pt idx="276">
                  <c:v>2008</c:v>
                </c:pt>
                <c:pt idx="277">
                  <c:v>2008</c:v>
                </c:pt>
                <c:pt idx="278">
                  <c:v>2008</c:v>
                </c:pt>
                <c:pt idx="279">
                  <c:v>2008</c:v>
                </c:pt>
                <c:pt idx="280">
                  <c:v>2009</c:v>
                </c:pt>
                <c:pt idx="281">
                  <c:v>2009</c:v>
                </c:pt>
                <c:pt idx="282">
                  <c:v>2009</c:v>
                </c:pt>
                <c:pt idx="283">
                  <c:v>2011</c:v>
                </c:pt>
                <c:pt idx="284">
                  <c:v>2011</c:v>
                </c:pt>
                <c:pt idx="285">
                  <c:v>2011</c:v>
                </c:pt>
                <c:pt idx="286">
                  <c:v>2011</c:v>
                </c:pt>
                <c:pt idx="287">
                  <c:v>2011</c:v>
                </c:pt>
                <c:pt idx="288">
                  <c:v>2011</c:v>
                </c:pt>
                <c:pt idx="289">
                  <c:v>2011</c:v>
                </c:pt>
                <c:pt idx="290">
                  <c:v>2011</c:v>
                </c:pt>
                <c:pt idx="291">
                  <c:v>2011</c:v>
                </c:pt>
                <c:pt idx="292">
                  <c:v>2011</c:v>
                </c:pt>
                <c:pt idx="293">
                  <c:v>2011</c:v>
                </c:pt>
                <c:pt idx="294">
                  <c:v>2011</c:v>
                </c:pt>
                <c:pt idx="295">
                  <c:v>2011</c:v>
                </c:pt>
                <c:pt idx="296">
                  <c:v>2011</c:v>
                </c:pt>
                <c:pt idx="297">
                  <c:v>2013</c:v>
                </c:pt>
                <c:pt idx="298">
                  <c:v>2020</c:v>
                </c:pt>
                <c:pt idx="299">
                  <c:v>2020</c:v>
                </c:pt>
                <c:pt idx="300">
                  <c:v>2020</c:v>
                </c:pt>
                <c:pt idx="301">
                  <c:v>2020</c:v>
                </c:pt>
                <c:pt idx="302">
                  <c:v>2020</c:v>
                </c:pt>
                <c:pt idx="303">
                  <c:v>2020</c:v>
                </c:pt>
                <c:pt idx="304">
                  <c:v>2020</c:v>
                </c:pt>
                <c:pt idx="305">
                  <c:v>2020</c:v>
                </c:pt>
                <c:pt idx="306">
                  <c:v>2020</c:v>
                </c:pt>
                <c:pt idx="307">
                  <c:v>2020</c:v>
                </c:pt>
                <c:pt idx="308">
                  <c:v>2020</c:v>
                </c:pt>
                <c:pt idx="309">
                  <c:v>2020</c:v>
                </c:pt>
                <c:pt idx="310">
                  <c:v>2020</c:v>
                </c:pt>
                <c:pt idx="311">
                  <c:v>2020</c:v>
                </c:pt>
                <c:pt idx="312">
                  <c:v>2020</c:v>
                </c:pt>
                <c:pt idx="313">
                  <c:v>2020</c:v>
                </c:pt>
                <c:pt idx="314">
                  <c:v>2020</c:v>
                </c:pt>
                <c:pt idx="315">
                  <c:v>2020</c:v>
                </c:pt>
                <c:pt idx="316">
                  <c:v>2020</c:v>
                </c:pt>
                <c:pt idx="317">
                  <c:v>2020</c:v>
                </c:pt>
                <c:pt idx="318">
                  <c:v>2020</c:v>
                </c:pt>
                <c:pt idx="319">
                  <c:v>2020</c:v>
                </c:pt>
                <c:pt idx="320">
                  <c:v>2020</c:v>
                </c:pt>
                <c:pt idx="321">
                  <c:v>2020</c:v>
                </c:pt>
                <c:pt idx="322">
                  <c:v>2020</c:v>
                </c:pt>
                <c:pt idx="323">
                  <c:v>2020</c:v>
                </c:pt>
                <c:pt idx="324">
                  <c:v>2020</c:v>
                </c:pt>
                <c:pt idx="325">
                  <c:v>2020</c:v>
                </c:pt>
                <c:pt idx="326">
                  <c:v>2020</c:v>
                </c:pt>
                <c:pt idx="327">
                  <c:v>2020</c:v>
                </c:pt>
                <c:pt idx="328">
                  <c:v>2020</c:v>
                </c:pt>
                <c:pt idx="329">
                  <c:v>2020</c:v>
                </c:pt>
                <c:pt idx="330">
                  <c:v>2020</c:v>
                </c:pt>
                <c:pt idx="331">
                  <c:v>2020</c:v>
                </c:pt>
                <c:pt idx="332">
                  <c:v>2020</c:v>
                </c:pt>
                <c:pt idx="333">
                  <c:v>2020</c:v>
                </c:pt>
                <c:pt idx="334">
                  <c:v>2020</c:v>
                </c:pt>
                <c:pt idx="335">
                  <c:v>2020</c:v>
                </c:pt>
                <c:pt idx="336">
                  <c:v>2020</c:v>
                </c:pt>
                <c:pt idx="337">
                  <c:v>2020</c:v>
                </c:pt>
                <c:pt idx="338">
                  <c:v>2020</c:v>
                </c:pt>
                <c:pt idx="339">
                  <c:v>2020</c:v>
                </c:pt>
                <c:pt idx="340">
                  <c:v>2020</c:v>
                </c:pt>
                <c:pt idx="341">
                  <c:v>2020</c:v>
                </c:pt>
                <c:pt idx="342">
                  <c:v>2020</c:v>
                </c:pt>
                <c:pt idx="343">
                  <c:v>2020</c:v>
                </c:pt>
                <c:pt idx="344">
                  <c:v>2020</c:v>
                </c:pt>
                <c:pt idx="345">
                  <c:v>2020</c:v>
                </c:pt>
                <c:pt idx="346">
                  <c:v>2020</c:v>
                </c:pt>
                <c:pt idx="347">
                  <c:v>2020</c:v>
                </c:pt>
                <c:pt idx="348">
                  <c:v>2020</c:v>
                </c:pt>
                <c:pt idx="349">
                  <c:v>2020</c:v>
                </c:pt>
                <c:pt idx="350">
                  <c:v>2020</c:v>
                </c:pt>
                <c:pt idx="351">
                  <c:v>2020</c:v>
                </c:pt>
                <c:pt idx="352">
                  <c:v>2020</c:v>
                </c:pt>
                <c:pt idx="353">
                  <c:v>2020</c:v>
                </c:pt>
                <c:pt idx="354">
                  <c:v>2020</c:v>
                </c:pt>
                <c:pt idx="355">
                  <c:v>2020</c:v>
                </c:pt>
                <c:pt idx="356">
                  <c:v>2020</c:v>
                </c:pt>
                <c:pt idx="357">
                  <c:v>2020</c:v>
                </c:pt>
                <c:pt idx="358">
                  <c:v>2020</c:v>
                </c:pt>
                <c:pt idx="359">
                  <c:v>2020</c:v>
                </c:pt>
                <c:pt idx="360">
                  <c:v>2020</c:v>
                </c:pt>
                <c:pt idx="361">
                  <c:v>2020</c:v>
                </c:pt>
                <c:pt idx="362">
                  <c:v>2020</c:v>
                </c:pt>
                <c:pt idx="363">
                  <c:v>2020</c:v>
                </c:pt>
                <c:pt idx="364">
                  <c:v>2020</c:v>
                </c:pt>
              </c:numCache>
            </c:numRef>
          </c:val>
          <c:smooth val="0"/>
        </c:ser>
        <c:ser>
          <c:idx val="1"/>
          <c:order val="1"/>
          <c:tx>
            <c:strRef>
              <c:f>Sheet3!$L$1</c:f>
              <c:strCache>
                <c:ptCount val="1"/>
                <c:pt idx="0">
                  <c:v>2011 GDD</c:v>
                </c:pt>
              </c:strCache>
            </c:strRef>
          </c:tx>
          <c:marker>
            <c:symbol val="none"/>
          </c:marker>
          <c:cat>
            <c:strRef>
              <c:f>Sheet3!$J$2:$J$367</c:f>
              <c:strCache>
                <c:ptCount val="336"/>
                <c:pt idx="0">
                  <c:v>January</c:v>
                </c:pt>
                <c:pt idx="31">
                  <c:v>February</c:v>
                </c:pt>
                <c:pt idx="60">
                  <c:v>March</c:v>
                </c:pt>
                <c:pt idx="91">
                  <c:v>April</c:v>
                </c:pt>
                <c:pt idx="121">
                  <c:v>May</c:v>
                </c:pt>
                <c:pt idx="152">
                  <c:v>June</c:v>
                </c:pt>
                <c:pt idx="182">
                  <c:v>July</c:v>
                </c:pt>
                <c:pt idx="213">
                  <c:v>August</c:v>
                </c:pt>
                <c:pt idx="244">
                  <c:v>September</c:v>
                </c:pt>
                <c:pt idx="274">
                  <c:v>October</c:v>
                </c:pt>
                <c:pt idx="305">
                  <c:v>November</c:v>
                </c:pt>
                <c:pt idx="335">
                  <c:v>December</c:v>
                </c:pt>
              </c:strCache>
            </c:strRef>
          </c:cat>
          <c:val>
            <c:numRef>
              <c:f>Sheet3!$L$2:$L$367</c:f>
              <c:numCache>
                <c:formatCode>General</c:formatCode>
                <c:ptCount val="36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2</c:v>
                </c:pt>
                <c:pt idx="78">
                  <c:v>2</c:v>
                </c:pt>
                <c:pt idx="79">
                  <c:v>2</c:v>
                </c:pt>
                <c:pt idx="80">
                  <c:v>3</c:v>
                </c:pt>
                <c:pt idx="81">
                  <c:v>7</c:v>
                </c:pt>
                <c:pt idx="82">
                  <c:v>7</c:v>
                </c:pt>
                <c:pt idx="83">
                  <c:v>7</c:v>
                </c:pt>
                <c:pt idx="84">
                  <c:v>7</c:v>
                </c:pt>
                <c:pt idx="85">
                  <c:v>7</c:v>
                </c:pt>
                <c:pt idx="86">
                  <c:v>7</c:v>
                </c:pt>
                <c:pt idx="87">
                  <c:v>7</c:v>
                </c:pt>
                <c:pt idx="88">
                  <c:v>7</c:v>
                </c:pt>
                <c:pt idx="89">
                  <c:v>7</c:v>
                </c:pt>
                <c:pt idx="90">
                  <c:v>7</c:v>
                </c:pt>
                <c:pt idx="91">
                  <c:v>7</c:v>
                </c:pt>
                <c:pt idx="92">
                  <c:v>7</c:v>
                </c:pt>
                <c:pt idx="93">
                  <c:v>7</c:v>
                </c:pt>
                <c:pt idx="94">
                  <c:v>8</c:v>
                </c:pt>
                <c:pt idx="95">
                  <c:v>8</c:v>
                </c:pt>
                <c:pt idx="96">
                  <c:v>8</c:v>
                </c:pt>
                <c:pt idx="97">
                  <c:v>8</c:v>
                </c:pt>
                <c:pt idx="98">
                  <c:v>11</c:v>
                </c:pt>
                <c:pt idx="99">
                  <c:v>21</c:v>
                </c:pt>
                <c:pt idx="100">
                  <c:v>30</c:v>
                </c:pt>
                <c:pt idx="101">
                  <c:v>39</c:v>
                </c:pt>
                <c:pt idx="102">
                  <c:v>39</c:v>
                </c:pt>
                <c:pt idx="103">
                  <c:v>39</c:v>
                </c:pt>
                <c:pt idx="104">
                  <c:v>39</c:v>
                </c:pt>
                <c:pt idx="105">
                  <c:v>39</c:v>
                </c:pt>
                <c:pt idx="106">
                  <c:v>39</c:v>
                </c:pt>
                <c:pt idx="107">
                  <c:v>39</c:v>
                </c:pt>
                <c:pt idx="108">
                  <c:v>39</c:v>
                </c:pt>
                <c:pt idx="109">
                  <c:v>49</c:v>
                </c:pt>
                <c:pt idx="110">
                  <c:v>54</c:v>
                </c:pt>
                <c:pt idx="111">
                  <c:v>54</c:v>
                </c:pt>
                <c:pt idx="112">
                  <c:v>57</c:v>
                </c:pt>
                <c:pt idx="113">
                  <c:v>62</c:v>
                </c:pt>
                <c:pt idx="114">
                  <c:v>71</c:v>
                </c:pt>
                <c:pt idx="115">
                  <c:v>78</c:v>
                </c:pt>
                <c:pt idx="116">
                  <c:v>89</c:v>
                </c:pt>
                <c:pt idx="117">
                  <c:v>98</c:v>
                </c:pt>
                <c:pt idx="118">
                  <c:v>98</c:v>
                </c:pt>
                <c:pt idx="119">
                  <c:v>98</c:v>
                </c:pt>
                <c:pt idx="120">
                  <c:v>98</c:v>
                </c:pt>
                <c:pt idx="121">
                  <c:v>100</c:v>
                </c:pt>
                <c:pt idx="122">
                  <c:v>104</c:v>
                </c:pt>
                <c:pt idx="123">
                  <c:v>104</c:v>
                </c:pt>
                <c:pt idx="124">
                  <c:v>104</c:v>
                </c:pt>
                <c:pt idx="125">
                  <c:v>104</c:v>
                </c:pt>
                <c:pt idx="126">
                  <c:v>104</c:v>
                </c:pt>
                <c:pt idx="127">
                  <c:v>104</c:v>
                </c:pt>
                <c:pt idx="128">
                  <c:v>110</c:v>
                </c:pt>
                <c:pt idx="129">
                  <c:v>117</c:v>
                </c:pt>
                <c:pt idx="130">
                  <c:v>126</c:v>
                </c:pt>
                <c:pt idx="131">
                  <c:v>135</c:v>
                </c:pt>
                <c:pt idx="132">
                  <c:v>146</c:v>
                </c:pt>
                <c:pt idx="133">
                  <c:v>155</c:v>
                </c:pt>
                <c:pt idx="134">
                  <c:v>159</c:v>
                </c:pt>
                <c:pt idx="135">
                  <c:v>159</c:v>
                </c:pt>
                <c:pt idx="136">
                  <c:v>159</c:v>
                </c:pt>
                <c:pt idx="137">
                  <c:v>159</c:v>
                </c:pt>
                <c:pt idx="138">
                  <c:v>159</c:v>
                </c:pt>
                <c:pt idx="139">
                  <c:v>159</c:v>
                </c:pt>
                <c:pt idx="140">
                  <c:v>161</c:v>
                </c:pt>
                <c:pt idx="141">
                  <c:v>169</c:v>
                </c:pt>
                <c:pt idx="142">
                  <c:v>182</c:v>
                </c:pt>
                <c:pt idx="143">
                  <c:v>192</c:v>
                </c:pt>
                <c:pt idx="144">
                  <c:v>206</c:v>
                </c:pt>
                <c:pt idx="145">
                  <c:v>219</c:v>
                </c:pt>
                <c:pt idx="146">
                  <c:v>226</c:v>
                </c:pt>
                <c:pt idx="147">
                  <c:v>233</c:v>
                </c:pt>
                <c:pt idx="148">
                  <c:v>240</c:v>
                </c:pt>
                <c:pt idx="149">
                  <c:v>252</c:v>
                </c:pt>
                <c:pt idx="150">
                  <c:v>268</c:v>
                </c:pt>
                <c:pt idx="151">
                  <c:v>286</c:v>
                </c:pt>
                <c:pt idx="152">
                  <c:v>305</c:v>
                </c:pt>
                <c:pt idx="153">
                  <c:v>322</c:v>
                </c:pt>
                <c:pt idx="154">
                  <c:v>338</c:v>
                </c:pt>
                <c:pt idx="155">
                  <c:v>353</c:v>
                </c:pt>
                <c:pt idx="156">
                  <c:v>370</c:v>
                </c:pt>
                <c:pt idx="157">
                  <c:v>385</c:v>
                </c:pt>
                <c:pt idx="158">
                  <c:v>400</c:v>
                </c:pt>
                <c:pt idx="159">
                  <c:v>417</c:v>
                </c:pt>
                <c:pt idx="160">
                  <c:v>433</c:v>
                </c:pt>
                <c:pt idx="161">
                  <c:v>447</c:v>
                </c:pt>
                <c:pt idx="162">
                  <c:v>464</c:v>
                </c:pt>
                <c:pt idx="163">
                  <c:v>480</c:v>
                </c:pt>
                <c:pt idx="164">
                  <c:v>494</c:v>
                </c:pt>
                <c:pt idx="165">
                  <c:v>501</c:v>
                </c:pt>
                <c:pt idx="166">
                  <c:v>507</c:v>
                </c:pt>
                <c:pt idx="167">
                  <c:v>517</c:v>
                </c:pt>
                <c:pt idx="168">
                  <c:v>526</c:v>
                </c:pt>
                <c:pt idx="169">
                  <c:v>536</c:v>
                </c:pt>
                <c:pt idx="170">
                  <c:v>547</c:v>
                </c:pt>
                <c:pt idx="171">
                  <c:v>559</c:v>
                </c:pt>
                <c:pt idx="172">
                  <c:v>574</c:v>
                </c:pt>
                <c:pt idx="173">
                  <c:v>585</c:v>
                </c:pt>
                <c:pt idx="174">
                  <c:v>597</c:v>
                </c:pt>
                <c:pt idx="175">
                  <c:v>610</c:v>
                </c:pt>
                <c:pt idx="176">
                  <c:v>620</c:v>
                </c:pt>
                <c:pt idx="177">
                  <c:v>632</c:v>
                </c:pt>
                <c:pt idx="178">
                  <c:v>646</c:v>
                </c:pt>
                <c:pt idx="179">
                  <c:v>656</c:v>
                </c:pt>
                <c:pt idx="180">
                  <c:v>669</c:v>
                </c:pt>
                <c:pt idx="181">
                  <c:v>681</c:v>
                </c:pt>
                <c:pt idx="182">
                  <c:v>693</c:v>
                </c:pt>
                <c:pt idx="183">
                  <c:v>707</c:v>
                </c:pt>
                <c:pt idx="184">
                  <c:v>724</c:v>
                </c:pt>
                <c:pt idx="185">
                  <c:v>740</c:v>
                </c:pt>
                <c:pt idx="186">
                  <c:v>755</c:v>
                </c:pt>
                <c:pt idx="187">
                  <c:v>770</c:v>
                </c:pt>
                <c:pt idx="188">
                  <c:v>786</c:v>
                </c:pt>
                <c:pt idx="189">
                  <c:v>801</c:v>
                </c:pt>
                <c:pt idx="190">
                  <c:v>819</c:v>
                </c:pt>
                <c:pt idx="191">
                  <c:v>839</c:v>
                </c:pt>
                <c:pt idx="192">
                  <c:v>859</c:v>
                </c:pt>
                <c:pt idx="193">
                  <c:v>874</c:v>
                </c:pt>
                <c:pt idx="194">
                  <c:v>892</c:v>
                </c:pt>
                <c:pt idx="195">
                  <c:v>911</c:v>
                </c:pt>
                <c:pt idx="196">
                  <c:v>922</c:v>
                </c:pt>
                <c:pt idx="197">
                  <c:v>932</c:v>
                </c:pt>
                <c:pt idx="198">
                  <c:v>945</c:v>
                </c:pt>
                <c:pt idx="199">
                  <c:v>962</c:v>
                </c:pt>
                <c:pt idx="200">
                  <c:v>979</c:v>
                </c:pt>
                <c:pt idx="201">
                  <c:v>1000</c:v>
                </c:pt>
                <c:pt idx="202">
                  <c:v>1015</c:v>
                </c:pt>
                <c:pt idx="203">
                  <c:v>1034</c:v>
                </c:pt>
                <c:pt idx="204">
                  <c:v>1055</c:v>
                </c:pt>
                <c:pt idx="205">
                  <c:v>1074</c:v>
                </c:pt>
                <c:pt idx="206">
                  <c:v>1092</c:v>
                </c:pt>
                <c:pt idx="207">
                  <c:v>1111</c:v>
                </c:pt>
                <c:pt idx="208">
                  <c:v>1130</c:v>
                </c:pt>
                <c:pt idx="209">
                  <c:v>1149</c:v>
                </c:pt>
                <c:pt idx="210">
                  <c:v>1168</c:v>
                </c:pt>
                <c:pt idx="211">
                  <c:v>1189</c:v>
                </c:pt>
                <c:pt idx="212">
                  <c:v>1208</c:v>
                </c:pt>
                <c:pt idx="213">
                  <c:v>1228</c:v>
                </c:pt>
                <c:pt idx="214">
                  <c:v>1247</c:v>
                </c:pt>
                <c:pt idx="215">
                  <c:v>1265</c:v>
                </c:pt>
                <c:pt idx="216">
                  <c:v>1284</c:v>
                </c:pt>
                <c:pt idx="217">
                  <c:v>1303</c:v>
                </c:pt>
                <c:pt idx="218">
                  <c:v>1319</c:v>
                </c:pt>
                <c:pt idx="219">
                  <c:v>1336</c:v>
                </c:pt>
                <c:pt idx="220">
                  <c:v>1356</c:v>
                </c:pt>
                <c:pt idx="221">
                  <c:v>1372</c:v>
                </c:pt>
                <c:pt idx="222">
                  <c:v>1387</c:v>
                </c:pt>
                <c:pt idx="223">
                  <c:v>1404</c:v>
                </c:pt>
                <c:pt idx="224">
                  <c:v>1419</c:v>
                </c:pt>
                <c:pt idx="225">
                  <c:v>1435</c:v>
                </c:pt>
                <c:pt idx="226">
                  <c:v>1450</c:v>
                </c:pt>
                <c:pt idx="227">
                  <c:v>1460</c:v>
                </c:pt>
                <c:pt idx="228">
                  <c:v>1469</c:v>
                </c:pt>
                <c:pt idx="229">
                  <c:v>1482</c:v>
                </c:pt>
                <c:pt idx="230">
                  <c:v>1498</c:v>
                </c:pt>
                <c:pt idx="231">
                  <c:v>1514</c:v>
                </c:pt>
                <c:pt idx="232">
                  <c:v>1529</c:v>
                </c:pt>
                <c:pt idx="233">
                  <c:v>1546</c:v>
                </c:pt>
                <c:pt idx="234">
                  <c:v>1561</c:v>
                </c:pt>
                <c:pt idx="235">
                  <c:v>1572</c:v>
                </c:pt>
                <c:pt idx="236">
                  <c:v>1584</c:v>
                </c:pt>
                <c:pt idx="237">
                  <c:v>1603</c:v>
                </c:pt>
                <c:pt idx="238">
                  <c:v>1622</c:v>
                </c:pt>
                <c:pt idx="239">
                  <c:v>1636</c:v>
                </c:pt>
                <c:pt idx="240">
                  <c:v>1646</c:v>
                </c:pt>
                <c:pt idx="241">
                  <c:v>1655</c:v>
                </c:pt>
                <c:pt idx="242">
                  <c:v>1668</c:v>
                </c:pt>
                <c:pt idx="243">
                  <c:v>1683</c:v>
                </c:pt>
                <c:pt idx="244">
                  <c:v>1700</c:v>
                </c:pt>
                <c:pt idx="245">
                  <c:v>1719</c:v>
                </c:pt>
                <c:pt idx="246">
                  <c:v>1738</c:v>
                </c:pt>
                <c:pt idx="247">
                  <c:v>1751</c:v>
                </c:pt>
                <c:pt idx="248">
                  <c:v>1753</c:v>
                </c:pt>
                <c:pt idx="249">
                  <c:v>1757</c:v>
                </c:pt>
                <c:pt idx="250">
                  <c:v>1757</c:v>
                </c:pt>
                <c:pt idx="251">
                  <c:v>1757</c:v>
                </c:pt>
                <c:pt idx="252">
                  <c:v>1757</c:v>
                </c:pt>
                <c:pt idx="253">
                  <c:v>1758</c:v>
                </c:pt>
                <c:pt idx="254">
                  <c:v>1763</c:v>
                </c:pt>
                <c:pt idx="255">
                  <c:v>1770</c:v>
                </c:pt>
                <c:pt idx="256">
                  <c:v>1778</c:v>
                </c:pt>
                <c:pt idx="257">
                  <c:v>1786</c:v>
                </c:pt>
                <c:pt idx="258">
                  <c:v>1786</c:v>
                </c:pt>
                <c:pt idx="259">
                  <c:v>1786</c:v>
                </c:pt>
                <c:pt idx="260">
                  <c:v>1789</c:v>
                </c:pt>
                <c:pt idx="261">
                  <c:v>1794</c:v>
                </c:pt>
                <c:pt idx="262">
                  <c:v>1797</c:v>
                </c:pt>
                <c:pt idx="263">
                  <c:v>1803</c:v>
                </c:pt>
                <c:pt idx="264">
                  <c:v>1813</c:v>
                </c:pt>
                <c:pt idx="265">
                  <c:v>1821</c:v>
                </c:pt>
                <c:pt idx="266">
                  <c:v>1824</c:v>
                </c:pt>
                <c:pt idx="267">
                  <c:v>1827</c:v>
                </c:pt>
                <c:pt idx="268">
                  <c:v>1831</c:v>
                </c:pt>
                <c:pt idx="269">
                  <c:v>1841</c:v>
                </c:pt>
                <c:pt idx="270">
                  <c:v>1842</c:v>
                </c:pt>
                <c:pt idx="271">
                  <c:v>1844</c:v>
                </c:pt>
                <c:pt idx="272">
                  <c:v>1849</c:v>
                </c:pt>
                <c:pt idx="273">
                  <c:v>1849</c:v>
                </c:pt>
                <c:pt idx="274">
                  <c:v>1849</c:v>
                </c:pt>
                <c:pt idx="275">
                  <c:v>1849</c:v>
                </c:pt>
                <c:pt idx="276">
                  <c:v>1849</c:v>
                </c:pt>
                <c:pt idx="277">
                  <c:v>1849</c:v>
                </c:pt>
                <c:pt idx="278">
                  <c:v>1849</c:v>
                </c:pt>
                <c:pt idx="279">
                  <c:v>1851</c:v>
                </c:pt>
                <c:pt idx="280">
                  <c:v>1852</c:v>
                </c:pt>
                <c:pt idx="281">
                  <c:v>1852</c:v>
                </c:pt>
                <c:pt idx="282">
                  <c:v>1852</c:v>
                </c:pt>
                <c:pt idx="283">
                  <c:v>1856</c:v>
                </c:pt>
                <c:pt idx="284">
                  <c:v>1856</c:v>
                </c:pt>
                <c:pt idx="285">
                  <c:v>1856</c:v>
                </c:pt>
                <c:pt idx="286">
                  <c:v>1856</c:v>
                </c:pt>
                <c:pt idx="287">
                  <c:v>1856</c:v>
                </c:pt>
                <c:pt idx="288">
                  <c:v>1856</c:v>
                </c:pt>
                <c:pt idx="289">
                  <c:v>1856</c:v>
                </c:pt>
                <c:pt idx="290">
                  <c:v>1861</c:v>
                </c:pt>
                <c:pt idx="291">
                  <c:v>1864</c:v>
                </c:pt>
                <c:pt idx="292">
                  <c:v>1864</c:v>
                </c:pt>
                <c:pt idx="293">
                  <c:v>1864</c:v>
                </c:pt>
                <c:pt idx="294">
                  <c:v>1864</c:v>
                </c:pt>
                <c:pt idx="295">
                  <c:v>1864</c:v>
                </c:pt>
                <c:pt idx="296">
                  <c:v>1864</c:v>
                </c:pt>
                <c:pt idx="297">
                  <c:v>1864</c:v>
                </c:pt>
                <c:pt idx="298">
                  <c:v>1864</c:v>
                </c:pt>
                <c:pt idx="299">
                  <c:v>1864</c:v>
                </c:pt>
                <c:pt idx="300">
                  <c:v>1864</c:v>
                </c:pt>
                <c:pt idx="301">
                  <c:v>1864</c:v>
                </c:pt>
                <c:pt idx="302">
                  <c:v>1864</c:v>
                </c:pt>
                <c:pt idx="303">
                  <c:v>1864</c:v>
                </c:pt>
                <c:pt idx="304">
                  <c:v>1864</c:v>
                </c:pt>
                <c:pt idx="305">
                  <c:v>1864</c:v>
                </c:pt>
                <c:pt idx="306">
                  <c:v>1864</c:v>
                </c:pt>
                <c:pt idx="307">
                  <c:v>1864</c:v>
                </c:pt>
                <c:pt idx="308">
                  <c:v>1864</c:v>
                </c:pt>
                <c:pt idx="309">
                  <c:v>1864</c:v>
                </c:pt>
                <c:pt idx="310">
                  <c:v>1864</c:v>
                </c:pt>
                <c:pt idx="311">
                  <c:v>1864</c:v>
                </c:pt>
                <c:pt idx="312">
                  <c:v>1864</c:v>
                </c:pt>
                <c:pt idx="313">
                  <c:v>1864</c:v>
                </c:pt>
                <c:pt idx="314">
                  <c:v>1864</c:v>
                </c:pt>
                <c:pt idx="315">
                  <c:v>1864</c:v>
                </c:pt>
                <c:pt idx="316">
                  <c:v>1864</c:v>
                </c:pt>
                <c:pt idx="317">
                  <c:v>1864</c:v>
                </c:pt>
                <c:pt idx="318">
                  <c:v>1867</c:v>
                </c:pt>
                <c:pt idx="319">
                  <c:v>1869</c:v>
                </c:pt>
                <c:pt idx="320">
                  <c:v>1869</c:v>
                </c:pt>
                <c:pt idx="321">
                  <c:v>1869</c:v>
                </c:pt>
                <c:pt idx="322">
                  <c:v>1869</c:v>
                </c:pt>
                <c:pt idx="323">
                  <c:v>1869</c:v>
                </c:pt>
                <c:pt idx="324">
                  <c:v>1869</c:v>
                </c:pt>
                <c:pt idx="325">
                  <c:v>1869</c:v>
                </c:pt>
                <c:pt idx="326">
                  <c:v>1869</c:v>
                </c:pt>
                <c:pt idx="327">
                  <c:v>1869</c:v>
                </c:pt>
                <c:pt idx="328">
                  <c:v>1869</c:v>
                </c:pt>
                <c:pt idx="329">
                  <c:v>1869</c:v>
                </c:pt>
                <c:pt idx="330">
                  <c:v>1869</c:v>
                </c:pt>
                <c:pt idx="331">
                  <c:v>1869</c:v>
                </c:pt>
                <c:pt idx="332">
                  <c:v>1869</c:v>
                </c:pt>
                <c:pt idx="333">
                  <c:v>1869</c:v>
                </c:pt>
                <c:pt idx="334">
                  <c:v>1869</c:v>
                </c:pt>
                <c:pt idx="335">
                  <c:v>1869</c:v>
                </c:pt>
                <c:pt idx="336">
                  <c:v>1869</c:v>
                </c:pt>
                <c:pt idx="337">
                  <c:v>1869</c:v>
                </c:pt>
                <c:pt idx="338">
                  <c:v>1869</c:v>
                </c:pt>
                <c:pt idx="339">
                  <c:v>1869</c:v>
                </c:pt>
                <c:pt idx="340">
                  <c:v>1869</c:v>
                </c:pt>
                <c:pt idx="341">
                  <c:v>1869</c:v>
                </c:pt>
                <c:pt idx="342">
                  <c:v>1869</c:v>
                </c:pt>
                <c:pt idx="343">
                  <c:v>1869</c:v>
                </c:pt>
                <c:pt idx="344">
                  <c:v>1869</c:v>
                </c:pt>
                <c:pt idx="345">
                  <c:v>1869</c:v>
                </c:pt>
                <c:pt idx="346">
                  <c:v>1869</c:v>
                </c:pt>
                <c:pt idx="347">
                  <c:v>1869</c:v>
                </c:pt>
                <c:pt idx="348">
                  <c:v>1869</c:v>
                </c:pt>
                <c:pt idx="349">
                  <c:v>1869</c:v>
                </c:pt>
                <c:pt idx="350">
                  <c:v>1869</c:v>
                </c:pt>
                <c:pt idx="351">
                  <c:v>1869</c:v>
                </c:pt>
                <c:pt idx="352">
                  <c:v>1869</c:v>
                </c:pt>
                <c:pt idx="353">
                  <c:v>1869</c:v>
                </c:pt>
                <c:pt idx="354">
                  <c:v>1869</c:v>
                </c:pt>
                <c:pt idx="355">
                  <c:v>1869</c:v>
                </c:pt>
                <c:pt idx="356">
                  <c:v>1869</c:v>
                </c:pt>
                <c:pt idx="357">
                  <c:v>1869</c:v>
                </c:pt>
                <c:pt idx="358">
                  <c:v>1869</c:v>
                </c:pt>
                <c:pt idx="359">
                  <c:v>1869</c:v>
                </c:pt>
                <c:pt idx="360">
                  <c:v>1869</c:v>
                </c:pt>
                <c:pt idx="361">
                  <c:v>1869</c:v>
                </c:pt>
                <c:pt idx="362">
                  <c:v>1869</c:v>
                </c:pt>
                <c:pt idx="363">
                  <c:v>1869</c:v>
                </c:pt>
                <c:pt idx="364">
                  <c:v>1869</c:v>
                </c:pt>
                <c:pt idx="365">
                  <c:v>1869</c:v>
                </c:pt>
              </c:numCache>
            </c:numRef>
          </c:val>
          <c:smooth val="0"/>
        </c:ser>
        <c:ser>
          <c:idx val="2"/>
          <c:order val="2"/>
          <c:tx>
            <c:strRef>
              <c:f>Sheet3!$M$1</c:f>
              <c:strCache>
                <c:ptCount val="1"/>
                <c:pt idx="0">
                  <c:v>2012 GDD</c:v>
                </c:pt>
              </c:strCache>
            </c:strRef>
          </c:tx>
          <c:marker>
            <c:symbol val="none"/>
          </c:marker>
          <c:cat>
            <c:strRef>
              <c:f>Sheet3!$J$2:$J$367</c:f>
              <c:strCache>
                <c:ptCount val="336"/>
                <c:pt idx="0">
                  <c:v>January</c:v>
                </c:pt>
                <c:pt idx="31">
                  <c:v>February</c:v>
                </c:pt>
                <c:pt idx="60">
                  <c:v>March</c:v>
                </c:pt>
                <c:pt idx="91">
                  <c:v>April</c:v>
                </c:pt>
                <c:pt idx="121">
                  <c:v>May</c:v>
                </c:pt>
                <c:pt idx="152">
                  <c:v>June</c:v>
                </c:pt>
                <c:pt idx="182">
                  <c:v>July</c:v>
                </c:pt>
                <c:pt idx="213">
                  <c:v>August</c:v>
                </c:pt>
                <c:pt idx="244">
                  <c:v>September</c:v>
                </c:pt>
                <c:pt idx="274">
                  <c:v>October</c:v>
                </c:pt>
                <c:pt idx="305">
                  <c:v>November</c:v>
                </c:pt>
                <c:pt idx="335">
                  <c:v>December</c:v>
                </c:pt>
              </c:strCache>
            </c:strRef>
          </c:cat>
          <c:val>
            <c:numRef>
              <c:f>Sheet3!$M$2:$M$367</c:f>
              <c:numCache>
                <c:formatCode>General</c:formatCode>
                <c:ptCount val="36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2</c:v>
                </c:pt>
                <c:pt idx="73">
                  <c:v>3</c:v>
                </c:pt>
                <c:pt idx="74">
                  <c:v>6</c:v>
                </c:pt>
                <c:pt idx="75">
                  <c:v>7</c:v>
                </c:pt>
                <c:pt idx="76">
                  <c:v>7</c:v>
                </c:pt>
                <c:pt idx="77">
                  <c:v>12</c:v>
                </c:pt>
                <c:pt idx="78">
                  <c:v>16</c:v>
                </c:pt>
                <c:pt idx="79">
                  <c:v>22</c:v>
                </c:pt>
                <c:pt idx="80">
                  <c:v>26</c:v>
                </c:pt>
                <c:pt idx="81">
                  <c:v>29</c:v>
                </c:pt>
                <c:pt idx="82">
                  <c:v>31</c:v>
                </c:pt>
                <c:pt idx="83">
                  <c:v>31</c:v>
                </c:pt>
                <c:pt idx="84">
                  <c:v>31</c:v>
                </c:pt>
                <c:pt idx="85">
                  <c:v>31</c:v>
                </c:pt>
                <c:pt idx="86">
                  <c:v>31</c:v>
                </c:pt>
                <c:pt idx="87">
                  <c:v>32</c:v>
                </c:pt>
                <c:pt idx="88">
                  <c:v>36</c:v>
                </c:pt>
                <c:pt idx="89">
                  <c:v>38</c:v>
                </c:pt>
                <c:pt idx="90">
                  <c:v>38</c:v>
                </c:pt>
                <c:pt idx="91">
                  <c:v>38</c:v>
                </c:pt>
                <c:pt idx="92">
                  <c:v>43</c:v>
                </c:pt>
                <c:pt idx="93">
                  <c:v>48</c:v>
                </c:pt>
                <c:pt idx="94">
                  <c:v>51</c:v>
                </c:pt>
                <c:pt idx="95">
                  <c:v>52</c:v>
                </c:pt>
                <c:pt idx="96">
                  <c:v>52</c:v>
                </c:pt>
                <c:pt idx="97">
                  <c:v>52</c:v>
                </c:pt>
                <c:pt idx="98">
                  <c:v>52</c:v>
                </c:pt>
                <c:pt idx="99">
                  <c:v>52</c:v>
                </c:pt>
                <c:pt idx="100">
                  <c:v>52</c:v>
                </c:pt>
                <c:pt idx="101">
                  <c:v>52</c:v>
                </c:pt>
                <c:pt idx="102">
                  <c:v>52</c:v>
                </c:pt>
                <c:pt idx="103">
                  <c:v>52</c:v>
                </c:pt>
                <c:pt idx="104">
                  <c:v>52</c:v>
                </c:pt>
                <c:pt idx="105">
                  <c:v>53</c:v>
                </c:pt>
                <c:pt idx="106">
                  <c:v>60</c:v>
                </c:pt>
                <c:pt idx="107">
                  <c:v>60</c:v>
                </c:pt>
                <c:pt idx="108">
                  <c:v>60</c:v>
                </c:pt>
                <c:pt idx="109">
                  <c:v>60</c:v>
                </c:pt>
                <c:pt idx="110">
                  <c:v>60</c:v>
                </c:pt>
                <c:pt idx="111">
                  <c:v>60</c:v>
                </c:pt>
                <c:pt idx="112">
                  <c:v>60</c:v>
                </c:pt>
                <c:pt idx="113">
                  <c:v>60</c:v>
                </c:pt>
                <c:pt idx="114">
                  <c:v>60</c:v>
                </c:pt>
                <c:pt idx="115">
                  <c:v>60</c:v>
                </c:pt>
                <c:pt idx="116">
                  <c:v>60</c:v>
                </c:pt>
                <c:pt idx="117">
                  <c:v>63</c:v>
                </c:pt>
                <c:pt idx="118">
                  <c:v>67</c:v>
                </c:pt>
                <c:pt idx="119">
                  <c:v>74</c:v>
                </c:pt>
                <c:pt idx="120">
                  <c:v>82</c:v>
                </c:pt>
                <c:pt idx="121">
                  <c:v>93</c:v>
                </c:pt>
                <c:pt idx="122">
                  <c:v>107</c:v>
                </c:pt>
                <c:pt idx="123">
                  <c:v>118</c:v>
                </c:pt>
                <c:pt idx="124">
                  <c:v>127</c:v>
                </c:pt>
                <c:pt idx="125">
                  <c:v>136</c:v>
                </c:pt>
                <c:pt idx="126">
                  <c:v>145</c:v>
                </c:pt>
                <c:pt idx="127">
                  <c:v>152</c:v>
                </c:pt>
                <c:pt idx="128">
                  <c:v>160</c:v>
                </c:pt>
                <c:pt idx="129">
                  <c:v>161</c:v>
                </c:pt>
                <c:pt idx="130">
                  <c:v>161</c:v>
                </c:pt>
                <c:pt idx="131">
                  <c:v>161</c:v>
                </c:pt>
                <c:pt idx="132">
                  <c:v>161</c:v>
                </c:pt>
                <c:pt idx="133">
                  <c:v>161</c:v>
                </c:pt>
                <c:pt idx="134">
                  <c:v>164</c:v>
                </c:pt>
                <c:pt idx="135">
                  <c:v>168</c:v>
                </c:pt>
                <c:pt idx="136">
                  <c:v>172</c:v>
                </c:pt>
                <c:pt idx="137">
                  <c:v>177</c:v>
                </c:pt>
                <c:pt idx="138">
                  <c:v>183</c:v>
                </c:pt>
                <c:pt idx="139">
                  <c:v>190</c:v>
                </c:pt>
                <c:pt idx="140">
                  <c:v>197</c:v>
                </c:pt>
                <c:pt idx="141">
                  <c:v>204</c:v>
                </c:pt>
                <c:pt idx="142">
                  <c:v>208</c:v>
                </c:pt>
                <c:pt idx="143">
                  <c:v>215</c:v>
                </c:pt>
                <c:pt idx="144">
                  <c:v>224</c:v>
                </c:pt>
                <c:pt idx="145">
                  <c:v>234</c:v>
                </c:pt>
                <c:pt idx="146">
                  <c:v>247</c:v>
                </c:pt>
                <c:pt idx="147">
                  <c:v>262</c:v>
                </c:pt>
                <c:pt idx="148">
                  <c:v>277</c:v>
                </c:pt>
                <c:pt idx="149">
                  <c:v>291</c:v>
                </c:pt>
                <c:pt idx="150">
                  <c:v>304</c:v>
                </c:pt>
                <c:pt idx="151">
                  <c:v>313</c:v>
                </c:pt>
                <c:pt idx="152">
                  <c:v>314</c:v>
                </c:pt>
                <c:pt idx="153">
                  <c:v>311</c:v>
                </c:pt>
                <c:pt idx="154">
                  <c:v>315</c:v>
                </c:pt>
                <c:pt idx="155">
                  <c:v>326</c:v>
                </c:pt>
                <c:pt idx="156">
                  <c:v>332</c:v>
                </c:pt>
                <c:pt idx="157">
                  <c:v>335</c:v>
                </c:pt>
                <c:pt idx="158">
                  <c:v>340</c:v>
                </c:pt>
                <c:pt idx="159">
                  <c:v>347</c:v>
                </c:pt>
                <c:pt idx="160">
                  <c:v>355</c:v>
                </c:pt>
                <c:pt idx="161">
                  <c:v>365</c:v>
                </c:pt>
                <c:pt idx="162">
                  <c:v>375</c:v>
                </c:pt>
                <c:pt idx="163">
                  <c:v>387</c:v>
                </c:pt>
                <c:pt idx="164">
                  <c:v>399</c:v>
                </c:pt>
                <c:pt idx="165">
                  <c:v>412</c:v>
                </c:pt>
                <c:pt idx="166">
                  <c:v>424</c:v>
                </c:pt>
                <c:pt idx="167">
                  <c:v>436</c:v>
                </c:pt>
                <c:pt idx="168">
                  <c:v>447</c:v>
                </c:pt>
                <c:pt idx="169">
                  <c:v>460</c:v>
                </c:pt>
                <c:pt idx="170">
                  <c:v>473</c:v>
                </c:pt>
                <c:pt idx="171">
                  <c:v>489</c:v>
                </c:pt>
                <c:pt idx="172">
                  <c:v>506</c:v>
                </c:pt>
                <c:pt idx="173">
                  <c:v>522</c:v>
                </c:pt>
                <c:pt idx="174">
                  <c:v>537</c:v>
                </c:pt>
                <c:pt idx="175">
                  <c:v>553</c:v>
                </c:pt>
                <c:pt idx="176">
                  <c:v>569</c:v>
                </c:pt>
                <c:pt idx="177">
                  <c:v>580</c:v>
                </c:pt>
                <c:pt idx="178">
                  <c:v>590</c:v>
                </c:pt>
                <c:pt idx="179">
                  <c:v>606</c:v>
                </c:pt>
                <c:pt idx="180">
                  <c:v>628</c:v>
                </c:pt>
                <c:pt idx="181">
                  <c:v>652</c:v>
                </c:pt>
                <c:pt idx="182">
                  <c:v>677</c:v>
                </c:pt>
                <c:pt idx="183">
                  <c:v>696</c:v>
                </c:pt>
                <c:pt idx="184">
                  <c:v>714</c:v>
                </c:pt>
                <c:pt idx="185">
                  <c:v>732</c:v>
                </c:pt>
                <c:pt idx="186">
                  <c:v>751</c:v>
                </c:pt>
                <c:pt idx="187">
                  <c:v>766</c:v>
                </c:pt>
                <c:pt idx="188">
                  <c:v>786</c:v>
                </c:pt>
                <c:pt idx="189">
                  <c:v>809</c:v>
                </c:pt>
                <c:pt idx="190">
                  <c:v>825</c:v>
                </c:pt>
                <c:pt idx="191">
                  <c:v>839</c:v>
                </c:pt>
                <c:pt idx="192">
                  <c:v>849</c:v>
                </c:pt>
                <c:pt idx="193">
                  <c:v>856</c:v>
                </c:pt>
                <c:pt idx="194">
                  <c:v>870</c:v>
                </c:pt>
                <c:pt idx="195">
                  <c:v>884</c:v>
                </c:pt>
                <c:pt idx="196">
                  <c:v>898</c:v>
                </c:pt>
                <c:pt idx="197">
                  <c:v>914</c:v>
                </c:pt>
                <c:pt idx="198">
                  <c:v>930</c:v>
                </c:pt>
                <c:pt idx="199">
                  <c:v>945</c:v>
                </c:pt>
                <c:pt idx="200">
                  <c:v>961</c:v>
                </c:pt>
                <c:pt idx="201">
                  <c:v>973</c:v>
                </c:pt>
                <c:pt idx="202">
                  <c:v>987</c:v>
                </c:pt>
                <c:pt idx="203">
                  <c:v>1004</c:v>
                </c:pt>
                <c:pt idx="204">
                  <c:v>1020</c:v>
                </c:pt>
                <c:pt idx="205">
                  <c:v>1039</c:v>
                </c:pt>
                <c:pt idx="206">
                  <c:v>1059</c:v>
                </c:pt>
                <c:pt idx="207">
                  <c:v>1079</c:v>
                </c:pt>
                <c:pt idx="208">
                  <c:v>1097</c:v>
                </c:pt>
                <c:pt idx="209">
                  <c:v>1113</c:v>
                </c:pt>
                <c:pt idx="210">
                  <c:v>1126</c:v>
                </c:pt>
                <c:pt idx="211">
                  <c:v>1142</c:v>
                </c:pt>
                <c:pt idx="212">
                  <c:v>1157</c:v>
                </c:pt>
                <c:pt idx="213">
                  <c:v>1171</c:v>
                </c:pt>
                <c:pt idx="214">
                  <c:v>1186</c:v>
                </c:pt>
                <c:pt idx="215">
                  <c:v>1199</c:v>
                </c:pt>
                <c:pt idx="216">
                  <c:v>1214</c:v>
                </c:pt>
                <c:pt idx="217">
                  <c:v>1231</c:v>
                </c:pt>
                <c:pt idx="218">
                  <c:v>1243</c:v>
                </c:pt>
                <c:pt idx="219">
                  <c:v>1259</c:v>
                </c:pt>
                <c:pt idx="220">
                  <c:v>1276</c:v>
                </c:pt>
                <c:pt idx="221">
                  <c:v>1288</c:v>
                </c:pt>
                <c:pt idx="222">
                  <c:v>1298</c:v>
                </c:pt>
                <c:pt idx="223">
                  <c:v>1307</c:v>
                </c:pt>
                <c:pt idx="224">
                  <c:v>1312</c:v>
                </c:pt>
                <c:pt idx="225">
                  <c:v>1319</c:v>
                </c:pt>
                <c:pt idx="226">
                  <c:v>1328</c:v>
                </c:pt>
                <c:pt idx="227">
                  <c:v>1339</c:v>
                </c:pt>
                <c:pt idx="228">
                  <c:v>1349</c:v>
                </c:pt>
                <c:pt idx="229">
                  <c:v>1359</c:v>
                </c:pt>
                <c:pt idx="230">
                  <c:v>1371</c:v>
                </c:pt>
                <c:pt idx="231">
                  <c:v>1379</c:v>
                </c:pt>
                <c:pt idx="232">
                  <c:v>1386</c:v>
                </c:pt>
                <c:pt idx="233">
                  <c:v>1392</c:v>
                </c:pt>
                <c:pt idx="234">
                  <c:v>1399</c:v>
                </c:pt>
                <c:pt idx="235">
                  <c:v>1407</c:v>
                </c:pt>
                <c:pt idx="236">
                  <c:v>1418</c:v>
                </c:pt>
                <c:pt idx="237">
                  <c:v>1429</c:v>
                </c:pt>
                <c:pt idx="238">
                  <c:v>1442</c:v>
                </c:pt>
                <c:pt idx="239">
                  <c:v>1456</c:v>
                </c:pt>
                <c:pt idx="240">
                  <c:v>1471</c:v>
                </c:pt>
                <c:pt idx="241">
                  <c:v>1488</c:v>
                </c:pt>
                <c:pt idx="242">
                  <c:v>1501</c:v>
                </c:pt>
                <c:pt idx="243">
                  <c:v>1516</c:v>
                </c:pt>
                <c:pt idx="244">
                  <c:v>1532</c:v>
                </c:pt>
                <c:pt idx="245">
                  <c:v>1548</c:v>
                </c:pt>
                <c:pt idx="246">
                  <c:v>1560</c:v>
                </c:pt>
                <c:pt idx="247">
                  <c:v>1573</c:v>
                </c:pt>
                <c:pt idx="248">
                  <c:v>1588</c:v>
                </c:pt>
                <c:pt idx="249">
                  <c:v>1602</c:v>
                </c:pt>
                <c:pt idx="250">
                  <c:v>1615</c:v>
                </c:pt>
                <c:pt idx="251">
                  <c:v>1619</c:v>
                </c:pt>
                <c:pt idx="252">
                  <c:v>1620</c:v>
                </c:pt>
                <c:pt idx="253">
                  <c:v>1624</c:v>
                </c:pt>
                <c:pt idx="254">
                  <c:v>1629</c:v>
                </c:pt>
                <c:pt idx="255">
                  <c:v>1638</c:v>
                </c:pt>
                <c:pt idx="256">
                  <c:v>1645</c:v>
                </c:pt>
                <c:pt idx="257">
                  <c:v>1653</c:v>
                </c:pt>
                <c:pt idx="258">
                  <c:v>1661</c:v>
                </c:pt>
                <c:pt idx="259">
                  <c:v>1671</c:v>
                </c:pt>
                <c:pt idx="260">
                  <c:v>1674</c:v>
                </c:pt>
                <c:pt idx="261">
                  <c:v>1674</c:v>
                </c:pt>
                <c:pt idx="262">
                  <c:v>1674</c:v>
                </c:pt>
                <c:pt idx="263">
                  <c:v>1675</c:v>
                </c:pt>
                <c:pt idx="264">
                  <c:v>1679</c:v>
                </c:pt>
                <c:pt idx="265">
                  <c:v>1684</c:v>
                </c:pt>
                <c:pt idx="266">
                  <c:v>1684</c:v>
                </c:pt>
                <c:pt idx="267">
                  <c:v>1684</c:v>
                </c:pt>
                <c:pt idx="268">
                  <c:v>1684</c:v>
                </c:pt>
                <c:pt idx="269">
                  <c:v>1688</c:v>
                </c:pt>
                <c:pt idx="270">
                  <c:v>1693</c:v>
                </c:pt>
                <c:pt idx="271">
                  <c:v>1700</c:v>
                </c:pt>
                <c:pt idx="272">
                  <c:v>1706</c:v>
                </c:pt>
                <c:pt idx="273">
                  <c:v>1706</c:v>
                </c:pt>
                <c:pt idx="274">
                  <c:v>1708</c:v>
                </c:pt>
                <c:pt idx="275">
                  <c:v>1713</c:v>
                </c:pt>
                <c:pt idx="276">
                  <c:v>1716</c:v>
                </c:pt>
                <c:pt idx="277">
                  <c:v>1719</c:v>
                </c:pt>
                <c:pt idx="278">
                  <c:v>1720</c:v>
                </c:pt>
                <c:pt idx="279">
                  <c:v>1720</c:v>
                </c:pt>
                <c:pt idx="280">
                  <c:v>1720</c:v>
                </c:pt>
                <c:pt idx="281">
                  <c:v>1720</c:v>
                </c:pt>
                <c:pt idx="282">
                  <c:v>1720</c:v>
                </c:pt>
                <c:pt idx="283">
                  <c:v>1720</c:v>
                </c:pt>
                <c:pt idx="284">
                  <c:v>1720</c:v>
                </c:pt>
                <c:pt idx="285">
                  <c:v>1720</c:v>
                </c:pt>
                <c:pt idx="286">
                  <c:v>1720</c:v>
                </c:pt>
                <c:pt idx="287">
                  <c:v>1720</c:v>
                </c:pt>
                <c:pt idx="288">
                  <c:v>1720</c:v>
                </c:pt>
                <c:pt idx="289">
                  <c:v>1720</c:v>
                </c:pt>
                <c:pt idx="290">
                  <c:v>1720</c:v>
                </c:pt>
                <c:pt idx="291">
                  <c:v>1720</c:v>
                </c:pt>
                <c:pt idx="292">
                  <c:v>1720</c:v>
                </c:pt>
                <c:pt idx="293">
                  <c:v>1720</c:v>
                </c:pt>
                <c:pt idx="294">
                  <c:v>1720</c:v>
                </c:pt>
                <c:pt idx="295">
                  <c:v>1720</c:v>
                </c:pt>
                <c:pt idx="296">
                  <c:v>1720</c:v>
                </c:pt>
                <c:pt idx="297">
                  <c:v>1720</c:v>
                </c:pt>
                <c:pt idx="298">
                  <c:v>1720</c:v>
                </c:pt>
                <c:pt idx="299">
                  <c:v>1720</c:v>
                </c:pt>
                <c:pt idx="300">
                  <c:v>1720</c:v>
                </c:pt>
                <c:pt idx="301">
                  <c:v>1720</c:v>
                </c:pt>
                <c:pt idx="302">
                  <c:v>1720</c:v>
                </c:pt>
                <c:pt idx="303">
                  <c:v>1720</c:v>
                </c:pt>
                <c:pt idx="304">
                  <c:v>1720</c:v>
                </c:pt>
                <c:pt idx="305">
                  <c:v>1720</c:v>
                </c:pt>
                <c:pt idx="306">
                  <c:v>1720</c:v>
                </c:pt>
                <c:pt idx="307">
                  <c:v>1720</c:v>
                </c:pt>
                <c:pt idx="308">
                  <c:v>1720</c:v>
                </c:pt>
                <c:pt idx="309">
                  <c:v>1720</c:v>
                </c:pt>
                <c:pt idx="310">
                  <c:v>1720</c:v>
                </c:pt>
                <c:pt idx="311">
                  <c:v>1720</c:v>
                </c:pt>
                <c:pt idx="312">
                  <c:v>1720</c:v>
                </c:pt>
                <c:pt idx="313">
                  <c:v>1720</c:v>
                </c:pt>
                <c:pt idx="314">
                  <c:v>1720</c:v>
                </c:pt>
                <c:pt idx="315">
                  <c:v>1720</c:v>
                </c:pt>
                <c:pt idx="316">
                  <c:v>1720</c:v>
                </c:pt>
                <c:pt idx="317">
                  <c:v>1720</c:v>
                </c:pt>
                <c:pt idx="318">
                  <c:v>1720</c:v>
                </c:pt>
                <c:pt idx="319">
                  <c:v>1720</c:v>
                </c:pt>
                <c:pt idx="320">
                  <c:v>1720</c:v>
                </c:pt>
                <c:pt idx="321">
                  <c:v>1720</c:v>
                </c:pt>
                <c:pt idx="322">
                  <c:v>1720</c:v>
                </c:pt>
                <c:pt idx="323">
                  <c:v>1720</c:v>
                </c:pt>
                <c:pt idx="324">
                  <c:v>1720</c:v>
                </c:pt>
                <c:pt idx="325">
                  <c:v>1720</c:v>
                </c:pt>
                <c:pt idx="326">
                  <c:v>1720</c:v>
                </c:pt>
                <c:pt idx="327">
                  <c:v>1720</c:v>
                </c:pt>
                <c:pt idx="328">
                  <c:v>1720</c:v>
                </c:pt>
                <c:pt idx="329">
                  <c:v>1720</c:v>
                </c:pt>
                <c:pt idx="330">
                  <c:v>1720</c:v>
                </c:pt>
                <c:pt idx="331">
                  <c:v>1720</c:v>
                </c:pt>
                <c:pt idx="332">
                  <c:v>1720</c:v>
                </c:pt>
                <c:pt idx="333">
                  <c:v>1720</c:v>
                </c:pt>
                <c:pt idx="334">
                  <c:v>1720</c:v>
                </c:pt>
                <c:pt idx="335">
                  <c:v>1720</c:v>
                </c:pt>
                <c:pt idx="336">
                  <c:v>1720</c:v>
                </c:pt>
                <c:pt idx="337">
                  <c:v>1720</c:v>
                </c:pt>
                <c:pt idx="338">
                  <c:v>1720</c:v>
                </c:pt>
                <c:pt idx="339">
                  <c:v>1720</c:v>
                </c:pt>
                <c:pt idx="340">
                  <c:v>1720</c:v>
                </c:pt>
                <c:pt idx="341">
                  <c:v>1720</c:v>
                </c:pt>
                <c:pt idx="342">
                  <c:v>1720</c:v>
                </c:pt>
                <c:pt idx="343">
                  <c:v>1720</c:v>
                </c:pt>
                <c:pt idx="344">
                  <c:v>1720</c:v>
                </c:pt>
                <c:pt idx="345">
                  <c:v>1720</c:v>
                </c:pt>
                <c:pt idx="346">
                  <c:v>1720</c:v>
                </c:pt>
                <c:pt idx="347">
                  <c:v>1720</c:v>
                </c:pt>
                <c:pt idx="348">
                  <c:v>1720</c:v>
                </c:pt>
                <c:pt idx="349">
                  <c:v>1720</c:v>
                </c:pt>
                <c:pt idx="350">
                  <c:v>1720</c:v>
                </c:pt>
                <c:pt idx="351">
                  <c:v>1720</c:v>
                </c:pt>
                <c:pt idx="352">
                  <c:v>1720</c:v>
                </c:pt>
                <c:pt idx="353">
                  <c:v>1720</c:v>
                </c:pt>
                <c:pt idx="354">
                  <c:v>1720</c:v>
                </c:pt>
                <c:pt idx="355">
                  <c:v>1720</c:v>
                </c:pt>
                <c:pt idx="356">
                  <c:v>1720</c:v>
                </c:pt>
                <c:pt idx="357">
                  <c:v>1720</c:v>
                </c:pt>
                <c:pt idx="358">
                  <c:v>1720</c:v>
                </c:pt>
                <c:pt idx="359">
                  <c:v>1720</c:v>
                </c:pt>
                <c:pt idx="360">
                  <c:v>1720</c:v>
                </c:pt>
                <c:pt idx="361">
                  <c:v>1720</c:v>
                </c:pt>
                <c:pt idx="362">
                  <c:v>1720</c:v>
                </c:pt>
                <c:pt idx="363">
                  <c:v>1720</c:v>
                </c:pt>
                <c:pt idx="364">
                  <c:v>1720</c:v>
                </c:pt>
                <c:pt idx="365">
                  <c:v>1720</c:v>
                </c:pt>
              </c:numCache>
            </c:numRef>
          </c:val>
          <c:smooth val="0"/>
        </c:ser>
        <c:ser>
          <c:idx val="3"/>
          <c:order val="3"/>
          <c:tx>
            <c:strRef>
              <c:f>Sheet3!$N$1</c:f>
              <c:strCache>
                <c:ptCount val="1"/>
                <c:pt idx="0">
                  <c:v>2010 CDD</c:v>
                </c:pt>
              </c:strCache>
            </c:strRef>
          </c:tx>
          <c:marker>
            <c:symbol val="none"/>
          </c:marker>
          <c:cat>
            <c:strRef>
              <c:f>Sheet3!$J$2:$J$367</c:f>
              <c:strCache>
                <c:ptCount val="336"/>
                <c:pt idx="0">
                  <c:v>January</c:v>
                </c:pt>
                <c:pt idx="31">
                  <c:v>February</c:v>
                </c:pt>
                <c:pt idx="60">
                  <c:v>March</c:v>
                </c:pt>
                <c:pt idx="91">
                  <c:v>April</c:v>
                </c:pt>
                <c:pt idx="121">
                  <c:v>May</c:v>
                </c:pt>
                <c:pt idx="152">
                  <c:v>June</c:v>
                </c:pt>
                <c:pt idx="182">
                  <c:v>July</c:v>
                </c:pt>
                <c:pt idx="213">
                  <c:v>August</c:v>
                </c:pt>
                <c:pt idx="244">
                  <c:v>September</c:v>
                </c:pt>
                <c:pt idx="274">
                  <c:v>October</c:v>
                </c:pt>
                <c:pt idx="305">
                  <c:v>November</c:v>
                </c:pt>
                <c:pt idx="335">
                  <c:v>December</c:v>
                </c:pt>
              </c:strCache>
            </c:strRef>
          </c:cat>
          <c:val>
            <c:numRef>
              <c:f>Sheet3!$N$2:$N$367</c:f>
              <c:numCache>
                <c:formatCode>General</c:formatCode>
                <c:ptCount val="366"/>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3</c:v>
                </c:pt>
                <c:pt idx="271">
                  <c:v>4</c:v>
                </c:pt>
                <c:pt idx="272">
                  <c:v>4</c:v>
                </c:pt>
                <c:pt idx="273">
                  <c:v>4</c:v>
                </c:pt>
                <c:pt idx="274">
                  <c:v>5</c:v>
                </c:pt>
                <c:pt idx="275">
                  <c:v>7</c:v>
                </c:pt>
                <c:pt idx="276">
                  <c:v>18</c:v>
                </c:pt>
                <c:pt idx="277">
                  <c:v>32</c:v>
                </c:pt>
                <c:pt idx="278">
                  <c:v>44</c:v>
                </c:pt>
                <c:pt idx="279">
                  <c:v>54</c:v>
                </c:pt>
                <c:pt idx="280">
                  <c:v>55</c:v>
                </c:pt>
                <c:pt idx="281">
                  <c:v>55</c:v>
                </c:pt>
                <c:pt idx="282">
                  <c:v>55</c:v>
                </c:pt>
                <c:pt idx="283">
                  <c:v>55</c:v>
                </c:pt>
                <c:pt idx="284">
                  <c:v>55</c:v>
                </c:pt>
                <c:pt idx="285">
                  <c:v>58</c:v>
                </c:pt>
                <c:pt idx="286">
                  <c:v>58</c:v>
                </c:pt>
                <c:pt idx="287">
                  <c:v>66</c:v>
                </c:pt>
                <c:pt idx="288">
                  <c:v>74</c:v>
                </c:pt>
                <c:pt idx="289">
                  <c:v>83</c:v>
                </c:pt>
                <c:pt idx="290">
                  <c:v>90</c:v>
                </c:pt>
                <c:pt idx="291">
                  <c:v>94</c:v>
                </c:pt>
                <c:pt idx="292">
                  <c:v>96</c:v>
                </c:pt>
                <c:pt idx="293">
                  <c:v>101</c:v>
                </c:pt>
                <c:pt idx="294">
                  <c:v>105</c:v>
                </c:pt>
                <c:pt idx="295">
                  <c:v>115</c:v>
                </c:pt>
                <c:pt idx="296">
                  <c:v>123</c:v>
                </c:pt>
                <c:pt idx="297">
                  <c:v>124</c:v>
                </c:pt>
                <c:pt idx="298">
                  <c:v>124</c:v>
                </c:pt>
                <c:pt idx="299">
                  <c:v>124</c:v>
                </c:pt>
                <c:pt idx="300">
                  <c:v>125</c:v>
                </c:pt>
                <c:pt idx="301">
                  <c:v>127</c:v>
                </c:pt>
                <c:pt idx="302">
                  <c:v>142</c:v>
                </c:pt>
                <c:pt idx="303">
                  <c:v>155</c:v>
                </c:pt>
                <c:pt idx="304">
                  <c:v>161</c:v>
                </c:pt>
                <c:pt idx="305">
                  <c:v>170</c:v>
                </c:pt>
                <c:pt idx="306">
                  <c:v>176</c:v>
                </c:pt>
                <c:pt idx="307">
                  <c:v>185</c:v>
                </c:pt>
                <c:pt idx="308">
                  <c:v>199</c:v>
                </c:pt>
                <c:pt idx="309">
                  <c:v>221</c:v>
                </c:pt>
                <c:pt idx="310">
                  <c:v>247</c:v>
                </c:pt>
                <c:pt idx="311">
                  <c:v>272</c:v>
                </c:pt>
                <c:pt idx="312">
                  <c:v>289</c:v>
                </c:pt>
                <c:pt idx="313">
                  <c:v>301</c:v>
                </c:pt>
                <c:pt idx="314">
                  <c:v>311</c:v>
                </c:pt>
                <c:pt idx="315">
                  <c:v>320</c:v>
                </c:pt>
                <c:pt idx="316">
                  <c:v>330</c:v>
                </c:pt>
                <c:pt idx="317">
                  <c:v>341</c:v>
                </c:pt>
                <c:pt idx="318">
                  <c:v>357</c:v>
                </c:pt>
                <c:pt idx="319">
                  <c:v>370</c:v>
                </c:pt>
                <c:pt idx="320">
                  <c:v>377</c:v>
                </c:pt>
                <c:pt idx="321">
                  <c:v>393</c:v>
                </c:pt>
                <c:pt idx="322">
                  <c:v>408</c:v>
                </c:pt>
                <c:pt idx="323">
                  <c:v>422</c:v>
                </c:pt>
                <c:pt idx="324">
                  <c:v>436</c:v>
                </c:pt>
                <c:pt idx="325">
                  <c:v>443</c:v>
                </c:pt>
                <c:pt idx="326">
                  <c:v>448</c:v>
                </c:pt>
                <c:pt idx="327">
                  <c:v>457</c:v>
                </c:pt>
                <c:pt idx="328">
                  <c:v>470</c:v>
                </c:pt>
                <c:pt idx="329">
                  <c:v>471</c:v>
                </c:pt>
                <c:pt idx="330">
                  <c:v>491</c:v>
                </c:pt>
                <c:pt idx="331">
                  <c:v>518</c:v>
                </c:pt>
                <c:pt idx="332">
                  <c:v>542</c:v>
                </c:pt>
                <c:pt idx="333">
                  <c:v>564</c:v>
                </c:pt>
                <c:pt idx="334">
                  <c:v>577</c:v>
                </c:pt>
                <c:pt idx="335">
                  <c:v>607</c:v>
                </c:pt>
                <c:pt idx="336">
                  <c:v>638</c:v>
                </c:pt>
                <c:pt idx="337">
                  <c:v>662</c:v>
                </c:pt>
                <c:pt idx="338">
                  <c:v>685</c:v>
                </c:pt>
                <c:pt idx="339">
                  <c:v>715</c:v>
                </c:pt>
                <c:pt idx="340">
                  <c:v>752</c:v>
                </c:pt>
                <c:pt idx="341">
                  <c:v>792</c:v>
                </c:pt>
                <c:pt idx="342">
                  <c:v>833</c:v>
                </c:pt>
                <c:pt idx="343">
                  <c:v>867</c:v>
                </c:pt>
                <c:pt idx="344">
                  <c:v>893</c:v>
                </c:pt>
                <c:pt idx="345">
                  <c:v>913</c:v>
                </c:pt>
                <c:pt idx="346">
                  <c:v>945</c:v>
                </c:pt>
                <c:pt idx="347">
                  <c:v>989</c:v>
                </c:pt>
                <c:pt idx="348">
                  <c:v>1035</c:v>
                </c:pt>
                <c:pt idx="349">
                  <c:v>1080</c:v>
                </c:pt>
                <c:pt idx="350">
                  <c:v>1104</c:v>
                </c:pt>
                <c:pt idx="351">
                  <c:v>1133</c:v>
                </c:pt>
                <c:pt idx="352">
                  <c:v>1163</c:v>
                </c:pt>
                <c:pt idx="353">
                  <c:v>1198</c:v>
                </c:pt>
                <c:pt idx="354">
                  <c:v>1231</c:v>
                </c:pt>
                <c:pt idx="355">
                  <c:v>1259</c:v>
                </c:pt>
                <c:pt idx="356">
                  <c:v>1283</c:v>
                </c:pt>
                <c:pt idx="357">
                  <c:v>1314</c:v>
                </c:pt>
                <c:pt idx="358">
                  <c:v>1345</c:v>
                </c:pt>
                <c:pt idx="359">
                  <c:v>1377</c:v>
                </c:pt>
                <c:pt idx="360">
                  <c:v>1415</c:v>
                </c:pt>
                <c:pt idx="361">
                  <c:v>1452</c:v>
                </c:pt>
                <c:pt idx="362">
                  <c:v>1490</c:v>
                </c:pt>
                <c:pt idx="363">
                  <c:v>1527</c:v>
                </c:pt>
                <c:pt idx="364">
                  <c:v>1551</c:v>
                </c:pt>
                <c:pt idx="365">
                  <c:v>1564</c:v>
                </c:pt>
              </c:numCache>
            </c:numRef>
          </c:val>
          <c:smooth val="0"/>
        </c:ser>
        <c:ser>
          <c:idx val="4"/>
          <c:order val="4"/>
          <c:tx>
            <c:strRef>
              <c:f>Sheet3!$O$1</c:f>
              <c:strCache>
                <c:ptCount val="1"/>
                <c:pt idx="0">
                  <c:v>2011 CDD</c:v>
                </c:pt>
              </c:strCache>
            </c:strRef>
          </c:tx>
          <c:marker>
            <c:symbol val="none"/>
          </c:marker>
          <c:cat>
            <c:strRef>
              <c:f>Sheet3!$J$2:$J$367</c:f>
              <c:strCache>
                <c:ptCount val="336"/>
                <c:pt idx="0">
                  <c:v>January</c:v>
                </c:pt>
                <c:pt idx="31">
                  <c:v>February</c:v>
                </c:pt>
                <c:pt idx="60">
                  <c:v>March</c:v>
                </c:pt>
                <c:pt idx="91">
                  <c:v>April</c:v>
                </c:pt>
                <c:pt idx="121">
                  <c:v>May</c:v>
                </c:pt>
                <c:pt idx="152">
                  <c:v>June</c:v>
                </c:pt>
                <c:pt idx="182">
                  <c:v>July</c:v>
                </c:pt>
                <c:pt idx="213">
                  <c:v>August</c:v>
                </c:pt>
                <c:pt idx="244">
                  <c:v>September</c:v>
                </c:pt>
                <c:pt idx="274">
                  <c:v>October</c:v>
                </c:pt>
                <c:pt idx="305">
                  <c:v>November</c:v>
                </c:pt>
                <c:pt idx="335">
                  <c:v>December</c:v>
                </c:pt>
              </c:strCache>
            </c:strRef>
          </c:cat>
          <c:val>
            <c:numRef>
              <c:f>Sheet3!$O$2:$O$367</c:f>
              <c:numCache>
                <c:formatCode>General</c:formatCode>
                <c:ptCount val="366"/>
                <c:pt idx="244">
                  <c:v>0</c:v>
                </c:pt>
                <c:pt idx="245">
                  <c:v>0</c:v>
                </c:pt>
                <c:pt idx="246">
                  <c:v>0</c:v>
                </c:pt>
                <c:pt idx="247">
                  <c:v>0</c:v>
                </c:pt>
                <c:pt idx="248">
                  <c:v>0</c:v>
                </c:pt>
                <c:pt idx="249">
                  <c:v>0</c:v>
                </c:pt>
                <c:pt idx="250">
                  <c:v>0</c:v>
                </c:pt>
                <c:pt idx="251">
                  <c:v>1</c:v>
                </c:pt>
                <c:pt idx="252">
                  <c:v>1</c:v>
                </c:pt>
                <c:pt idx="253">
                  <c:v>1</c:v>
                </c:pt>
                <c:pt idx="254">
                  <c:v>1</c:v>
                </c:pt>
                <c:pt idx="255">
                  <c:v>1</c:v>
                </c:pt>
                <c:pt idx="256">
                  <c:v>1</c:v>
                </c:pt>
                <c:pt idx="257">
                  <c:v>1</c:v>
                </c:pt>
                <c:pt idx="258">
                  <c:v>2</c:v>
                </c:pt>
                <c:pt idx="259">
                  <c:v>7</c:v>
                </c:pt>
                <c:pt idx="260">
                  <c:v>7</c:v>
                </c:pt>
                <c:pt idx="261">
                  <c:v>7</c:v>
                </c:pt>
                <c:pt idx="262">
                  <c:v>7</c:v>
                </c:pt>
                <c:pt idx="263">
                  <c:v>7</c:v>
                </c:pt>
                <c:pt idx="264">
                  <c:v>7</c:v>
                </c:pt>
                <c:pt idx="265">
                  <c:v>7</c:v>
                </c:pt>
                <c:pt idx="266">
                  <c:v>7</c:v>
                </c:pt>
                <c:pt idx="267">
                  <c:v>7</c:v>
                </c:pt>
                <c:pt idx="268">
                  <c:v>7</c:v>
                </c:pt>
                <c:pt idx="269">
                  <c:v>7</c:v>
                </c:pt>
                <c:pt idx="270">
                  <c:v>7</c:v>
                </c:pt>
                <c:pt idx="271">
                  <c:v>7</c:v>
                </c:pt>
                <c:pt idx="272">
                  <c:v>7</c:v>
                </c:pt>
                <c:pt idx="273">
                  <c:v>11</c:v>
                </c:pt>
                <c:pt idx="274">
                  <c:v>24</c:v>
                </c:pt>
                <c:pt idx="275">
                  <c:v>36</c:v>
                </c:pt>
                <c:pt idx="276">
                  <c:v>47</c:v>
                </c:pt>
                <c:pt idx="277">
                  <c:v>52</c:v>
                </c:pt>
                <c:pt idx="278">
                  <c:v>52</c:v>
                </c:pt>
                <c:pt idx="279">
                  <c:v>52</c:v>
                </c:pt>
                <c:pt idx="280">
                  <c:v>52</c:v>
                </c:pt>
                <c:pt idx="281">
                  <c:v>54</c:v>
                </c:pt>
                <c:pt idx="282">
                  <c:v>58</c:v>
                </c:pt>
                <c:pt idx="283">
                  <c:v>58</c:v>
                </c:pt>
                <c:pt idx="284">
                  <c:v>60</c:v>
                </c:pt>
                <c:pt idx="285">
                  <c:v>62</c:v>
                </c:pt>
                <c:pt idx="286">
                  <c:v>62</c:v>
                </c:pt>
                <c:pt idx="287">
                  <c:v>64</c:v>
                </c:pt>
                <c:pt idx="288">
                  <c:v>69</c:v>
                </c:pt>
                <c:pt idx="289">
                  <c:v>73</c:v>
                </c:pt>
                <c:pt idx="290">
                  <c:v>73</c:v>
                </c:pt>
                <c:pt idx="291">
                  <c:v>73</c:v>
                </c:pt>
                <c:pt idx="292">
                  <c:v>84</c:v>
                </c:pt>
                <c:pt idx="293">
                  <c:v>101</c:v>
                </c:pt>
                <c:pt idx="294">
                  <c:v>114</c:v>
                </c:pt>
                <c:pt idx="295">
                  <c:v>129</c:v>
                </c:pt>
                <c:pt idx="296">
                  <c:v>142</c:v>
                </c:pt>
                <c:pt idx="297">
                  <c:v>148</c:v>
                </c:pt>
                <c:pt idx="298">
                  <c:v>153</c:v>
                </c:pt>
                <c:pt idx="299">
                  <c:v>157</c:v>
                </c:pt>
                <c:pt idx="300">
                  <c:v>165</c:v>
                </c:pt>
                <c:pt idx="301">
                  <c:v>184</c:v>
                </c:pt>
                <c:pt idx="302">
                  <c:v>202</c:v>
                </c:pt>
                <c:pt idx="303">
                  <c:v>220</c:v>
                </c:pt>
                <c:pt idx="304">
                  <c:v>238</c:v>
                </c:pt>
                <c:pt idx="305">
                  <c:v>255</c:v>
                </c:pt>
                <c:pt idx="306">
                  <c:v>269</c:v>
                </c:pt>
                <c:pt idx="307">
                  <c:v>284</c:v>
                </c:pt>
                <c:pt idx="308">
                  <c:v>299</c:v>
                </c:pt>
                <c:pt idx="309">
                  <c:v>316</c:v>
                </c:pt>
                <c:pt idx="310">
                  <c:v>333</c:v>
                </c:pt>
                <c:pt idx="311">
                  <c:v>345</c:v>
                </c:pt>
                <c:pt idx="312">
                  <c:v>355</c:v>
                </c:pt>
                <c:pt idx="313">
                  <c:v>364</c:v>
                </c:pt>
                <c:pt idx="314">
                  <c:v>382</c:v>
                </c:pt>
                <c:pt idx="315">
                  <c:v>408</c:v>
                </c:pt>
                <c:pt idx="316">
                  <c:v>426</c:v>
                </c:pt>
                <c:pt idx="317">
                  <c:v>435</c:v>
                </c:pt>
                <c:pt idx="318">
                  <c:v>435</c:v>
                </c:pt>
                <c:pt idx="319">
                  <c:v>435</c:v>
                </c:pt>
                <c:pt idx="320">
                  <c:v>439</c:v>
                </c:pt>
                <c:pt idx="321">
                  <c:v>463</c:v>
                </c:pt>
                <c:pt idx="322">
                  <c:v>488</c:v>
                </c:pt>
                <c:pt idx="323">
                  <c:v>505</c:v>
                </c:pt>
                <c:pt idx="324">
                  <c:v>512</c:v>
                </c:pt>
                <c:pt idx="325">
                  <c:v>515</c:v>
                </c:pt>
                <c:pt idx="326">
                  <c:v>515</c:v>
                </c:pt>
                <c:pt idx="327">
                  <c:v>528</c:v>
                </c:pt>
                <c:pt idx="328">
                  <c:v>547</c:v>
                </c:pt>
                <c:pt idx="329">
                  <c:v>566</c:v>
                </c:pt>
                <c:pt idx="330">
                  <c:v>580</c:v>
                </c:pt>
                <c:pt idx="331">
                  <c:v>583</c:v>
                </c:pt>
                <c:pt idx="332">
                  <c:v>598</c:v>
                </c:pt>
                <c:pt idx="333">
                  <c:v>623</c:v>
                </c:pt>
                <c:pt idx="334">
                  <c:v>650</c:v>
                </c:pt>
                <c:pt idx="335">
                  <c:v>675</c:v>
                </c:pt>
                <c:pt idx="336">
                  <c:v>697</c:v>
                </c:pt>
                <c:pt idx="337">
                  <c:v>718</c:v>
                </c:pt>
                <c:pt idx="338">
                  <c:v>734</c:v>
                </c:pt>
                <c:pt idx="339">
                  <c:v>740</c:v>
                </c:pt>
                <c:pt idx="340">
                  <c:v>749</c:v>
                </c:pt>
                <c:pt idx="341">
                  <c:v>771</c:v>
                </c:pt>
                <c:pt idx="342">
                  <c:v>799</c:v>
                </c:pt>
                <c:pt idx="343">
                  <c:v>826</c:v>
                </c:pt>
                <c:pt idx="344">
                  <c:v>854</c:v>
                </c:pt>
                <c:pt idx="345">
                  <c:v>882</c:v>
                </c:pt>
                <c:pt idx="346">
                  <c:v>904</c:v>
                </c:pt>
                <c:pt idx="347">
                  <c:v>919</c:v>
                </c:pt>
                <c:pt idx="348">
                  <c:v>930</c:v>
                </c:pt>
                <c:pt idx="349">
                  <c:v>938</c:v>
                </c:pt>
                <c:pt idx="350">
                  <c:v>954</c:v>
                </c:pt>
                <c:pt idx="351">
                  <c:v>981</c:v>
                </c:pt>
                <c:pt idx="352">
                  <c:v>1008</c:v>
                </c:pt>
                <c:pt idx="353">
                  <c:v>1031</c:v>
                </c:pt>
                <c:pt idx="354">
                  <c:v>1048</c:v>
                </c:pt>
                <c:pt idx="355">
                  <c:v>1056</c:v>
                </c:pt>
                <c:pt idx="356">
                  <c:v>1066</c:v>
                </c:pt>
                <c:pt idx="357">
                  <c:v>1085</c:v>
                </c:pt>
                <c:pt idx="358">
                  <c:v>1108</c:v>
                </c:pt>
                <c:pt idx="359">
                  <c:v>1131</c:v>
                </c:pt>
                <c:pt idx="360">
                  <c:v>1159</c:v>
                </c:pt>
                <c:pt idx="361">
                  <c:v>1181</c:v>
                </c:pt>
                <c:pt idx="362">
                  <c:v>1207</c:v>
                </c:pt>
                <c:pt idx="363">
                  <c:v>1231</c:v>
                </c:pt>
                <c:pt idx="364">
                  <c:v>1245</c:v>
                </c:pt>
                <c:pt idx="365">
                  <c:v>1261</c:v>
                </c:pt>
              </c:numCache>
            </c:numRef>
          </c:val>
          <c:smooth val="0"/>
        </c:ser>
        <c:dLbls>
          <c:showLegendKey val="0"/>
          <c:showVal val="0"/>
          <c:showCatName val="0"/>
          <c:showSerName val="0"/>
          <c:showPercent val="0"/>
          <c:showBubbleSize val="0"/>
        </c:dLbls>
        <c:marker val="1"/>
        <c:smooth val="0"/>
        <c:axId val="184808960"/>
        <c:axId val="184810496"/>
      </c:lineChart>
      <c:catAx>
        <c:axId val="184808960"/>
        <c:scaling>
          <c:orientation val="minMax"/>
        </c:scaling>
        <c:delete val="0"/>
        <c:axPos val="b"/>
        <c:majorTickMark val="out"/>
        <c:minorTickMark val="none"/>
        <c:tickLblPos val="nextTo"/>
        <c:crossAx val="184810496"/>
        <c:crosses val="autoZero"/>
        <c:auto val="0"/>
        <c:lblAlgn val="ctr"/>
        <c:lblOffset val="100"/>
        <c:noMultiLvlLbl val="0"/>
      </c:catAx>
      <c:valAx>
        <c:axId val="184810496"/>
        <c:scaling>
          <c:orientation val="minMax"/>
        </c:scaling>
        <c:delete val="0"/>
        <c:axPos val="l"/>
        <c:majorGridlines/>
        <c:numFmt formatCode="General" sourceLinked="1"/>
        <c:majorTickMark val="out"/>
        <c:minorTickMark val="none"/>
        <c:tickLblPos val="nextTo"/>
        <c:crossAx val="184808960"/>
        <c:crosses val="autoZero"/>
        <c:crossBetween val="between"/>
      </c:valAx>
    </c:plotArea>
    <c:legend>
      <c:legendPos val="r"/>
      <c:overlay val="0"/>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53756982300289E-2"/>
          <c:y val="4.4057617797775298E-2"/>
          <c:w val="0.70167457433205505"/>
          <c:h val="0.85653105861767298"/>
        </c:manualLayout>
      </c:layout>
      <c:lineChart>
        <c:grouping val="standard"/>
        <c:varyColors val="0"/>
        <c:ser>
          <c:idx val="0"/>
          <c:order val="0"/>
          <c:tx>
            <c:strRef>
              <c:f>group!$A$12</c:f>
              <c:strCache>
                <c:ptCount val="1"/>
                <c:pt idx="0">
                  <c:v>Bunch</c:v>
                </c:pt>
              </c:strCache>
            </c:strRef>
          </c:tx>
          <c:marker>
            <c:symbol val="none"/>
          </c:marker>
          <c:errBars>
            <c:errDir val="y"/>
            <c:errBarType val="both"/>
            <c:errValType val="cust"/>
            <c:noEndCap val="0"/>
            <c:plus>
              <c:numRef>
                <c:f>group!$B$15:$M$15</c:f>
                <c:numCache>
                  <c:formatCode>General</c:formatCode>
                  <c:ptCount val="12"/>
                  <c:pt idx="0">
                    <c:v>1.9083699999999999</c:v>
                  </c:pt>
                  <c:pt idx="1">
                    <c:v>1.9859249999999991</c:v>
                  </c:pt>
                  <c:pt idx="2">
                    <c:v>1.5750850000000001</c:v>
                  </c:pt>
                  <c:pt idx="3">
                    <c:v>1.9032750000000001</c:v>
                  </c:pt>
                  <c:pt idx="4">
                    <c:v>2.1585049999999999</c:v>
                  </c:pt>
                  <c:pt idx="5">
                    <c:v>1.5257449999999999</c:v>
                  </c:pt>
                  <c:pt idx="6">
                    <c:v>2.1832250000000002</c:v>
                  </c:pt>
                  <c:pt idx="7">
                    <c:v>2.09477</c:v>
                  </c:pt>
                  <c:pt idx="8">
                    <c:v>1.54009</c:v>
                  </c:pt>
                  <c:pt idx="9">
                    <c:v>1.7269099999999999</c:v>
                  </c:pt>
                  <c:pt idx="10">
                    <c:v>2.2830499999999998</c:v>
                  </c:pt>
                  <c:pt idx="11">
                    <c:v>2.390769999999999</c:v>
                  </c:pt>
                </c:numCache>
              </c:numRef>
            </c:plus>
            <c:minus>
              <c:numRef>
                <c:f>group!$B$15:$M$15</c:f>
                <c:numCache>
                  <c:formatCode>General</c:formatCode>
                  <c:ptCount val="12"/>
                  <c:pt idx="0">
                    <c:v>1.9083699999999999</c:v>
                  </c:pt>
                  <c:pt idx="1">
                    <c:v>1.9859249999999991</c:v>
                  </c:pt>
                  <c:pt idx="2">
                    <c:v>1.5750850000000001</c:v>
                  </c:pt>
                  <c:pt idx="3">
                    <c:v>1.9032750000000001</c:v>
                  </c:pt>
                  <c:pt idx="4">
                    <c:v>2.1585049999999999</c:v>
                  </c:pt>
                  <c:pt idx="5">
                    <c:v>1.5257449999999999</c:v>
                  </c:pt>
                  <c:pt idx="6">
                    <c:v>2.1832250000000002</c:v>
                  </c:pt>
                  <c:pt idx="7">
                    <c:v>2.09477</c:v>
                  </c:pt>
                  <c:pt idx="8">
                    <c:v>1.54009</c:v>
                  </c:pt>
                  <c:pt idx="9">
                    <c:v>1.7269099999999999</c:v>
                  </c:pt>
                  <c:pt idx="10">
                    <c:v>2.2830499999999998</c:v>
                  </c:pt>
                  <c:pt idx="11">
                    <c:v>2.390769999999999</c:v>
                  </c:pt>
                </c:numCache>
              </c:numRef>
            </c:minus>
          </c:errBars>
          <c:cat>
            <c:strRef>
              <c:f>group!$B$11:$M$11</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group!$B$12:$M$12</c:f>
              <c:numCache>
                <c:formatCode>General</c:formatCode>
                <c:ptCount val="12"/>
                <c:pt idx="0">
                  <c:v>23.204899999999999</c:v>
                </c:pt>
                <c:pt idx="1">
                  <c:v>28.3612</c:v>
                </c:pt>
                <c:pt idx="2">
                  <c:v>14.578799999999999</c:v>
                </c:pt>
                <c:pt idx="3">
                  <c:v>16.963200000000001</c:v>
                </c:pt>
                <c:pt idx="4">
                  <c:v>26.201699999999999</c:v>
                </c:pt>
                <c:pt idx="5">
                  <c:v>28.593499999999999</c:v>
                </c:pt>
                <c:pt idx="6">
                  <c:v>26.033899999999999</c:v>
                </c:pt>
                <c:pt idx="7">
                  <c:v>3.1257000000000001</c:v>
                </c:pt>
                <c:pt idx="8">
                  <c:v>0.5554</c:v>
                </c:pt>
                <c:pt idx="9">
                  <c:v>0.71140000000000003</c:v>
                </c:pt>
                <c:pt idx="10">
                  <c:v>0.86890000000000001</c:v>
                </c:pt>
                <c:pt idx="11">
                  <c:v>2.4077999999999999</c:v>
                </c:pt>
              </c:numCache>
            </c:numRef>
          </c:val>
          <c:smooth val="0"/>
        </c:ser>
        <c:ser>
          <c:idx val="1"/>
          <c:order val="1"/>
          <c:tx>
            <c:strRef>
              <c:f>group!$A$13</c:f>
              <c:strCache>
                <c:ptCount val="1"/>
                <c:pt idx="0">
                  <c:v>Rhizomatous</c:v>
                </c:pt>
              </c:strCache>
            </c:strRef>
          </c:tx>
          <c:marker>
            <c:symbol val="none"/>
          </c:marker>
          <c:errBars>
            <c:errDir val="y"/>
            <c:errBarType val="both"/>
            <c:errValType val="cust"/>
            <c:noEndCap val="0"/>
            <c:plus>
              <c:numRef>
                <c:f>group!$B$15:$M$15</c:f>
                <c:numCache>
                  <c:formatCode>General</c:formatCode>
                  <c:ptCount val="12"/>
                  <c:pt idx="0">
                    <c:v>1.9083699999999999</c:v>
                  </c:pt>
                  <c:pt idx="1">
                    <c:v>1.9859249999999991</c:v>
                  </c:pt>
                  <c:pt idx="2">
                    <c:v>1.5750850000000001</c:v>
                  </c:pt>
                  <c:pt idx="3">
                    <c:v>1.9032750000000001</c:v>
                  </c:pt>
                  <c:pt idx="4">
                    <c:v>2.1585049999999999</c:v>
                  </c:pt>
                  <c:pt idx="5">
                    <c:v>1.5257449999999999</c:v>
                  </c:pt>
                  <c:pt idx="6">
                    <c:v>2.1832250000000002</c:v>
                  </c:pt>
                  <c:pt idx="7">
                    <c:v>2.09477</c:v>
                  </c:pt>
                  <c:pt idx="8">
                    <c:v>1.54009</c:v>
                  </c:pt>
                  <c:pt idx="9">
                    <c:v>1.7269099999999999</c:v>
                  </c:pt>
                  <c:pt idx="10">
                    <c:v>2.2830499999999998</c:v>
                  </c:pt>
                  <c:pt idx="11">
                    <c:v>2.390769999999999</c:v>
                  </c:pt>
                </c:numCache>
              </c:numRef>
            </c:plus>
            <c:minus>
              <c:numRef>
                <c:f>group!$B$15:$M$15</c:f>
                <c:numCache>
                  <c:formatCode>General</c:formatCode>
                  <c:ptCount val="12"/>
                  <c:pt idx="0">
                    <c:v>1.9083699999999999</c:v>
                  </c:pt>
                  <c:pt idx="1">
                    <c:v>1.9859249999999991</c:v>
                  </c:pt>
                  <c:pt idx="2">
                    <c:v>1.5750850000000001</c:v>
                  </c:pt>
                  <c:pt idx="3">
                    <c:v>1.9032750000000001</c:v>
                  </c:pt>
                  <c:pt idx="4">
                    <c:v>2.1585049999999999</c:v>
                  </c:pt>
                  <c:pt idx="5">
                    <c:v>1.5257449999999999</c:v>
                  </c:pt>
                  <c:pt idx="6">
                    <c:v>2.1832250000000002</c:v>
                  </c:pt>
                  <c:pt idx="7">
                    <c:v>2.09477</c:v>
                  </c:pt>
                  <c:pt idx="8">
                    <c:v>1.54009</c:v>
                  </c:pt>
                  <c:pt idx="9">
                    <c:v>1.7269099999999999</c:v>
                  </c:pt>
                  <c:pt idx="10">
                    <c:v>2.2830499999999998</c:v>
                  </c:pt>
                  <c:pt idx="11">
                    <c:v>2.390769999999999</c:v>
                  </c:pt>
                </c:numCache>
              </c:numRef>
            </c:minus>
          </c:errBars>
          <c:cat>
            <c:strRef>
              <c:f>group!$B$11:$M$11</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group!$B$13:$M$13</c:f>
              <c:numCache>
                <c:formatCode>General</c:formatCode>
                <c:ptCount val="12"/>
                <c:pt idx="0">
                  <c:v>33.411900000000003</c:v>
                </c:pt>
                <c:pt idx="1">
                  <c:v>40.5167</c:v>
                </c:pt>
                <c:pt idx="2">
                  <c:v>25.387799999999991</c:v>
                </c:pt>
                <c:pt idx="3">
                  <c:v>30.209199999999999</c:v>
                </c:pt>
                <c:pt idx="4">
                  <c:v>44.9694</c:v>
                </c:pt>
                <c:pt idx="5">
                  <c:v>58.884399999999999</c:v>
                </c:pt>
                <c:pt idx="6">
                  <c:v>54.924700000000001</c:v>
                </c:pt>
                <c:pt idx="7">
                  <c:v>20.730799999999991</c:v>
                </c:pt>
                <c:pt idx="8">
                  <c:v>12.9544</c:v>
                </c:pt>
                <c:pt idx="9">
                  <c:v>15.256399999999999</c:v>
                </c:pt>
                <c:pt idx="10">
                  <c:v>23.703299999999999</c:v>
                </c:pt>
                <c:pt idx="11">
                  <c:v>33.317500000000003</c:v>
                </c:pt>
              </c:numCache>
            </c:numRef>
          </c:val>
          <c:smooth val="0"/>
        </c:ser>
        <c:ser>
          <c:idx val="2"/>
          <c:order val="2"/>
          <c:tx>
            <c:strRef>
              <c:f>group!$A$14</c:f>
              <c:strCache>
                <c:ptCount val="1"/>
                <c:pt idx="0">
                  <c:v>Stoloniferous</c:v>
                </c:pt>
              </c:strCache>
            </c:strRef>
          </c:tx>
          <c:marker>
            <c:symbol val="none"/>
          </c:marker>
          <c:errBars>
            <c:errDir val="y"/>
            <c:errBarType val="both"/>
            <c:errValType val="cust"/>
            <c:noEndCap val="0"/>
            <c:plus>
              <c:numRef>
                <c:f>group!$B$15:$M$15</c:f>
                <c:numCache>
                  <c:formatCode>General</c:formatCode>
                  <c:ptCount val="12"/>
                  <c:pt idx="0">
                    <c:v>1.9083699999999999</c:v>
                  </c:pt>
                  <c:pt idx="1">
                    <c:v>1.9859249999999991</c:v>
                  </c:pt>
                  <c:pt idx="2">
                    <c:v>1.5750850000000001</c:v>
                  </c:pt>
                  <c:pt idx="3">
                    <c:v>1.9032750000000001</c:v>
                  </c:pt>
                  <c:pt idx="4">
                    <c:v>2.1585049999999999</c:v>
                  </c:pt>
                  <c:pt idx="5">
                    <c:v>1.5257449999999999</c:v>
                  </c:pt>
                  <c:pt idx="6">
                    <c:v>2.1832250000000002</c:v>
                  </c:pt>
                  <c:pt idx="7">
                    <c:v>2.09477</c:v>
                  </c:pt>
                  <c:pt idx="8">
                    <c:v>1.54009</c:v>
                  </c:pt>
                  <c:pt idx="9">
                    <c:v>1.7269099999999999</c:v>
                  </c:pt>
                  <c:pt idx="10">
                    <c:v>2.2830499999999998</c:v>
                  </c:pt>
                  <c:pt idx="11">
                    <c:v>2.390769999999999</c:v>
                  </c:pt>
                </c:numCache>
              </c:numRef>
            </c:plus>
            <c:minus>
              <c:numRef>
                <c:f>group!$B$15:$M$15</c:f>
                <c:numCache>
                  <c:formatCode>General</c:formatCode>
                  <c:ptCount val="12"/>
                  <c:pt idx="0">
                    <c:v>1.9083699999999999</c:v>
                  </c:pt>
                  <c:pt idx="1">
                    <c:v>1.9859249999999991</c:v>
                  </c:pt>
                  <c:pt idx="2">
                    <c:v>1.5750850000000001</c:v>
                  </c:pt>
                  <c:pt idx="3">
                    <c:v>1.9032750000000001</c:v>
                  </c:pt>
                  <c:pt idx="4">
                    <c:v>2.1585049999999999</c:v>
                  </c:pt>
                  <c:pt idx="5">
                    <c:v>1.5257449999999999</c:v>
                  </c:pt>
                  <c:pt idx="6">
                    <c:v>2.1832250000000002</c:v>
                  </c:pt>
                  <c:pt idx="7">
                    <c:v>2.09477</c:v>
                  </c:pt>
                  <c:pt idx="8">
                    <c:v>1.54009</c:v>
                  </c:pt>
                  <c:pt idx="9">
                    <c:v>1.7269099999999999</c:v>
                  </c:pt>
                  <c:pt idx="10">
                    <c:v>2.2830499999999998</c:v>
                  </c:pt>
                  <c:pt idx="11">
                    <c:v>2.390769999999999</c:v>
                  </c:pt>
                </c:numCache>
              </c:numRef>
            </c:minus>
          </c:errBars>
          <c:cat>
            <c:strRef>
              <c:f>group!$B$11:$M$11</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group!$B$14:$M$14</c:f>
              <c:numCache>
                <c:formatCode>General</c:formatCode>
                <c:ptCount val="12"/>
                <c:pt idx="0">
                  <c:v>68.356699999999975</c:v>
                </c:pt>
                <c:pt idx="1">
                  <c:v>78.629199999999983</c:v>
                </c:pt>
                <c:pt idx="2">
                  <c:v>60.806699999999999</c:v>
                </c:pt>
                <c:pt idx="3">
                  <c:v>63.1708</c:v>
                </c:pt>
                <c:pt idx="4">
                  <c:v>74.177499999999981</c:v>
                </c:pt>
                <c:pt idx="5">
                  <c:v>72.507499999999993</c:v>
                </c:pt>
                <c:pt idx="6">
                  <c:v>68.584199999999996</c:v>
                </c:pt>
                <c:pt idx="7">
                  <c:v>39.825800000000001</c:v>
                </c:pt>
                <c:pt idx="8">
                  <c:v>0.1908</c:v>
                </c:pt>
                <c:pt idx="9">
                  <c:v>0.1308</c:v>
                </c:pt>
                <c:pt idx="10">
                  <c:v>0.1908</c:v>
                </c:pt>
                <c:pt idx="11">
                  <c:v>0.69669999999999999</c:v>
                </c:pt>
              </c:numCache>
            </c:numRef>
          </c:val>
          <c:smooth val="0"/>
        </c:ser>
        <c:dLbls>
          <c:showLegendKey val="0"/>
          <c:showVal val="0"/>
          <c:showCatName val="0"/>
          <c:showSerName val="0"/>
          <c:showPercent val="0"/>
          <c:showBubbleSize val="0"/>
        </c:dLbls>
        <c:marker val="1"/>
        <c:smooth val="0"/>
        <c:axId val="185910784"/>
        <c:axId val="185912320"/>
      </c:lineChart>
      <c:catAx>
        <c:axId val="185910784"/>
        <c:scaling>
          <c:orientation val="minMax"/>
        </c:scaling>
        <c:delete val="0"/>
        <c:axPos val="b"/>
        <c:majorTickMark val="out"/>
        <c:minorTickMark val="none"/>
        <c:tickLblPos val="nextTo"/>
        <c:txPr>
          <a:bodyPr/>
          <a:lstStyle/>
          <a:p>
            <a:pPr>
              <a:defRPr b="1"/>
            </a:pPr>
            <a:endParaRPr lang="en-US"/>
          </a:p>
        </c:txPr>
        <c:crossAx val="185912320"/>
        <c:crosses val="autoZero"/>
        <c:auto val="1"/>
        <c:lblAlgn val="ctr"/>
        <c:lblOffset val="100"/>
        <c:noMultiLvlLbl val="0"/>
      </c:catAx>
      <c:valAx>
        <c:axId val="185912320"/>
        <c:scaling>
          <c:orientation val="minMax"/>
          <c:min val="0"/>
        </c:scaling>
        <c:delete val="0"/>
        <c:axPos val="l"/>
        <c:majorGridlines/>
        <c:numFmt formatCode="General" sourceLinked="1"/>
        <c:majorTickMark val="out"/>
        <c:minorTickMark val="none"/>
        <c:tickLblPos val="nextTo"/>
        <c:txPr>
          <a:bodyPr/>
          <a:lstStyle/>
          <a:p>
            <a:pPr>
              <a:defRPr b="1"/>
            </a:pPr>
            <a:endParaRPr lang="en-US"/>
          </a:p>
        </c:txPr>
        <c:crossAx val="185910784"/>
        <c:crosses val="autoZero"/>
        <c:crossBetween val="between"/>
      </c:valAx>
    </c:plotArea>
    <c:legend>
      <c:legendPos val="r"/>
      <c:layout>
        <c:manualLayout>
          <c:xMode val="edge"/>
          <c:yMode val="edge"/>
          <c:x val="0.77841779392960497"/>
          <c:y val="0.392363454568179"/>
          <c:w val="0.18312066760885701"/>
          <c:h val="0.21527277840270001"/>
        </c:manualLayout>
      </c:layout>
      <c:overlay val="0"/>
      <c:txPr>
        <a:bodyPr/>
        <a:lstStyle/>
        <a:p>
          <a:pPr>
            <a:defRPr b="1"/>
          </a:pPr>
          <a:endParaRPr lang="en-US"/>
        </a:p>
      </c:txPr>
    </c:legend>
    <c:plotVisOnly val="1"/>
    <c:dispBlanksAs val="gap"/>
    <c:showDLblsOverMax val="0"/>
  </c:chart>
  <c:spPr>
    <a:ln>
      <a:noFill/>
    </a:ln>
  </c:sp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Sheet1!$A$3</c:f>
              <c:strCache>
                <c:ptCount val="1"/>
                <c:pt idx="0">
                  <c:v>arachnifera × dusenii</c:v>
                </c:pt>
              </c:strCache>
            </c:strRef>
          </c:tx>
          <c:marker>
            <c:symbol val="none"/>
          </c:marker>
          <c:errBars>
            <c:errDir val="y"/>
            <c:errBarType val="both"/>
            <c:errValType val="cust"/>
            <c:noEndCap val="0"/>
            <c:plus>
              <c:numRef>
                <c:f>Sheet1!$B$8:$M$8</c:f>
                <c:numCache>
                  <c:formatCode>General</c:formatCode>
                  <c:ptCount val="12"/>
                  <c:pt idx="0">
                    <c:v>1.46129</c:v>
                  </c:pt>
                  <c:pt idx="1">
                    <c:v>3.46766</c:v>
                  </c:pt>
                  <c:pt idx="2">
                    <c:v>3.9518399999999989</c:v>
                  </c:pt>
                  <c:pt idx="3">
                    <c:v>4.8357999999999999</c:v>
                  </c:pt>
                  <c:pt idx="4">
                    <c:v>5.5785499999999999</c:v>
                  </c:pt>
                  <c:pt idx="5">
                    <c:v>6.8006000000000002</c:v>
                  </c:pt>
                  <c:pt idx="6">
                    <c:v>9.2641999999999989</c:v>
                  </c:pt>
                  <c:pt idx="7">
                    <c:v>10.33395</c:v>
                  </c:pt>
                  <c:pt idx="8">
                    <c:v>12.0467</c:v>
                  </c:pt>
                  <c:pt idx="9">
                    <c:v>14.565200000000001</c:v>
                  </c:pt>
                  <c:pt idx="10">
                    <c:v>7.0021499999999994</c:v>
                  </c:pt>
                  <c:pt idx="11">
                    <c:v>7.6963999999999997</c:v>
                  </c:pt>
                </c:numCache>
              </c:numRef>
            </c:plus>
            <c:minus>
              <c:numRef>
                <c:f>Sheet1!$B$8:$M$8</c:f>
                <c:numCache>
                  <c:formatCode>General</c:formatCode>
                  <c:ptCount val="12"/>
                  <c:pt idx="0">
                    <c:v>1.46129</c:v>
                  </c:pt>
                  <c:pt idx="1">
                    <c:v>3.46766</c:v>
                  </c:pt>
                  <c:pt idx="2">
                    <c:v>3.9518399999999989</c:v>
                  </c:pt>
                  <c:pt idx="3">
                    <c:v>4.8357999999999999</c:v>
                  </c:pt>
                  <c:pt idx="4">
                    <c:v>5.5785499999999999</c:v>
                  </c:pt>
                  <c:pt idx="5">
                    <c:v>6.8006000000000002</c:v>
                  </c:pt>
                  <c:pt idx="6">
                    <c:v>9.2641999999999989</c:v>
                  </c:pt>
                  <c:pt idx="7">
                    <c:v>10.33395</c:v>
                  </c:pt>
                  <c:pt idx="8">
                    <c:v>12.0467</c:v>
                  </c:pt>
                  <c:pt idx="9">
                    <c:v>14.565200000000001</c:v>
                  </c:pt>
                  <c:pt idx="10">
                    <c:v>7.0021499999999994</c:v>
                  </c:pt>
                  <c:pt idx="11">
                    <c:v>7.6963999999999997</c:v>
                  </c:pt>
                </c:numCache>
              </c:numRef>
            </c:minus>
          </c:errBars>
          <c:cat>
            <c:strRef>
              <c:f>Sheet1!$B$2:$M$2</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Sheet1!$B$3:$M$3</c:f>
              <c:numCache>
                <c:formatCode>0.0</c:formatCode>
                <c:ptCount val="12"/>
                <c:pt idx="0">
                  <c:v>7.0574999999999992</c:v>
                </c:pt>
                <c:pt idx="1">
                  <c:v>23.405000000000001</c:v>
                </c:pt>
                <c:pt idx="2">
                  <c:v>26.695</c:v>
                </c:pt>
                <c:pt idx="3">
                  <c:v>26.914999999999999</c:v>
                </c:pt>
                <c:pt idx="4">
                  <c:v>72.787499999999994</c:v>
                </c:pt>
                <c:pt idx="5">
                  <c:v>74.092500000000001</c:v>
                </c:pt>
                <c:pt idx="6">
                  <c:v>53.017499999999998</c:v>
                </c:pt>
                <c:pt idx="7">
                  <c:v>41.255000000000003</c:v>
                </c:pt>
                <c:pt idx="8">
                  <c:v>35.75</c:v>
                </c:pt>
                <c:pt idx="9">
                  <c:v>31.14</c:v>
                </c:pt>
                <c:pt idx="10">
                  <c:v>18.305</c:v>
                </c:pt>
                <c:pt idx="11">
                  <c:v>36.722499999999997</c:v>
                </c:pt>
              </c:numCache>
            </c:numRef>
          </c:val>
          <c:smooth val="0"/>
        </c:ser>
        <c:ser>
          <c:idx val="1"/>
          <c:order val="1"/>
          <c:tx>
            <c:strRef>
              <c:f>Sheet1!$A$4</c:f>
              <c:strCache>
                <c:ptCount val="1"/>
                <c:pt idx="0">
                  <c:v>arachnifera</c:v>
                </c:pt>
              </c:strCache>
            </c:strRef>
          </c:tx>
          <c:marker>
            <c:symbol val="none"/>
          </c:marker>
          <c:errBars>
            <c:errDir val="y"/>
            <c:errBarType val="both"/>
            <c:errValType val="cust"/>
            <c:noEndCap val="0"/>
            <c:plus>
              <c:numRef>
                <c:f>Sheet1!$B$8:$M$8</c:f>
                <c:numCache>
                  <c:formatCode>General</c:formatCode>
                  <c:ptCount val="12"/>
                  <c:pt idx="0">
                    <c:v>1.46129</c:v>
                  </c:pt>
                  <c:pt idx="1">
                    <c:v>3.46766</c:v>
                  </c:pt>
                  <c:pt idx="2">
                    <c:v>3.9518399999999989</c:v>
                  </c:pt>
                  <c:pt idx="3">
                    <c:v>4.8357999999999999</c:v>
                  </c:pt>
                  <c:pt idx="4">
                    <c:v>5.5785499999999999</c:v>
                  </c:pt>
                  <c:pt idx="5">
                    <c:v>6.8006000000000002</c:v>
                  </c:pt>
                  <c:pt idx="6">
                    <c:v>9.2641999999999989</c:v>
                  </c:pt>
                  <c:pt idx="7">
                    <c:v>10.33395</c:v>
                  </c:pt>
                  <c:pt idx="8">
                    <c:v>12.0467</c:v>
                  </c:pt>
                  <c:pt idx="9">
                    <c:v>14.565200000000001</c:v>
                  </c:pt>
                  <c:pt idx="10">
                    <c:v>7.0021499999999994</c:v>
                  </c:pt>
                  <c:pt idx="11">
                    <c:v>7.6963999999999997</c:v>
                  </c:pt>
                </c:numCache>
              </c:numRef>
            </c:plus>
            <c:minus>
              <c:numRef>
                <c:f>Sheet1!$B$8:$M$8</c:f>
                <c:numCache>
                  <c:formatCode>General</c:formatCode>
                  <c:ptCount val="12"/>
                  <c:pt idx="0">
                    <c:v>1.46129</c:v>
                  </c:pt>
                  <c:pt idx="1">
                    <c:v>3.46766</c:v>
                  </c:pt>
                  <c:pt idx="2">
                    <c:v>3.9518399999999989</c:v>
                  </c:pt>
                  <c:pt idx="3">
                    <c:v>4.8357999999999999</c:v>
                  </c:pt>
                  <c:pt idx="4">
                    <c:v>5.5785499999999999</c:v>
                  </c:pt>
                  <c:pt idx="5">
                    <c:v>6.8006000000000002</c:v>
                  </c:pt>
                  <c:pt idx="6">
                    <c:v>9.2641999999999989</c:v>
                  </c:pt>
                  <c:pt idx="7">
                    <c:v>10.33395</c:v>
                  </c:pt>
                  <c:pt idx="8">
                    <c:v>12.0467</c:v>
                  </c:pt>
                  <c:pt idx="9">
                    <c:v>14.565200000000001</c:v>
                  </c:pt>
                  <c:pt idx="10">
                    <c:v>7.0021499999999994</c:v>
                  </c:pt>
                  <c:pt idx="11">
                    <c:v>7.6963999999999997</c:v>
                  </c:pt>
                </c:numCache>
              </c:numRef>
            </c:minus>
          </c:errBars>
          <c:cat>
            <c:strRef>
              <c:f>Sheet1!$B$2:$M$2</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Sheet1!$B$4:$M$4</c:f>
              <c:numCache>
                <c:formatCode>0.0</c:formatCode>
                <c:ptCount val="12"/>
                <c:pt idx="0">
                  <c:v>9.3725000000000005</c:v>
                </c:pt>
                <c:pt idx="1">
                  <c:v>26.5625</c:v>
                </c:pt>
                <c:pt idx="2">
                  <c:v>31.04</c:v>
                </c:pt>
                <c:pt idx="3">
                  <c:v>30.68</c:v>
                </c:pt>
                <c:pt idx="4">
                  <c:v>68.2</c:v>
                </c:pt>
                <c:pt idx="5">
                  <c:v>67.467500000000001</c:v>
                </c:pt>
                <c:pt idx="6">
                  <c:v>60.057499999999997</c:v>
                </c:pt>
                <c:pt idx="7">
                  <c:v>58.792499999999997</c:v>
                </c:pt>
                <c:pt idx="8">
                  <c:v>53.445</c:v>
                </c:pt>
                <c:pt idx="9">
                  <c:v>29.085000000000001</c:v>
                </c:pt>
                <c:pt idx="10">
                  <c:v>33.14</c:v>
                </c:pt>
                <c:pt idx="11">
                  <c:v>64.297499999999999</c:v>
                </c:pt>
              </c:numCache>
            </c:numRef>
          </c:val>
          <c:smooth val="0"/>
        </c:ser>
        <c:ser>
          <c:idx val="2"/>
          <c:order val="2"/>
          <c:tx>
            <c:strRef>
              <c:f>Sheet1!$A$5</c:f>
              <c:strCache>
                <c:ptCount val="1"/>
                <c:pt idx="0">
                  <c:v>dusenii</c:v>
                </c:pt>
              </c:strCache>
            </c:strRef>
          </c:tx>
          <c:marker>
            <c:symbol val="none"/>
          </c:marker>
          <c:errBars>
            <c:errDir val="y"/>
            <c:errBarType val="both"/>
            <c:errValType val="cust"/>
            <c:noEndCap val="0"/>
            <c:plus>
              <c:numRef>
                <c:f>Sheet1!$B$8:$M$8</c:f>
                <c:numCache>
                  <c:formatCode>General</c:formatCode>
                  <c:ptCount val="12"/>
                  <c:pt idx="0">
                    <c:v>1.46129</c:v>
                  </c:pt>
                  <c:pt idx="1">
                    <c:v>3.46766</c:v>
                  </c:pt>
                  <c:pt idx="2">
                    <c:v>3.9518399999999989</c:v>
                  </c:pt>
                  <c:pt idx="3">
                    <c:v>4.8357999999999999</c:v>
                  </c:pt>
                  <c:pt idx="4">
                    <c:v>5.5785499999999999</c:v>
                  </c:pt>
                  <c:pt idx="5">
                    <c:v>6.8006000000000002</c:v>
                  </c:pt>
                  <c:pt idx="6">
                    <c:v>9.2641999999999989</c:v>
                  </c:pt>
                  <c:pt idx="7">
                    <c:v>10.33395</c:v>
                  </c:pt>
                  <c:pt idx="8">
                    <c:v>12.0467</c:v>
                  </c:pt>
                  <c:pt idx="9">
                    <c:v>14.565200000000001</c:v>
                  </c:pt>
                  <c:pt idx="10">
                    <c:v>7.0021499999999994</c:v>
                  </c:pt>
                  <c:pt idx="11">
                    <c:v>7.6963999999999997</c:v>
                  </c:pt>
                </c:numCache>
              </c:numRef>
            </c:plus>
            <c:minus>
              <c:numRef>
                <c:f>Sheet1!$B$8:$M$8</c:f>
                <c:numCache>
                  <c:formatCode>General</c:formatCode>
                  <c:ptCount val="12"/>
                  <c:pt idx="0">
                    <c:v>1.46129</c:v>
                  </c:pt>
                  <c:pt idx="1">
                    <c:v>3.46766</c:v>
                  </c:pt>
                  <c:pt idx="2">
                    <c:v>3.9518399999999989</c:v>
                  </c:pt>
                  <c:pt idx="3">
                    <c:v>4.8357999999999999</c:v>
                  </c:pt>
                  <c:pt idx="4">
                    <c:v>5.5785499999999999</c:v>
                  </c:pt>
                  <c:pt idx="5">
                    <c:v>6.8006000000000002</c:v>
                  </c:pt>
                  <c:pt idx="6">
                    <c:v>9.2641999999999989</c:v>
                  </c:pt>
                  <c:pt idx="7">
                    <c:v>10.33395</c:v>
                  </c:pt>
                  <c:pt idx="8">
                    <c:v>12.0467</c:v>
                  </c:pt>
                  <c:pt idx="9">
                    <c:v>14.565200000000001</c:v>
                  </c:pt>
                  <c:pt idx="10">
                    <c:v>7.0021499999999994</c:v>
                  </c:pt>
                  <c:pt idx="11">
                    <c:v>7.6963999999999997</c:v>
                  </c:pt>
                </c:numCache>
              </c:numRef>
            </c:minus>
          </c:errBars>
          <c:cat>
            <c:strRef>
              <c:f>Sheet1!$B$2:$M$2</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Sheet1!$B$5:$M$5</c:f>
              <c:numCache>
                <c:formatCode>0.0</c:formatCode>
                <c:ptCount val="12"/>
                <c:pt idx="0">
                  <c:v>4.7124999999999986</c:v>
                </c:pt>
                <c:pt idx="1">
                  <c:v>21.5975</c:v>
                </c:pt>
                <c:pt idx="2">
                  <c:v>24.254999999999999</c:v>
                </c:pt>
                <c:pt idx="3">
                  <c:v>26.127500000000001</c:v>
                </c:pt>
                <c:pt idx="4">
                  <c:v>64.885000000000005</c:v>
                </c:pt>
                <c:pt idx="5">
                  <c:v>67.922499999999999</c:v>
                </c:pt>
                <c:pt idx="6">
                  <c:v>55.322499999999998</c:v>
                </c:pt>
                <c:pt idx="7">
                  <c:v>46.93</c:v>
                </c:pt>
                <c:pt idx="8">
                  <c:v>39.015000000000001</c:v>
                </c:pt>
                <c:pt idx="9">
                  <c:v>15.09</c:v>
                </c:pt>
                <c:pt idx="10">
                  <c:v>6.4624999999999986</c:v>
                </c:pt>
                <c:pt idx="11">
                  <c:v>13.6675</c:v>
                </c:pt>
              </c:numCache>
            </c:numRef>
          </c:val>
          <c:smooth val="0"/>
        </c:ser>
        <c:ser>
          <c:idx val="3"/>
          <c:order val="3"/>
          <c:tx>
            <c:strRef>
              <c:f>Sheet1!$A$6</c:f>
              <c:strCache>
                <c:ptCount val="1"/>
                <c:pt idx="0">
                  <c:v>pratensis 'Midnight Star'</c:v>
                </c:pt>
              </c:strCache>
            </c:strRef>
          </c:tx>
          <c:marker>
            <c:symbol val="none"/>
          </c:marker>
          <c:errBars>
            <c:errDir val="y"/>
            <c:errBarType val="both"/>
            <c:errValType val="cust"/>
            <c:noEndCap val="0"/>
            <c:plus>
              <c:numRef>
                <c:f>Sheet1!$B$8:$M$8</c:f>
                <c:numCache>
                  <c:formatCode>General</c:formatCode>
                  <c:ptCount val="12"/>
                  <c:pt idx="0">
                    <c:v>1.46129</c:v>
                  </c:pt>
                  <c:pt idx="1">
                    <c:v>3.46766</c:v>
                  </c:pt>
                  <c:pt idx="2">
                    <c:v>3.9518399999999989</c:v>
                  </c:pt>
                  <c:pt idx="3">
                    <c:v>4.8357999999999999</c:v>
                  </c:pt>
                  <c:pt idx="4">
                    <c:v>5.5785499999999999</c:v>
                  </c:pt>
                  <c:pt idx="5">
                    <c:v>6.8006000000000002</c:v>
                  </c:pt>
                  <c:pt idx="6">
                    <c:v>9.2641999999999989</c:v>
                  </c:pt>
                  <c:pt idx="7">
                    <c:v>10.33395</c:v>
                  </c:pt>
                  <c:pt idx="8">
                    <c:v>12.0467</c:v>
                  </c:pt>
                  <c:pt idx="9">
                    <c:v>14.565200000000001</c:v>
                  </c:pt>
                  <c:pt idx="10">
                    <c:v>7.0021499999999994</c:v>
                  </c:pt>
                  <c:pt idx="11">
                    <c:v>7.6963999999999997</c:v>
                  </c:pt>
                </c:numCache>
              </c:numRef>
            </c:plus>
            <c:minus>
              <c:numRef>
                <c:f>Sheet1!$B$8:$M$8</c:f>
                <c:numCache>
                  <c:formatCode>General</c:formatCode>
                  <c:ptCount val="12"/>
                  <c:pt idx="0">
                    <c:v>1.46129</c:v>
                  </c:pt>
                  <c:pt idx="1">
                    <c:v>3.46766</c:v>
                  </c:pt>
                  <c:pt idx="2">
                    <c:v>3.9518399999999989</c:v>
                  </c:pt>
                  <c:pt idx="3">
                    <c:v>4.8357999999999999</c:v>
                  </c:pt>
                  <c:pt idx="4">
                    <c:v>5.5785499999999999</c:v>
                  </c:pt>
                  <c:pt idx="5">
                    <c:v>6.8006000000000002</c:v>
                  </c:pt>
                  <c:pt idx="6">
                    <c:v>9.2641999999999989</c:v>
                  </c:pt>
                  <c:pt idx="7">
                    <c:v>10.33395</c:v>
                  </c:pt>
                  <c:pt idx="8">
                    <c:v>12.0467</c:v>
                  </c:pt>
                  <c:pt idx="9">
                    <c:v>14.565200000000001</c:v>
                  </c:pt>
                  <c:pt idx="10">
                    <c:v>7.0021499999999994</c:v>
                  </c:pt>
                  <c:pt idx="11">
                    <c:v>7.6963999999999997</c:v>
                  </c:pt>
                </c:numCache>
              </c:numRef>
            </c:minus>
          </c:errBars>
          <c:cat>
            <c:strRef>
              <c:f>Sheet1!$B$2:$M$2</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Sheet1!$B$6:$M$6</c:f>
              <c:numCache>
                <c:formatCode>0.0</c:formatCode>
                <c:ptCount val="12"/>
                <c:pt idx="0">
                  <c:v>15.27</c:v>
                </c:pt>
                <c:pt idx="1">
                  <c:v>46.045000000000002</c:v>
                </c:pt>
                <c:pt idx="2">
                  <c:v>50.842500000000001</c:v>
                </c:pt>
                <c:pt idx="3">
                  <c:v>46.695</c:v>
                </c:pt>
                <c:pt idx="4">
                  <c:v>82.4375</c:v>
                </c:pt>
                <c:pt idx="5">
                  <c:v>90.995000000000005</c:v>
                </c:pt>
                <c:pt idx="6">
                  <c:v>85.674999999999983</c:v>
                </c:pt>
                <c:pt idx="7">
                  <c:v>95.29</c:v>
                </c:pt>
                <c:pt idx="8">
                  <c:v>87.252499999999998</c:v>
                </c:pt>
                <c:pt idx="9">
                  <c:v>62.47</c:v>
                </c:pt>
                <c:pt idx="10">
                  <c:v>73.912499999999994</c:v>
                </c:pt>
                <c:pt idx="11">
                  <c:v>88.072499999999991</c:v>
                </c:pt>
              </c:numCache>
            </c:numRef>
          </c:val>
          <c:smooth val="0"/>
        </c:ser>
        <c:ser>
          <c:idx val="4"/>
          <c:order val="4"/>
          <c:tx>
            <c:strRef>
              <c:f>Sheet1!$A$7</c:f>
              <c:strCache>
                <c:ptCount val="1"/>
                <c:pt idx="0">
                  <c:v>pratensis × arachnifera 'Armadillo'</c:v>
                </c:pt>
              </c:strCache>
            </c:strRef>
          </c:tx>
          <c:marker>
            <c:symbol val="none"/>
          </c:marker>
          <c:errBars>
            <c:errDir val="y"/>
            <c:errBarType val="both"/>
            <c:errValType val="cust"/>
            <c:noEndCap val="0"/>
            <c:plus>
              <c:numRef>
                <c:f>Sheet1!$B$8:$M$8</c:f>
                <c:numCache>
                  <c:formatCode>General</c:formatCode>
                  <c:ptCount val="12"/>
                  <c:pt idx="0">
                    <c:v>1.46129</c:v>
                  </c:pt>
                  <c:pt idx="1">
                    <c:v>3.46766</c:v>
                  </c:pt>
                  <c:pt idx="2">
                    <c:v>3.9518399999999989</c:v>
                  </c:pt>
                  <c:pt idx="3">
                    <c:v>4.8357999999999999</c:v>
                  </c:pt>
                  <c:pt idx="4">
                    <c:v>5.5785499999999999</c:v>
                  </c:pt>
                  <c:pt idx="5">
                    <c:v>6.8006000000000002</c:v>
                  </c:pt>
                  <c:pt idx="6">
                    <c:v>9.2641999999999989</c:v>
                  </c:pt>
                  <c:pt idx="7">
                    <c:v>10.33395</c:v>
                  </c:pt>
                  <c:pt idx="8">
                    <c:v>12.0467</c:v>
                  </c:pt>
                  <c:pt idx="9">
                    <c:v>14.565200000000001</c:v>
                  </c:pt>
                  <c:pt idx="10">
                    <c:v>7.0021499999999994</c:v>
                  </c:pt>
                  <c:pt idx="11">
                    <c:v>7.6963999999999997</c:v>
                  </c:pt>
                </c:numCache>
              </c:numRef>
            </c:plus>
            <c:minus>
              <c:numRef>
                <c:f>Sheet1!$B$8:$M$8</c:f>
                <c:numCache>
                  <c:formatCode>General</c:formatCode>
                  <c:ptCount val="12"/>
                  <c:pt idx="0">
                    <c:v>1.46129</c:v>
                  </c:pt>
                  <c:pt idx="1">
                    <c:v>3.46766</c:v>
                  </c:pt>
                  <c:pt idx="2">
                    <c:v>3.9518399999999989</c:v>
                  </c:pt>
                  <c:pt idx="3">
                    <c:v>4.8357999999999999</c:v>
                  </c:pt>
                  <c:pt idx="4">
                    <c:v>5.5785499999999999</c:v>
                  </c:pt>
                  <c:pt idx="5">
                    <c:v>6.8006000000000002</c:v>
                  </c:pt>
                  <c:pt idx="6">
                    <c:v>9.2641999999999989</c:v>
                  </c:pt>
                  <c:pt idx="7">
                    <c:v>10.33395</c:v>
                  </c:pt>
                  <c:pt idx="8">
                    <c:v>12.0467</c:v>
                  </c:pt>
                  <c:pt idx="9">
                    <c:v>14.565200000000001</c:v>
                  </c:pt>
                  <c:pt idx="10">
                    <c:v>7.0021499999999994</c:v>
                  </c:pt>
                  <c:pt idx="11">
                    <c:v>7.6963999999999997</c:v>
                  </c:pt>
                </c:numCache>
              </c:numRef>
            </c:minus>
          </c:errBars>
          <c:cat>
            <c:strRef>
              <c:f>Sheet1!$B$2:$M$2</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Sheet1!$B$7:$M$7</c:f>
              <c:numCache>
                <c:formatCode>0.0</c:formatCode>
                <c:ptCount val="12"/>
                <c:pt idx="0">
                  <c:v>14.432499999999999</c:v>
                </c:pt>
                <c:pt idx="1">
                  <c:v>41.89</c:v>
                </c:pt>
                <c:pt idx="2">
                  <c:v>46.737499999999997</c:v>
                </c:pt>
                <c:pt idx="3">
                  <c:v>43.1175</c:v>
                </c:pt>
                <c:pt idx="4">
                  <c:v>76.552499999999981</c:v>
                </c:pt>
                <c:pt idx="5">
                  <c:v>80.669999999999973</c:v>
                </c:pt>
                <c:pt idx="6">
                  <c:v>81.807500000000005</c:v>
                </c:pt>
                <c:pt idx="7">
                  <c:v>91.574999999999974</c:v>
                </c:pt>
                <c:pt idx="8">
                  <c:v>80.760000000000005</c:v>
                </c:pt>
                <c:pt idx="9">
                  <c:v>71.527500000000003</c:v>
                </c:pt>
                <c:pt idx="10">
                  <c:v>81.932500000000005</c:v>
                </c:pt>
                <c:pt idx="11">
                  <c:v>90.669999999999973</c:v>
                </c:pt>
              </c:numCache>
            </c:numRef>
          </c:val>
          <c:smooth val="0"/>
        </c:ser>
        <c:dLbls>
          <c:showLegendKey val="0"/>
          <c:showVal val="0"/>
          <c:showCatName val="0"/>
          <c:showSerName val="0"/>
          <c:showPercent val="0"/>
          <c:showBubbleSize val="0"/>
        </c:dLbls>
        <c:marker val="1"/>
        <c:smooth val="0"/>
        <c:axId val="186781696"/>
        <c:axId val="186783232"/>
      </c:lineChart>
      <c:catAx>
        <c:axId val="186781696"/>
        <c:scaling>
          <c:orientation val="minMax"/>
        </c:scaling>
        <c:delete val="1"/>
        <c:axPos val="b"/>
        <c:majorTickMark val="out"/>
        <c:minorTickMark val="none"/>
        <c:tickLblPos val="nextTo"/>
        <c:crossAx val="186783232"/>
        <c:crosses val="autoZero"/>
        <c:auto val="1"/>
        <c:lblAlgn val="ctr"/>
        <c:lblOffset val="100"/>
        <c:noMultiLvlLbl val="0"/>
      </c:catAx>
      <c:valAx>
        <c:axId val="186783232"/>
        <c:scaling>
          <c:orientation val="minMax"/>
          <c:max val="100"/>
          <c:min val="0"/>
        </c:scaling>
        <c:delete val="0"/>
        <c:axPos val="l"/>
        <c:majorGridlines/>
        <c:numFmt formatCode="0" sourceLinked="0"/>
        <c:majorTickMark val="out"/>
        <c:minorTickMark val="none"/>
        <c:tickLblPos val="nextTo"/>
        <c:txPr>
          <a:bodyPr/>
          <a:lstStyle/>
          <a:p>
            <a:pPr>
              <a:defRPr b="1"/>
            </a:pPr>
            <a:endParaRPr lang="en-US"/>
          </a:p>
        </c:txPr>
        <c:crossAx val="186781696"/>
        <c:crosses val="autoZero"/>
        <c:crossBetween val="between"/>
        <c:majorUnit val="10"/>
      </c:valAx>
    </c:plotArea>
    <c:plotVisOnly val="1"/>
    <c:dispBlanksAs val="gap"/>
    <c:showDLblsOverMax val="0"/>
  </c:chart>
  <c:spPr>
    <a:ln>
      <a:no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Sheet1!$A$11</c:f>
              <c:strCache>
                <c:ptCount val="1"/>
                <c:pt idx="0">
                  <c:v>arachnifera × dusenii</c:v>
                </c:pt>
              </c:strCache>
            </c:strRef>
          </c:tx>
          <c:marker>
            <c:symbol val="none"/>
          </c:marker>
          <c:errBars>
            <c:errDir val="y"/>
            <c:errBarType val="both"/>
            <c:errValType val="cust"/>
            <c:noEndCap val="0"/>
            <c:plus>
              <c:numRef>
                <c:f>Sheet1!$B$17:$M$17</c:f>
                <c:numCache>
                  <c:formatCode>General</c:formatCode>
                  <c:ptCount val="12"/>
                  <c:pt idx="0">
                    <c:v>1.68133</c:v>
                  </c:pt>
                  <c:pt idx="1">
                    <c:v>2.4896349999999998</c:v>
                  </c:pt>
                  <c:pt idx="2">
                    <c:v>4.6792049999999996</c:v>
                  </c:pt>
                  <c:pt idx="3">
                    <c:v>4.1623899999999994</c:v>
                  </c:pt>
                  <c:pt idx="4">
                    <c:v>4.6651149999999983</c:v>
                  </c:pt>
                  <c:pt idx="5">
                    <c:v>4.2818449999999997</c:v>
                  </c:pt>
                  <c:pt idx="6">
                    <c:v>4.4924650000000002</c:v>
                  </c:pt>
                  <c:pt idx="7">
                    <c:v>4.6222899999999987</c:v>
                  </c:pt>
                  <c:pt idx="8">
                    <c:v>6.1765499999999998</c:v>
                  </c:pt>
                  <c:pt idx="9">
                    <c:v>6.1503500000000004</c:v>
                  </c:pt>
                  <c:pt idx="10">
                    <c:v>7.1694000000000004</c:v>
                  </c:pt>
                  <c:pt idx="11">
                    <c:v>8.0116000000000014</c:v>
                  </c:pt>
                </c:numCache>
              </c:numRef>
            </c:plus>
            <c:minus>
              <c:numRef>
                <c:f>Sheet1!$B$17:$M$17</c:f>
                <c:numCache>
                  <c:formatCode>General</c:formatCode>
                  <c:ptCount val="12"/>
                  <c:pt idx="0">
                    <c:v>1.68133</c:v>
                  </c:pt>
                  <c:pt idx="1">
                    <c:v>2.4896349999999998</c:v>
                  </c:pt>
                  <c:pt idx="2">
                    <c:v>4.6792049999999996</c:v>
                  </c:pt>
                  <c:pt idx="3">
                    <c:v>4.1623899999999994</c:v>
                  </c:pt>
                  <c:pt idx="4">
                    <c:v>4.6651149999999983</c:v>
                  </c:pt>
                  <c:pt idx="5">
                    <c:v>4.2818449999999997</c:v>
                  </c:pt>
                  <c:pt idx="6">
                    <c:v>4.4924650000000002</c:v>
                  </c:pt>
                  <c:pt idx="7">
                    <c:v>4.6222899999999987</c:v>
                  </c:pt>
                  <c:pt idx="8">
                    <c:v>6.1765499999999998</c:v>
                  </c:pt>
                  <c:pt idx="9">
                    <c:v>6.1503500000000004</c:v>
                  </c:pt>
                  <c:pt idx="10">
                    <c:v>7.1694000000000004</c:v>
                  </c:pt>
                  <c:pt idx="11">
                    <c:v>8.0116000000000014</c:v>
                  </c:pt>
                </c:numCache>
              </c:numRef>
            </c:minus>
          </c:errBars>
          <c:cat>
            <c:strRef>
              <c:f>Sheet1!$B$10:$M$10</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Sheet1!$B$11:$M$11</c:f>
              <c:numCache>
                <c:formatCode>0.0</c:formatCode>
                <c:ptCount val="12"/>
                <c:pt idx="0">
                  <c:v>12.3</c:v>
                </c:pt>
                <c:pt idx="1">
                  <c:v>22.375</c:v>
                </c:pt>
                <c:pt idx="2">
                  <c:v>31.625</c:v>
                </c:pt>
                <c:pt idx="3">
                  <c:v>31.35</c:v>
                </c:pt>
                <c:pt idx="4">
                  <c:v>47.55</c:v>
                </c:pt>
                <c:pt idx="5">
                  <c:v>32.950000000000003</c:v>
                </c:pt>
                <c:pt idx="6">
                  <c:v>22.05</c:v>
                </c:pt>
                <c:pt idx="7">
                  <c:v>13.875</c:v>
                </c:pt>
                <c:pt idx="8">
                  <c:v>18.75</c:v>
                </c:pt>
                <c:pt idx="9">
                  <c:v>25.425000000000001</c:v>
                </c:pt>
                <c:pt idx="10">
                  <c:v>41.85</c:v>
                </c:pt>
                <c:pt idx="11">
                  <c:v>62.524999999999999</c:v>
                </c:pt>
              </c:numCache>
            </c:numRef>
          </c:val>
          <c:smooth val="0"/>
        </c:ser>
        <c:ser>
          <c:idx val="1"/>
          <c:order val="1"/>
          <c:tx>
            <c:strRef>
              <c:f>Sheet1!$A$12</c:f>
              <c:strCache>
                <c:ptCount val="1"/>
                <c:pt idx="0">
                  <c:v>arachnifera</c:v>
                </c:pt>
              </c:strCache>
            </c:strRef>
          </c:tx>
          <c:marker>
            <c:symbol val="none"/>
          </c:marker>
          <c:errBars>
            <c:errDir val="y"/>
            <c:errBarType val="both"/>
            <c:errValType val="cust"/>
            <c:noEndCap val="0"/>
            <c:plus>
              <c:numRef>
                <c:f>Sheet1!$B$17:$M$17</c:f>
                <c:numCache>
                  <c:formatCode>General</c:formatCode>
                  <c:ptCount val="12"/>
                  <c:pt idx="0">
                    <c:v>1.68133</c:v>
                  </c:pt>
                  <c:pt idx="1">
                    <c:v>2.4896349999999998</c:v>
                  </c:pt>
                  <c:pt idx="2">
                    <c:v>4.6792049999999996</c:v>
                  </c:pt>
                  <c:pt idx="3">
                    <c:v>4.1623899999999994</c:v>
                  </c:pt>
                  <c:pt idx="4">
                    <c:v>4.6651149999999983</c:v>
                  </c:pt>
                  <c:pt idx="5">
                    <c:v>4.2818449999999997</c:v>
                  </c:pt>
                  <c:pt idx="6">
                    <c:v>4.4924650000000002</c:v>
                  </c:pt>
                  <c:pt idx="7">
                    <c:v>4.6222899999999987</c:v>
                  </c:pt>
                  <c:pt idx="8">
                    <c:v>6.1765499999999998</c:v>
                  </c:pt>
                  <c:pt idx="9">
                    <c:v>6.1503500000000004</c:v>
                  </c:pt>
                  <c:pt idx="10">
                    <c:v>7.1694000000000004</c:v>
                  </c:pt>
                  <c:pt idx="11">
                    <c:v>8.0116000000000014</c:v>
                  </c:pt>
                </c:numCache>
              </c:numRef>
            </c:plus>
            <c:minus>
              <c:numRef>
                <c:f>Sheet1!$B$17:$M$17</c:f>
                <c:numCache>
                  <c:formatCode>General</c:formatCode>
                  <c:ptCount val="12"/>
                  <c:pt idx="0">
                    <c:v>1.68133</c:v>
                  </c:pt>
                  <c:pt idx="1">
                    <c:v>2.4896349999999998</c:v>
                  </c:pt>
                  <c:pt idx="2">
                    <c:v>4.6792049999999996</c:v>
                  </c:pt>
                  <c:pt idx="3">
                    <c:v>4.1623899999999994</c:v>
                  </c:pt>
                  <c:pt idx="4">
                    <c:v>4.6651149999999983</c:v>
                  </c:pt>
                  <c:pt idx="5">
                    <c:v>4.2818449999999997</c:v>
                  </c:pt>
                  <c:pt idx="6">
                    <c:v>4.4924650000000002</c:v>
                  </c:pt>
                  <c:pt idx="7">
                    <c:v>4.6222899999999987</c:v>
                  </c:pt>
                  <c:pt idx="8">
                    <c:v>6.1765499999999998</c:v>
                  </c:pt>
                  <c:pt idx="9">
                    <c:v>6.1503500000000004</c:v>
                  </c:pt>
                  <c:pt idx="10">
                    <c:v>7.1694000000000004</c:v>
                  </c:pt>
                  <c:pt idx="11">
                    <c:v>8.0116000000000014</c:v>
                  </c:pt>
                </c:numCache>
              </c:numRef>
            </c:minus>
          </c:errBars>
          <c:cat>
            <c:strRef>
              <c:f>Sheet1!$B$10:$M$10</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Sheet1!$B$12:$M$12</c:f>
              <c:numCache>
                <c:formatCode>0.0</c:formatCode>
                <c:ptCount val="12"/>
                <c:pt idx="0">
                  <c:v>14.375</c:v>
                </c:pt>
                <c:pt idx="1">
                  <c:v>28.65</c:v>
                </c:pt>
                <c:pt idx="2">
                  <c:v>48.05</c:v>
                </c:pt>
                <c:pt idx="3">
                  <c:v>56.65</c:v>
                </c:pt>
                <c:pt idx="4">
                  <c:v>69.374999999999986</c:v>
                </c:pt>
                <c:pt idx="5">
                  <c:v>44.2</c:v>
                </c:pt>
                <c:pt idx="6">
                  <c:v>29.6</c:v>
                </c:pt>
                <c:pt idx="7">
                  <c:v>30.15</c:v>
                </c:pt>
                <c:pt idx="8">
                  <c:v>40.625</c:v>
                </c:pt>
                <c:pt idx="9">
                  <c:v>33.774999999999999</c:v>
                </c:pt>
                <c:pt idx="10">
                  <c:v>67.174999999999983</c:v>
                </c:pt>
                <c:pt idx="11">
                  <c:v>87.574999999999974</c:v>
                </c:pt>
              </c:numCache>
            </c:numRef>
          </c:val>
          <c:smooth val="0"/>
        </c:ser>
        <c:ser>
          <c:idx val="2"/>
          <c:order val="2"/>
          <c:tx>
            <c:strRef>
              <c:f>Sheet1!$A$13</c:f>
              <c:strCache>
                <c:ptCount val="1"/>
                <c:pt idx="0">
                  <c:v>dusenii</c:v>
                </c:pt>
              </c:strCache>
            </c:strRef>
          </c:tx>
          <c:marker>
            <c:symbol val="none"/>
          </c:marker>
          <c:errBars>
            <c:errDir val="y"/>
            <c:errBarType val="both"/>
            <c:errValType val="cust"/>
            <c:noEndCap val="0"/>
            <c:plus>
              <c:numRef>
                <c:f>Sheet1!$B$17:$M$17</c:f>
                <c:numCache>
                  <c:formatCode>General</c:formatCode>
                  <c:ptCount val="12"/>
                  <c:pt idx="0">
                    <c:v>1.68133</c:v>
                  </c:pt>
                  <c:pt idx="1">
                    <c:v>2.4896349999999998</c:v>
                  </c:pt>
                  <c:pt idx="2">
                    <c:v>4.6792049999999996</c:v>
                  </c:pt>
                  <c:pt idx="3">
                    <c:v>4.1623899999999994</c:v>
                  </c:pt>
                  <c:pt idx="4">
                    <c:v>4.6651149999999983</c:v>
                  </c:pt>
                  <c:pt idx="5">
                    <c:v>4.2818449999999997</c:v>
                  </c:pt>
                  <c:pt idx="6">
                    <c:v>4.4924650000000002</c:v>
                  </c:pt>
                  <c:pt idx="7">
                    <c:v>4.6222899999999987</c:v>
                  </c:pt>
                  <c:pt idx="8">
                    <c:v>6.1765499999999998</c:v>
                  </c:pt>
                  <c:pt idx="9">
                    <c:v>6.1503500000000004</c:v>
                  </c:pt>
                  <c:pt idx="10">
                    <c:v>7.1694000000000004</c:v>
                  </c:pt>
                  <c:pt idx="11">
                    <c:v>8.0116000000000014</c:v>
                  </c:pt>
                </c:numCache>
              </c:numRef>
            </c:plus>
            <c:minus>
              <c:numRef>
                <c:f>Sheet1!$B$17:$M$17</c:f>
                <c:numCache>
                  <c:formatCode>General</c:formatCode>
                  <c:ptCount val="12"/>
                  <c:pt idx="0">
                    <c:v>1.68133</c:v>
                  </c:pt>
                  <c:pt idx="1">
                    <c:v>2.4896349999999998</c:v>
                  </c:pt>
                  <c:pt idx="2">
                    <c:v>4.6792049999999996</c:v>
                  </c:pt>
                  <c:pt idx="3">
                    <c:v>4.1623899999999994</c:v>
                  </c:pt>
                  <c:pt idx="4">
                    <c:v>4.6651149999999983</c:v>
                  </c:pt>
                  <c:pt idx="5">
                    <c:v>4.2818449999999997</c:v>
                  </c:pt>
                  <c:pt idx="6">
                    <c:v>4.4924650000000002</c:v>
                  </c:pt>
                  <c:pt idx="7">
                    <c:v>4.6222899999999987</c:v>
                  </c:pt>
                  <c:pt idx="8">
                    <c:v>6.1765499999999998</c:v>
                  </c:pt>
                  <c:pt idx="9">
                    <c:v>6.1503500000000004</c:v>
                  </c:pt>
                  <c:pt idx="10">
                    <c:v>7.1694000000000004</c:v>
                  </c:pt>
                  <c:pt idx="11">
                    <c:v>8.0116000000000014</c:v>
                  </c:pt>
                </c:numCache>
              </c:numRef>
            </c:minus>
          </c:errBars>
          <c:cat>
            <c:strRef>
              <c:f>Sheet1!$B$10:$M$10</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Sheet1!$B$13:$M$13</c:f>
              <c:numCache>
                <c:formatCode>0.0</c:formatCode>
                <c:ptCount val="12"/>
                <c:pt idx="0">
                  <c:v>6.0750000000000002</c:v>
                </c:pt>
                <c:pt idx="1">
                  <c:v>17</c:v>
                </c:pt>
                <c:pt idx="2">
                  <c:v>20.55</c:v>
                </c:pt>
                <c:pt idx="3">
                  <c:v>18.45</c:v>
                </c:pt>
                <c:pt idx="4">
                  <c:v>26.274999999999999</c:v>
                </c:pt>
                <c:pt idx="5">
                  <c:v>15.25</c:v>
                </c:pt>
                <c:pt idx="6">
                  <c:v>6.9749999999999996</c:v>
                </c:pt>
                <c:pt idx="7">
                  <c:v>5.05</c:v>
                </c:pt>
                <c:pt idx="8">
                  <c:v>3.5750000000000002</c:v>
                </c:pt>
                <c:pt idx="9">
                  <c:v>3.2</c:v>
                </c:pt>
                <c:pt idx="10">
                  <c:v>10.3</c:v>
                </c:pt>
                <c:pt idx="11">
                  <c:v>22.95</c:v>
                </c:pt>
              </c:numCache>
            </c:numRef>
          </c:val>
          <c:smooth val="0"/>
        </c:ser>
        <c:ser>
          <c:idx val="3"/>
          <c:order val="3"/>
          <c:tx>
            <c:strRef>
              <c:f>Sheet1!$A$14</c:f>
              <c:strCache>
                <c:ptCount val="1"/>
                <c:pt idx="0">
                  <c:v>pratensis 'Midnight Star'</c:v>
                </c:pt>
              </c:strCache>
            </c:strRef>
          </c:tx>
          <c:marker>
            <c:symbol val="none"/>
          </c:marker>
          <c:errBars>
            <c:errDir val="y"/>
            <c:errBarType val="both"/>
            <c:errValType val="cust"/>
            <c:noEndCap val="0"/>
            <c:plus>
              <c:numRef>
                <c:f>Sheet1!$B$17:$M$17</c:f>
                <c:numCache>
                  <c:formatCode>General</c:formatCode>
                  <c:ptCount val="12"/>
                  <c:pt idx="0">
                    <c:v>1.68133</c:v>
                  </c:pt>
                  <c:pt idx="1">
                    <c:v>2.4896349999999998</c:v>
                  </c:pt>
                  <c:pt idx="2">
                    <c:v>4.6792049999999996</c:v>
                  </c:pt>
                  <c:pt idx="3">
                    <c:v>4.1623899999999994</c:v>
                  </c:pt>
                  <c:pt idx="4">
                    <c:v>4.6651149999999983</c:v>
                  </c:pt>
                  <c:pt idx="5">
                    <c:v>4.2818449999999997</c:v>
                  </c:pt>
                  <c:pt idx="6">
                    <c:v>4.4924650000000002</c:v>
                  </c:pt>
                  <c:pt idx="7">
                    <c:v>4.6222899999999987</c:v>
                  </c:pt>
                  <c:pt idx="8">
                    <c:v>6.1765499999999998</c:v>
                  </c:pt>
                  <c:pt idx="9">
                    <c:v>6.1503500000000004</c:v>
                  </c:pt>
                  <c:pt idx="10">
                    <c:v>7.1694000000000004</c:v>
                  </c:pt>
                  <c:pt idx="11">
                    <c:v>8.0116000000000014</c:v>
                  </c:pt>
                </c:numCache>
              </c:numRef>
            </c:plus>
            <c:minus>
              <c:numRef>
                <c:f>Sheet1!$B$17:$M$17</c:f>
                <c:numCache>
                  <c:formatCode>General</c:formatCode>
                  <c:ptCount val="12"/>
                  <c:pt idx="0">
                    <c:v>1.68133</c:v>
                  </c:pt>
                  <c:pt idx="1">
                    <c:v>2.4896349999999998</c:v>
                  </c:pt>
                  <c:pt idx="2">
                    <c:v>4.6792049999999996</c:v>
                  </c:pt>
                  <c:pt idx="3">
                    <c:v>4.1623899999999994</c:v>
                  </c:pt>
                  <c:pt idx="4">
                    <c:v>4.6651149999999983</c:v>
                  </c:pt>
                  <c:pt idx="5">
                    <c:v>4.2818449999999997</c:v>
                  </c:pt>
                  <c:pt idx="6">
                    <c:v>4.4924650000000002</c:v>
                  </c:pt>
                  <c:pt idx="7">
                    <c:v>4.6222899999999987</c:v>
                  </c:pt>
                  <c:pt idx="8">
                    <c:v>6.1765499999999998</c:v>
                  </c:pt>
                  <c:pt idx="9">
                    <c:v>6.1503500000000004</c:v>
                  </c:pt>
                  <c:pt idx="10">
                    <c:v>7.1694000000000004</c:v>
                  </c:pt>
                  <c:pt idx="11">
                    <c:v>8.0116000000000014</c:v>
                  </c:pt>
                </c:numCache>
              </c:numRef>
            </c:minus>
          </c:errBars>
          <c:cat>
            <c:strRef>
              <c:f>Sheet1!$B$10:$M$10</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Sheet1!$B$14:$M$14</c:f>
              <c:numCache>
                <c:formatCode>0.0</c:formatCode>
                <c:ptCount val="12"/>
                <c:pt idx="0">
                  <c:v>10.4</c:v>
                </c:pt>
                <c:pt idx="1">
                  <c:v>25.1</c:v>
                </c:pt>
                <c:pt idx="2">
                  <c:v>47.274999999999999</c:v>
                </c:pt>
                <c:pt idx="3">
                  <c:v>41.875</c:v>
                </c:pt>
                <c:pt idx="4">
                  <c:v>63.375</c:v>
                </c:pt>
                <c:pt idx="5">
                  <c:v>79.874999999999986</c:v>
                </c:pt>
                <c:pt idx="6">
                  <c:v>65.8</c:v>
                </c:pt>
                <c:pt idx="7">
                  <c:v>88.924999999999997</c:v>
                </c:pt>
                <c:pt idx="8">
                  <c:v>96.824999999999974</c:v>
                </c:pt>
                <c:pt idx="9">
                  <c:v>94.55</c:v>
                </c:pt>
                <c:pt idx="10">
                  <c:v>91.2</c:v>
                </c:pt>
                <c:pt idx="11">
                  <c:v>96.25</c:v>
                </c:pt>
              </c:numCache>
            </c:numRef>
          </c:val>
          <c:smooth val="0"/>
        </c:ser>
        <c:ser>
          <c:idx val="4"/>
          <c:order val="4"/>
          <c:tx>
            <c:strRef>
              <c:f>Sheet1!$A$15</c:f>
              <c:strCache>
                <c:ptCount val="1"/>
                <c:pt idx="0">
                  <c:v>pratensis × arachnifera 'Armadillo'</c:v>
                </c:pt>
              </c:strCache>
            </c:strRef>
          </c:tx>
          <c:marker>
            <c:symbol val="none"/>
          </c:marker>
          <c:errBars>
            <c:errDir val="y"/>
            <c:errBarType val="both"/>
            <c:errValType val="cust"/>
            <c:noEndCap val="0"/>
            <c:plus>
              <c:numRef>
                <c:f>Sheet1!$B$17:$M$17</c:f>
                <c:numCache>
                  <c:formatCode>General</c:formatCode>
                  <c:ptCount val="12"/>
                  <c:pt idx="0">
                    <c:v>1.68133</c:v>
                  </c:pt>
                  <c:pt idx="1">
                    <c:v>2.4896349999999998</c:v>
                  </c:pt>
                  <c:pt idx="2">
                    <c:v>4.6792049999999996</c:v>
                  </c:pt>
                  <c:pt idx="3">
                    <c:v>4.1623899999999994</c:v>
                  </c:pt>
                  <c:pt idx="4">
                    <c:v>4.6651149999999983</c:v>
                  </c:pt>
                  <c:pt idx="5">
                    <c:v>4.2818449999999997</c:v>
                  </c:pt>
                  <c:pt idx="6">
                    <c:v>4.4924650000000002</c:v>
                  </c:pt>
                  <c:pt idx="7">
                    <c:v>4.6222899999999987</c:v>
                  </c:pt>
                  <c:pt idx="8">
                    <c:v>6.1765499999999998</c:v>
                  </c:pt>
                  <c:pt idx="9">
                    <c:v>6.1503500000000004</c:v>
                  </c:pt>
                  <c:pt idx="10">
                    <c:v>7.1694000000000004</c:v>
                  </c:pt>
                  <c:pt idx="11">
                    <c:v>8.0116000000000014</c:v>
                  </c:pt>
                </c:numCache>
              </c:numRef>
            </c:plus>
            <c:minus>
              <c:numRef>
                <c:f>Sheet1!$B$17:$M$17</c:f>
                <c:numCache>
                  <c:formatCode>General</c:formatCode>
                  <c:ptCount val="12"/>
                  <c:pt idx="0">
                    <c:v>1.68133</c:v>
                  </c:pt>
                  <c:pt idx="1">
                    <c:v>2.4896349999999998</c:v>
                  </c:pt>
                  <c:pt idx="2">
                    <c:v>4.6792049999999996</c:v>
                  </c:pt>
                  <c:pt idx="3">
                    <c:v>4.1623899999999994</c:v>
                  </c:pt>
                  <c:pt idx="4">
                    <c:v>4.6651149999999983</c:v>
                  </c:pt>
                  <c:pt idx="5">
                    <c:v>4.2818449999999997</c:v>
                  </c:pt>
                  <c:pt idx="6">
                    <c:v>4.4924650000000002</c:v>
                  </c:pt>
                  <c:pt idx="7">
                    <c:v>4.6222899999999987</c:v>
                  </c:pt>
                  <c:pt idx="8">
                    <c:v>6.1765499999999998</c:v>
                  </c:pt>
                  <c:pt idx="9">
                    <c:v>6.1503500000000004</c:v>
                  </c:pt>
                  <c:pt idx="10">
                    <c:v>7.1694000000000004</c:v>
                  </c:pt>
                  <c:pt idx="11">
                    <c:v>8.0116000000000014</c:v>
                  </c:pt>
                </c:numCache>
              </c:numRef>
            </c:minus>
          </c:errBars>
          <c:cat>
            <c:strRef>
              <c:f>Sheet1!$B$10:$M$10</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Sheet1!$B$15:$M$15</c:f>
              <c:numCache>
                <c:formatCode>0.0</c:formatCode>
                <c:ptCount val="12"/>
                <c:pt idx="0">
                  <c:v>14.574999999999999</c:v>
                </c:pt>
                <c:pt idx="1">
                  <c:v>37.475000000000001</c:v>
                </c:pt>
                <c:pt idx="2">
                  <c:v>60.524999999999999</c:v>
                </c:pt>
                <c:pt idx="3">
                  <c:v>65.900000000000006</c:v>
                </c:pt>
                <c:pt idx="4">
                  <c:v>83</c:v>
                </c:pt>
                <c:pt idx="5">
                  <c:v>67.224999999999994</c:v>
                </c:pt>
                <c:pt idx="6">
                  <c:v>62.825000000000003</c:v>
                </c:pt>
                <c:pt idx="7">
                  <c:v>85.4</c:v>
                </c:pt>
                <c:pt idx="8">
                  <c:v>96.6</c:v>
                </c:pt>
                <c:pt idx="9">
                  <c:v>88.4</c:v>
                </c:pt>
                <c:pt idx="10">
                  <c:v>88.874999999999986</c:v>
                </c:pt>
                <c:pt idx="11">
                  <c:v>95</c:v>
                </c:pt>
              </c:numCache>
            </c:numRef>
          </c:val>
          <c:smooth val="0"/>
        </c:ser>
        <c:dLbls>
          <c:showLegendKey val="0"/>
          <c:showVal val="0"/>
          <c:showCatName val="0"/>
          <c:showSerName val="0"/>
          <c:showPercent val="0"/>
          <c:showBubbleSize val="0"/>
        </c:dLbls>
        <c:marker val="1"/>
        <c:smooth val="0"/>
        <c:axId val="186800000"/>
        <c:axId val="186801536"/>
      </c:lineChart>
      <c:catAx>
        <c:axId val="186800000"/>
        <c:scaling>
          <c:orientation val="minMax"/>
        </c:scaling>
        <c:delete val="0"/>
        <c:axPos val="b"/>
        <c:majorTickMark val="out"/>
        <c:minorTickMark val="none"/>
        <c:tickLblPos val="nextTo"/>
        <c:txPr>
          <a:bodyPr/>
          <a:lstStyle/>
          <a:p>
            <a:pPr>
              <a:defRPr b="1"/>
            </a:pPr>
            <a:endParaRPr lang="en-US"/>
          </a:p>
        </c:txPr>
        <c:crossAx val="186801536"/>
        <c:crosses val="autoZero"/>
        <c:auto val="1"/>
        <c:lblAlgn val="ctr"/>
        <c:lblOffset val="100"/>
        <c:noMultiLvlLbl val="0"/>
      </c:catAx>
      <c:valAx>
        <c:axId val="186801536"/>
        <c:scaling>
          <c:orientation val="minMax"/>
          <c:max val="100"/>
          <c:min val="0"/>
        </c:scaling>
        <c:delete val="0"/>
        <c:axPos val="l"/>
        <c:majorGridlines/>
        <c:numFmt formatCode="0" sourceLinked="0"/>
        <c:majorTickMark val="out"/>
        <c:minorTickMark val="none"/>
        <c:tickLblPos val="nextTo"/>
        <c:txPr>
          <a:bodyPr/>
          <a:lstStyle/>
          <a:p>
            <a:pPr>
              <a:defRPr b="1"/>
            </a:pPr>
            <a:endParaRPr lang="en-US"/>
          </a:p>
        </c:txPr>
        <c:crossAx val="186800000"/>
        <c:crosses val="autoZero"/>
        <c:crossBetween val="between"/>
      </c:valAx>
    </c:plotArea>
    <c:legend>
      <c:legendPos val="b"/>
      <c:overlay val="0"/>
      <c:txPr>
        <a:bodyPr/>
        <a:lstStyle/>
        <a:p>
          <a:pPr>
            <a:defRPr b="1"/>
          </a:pPr>
          <a:endParaRPr lang="en-US"/>
        </a:p>
      </c:txPr>
    </c:legend>
    <c:plotVisOnly val="1"/>
    <c:dispBlanksAs val="gap"/>
    <c:showDLblsOverMax val="0"/>
  </c:chart>
  <c:spPr>
    <a:ln>
      <a:noFill/>
    </a:ln>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1"/>
        <c:ser>
          <c:idx val="0"/>
          <c:order val="0"/>
          <c:invertIfNegative val="0"/>
          <c:errBars>
            <c:errBarType val="both"/>
            <c:errValType val="cust"/>
            <c:noEndCap val="0"/>
            <c:plus>
              <c:numRef>
                <c:f>Sheet1!$C$41</c:f>
                <c:numCache>
                  <c:formatCode>General</c:formatCode>
                  <c:ptCount val="1"/>
                  <c:pt idx="0">
                    <c:v>6.5452000000000004</c:v>
                  </c:pt>
                </c:numCache>
              </c:numRef>
            </c:plus>
            <c:minus>
              <c:numRef>
                <c:f>Sheet1!$C$41</c:f>
                <c:numCache>
                  <c:formatCode>General</c:formatCode>
                  <c:ptCount val="1"/>
                  <c:pt idx="0">
                    <c:v>6.5452000000000004</c:v>
                  </c:pt>
                </c:numCache>
              </c:numRef>
            </c:minus>
          </c:errBars>
          <c:cat>
            <c:strRef>
              <c:f>Sheet1!$A$36:$A$40</c:f>
              <c:strCache>
                <c:ptCount val="5"/>
                <c:pt idx="0">
                  <c:v>pratensis × arachnifera 'Armadillo'</c:v>
                </c:pt>
                <c:pt idx="1">
                  <c:v>arachnifera</c:v>
                </c:pt>
                <c:pt idx="2">
                  <c:v>arachXdusenii</c:v>
                </c:pt>
                <c:pt idx="3">
                  <c:v>pratensis 'Midnight Star'</c:v>
                </c:pt>
                <c:pt idx="4">
                  <c:v>dusenii</c:v>
                </c:pt>
              </c:strCache>
            </c:strRef>
          </c:cat>
          <c:val>
            <c:numRef>
              <c:f>Sheet1!$B$36:$B$40</c:f>
              <c:numCache>
                <c:formatCode>General</c:formatCode>
                <c:ptCount val="5"/>
                <c:pt idx="0">
                  <c:v>74.02079999999998</c:v>
                </c:pt>
                <c:pt idx="1">
                  <c:v>67.370799999999988</c:v>
                </c:pt>
                <c:pt idx="2">
                  <c:v>55.752099999999999</c:v>
                </c:pt>
                <c:pt idx="3">
                  <c:v>45.893700000000003</c:v>
                </c:pt>
                <c:pt idx="4">
                  <c:v>20.063500000000001</c:v>
                </c:pt>
              </c:numCache>
            </c:numRef>
          </c:val>
        </c:ser>
        <c:dLbls>
          <c:showLegendKey val="0"/>
          <c:showVal val="0"/>
          <c:showCatName val="0"/>
          <c:showSerName val="0"/>
          <c:showPercent val="0"/>
          <c:showBubbleSize val="0"/>
        </c:dLbls>
        <c:gapWidth val="150"/>
        <c:axId val="186895744"/>
        <c:axId val="187372672"/>
      </c:barChart>
      <c:catAx>
        <c:axId val="186895744"/>
        <c:scaling>
          <c:orientation val="minMax"/>
        </c:scaling>
        <c:delete val="0"/>
        <c:axPos val="b"/>
        <c:majorTickMark val="out"/>
        <c:minorTickMark val="none"/>
        <c:tickLblPos val="nextTo"/>
        <c:txPr>
          <a:bodyPr/>
          <a:lstStyle/>
          <a:p>
            <a:pPr>
              <a:defRPr b="1"/>
            </a:pPr>
            <a:endParaRPr lang="en-US"/>
          </a:p>
        </c:txPr>
        <c:crossAx val="187372672"/>
        <c:crosses val="autoZero"/>
        <c:auto val="1"/>
        <c:lblAlgn val="ctr"/>
        <c:lblOffset val="100"/>
        <c:noMultiLvlLbl val="0"/>
      </c:catAx>
      <c:valAx>
        <c:axId val="187372672"/>
        <c:scaling>
          <c:orientation val="minMax"/>
        </c:scaling>
        <c:delete val="0"/>
        <c:axPos val="l"/>
        <c:majorGridlines/>
        <c:numFmt formatCode="General" sourceLinked="1"/>
        <c:majorTickMark val="out"/>
        <c:minorTickMark val="none"/>
        <c:tickLblPos val="nextTo"/>
        <c:txPr>
          <a:bodyPr/>
          <a:lstStyle/>
          <a:p>
            <a:pPr>
              <a:defRPr b="1"/>
            </a:pPr>
            <a:endParaRPr lang="en-US"/>
          </a:p>
        </c:txPr>
        <c:crossAx val="186895744"/>
        <c:crosses val="autoZero"/>
        <c:crossBetween val="between"/>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672320952782E-2"/>
          <c:y val="4.8219412312874597E-2"/>
          <c:w val="0.890520996754251"/>
          <c:h val="0.61615737772192103"/>
        </c:manualLayout>
      </c:layout>
      <c:lineChart>
        <c:grouping val="standard"/>
        <c:varyColors val="0"/>
        <c:ser>
          <c:idx val="0"/>
          <c:order val="0"/>
          <c:tx>
            <c:strRef>
              <c:f>Sheet2!$B$27</c:f>
              <c:strCache>
                <c:ptCount val="1"/>
                <c:pt idx="0">
                  <c:v>2010-2011</c:v>
                </c:pt>
              </c:strCache>
            </c:strRef>
          </c:tx>
          <c:marker>
            <c:symbol val="none"/>
          </c:marker>
          <c:cat>
            <c:strRef>
              <c:f>Sheet2!$A$28:$A$39</c:f>
              <c:strCache>
                <c:ptCount val="12"/>
                <c:pt idx="0">
                  <c:v>November</c:v>
                </c:pt>
                <c:pt idx="1">
                  <c:v>December</c:v>
                </c:pt>
                <c:pt idx="2">
                  <c:v>January</c:v>
                </c:pt>
                <c:pt idx="3">
                  <c:v>February</c:v>
                </c:pt>
                <c:pt idx="4">
                  <c:v>March</c:v>
                </c:pt>
                <c:pt idx="5">
                  <c:v>April</c:v>
                </c:pt>
                <c:pt idx="6">
                  <c:v>May</c:v>
                </c:pt>
                <c:pt idx="7">
                  <c:v>June</c:v>
                </c:pt>
                <c:pt idx="8">
                  <c:v>July</c:v>
                </c:pt>
                <c:pt idx="9">
                  <c:v>August</c:v>
                </c:pt>
                <c:pt idx="10">
                  <c:v>September</c:v>
                </c:pt>
                <c:pt idx="11">
                  <c:v>October</c:v>
                </c:pt>
              </c:strCache>
            </c:strRef>
          </c:cat>
          <c:val>
            <c:numRef>
              <c:f>Sheet2!$B$28:$B$39</c:f>
              <c:numCache>
                <c:formatCode>General</c:formatCode>
                <c:ptCount val="12"/>
                <c:pt idx="0">
                  <c:v>10.555555555555561</c:v>
                </c:pt>
                <c:pt idx="1">
                  <c:v>0.44444444444444298</c:v>
                </c:pt>
                <c:pt idx="2">
                  <c:v>2.2222222222222232</c:v>
                </c:pt>
                <c:pt idx="3">
                  <c:v>7.8888888888888893</c:v>
                </c:pt>
                <c:pt idx="4">
                  <c:v>11.611111111111111</c:v>
                </c:pt>
                <c:pt idx="5">
                  <c:v>17.444444444444439</c:v>
                </c:pt>
                <c:pt idx="6">
                  <c:v>20.05555555555555</c:v>
                </c:pt>
                <c:pt idx="7">
                  <c:v>25.555555555555561</c:v>
                </c:pt>
                <c:pt idx="8">
                  <c:v>27.666666666666671</c:v>
                </c:pt>
                <c:pt idx="9">
                  <c:v>26.722222222222211</c:v>
                </c:pt>
                <c:pt idx="10">
                  <c:v>22.888888888888889</c:v>
                </c:pt>
                <c:pt idx="11">
                  <c:v>15.555555555555561</c:v>
                </c:pt>
              </c:numCache>
            </c:numRef>
          </c:val>
          <c:smooth val="0"/>
        </c:ser>
        <c:ser>
          <c:idx val="1"/>
          <c:order val="1"/>
          <c:tx>
            <c:strRef>
              <c:f>Sheet2!$C$27</c:f>
              <c:strCache>
                <c:ptCount val="1"/>
                <c:pt idx="0">
                  <c:v>2011-2012</c:v>
                </c:pt>
              </c:strCache>
            </c:strRef>
          </c:tx>
          <c:marker>
            <c:symbol val="none"/>
          </c:marker>
          <c:cat>
            <c:strRef>
              <c:f>Sheet2!$A$28:$A$39</c:f>
              <c:strCache>
                <c:ptCount val="12"/>
                <c:pt idx="0">
                  <c:v>November</c:v>
                </c:pt>
                <c:pt idx="1">
                  <c:v>December</c:v>
                </c:pt>
                <c:pt idx="2">
                  <c:v>January</c:v>
                </c:pt>
                <c:pt idx="3">
                  <c:v>February</c:v>
                </c:pt>
                <c:pt idx="4">
                  <c:v>March</c:v>
                </c:pt>
                <c:pt idx="5">
                  <c:v>April</c:v>
                </c:pt>
                <c:pt idx="6">
                  <c:v>May</c:v>
                </c:pt>
                <c:pt idx="7">
                  <c:v>June</c:v>
                </c:pt>
                <c:pt idx="8">
                  <c:v>July</c:v>
                </c:pt>
                <c:pt idx="9">
                  <c:v>August</c:v>
                </c:pt>
                <c:pt idx="10">
                  <c:v>September</c:v>
                </c:pt>
                <c:pt idx="11">
                  <c:v>October</c:v>
                </c:pt>
              </c:strCache>
            </c:strRef>
          </c:cat>
          <c:val>
            <c:numRef>
              <c:f>Sheet2!$C$28:$C$39</c:f>
              <c:numCache>
                <c:formatCode>General</c:formatCode>
                <c:ptCount val="12"/>
                <c:pt idx="0">
                  <c:v>10.66666666666667</c:v>
                </c:pt>
                <c:pt idx="1">
                  <c:v>7.2222222222222223</c:v>
                </c:pt>
                <c:pt idx="2">
                  <c:v>6.2777777777777759</c:v>
                </c:pt>
                <c:pt idx="3">
                  <c:v>7.8888888888888893</c:v>
                </c:pt>
                <c:pt idx="4">
                  <c:v>15.77777777777778</c:v>
                </c:pt>
                <c:pt idx="5">
                  <c:v>16.388888888888889</c:v>
                </c:pt>
                <c:pt idx="6">
                  <c:v>22.166666666666671</c:v>
                </c:pt>
                <c:pt idx="7">
                  <c:v>24.444444444444439</c:v>
                </c:pt>
                <c:pt idx="8">
                  <c:v>27.222222222222211</c:v>
                </c:pt>
                <c:pt idx="9">
                  <c:v>24.611111111111111</c:v>
                </c:pt>
                <c:pt idx="10">
                  <c:v>21.055555555555561</c:v>
                </c:pt>
                <c:pt idx="11">
                  <c:v>14.44444444444445</c:v>
                </c:pt>
              </c:numCache>
            </c:numRef>
          </c:val>
          <c:smooth val="0"/>
        </c:ser>
        <c:ser>
          <c:idx val="2"/>
          <c:order val="2"/>
          <c:tx>
            <c:strRef>
              <c:f>Sheet2!$D$27</c:f>
              <c:strCache>
                <c:ptCount val="1"/>
                <c:pt idx="0">
                  <c:v>Normal</c:v>
                </c:pt>
              </c:strCache>
            </c:strRef>
          </c:tx>
          <c:marker>
            <c:symbol val="none"/>
          </c:marker>
          <c:cat>
            <c:strRef>
              <c:f>Sheet2!$A$28:$A$39</c:f>
              <c:strCache>
                <c:ptCount val="12"/>
                <c:pt idx="0">
                  <c:v>November</c:v>
                </c:pt>
                <c:pt idx="1">
                  <c:v>December</c:v>
                </c:pt>
                <c:pt idx="2">
                  <c:v>January</c:v>
                </c:pt>
                <c:pt idx="3">
                  <c:v>February</c:v>
                </c:pt>
                <c:pt idx="4">
                  <c:v>March</c:v>
                </c:pt>
                <c:pt idx="5">
                  <c:v>April</c:v>
                </c:pt>
                <c:pt idx="6">
                  <c:v>May</c:v>
                </c:pt>
                <c:pt idx="7">
                  <c:v>June</c:v>
                </c:pt>
                <c:pt idx="8">
                  <c:v>July</c:v>
                </c:pt>
                <c:pt idx="9">
                  <c:v>August</c:v>
                </c:pt>
                <c:pt idx="10">
                  <c:v>September</c:v>
                </c:pt>
                <c:pt idx="11">
                  <c:v>October</c:v>
                </c:pt>
              </c:strCache>
            </c:strRef>
          </c:cat>
          <c:val>
            <c:numRef>
              <c:f>Sheet2!$D$28:$D$39</c:f>
              <c:numCache>
                <c:formatCode>General</c:formatCode>
                <c:ptCount val="12"/>
                <c:pt idx="0">
                  <c:v>9.8333333333333357</c:v>
                </c:pt>
                <c:pt idx="1">
                  <c:v>4.8888888888888866</c:v>
                </c:pt>
                <c:pt idx="2">
                  <c:v>3.444444444444446</c:v>
                </c:pt>
                <c:pt idx="3">
                  <c:v>5.7777777777777768</c:v>
                </c:pt>
                <c:pt idx="4">
                  <c:v>10.16666666666667</c:v>
                </c:pt>
                <c:pt idx="5">
                  <c:v>14.888888888888889</c:v>
                </c:pt>
                <c:pt idx="6">
                  <c:v>19.555555555555561</c:v>
                </c:pt>
                <c:pt idx="7">
                  <c:v>23.888888888888889</c:v>
                </c:pt>
                <c:pt idx="8">
                  <c:v>25.777777777777779</c:v>
                </c:pt>
                <c:pt idx="9">
                  <c:v>25.444444444444439</c:v>
                </c:pt>
                <c:pt idx="10">
                  <c:v>21.722222222222211</c:v>
                </c:pt>
                <c:pt idx="11">
                  <c:v>15.5</c:v>
                </c:pt>
              </c:numCache>
            </c:numRef>
          </c:val>
          <c:smooth val="0"/>
        </c:ser>
        <c:dLbls>
          <c:showLegendKey val="0"/>
          <c:showVal val="0"/>
          <c:showCatName val="0"/>
          <c:showSerName val="0"/>
          <c:showPercent val="0"/>
          <c:showBubbleSize val="0"/>
        </c:dLbls>
        <c:marker val="1"/>
        <c:smooth val="0"/>
        <c:axId val="164482048"/>
        <c:axId val="172446464"/>
      </c:lineChart>
      <c:catAx>
        <c:axId val="164482048"/>
        <c:scaling>
          <c:orientation val="minMax"/>
        </c:scaling>
        <c:delete val="0"/>
        <c:axPos val="b"/>
        <c:majorTickMark val="out"/>
        <c:minorTickMark val="none"/>
        <c:tickLblPos val="nextTo"/>
        <c:txPr>
          <a:bodyPr/>
          <a:lstStyle/>
          <a:p>
            <a:pPr>
              <a:defRPr sz="1200" b="1">
                <a:latin typeface="Times New Roman" pitchFamily="18" charset="0"/>
                <a:cs typeface="Times New Roman" pitchFamily="18" charset="0"/>
              </a:defRPr>
            </a:pPr>
            <a:endParaRPr lang="en-US"/>
          </a:p>
        </c:txPr>
        <c:crossAx val="172446464"/>
        <c:crosses val="autoZero"/>
        <c:auto val="1"/>
        <c:lblAlgn val="ctr"/>
        <c:lblOffset val="100"/>
        <c:noMultiLvlLbl val="0"/>
      </c:catAx>
      <c:valAx>
        <c:axId val="172446464"/>
        <c:scaling>
          <c:orientation val="minMax"/>
        </c:scaling>
        <c:delete val="0"/>
        <c:axPos val="l"/>
        <c:majorGridlines/>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en-US"/>
          </a:p>
        </c:txPr>
        <c:crossAx val="164482048"/>
        <c:crosses val="autoZero"/>
        <c:crossBetween val="between"/>
      </c:valAx>
    </c:plotArea>
    <c:legend>
      <c:legendPos val="b"/>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strRef>
              <c:f>Sheet3!$L$1</c:f>
              <c:strCache>
                <c:ptCount val="1"/>
                <c:pt idx="0">
                  <c:v>2011</c:v>
                </c:pt>
              </c:strCache>
            </c:strRef>
          </c:tx>
          <c:spPr>
            <a:ln>
              <a:solidFill>
                <a:schemeClr val="accent1"/>
              </a:solidFill>
            </a:ln>
          </c:spPr>
          <c:marker>
            <c:symbol val="none"/>
          </c:marker>
          <c:cat>
            <c:strRef>
              <c:f>Sheet3!$J$2:$J$367</c:f>
              <c:strCache>
                <c:ptCount val="336"/>
                <c:pt idx="0">
                  <c:v>January</c:v>
                </c:pt>
                <c:pt idx="31">
                  <c:v>February</c:v>
                </c:pt>
                <c:pt idx="60">
                  <c:v>March</c:v>
                </c:pt>
                <c:pt idx="91">
                  <c:v>April</c:v>
                </c:pt>
                <c:pt idx="121">
                  <c:v>May</c:v>
                </c:pt>
                <c:pt idx="152">
                  <c:v>June</c:v>
                </c:pt>
                <c:pt idx="182">
                  <c:v>July</c:v>
                </c:pt>
                <c:pt idx="213">
                  <c:v>August</c:v>
                </c:pt>
                <c:pt idx="244">
                  <c:v>September</c:v>
                </c:pt>
                <c:pt idx="274">
                  <c:v>October</c:v>
                </c:pt>
                <c:pt idx="305">
                  <c:v>November</c:v>
                </c:pt>
                <c:pt idx="335">
                  <c:v>December</c:v>
                </c:pt>
              </c:strCache>
            </c:strRef>
          </c:cat>
          <c:val>
            <c:numRef>
              <c:f>Sheet3!$L$2:$L$367</c:f>
              <c:numCache>
                <c:formatCode>General</c:formatCode>
                <c:ptCount val="36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2</c:v>
                </c:pt>
                <c:pt idx="78">
                  <c:v>2</c:v>
                </c:pt>
                <c:pt idx="79">
                  <c:v>2</c:v>
                </c:pt>
                <c:pt idx="80">
                  <c:v>3</c:v>
                </c:pt>
                <c:pt idx="81">
                  <c:v>7</c:v>
                </c:pt>
                <c:pt idx="82">
                  <c:v>7</c:v>
                </c:pt>
                <c:pt idx="83">
                  <c:v>7</c:v>
                </c:pt>
                <c:pt idx="84">
                  <c:v>7</c:v>
                </c:pt>
                <c:pt idx="85">
                  <c:v>7</c:v>
                </c:pt>
                <c:pt idx="86">
                  <c:v>7</c:v>
                </c:pt>
                <c:pt idx="87">
                  <c:v>7</c:v>
                </c:pt>
                <c:pt idx="88">
                  <c:v>7</c:v>
                </c:pt>
                <c:pt idx="89">
                  <c:v>7</c:v>
                </c:pt>
                <c:pt idx="90">
                  <c:v>7</c:v>
                </c:pt>
                <c:pt idx="91">
                  <c:v>7</c:v>
                </c:pt>
                <c:pt idx="92">
                  <c:v>7</c:v>
                </c:pt>
                <c:pt idx="93">
                  <c:v>7</c:v>
                </c:pt>
                <c:pt idx="94">
                  <c:v>8</c:v>
                </c:pt>
                <c:pt idx="95">
                  <c:v>8</c:v>
                </c:pt>
                <c:pt idx="96">
                  <c:v>8</c:v>
                </c:pt>
                <c:pt idx="97">
                  <c:v>8</c:v>
                </c:pt>
                <c:pt idx="98">
                  <c:v>11</c:v>
                </c:pt>
                <c:pt idx="99">
                  <c:v>21</c:v>
                </c:pt>
                <c:pt idx="100">
                  <c:v>30</c:v>
                </c:pt>
                <c:pt idx="101">
                  <c:v>39</c:v>
                </c:pt>
                <c:pt idx="102">
                  <c:v>39</c:v>
                </c:pt>
                <c:pt idx="103">
                  <c:v>39</c:v>
                </c:pt>
                <c:pt idx="104">
                  <c:v>39</c:v>
                </c:pt>
                <c:pt idx="105">
                  <c:v>39</c:v>
                </c:pt>
                <c:pt idx="106">
                  <c:v>39</c:v>
                </c:pt>
                <c:pt idx="107">
                  <c:v>39</c:v>
                </c:pt>
                <c:pt idx="108">
                  <c:v>39</c:v>
                </c:pt>
                <c:pt idx="109">
                  <c:v>49</c:v>
                </c:pt>
                <c:pt idx="110">
                  <c:v>54</c:v>
                </c:pt>
                <c:pt idx="111">
                  <c:v>54</c:v>
                </c:pt>
                <c:pt idx="112">
                  <c:v>57</c:v>
                </c:pt>
                <c:pt idx="113">
                  <c:v>62</c:v>
                </c:pt>
                <c:pt idx="114">
                  <c:v>71</c:v>
                </c:pt>
                <c:pt idx="115">
                  <c:v>78</c:v>
                </c:pt>
                <c:pt idx="116">
                  <c:v>89</c:v>
                </c:pt>
                <c:pt idx="117">
                  <c:v>98</c:v>
                </c:pt>
                <c:pt idx="118">
                  <c:v>98</c:v>
                </c:pt>
                <c:pt idx="119">
                  <c:v>98</c:v>
                </c:pt>
                <c:pt idx="120">
                  <c:v>98</c:v>
                </c:pt>
                <c:pt idx="121">
                  <c:v>100</c:v>
                </c:pt>
                <c:pt idx="122">
                  <c:v>104</c:v>
                </c:pt>
                <c:pt idx="123">
                  <c:v>104</c:v>
                </c:pt>
                <c:pt idx="124">
                  <c:v>104</c:v>
                </c:pt>
                <c:pt idx="125">
                  <c:v>104</c:v>
                </c:pt>
                <c:pt idx="126">
                  <c:v>104</c:v>
                </c:pt>
                <c:pt idx="127">
                  <c:v>104</c:v>
                </c:pt>
                <c:pt idx="128">
                  <c:v>110</c:v>
                </c:pt>
                <c:pt idx="129">
                  <c:v>117</c:v>
                </c:pt>
                <c:pt idx="130">
                  <c:v>126</c:v>
                </c:pt>
                <c:pt idx="131">
                  <c:v>135</c:v>
                </c:pt>
                <c:pt idx="132">
                  <c:v>146</c:v>
                </c:pt>
                <c:pt idx="133">
                  <c:v>155</c:v>
                </c:pt>
                <c:pt idx="134">
                  <c:v>159</c:v>
                </c:pt>
                <c:pt idx="135">
                  <c:v>159</c:v>
                </c:pt>
                <c:pt idx="136">
                  <c:v>159</c:v>
                </c:pt>
                <c:pt idx="137">
                  <c:v>159</c:v>
                </c:pt>
                <c:pt idx="138">
                  <c:v>159</c:v>
                </c:pt>
                <c:pt idx="139">
                  <c:v>159</c:v>
                </c:pt>
                <c:pt idx="140">
                  <c:v>161</c:v>
                </c:pt>
                <c:pt idx="141">
                  <c:v>169</c:v>
                </c:pt>
                <c:pt idx="142">
                  <c:v>182</c:v>
                </c:pt>
                <c:pt idx="143">
                  <c:v>192</c:v>
                </c:pt>
                <c:pt idx="144">
                  <c:v>206</c:v>
                </c:pt>
                <c:pt idx="145">
                  <c:v>219</c:v>
                </c:pt>
                <c:pt idx="146">
                  <c:v>226</c:v>
                </c:pt>
                <c:pt idx="147">
                  <c:v>233</c:v>
                </c:pt>
                <c:pt idx="148">
                  <c:v>240</c:v>
                </c:pt>
                <c:pt idx="149">
                  <c:v>252</c:v>
                </c:pt>
                <c:pt idx="150">
                  <c:v>268</c:v>
                </c:pt>
                <c:pt idx="151">
                  <c:v>286</c:v>
                </c:pt>
                <c:pt idx="152">
                  <c:v>305</c:v>
                </c:pt>
                <c:pt idx="153">
                  <c:v>322</c:v>
                </c:pt>
                <c:pt idx="154">
                  <c:v>338</c:v>
                </c:pt>
                <c:pt idx="155">
                  <c:v>353</c:v>
                </c:pt>
                <c:pt idx="156">
                  <c:v>370</c:v>
                </c:pt>
                <c:pt idx="157">
                  <c:v>385</c:v>
                </c:pt>
                <c:pt idx="158">
                  <c:v>400</c:v>
                </c:pt>
                <c:pt idx="159">
                  <c:v>417</c:v>
                </c:pt>
                <c:pt idx="160">
                  <c:v>433</c:v>
                </c:pt>
                <c:pt idx="161">
                  <c:v>447</c:v>
                </c:pt>
                <c:pt idx="162">
                  <c:v>464</c:v>
                </c:pt>
                <c:pt idx="163">
                  <c:v>480</c:v>
                </c:pt>
                <c:pt idx="164">
                  <c:v>494</c:v>
                </c:pt>
                <c:pt idx="165">
                  <c:v>501</c:v>
                </c:pt>
                <c:pt idx="166">
                  <c:v>507</c:v>
                </c:pt>
                <c:pt idx="167">
                  <c:v>517</c:v>
                </c:pt>
                <c:pt idx="168">
                  <c:v>526</c:v>
                </c:pt>
                <c:pt idx="169">
                  <c:v>536</c:v>
                </c:pt>
                <c:pt idx="170">
                  <c:v>547</c:v>
                </c:pt>
                <c:pt idx="171">
                  <c:v>559</c:v>
                </c:pt>
                <c:pt idx="172">
                  <c:v>574</c:v>
                </c:pt>
                <c:pt idx="173">
                  <c:v>585</c:v>
                </c:pt>
                <c:pt idx="174">
                  <c:v>597</c:v>
                </c:pt>
                <c:pt idx="175">
                  <c:v>610</c:v>
                </c:pt>
                <c:pt idx="176">
                  <c:v>620</c:v>
                </c:pt>
                <c:pt idx="177">
                  <c:v>632</c:v>
                </c:pt>
                <c:pt idx="178">
                  <c:v>646</c:v>
                </c:pt>
                <c:pt idx="179">
                  <c:v>656</c:v>
                </c:pt>
                <c:pt idx="180">
                  <c:v>669</c:v>
                </c:pt>
                <c:pt idx="181">
                  <c:v>681</c:v>
                </c:pt>
                <c:pt idx="182">
                  <c:v>693</c:v>
                </c:pt>
                <c:pt idx="183">
                  <c:v>707</c:v>
                </c:pt>
                <c:pt idx="184">
                  <c:v>724</c:v>
                </c:pt>
                <c:pt idx="185">
                  <c:v>740</c:v>
                </c:pt>
                <c:pt idx="186">
                  <c:v>755</c:v>
                </c:pt>
                <c:pt idx="187">
                  <c:v>770</c:v>
                </c:pt>
                <c:pt idx="188">
                  <c:v>786</c:v>
                </c:pt>
                <c:pt idx="189">
                  <c:v>801</c:v>
                </c:pt>
                <c:pt idx="190">
                  <c:v>819</c:v>
                </c:pt>
                <c:pt idx="191">
                  <c:v>839</c:v>
                </c:pt>
                <c:pt idx="192">
                  <c:v>859</c:v>
                </c:pt>
                <c:pt idx="193">
                  <c:v>874</c:v>
                </c:pt>
                <c:pt idx="194">
                  <c:v>892</c:v>
                </c:pt>
                <c:pt idx="195">
                  <c:v>911</c:v>
                </c:pt>
                <c:pt idx="196">
                  <c:v>922</c:v>
                </c:pt>
                <c:pt idx="197">
                  <c:v>932</c:v>
                </c:pt>
                <c:pt idx="198">
                  <c:v>945</c:v>
                </c:pt>
                <c:pt idx="199">
                  <c:v>962</c:v>
                </c:pt>
                <c:pt idx="200">
                  <c:v>979</c:v>
                </c:pt>
                <c:pt idx="201">
                  <c:v>1000</c:v>
                </c:pt>
                <c:pt idx="202">
                  <c:v>1015</c:v>
                </c:pt>
                <c:pt idx="203">
                  <c:v>1034</c:v>
                </c:pt>
                <c:pt idx="204">
                  <c:v>1055</c:v>
                </c:pt>
                <c:pt idx="205">
                  <c:v>1074</c:v>
                </c:pt>
                <c:pt idx="206">
                  <c:v>1092</c:v>
                </c:pt>
                <c:pt idx="207">
                  <c:v>1111</c:v>
                </c:pt>
                <c:pt idx="208">
                  <c:v>1130</c:v>
                </c:pt>
                <c:pt idx="209">
                  <c:v>1149</c:v>
                </c:pt>
                <c:pt idx="210">
                  <c:v>1168</c:v>
                </c:pt>
                <c:pt idx="211">
                  <c:v>1189</c:v>
                </c:pt>
                <c:pt idx="212">
                  <c:v>1208</c:v>
                </c:pt>
                <c:pt idx="213">
                  <c:v>1228</c:v>
                </c:pt>
                <c:pt idx="214">
                  <c:v>1247</c:v>
                </c:pt>
                <c:pt idx="215">
                  <c:v>1265</c:v>
                </c:pt>
                <c:pt idx="216">
                  <c:v>1284</c:v>
                </c:pt>
                <c:pt idx="217">
                  <c:v>1303</c:v>
                </c:pt>
                <c:pt idx="218">
                  <c:v>1319</c:v>
                </c:pt>
                <c:pt idx="219">
                  <c:v>1336</c:v>
                </c:pt>
                <c:pt idx="220">
                  <c:v>1356</c:v>
                </c:pt>
                <c:pt idx="221">
                  <c:v>1372</c:v>
                </c:pt>
                <c:pt idx="222">
                  <c:v>1387</c:v>
                </c:pt>
                <c:pt idx="223">
                  <c:v>1404</c:v>
                </c:pt>
                <c:pt idx="224">
                  <c:v>1419</c:v>
                </c:pt>
                <c:pt idx="225">
                  <c:v>1435</c:v>
                </c:pt>
                <c:pt idx="226">
                  <c:v>1450</c:v>
                </c:pt>
                <c:pt idx="227">
                  <c:v>1460</c:v>
                </c:pt>
                <c:pt idx="228">
                  <c:v>1469</c:v>
                </c:pt>
                <c:pt idx="229">
                  <c:v>1482</c:v>
                </c:pt>
                <c:pt idx="230">
                  <c:v>1498</c:v>
                </c:pt>
                <c:pt idx="231">
                  <c:v>1514</c:v>
                </c:pt>
                <c:pt idx="232">
                  <c:v>1529</c:v>
                </c:pt>
                <c:pt idx="233">
                  <c:v>1546</c:v>
                </c:pt>
                <c:pt idx="234">
                  <c:v>1561</c:v>
                </c:pt>
                <c:pt idx="235">
                  <c:v>1572</c:v>
                </c:pt>
                <c:pt idx="236">
                  <c:v>1584</c:v>
                </c:pt>
                <c:pt idx="237">
                  <c:v>1603</c:v>
                </c:pt>
                <c:pt idx="238">
                  <c:v>1622</c:v>
                </c:pt>
                <c:pt idx="239">
                  <c:v>1636</c:v>
                </c:pt>
                <c:pt idx="240">
                  <c:v>1646</c:v>
                </c:pt>
                <c:pt idx="241">
                  <c:v>1655</c:v>
                </c:pt>
                <c:pt idx="242">
                  <c:v>1668</c:v>
                </c:pt>
                <c:pt idx="243">
                  <c:v>1683</c:v>
                </c:pt>
                <c:pt idx="244">
                  <c:v>1700</c:v>
                </c:pt>
                <c:pt idx="245">
                  <c:v>1719</c:v>
                </c:pt>
                <c:pt idx="246">
                  <c:v>1738</c:v>
                </c:pt>
                <c:pt idx="247">
                  <c:v>1751</c:v>
                </c:pt>
                <c:pt idx="248">
                  <c:v>1753</c:v>
                </c:pt>
                <c:pt idx="249">
                  <c:v>1757</c:v>
                </c:pt>
                <c:pt idx="250">
                  <c:v>1757</c:v>
                </c:pt>
                <c:pt idx="251">
                  <c:v>1757</c:v>
                </c:pt>
                <c:pt idx="252">
                  <c:v>1757</c:v>
                </c:pt>
                <c:pt idx="253">
                  <c:v>1758</c:v>
                </c:pt>
                <c:pt idx="254">
                  <c:v>1763</c:v>
                </c:pt>
                <c:pt idx="255">
                  <c:v>1770</c:v>
                </c:pt>
                <c:pt idx="256">
                  <c:v>1778</c:v>
                </c:pt>
                <c:pt idx="257">
                  <c:v>1786</c:v>
                </c:pt>
                <c:pt idx="258">
                  <c:v>1786</c:v>
                </c:pt>
                <c:pt idx="259">
                  <c:v>1786</c:v>
                </c:pt>
                <c:pt idx="260">
                  <c:v>1789</c:v>
                </c:pt>
                <c:pt idx="261">
                  <c:v>1794</c:v>
                </c:pt>
                <c:pt idx="262">
                  <c:v>1797</c:v>
                </c:pt>
                <c:pt idx="263">
                  <c:v>1803</c:v>
                </c:pt>
                <c:pt idx="264">
                  <c:v>1813</c:v>
                </c:pt>
                <c:pt idx="265">
                  <c:v>1821</c:v>
                </c:pt>
                <c:pt idx="266">
                  <c:v>1824</c:v>
                </c:pt>
                <c:pt idx="267">
                  <c:v>1827</c:v>
                </c:pt>
                <c:pt idx="268">
                  <c:v>1831</c:v>
                </c:pt>
                <c:pt idx="269">
                  <c:v>1841</c:v>
                </c:pt>
                <c:pt idx="270">
                  <c:v>1842</c:v>
                </c:pt>
                <c:pt idx="271">
                  <c:v>1844</c:v>
                </c:pt>
                <c:pt idx="272">
                  <c:v>1849</c:v>
                </c:pt>
                <c:pt idx="273">
                  <c:v>1849</c:v>
                </c:pt>
                <c:pt idx="274">
                  <c:v>1849</c:v>
                </c:pt>
                <c:pt idx="275">
                  <c:v>1849</c:v>
                </c:pt>
                <c:pt idx="276">
                  <c:v>1849</c:v>
                </c:pt>
                <c:pt idx="277">
                  <c:v>1849</c:v>
                </c:pt>
                <c:pt idx="278">
                  <c:v>1849</c:v>
                </c:pt>
                <c:pt idx="279">
                  <c:v>1851</c:v>
                </c:pt>
                <c:pt idx="280">
                  <c:v>1852</c:v>
                </c:pt>
                <c:pt idx="281">
                  <c:v>1852</c:v>
                </c:pt>
                <c:pt idx="282">
                  <c:v>1852</c:v>
                </c:pt>
                <c:pt idx="283">
                  <c:v>1856</c:v>
                </c:pt>
                <c:pt idx="284">
                  <c:v>1856</c:v>
                </c:pt>
                <c:pt idx="285">
                  <c:v>1856</c:v>
                </c:pt>
                <c:pt idx="286">
                  <c:v>1856</c:v>
                </c:pt>
                <c:pt idx="287">
                  <c:v>1856</c:v>
                </c:pt>
                <c:pt idx="288">
                  <c:v>1856</c:v>
                </c:pt>
                <c:pt idx="289">
                  <c:v>1856</c:v>
                </c:pt>
                <c:pt idx="290">
                  <c:v>1861</c:v>
                </c:pt>
                <c:pt idx="291">
                  <c:v>1864</c:v>
                </c:pt>
                <c:pt idx="292">
                  <c:v>1864</c:v>
                </c:pt>
                <c:pt idx="293">
                  <c:v>1864</c:v>
                </c:pt>
                <c:pt idx="294">
                  <c:v>1864</c:v>
                </c:pt>
                <c:pt idx="295">
                  <c:v>1864</c:v>
                </c:pt>
                <c:pt idx="296">
                  <c:v>1864</c:v>
                </c:pt>
                <c:pt idx="297">
                  <c:v>1864</c:v>
                </c:pt>
                <c:pt idx="298">
                  <c:v>1864</c:v>
                </c:pt>
                <c:pt idx="299">
                  <c:v>1864</c:v>
                </c:pt>
                <c:pt idx="300">
                  <c:v>1864</c:v>
                </c:pt>
                <c:pt idx="301">
                  <c:v>1864</c:v>
                </c:pt>
                <c:pt idx="302">
                  <c:v>1864</c:v>
                </c:pt>
                <c:pt idx="303">
                  <c:v>1864</c:v>
                </c:pt>
                <c:pt idx="304">
                  <c:v>1864</c:v>
                </c:pt>
                <c:pt idx="305">
                  <c:v>1864</c:v>
                </c:pt>
                <c:pt idx="306">
                  <c:v>1864</c:v>
                </c:pt>
                <c:pt idx="307">
                  <c:v>1864</c:v>
                </c:pt>
                <c:pt idx="308">
                  <c:v>1864</c:v>
                </c:pt>
                <c:pt idx="309">
                  <c:v>1864</c:v>
                </c:pt>
                <c:pt idx="310">
                  <c:v>1864</c:v>
                </c:pt>
                <c:pt idx="311">
                  <c:v>1864</c:v>
                </c:pt>
                <c:pt idx="312">
                  <c:v>1864</c:v>
                </c:pt>
                <c:pt idx="313">
                  <c:v>1864</c:v>
                </c:pt>
                <c:pt idx="314">
                  <c:v>1864</c:v>
                </c:pt>
                <c:pt idx="315">
                  <c:v>1864</c:v>
                </c:pt>
                <c:pt idx="316">
                  <c:v>1864</c:v>
                </c:pt>
                <c:pt idx="317">
                  <c:v>1864</c:v>
                </c:pt>
                <c:pt idx="318">
                  <c:v>1867</c:v>
                </c:pt>
                <c:pt idx="319">
                  <c:v>1869</c:v>
                </c:pt>
                <c:pt idx="320">
                  <c:v>1869</c:v>
                </c:pt>
                <c:pt idx="321">
                  <c:v>1869</c:v>
                </c:pt>
                <c:pt idx="322">
                  <c:v>1869</c:v>
                </c:pt>
                <c:pt idx="323">
                  <c:v>1869</c:v>
                </c:pt>
                <c:pt idx="324">
                  <c:v>1869</c:v>
                </c:pt>
                <c:pt idx="325">
                  <c:v>1869</c:v>
                </c:pt>
                <c:pt idx="326">
                  <c:v>1869</c:v>
                </c:pt>
                <c:pt idx="327">
                  <c:v>1869</c:v>
                </c:pt>
                <c:pt idx="328">
                  <c:v>1869</c:v>
                </c:pt>
                <c:pt idx="329">
                  <c:v>1869</c:v>
                </c:pt>
                <c:pt idx="330">
                  <c:v>1869</c:v>
                </c:pt>
                <c:pt idx="331">
                  <c:v>1869</c:v>
                </c:pt>
                <c:pt idx="332">
                  <c:v>1869</c:v>
                </c:pt>
                <c:pt idx="333">
                  <c:v>1869</c:v>
                </c:pt>
                <c:pt idx="334">
                  <c:v>1869</c:v>
                </c:pt>
                <c:pt idx="335">
                  <c:v>1869</c:v>
                </c:pt>
                <c:pt idx="336">
                  <c:v>1869</c:v>
                </c:pt>
                <c:pt idx="337">
                  <c:v>1869</c:v>
                </c:pt>
                <c:pt idx="338">
                  <c:v>1869</c:v>
                </c:pt>
                <c:pt idx="339">
                  <c:v>1869</c:v>
                </c:pt>
                <c:pt idx="340">
                  <c:v>1869</c:v>
                </c:pt>
                <c:pt idx="341">
                  <c:v>1869</c:v>
                </c:pt>
                <c:pt idx="342">
                  <c:v>1869</c:v>
                </c:pt>
                <c:pt idx="343">
                  <c:v>1869</c:v>
                </c:pt>
                <c:pt idx="344">
                  <c:v>1869</c:v>
                </c:pt>
                <c:pt idx="345">
                  <c:v>1869</c:v>
                </c:pt>
                <c:pt idx="346">
                  <c:v>1869</c:v>
                </c:pt>
                <c:pt idx="347">
                  <c:v>1869</c:v>
                </c:pt>
                <c:pt idx="348">
                  <c:v>1869</c:v>
                </c:pt>
                <c:pt idx="349">
                  <c:v>1869</c:v>
                </c:pt>
                <c:pt idx="350">
                  <c:v>1869</c:v>
                </c:pt>
                <c:pt idx="351">
                  <c:v>1869</c:v>
                </c:pt>
                <c:pt idx="352">
                  <c:v>1869</c:v>
                </c:pt>
                <c:pt idx="353">
                  <c:v>1869</c:v>
                </c:pt>
                <c:pt idx="354">
                  <c:v>1869</c:v>
                </c:pt>
                <c:pt idx="355">
                  <c:v>1869</c:v>
                </c:pt>
                <c:pt idx="356">
                  <c:v>1869</c:v>
                </c:pt>
                <c:pt idx="357">
                  <c:v>1869</c:v>
                </c:pt>
                <c:pt idx="358">
                  <c:v>1869</c:v>
                </c:pt>
                <c:pt idx="359">
                  <c:v>1869</c:v>
                </c:pt>
                <c:pt idx="360">
                  <c:v>1869</c:v>
                </c:pt>
                <c:pt idx="361">
                  <c:v>1869</c:v>
                </c:pt>
                <c:pt idx="362">
                  <c:v>1869</c:v>
                </c:pt>
                <c:pt idx="363">
                  <c:v>1869</c:v>
                </c:pt>
                <c:pt idx="364">
                  <c:v>1869</c:v>
                </c:pt>
                <c:pt idx="365">
                  <c:v>1869</c:v>
                </c:pt>
              </c:numCache>
            </c:numRef>
          </c:val>
          <c:smooth val="0"/>
        </c:ser>
        <c:ser>
          <c:idx val="2"/>
          <c:order val="1"/>
          <c:tx>
            <c:strRef>
              <c:f>Sheet3!$M$1</c:f>
              <c:strCache>
                <c:ptCount val="1"/>
                <c:pt idx="0">
                  <c:v>2012</c:v>
                </c:pt>
              </c:strCache>
            </c:strRef>
          </c:tx>
          <c:spPr>
            <a:ln>
              <a:solidFill>
                <a:schemeClr val="accent2"/>
              </a:solidFill>
            </a:ln>
          </c:spPr>
          <c:marker>
            <c:symbol val="none"/>
          </c:marker>
          <c:cat>
            <c:strRef>
              <c:f>Sheet3!$J$2:$J$367</c:f>
              <c:strCache>
                <c:ptCount val="336"/>
                <c:pt idx="0">
                  <c:v>January</c:v>
                </c:pt>
                <c:pt idx="31">
                  <c:v>February</c:v>
                </c:pt>
                <c:pt idx="60">
                  <c:v>March</c:v>
                </c:pt>
                <c:pt idx="91">
                  <c:v>April</c:v>
                </c:pt>
                <c:pt idx="121">
                  <c:v>May</c:v>
                </c:pt>
                <c:pt idx="152">
                  <c:v>June</c:v>
                </c:pt>
                <c:pt idx="182">
                  <c:v>July</c:v>
                </c:pt>
                <c:pt idx="213">
                  <c:v>August</c:v>
                </c:pt>
                <c:pt idx="244">
                  <c:v>September</c:v>
                </c:pt>
                <c:pt idx="274">
                  <c:v>October</c:v>
                </c:pt>
                <c:pt idx="305">
                  <c:v>November</c:v>
                </c:pt>
                <c:pt idx="335">
                  <c:v>December</c:v>
                </c:pt>
              </c:strCache>
            </c:strRef>
          </c:cat>
          <c:val>
            <c:numRef>
              <c:f>Sheet3!$M$2:$M$367</c:f>
              <c:numCache>
                <c:formatCode>General</c:formatCode>
                <c:ptCount val="36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2</c:v>
                </c:pt>
                <c:pt idx="73">
                  <c:v>3</c:v>
                </c:pt>
                <c:pt idx="74">
                  <c:v>6</c:v>
                </c:pt>
                <c:pt idx="75">
                  <c:v>7</c:v>
                </c:pt>
                <c:pt idx="76">
                  <c:v>7</c:v>
                </c:pt>
                <c:pt idx="77">
                  <c:v>12</c:v>
                </c:pt>
                <c:pt idx="78">
                  <c:v>16</c:v>
                </c:pt>
                <c:pt idx="79">
                  <c:v>22</c:v>
                </c:pt>
                <c:pt idx="80">
                  <c:v>26</c:v>
                </c:pt>
                <c:pt idx="81">
                  <c:v>29</c:v>
                </c:pt>
                <c:pt idx="82">
                  <c:v>31</c:v>
                </c:pt>
                <c:pt idx="83">
                  <c:v>31</c:v>
                </c:pt>
                <c:pt idx="84">
                  <c:v>31</c:v>
                </c:pt>
                <c:pt idx="85">
                  <c:v>31</c:v>
                </c:pt>
                <c:pt idx="86">
                  <c:v>31</c:v>
                </c:pt>
                <c:pt idx="87">
                  <c:v>32</c:v>
                </c:pt>
                <c:pt idx="88">
                  <c:v>36</c:v>
                </c:pt>
                <c:pt idx="89">
                  <c:v>38</c:v>
                </c:pt>
                <c:pt idx="90">
                  <c:v>38</c:v>
                </c:pt>
                <c:pt idx="91">
                  <c:v>38</c:v>
                </c:pt>
                <c:pt idx="92">
                  <c:v>43</c:v>
                </c:pt>
                <c:pt idx="93">
                  <c:v>48</c:v>
                </c:pt>
                <c:pt idx="94">
                  <c:v>51</c:v>
                </c:pt>
                <c:pt idx="95">
                  <c:v>52</c:v>
                </c:pt>
                <c:pt idx="96">
                  <c:v>52</c:v>
                </c:pt>
                <c:pt idx="97">
                  <c:v>52</c:v>
                </c:pt>
                <c:pt idx="98">
                  <c:v>52</c:v>
                </c:pt>
                <c:pt idx="99">
                  <c:v>52</c:v>
                </c:pt>
                <c:pt idx="100">
                  <c:v>52</c:v>
                </c:pt>
                <c:pt idx="101">
                  <c:v>52</c:v>
                </c:pt>
                <c:pt idx="102">
                  <c:v>52</c:v>
                </c:pt>
                <c:pt idx="103">
                  <c:v>52</c:v>
                </c:pt>
                <c:pt idx="104">
                  <c:v>52</c:v>
                </c:pt>
                <c:pt idx="105">
                  <c:v>53</c:v>
                </c:pt>
                <c:pt idx="106">
                  <c:v>60</c:v>
                </c:pt>
                <c:pt idx="107">
                  <c:v>60</c:v>
                </c:pt>
                <c:pt idx="108">
                  <c:v>60</c:v>
                </c:pt>
                <c:pt idx="109">
                  <c:v>60</c:v>
                </c:pt>
                <c:pt idx="110">
                  <c:v>60</c:v>
                </c:pt>
                <c:pt idx="111">
                  <c:v>60</c:v>
                </c:pt>
                <c:pt idx="112">
                  <c:v>60</c:v>
                </c:pt>
                <c:pt idx="113">
                  <c:v>60</c:v>
                </c:pt>
                <c:pt idx="114">
                  <c:v>60</c:v>
                </c:pt>
                <c:pt idx="115">
                  <c:v>60</c:v>
                </c:pt>
                <c:pt idx="116">
                  <c:v>60</c:v>
                </c:pt>
                <c:pt idx="117">
                  <c:v>63</c:v>
                </c:pt>
                <c:pt idx="118">
                  <c:v>67</c:v>
                </c:pt>
                <c:pt idx="119">
                  <c:v>74</c:v>
                </c:pt>
                <c:pt idx="120">
                  <c:v>82</c:v>
                </c:pt>
                <c:pt idx="121">
                  <c:v>93</c:v>
                </c:pt>
                <c:pt idx="122">
                  <c:v>107</c:v>
                </c:pt>
                <c:pt idx="123">
                  <c:v>118</c:v>
                </c:pt>
                <c:pt idx="124">
                  <c:v>127</c:v>
                </c:pt>
                <c:pt idx="125">
                  <c:v>136</c:v>
                </c:pt>
                <c:pt idx="126">
                  <c:v>145</c:v>
                </c:pt>
                <c:pt idx="127">
                  <c:v>152</c:v>
                </c:pt>
                <c:pt idx="128">
                  <c:v>160</c:v>
                </c:pt>
                <c:pt idx="129">
                  <c:v>161</c:v>
                </c:pt>
                <c:pt idx="130">
                  <c:v>161</c:v>
                </c:pt>
                <c:pt idx="131">
                  <c:v>161</c:v>
                </c:pt>
                <c:pt idx="132">
                  <c:v>161</c:v>
                </c:pt>
                <c:pt idx="133">
                  <c:v>161</c:v>
                </c:pt>
                <c:pt idx="134">
                  <c:v>164</c:v>
                </c:pt>
                <c:pt idx="135">
                  <c:v>168</c:v>
                </c:pt>
                <c:pt idx="136">
                  <c:v>172</c:v>
                </c:pt>
                <c:pt idx="137">
                  <c:v>177</c:v>
                </c:pt>
                <c:pt idx="138">
                  <c:v>183</c:v>
                </c:pt>
                <c:pt idx="139">
                  <c:v>190</c:v>
                </c:pt>
                <c:pt idx="140">
                  <c:v>197</c:v>
                </c:pt>
                <c:pt idx="141">
                  <c:v>204</c:v>
                </c:pt>
                <c:pt idx="142">
                  <c:v>208</c:v>
                </c:pt>
                <c:pt idx="143">
                  <c:v>215</c:v>
                </c:pt>
                <c:pt idx="144">
                  <c:v>224</c:v>
                </c:pt>
                <c:pt idx="145">
                  <c:v>234</c:v>
                </c:pt>
                <c:pt idx="146">
                  <c:v>247</c:v>
                </c:pt>
                <c:pt idx="147">
                  <c:v>262</c:v>
                </c:pt>
                <c:pt idx="148">
                  <c:v>277</c:v>
                </c:pt>
                <c:pt idx="149">
                  <c:v>291</c:v>
                </c:pt>
                <c:pt idx="150">
                  <c:v>304</c:v>
                </c:pt>
                <c:pt idx="151">
                  <c:v>313</c:v>
                </c:pt>
                <c:pt idx="152">
                  <c:v>314</c:v>
                </c:pt>
                <c:pt idx="153">
                  <c:v>311</c:v>
                </c:pt>
                <c:pt idx="154">
                  <c:v>315</c:v>
                </c:pt>
                <c:pt idx="155">
                  <c:v>326</c:v>
                </c:pt>
                <c:pt idx="156">
                  <c:v>332</c:v>
                </c:pt>
                <c:pt idx="157">
                  <c:v>335</c:v>
                </c:pt>
                <c:pt idx="158">
                  <c:v>340</c:v>
                </c:pt>
                <c:pt idx="159">
                  <c:v>347</c:v>
                </c:pt>
                <c:pt idx="160">
                  <c:v>355</c:v>
                </c:pt>
                <c:pt idx="161">
                  <c:v>365</c:v>
                </c:pt>
                <c:pt idx="162">
                  <c:v>375</c:v>
                </c:pt>
                <c:pt idx="163">
                  <c:v>387</c:v>
                </c:pt>
                <c:pt idx="164">
                  <c:v>399</c:v>
                </c:pt>
                <c:pt idx="165">
                  <c:v>412</c:v>
                </c:pt>
                <c:pt idx="166">
                  <c:v>424</c:v>
                </c:pt>
                <c:pt idx="167">
                  <c:v>436</c:v>
                </c:pt>
                <c:pt idx="168">
                  <c:v>447</c:v>
                </c:pt>
                <c:pt idx="169">
                  <c:v>460</c:v>
                </c:pt>
                <c:pt idx="170">
                  <c:v>473</c:v>
                </c:pt>
                <c:pt idx="171">
                  <c:v>489</c:v>
                </c:pt>
                <c:pt idx="172">
                  <c:v>506</c:v>
                </c:pt>
                <c:pt idx="173">
                  <c:v>522</c:v>
                </c:pt>
                <c:pt idx="174">
                  <c:v>537</c:v>
                </c:pt>
                <c:pt idx="175">
                  <c:v>553</c:v>
                </c:pt>
                <c:pt idx="176">
                  <c:v>569</c:v>
                </c:pt>
                <c:pt idx="177">
                  <c:v>580</c:v>
                </c:pt>
                <c:pt idx="178">
                  <c:v>590</c:v>
                </c:pt>
                <c:pt idx="179">
                  <c:v>606</c:v>
                </c:pt>
                <c:pt idx="180">
                  <c:v>628</c:v>
                </c:pt>
                <c:pt idx="181">
                  <c:v>652</c:v>
                </c:pt>
                <c:pt idx="182">
                  <c:v>677</c:v>
                </c:pt>
                <c:pt idx="183">
                  <c:v>696</c:v>
                </c:pt>
                <c:pt idx="184">
                  <c:v>714</c:v>
                </c:pt>
                <c:pt idx="185">
                  <c:v>732</c:v>
                </c:pt>
                <c:pt idx="186">
                  <c:v>751</c:v>
                </c:pt>
                <c:pt idx="187">
                  <c:v>766</c:v>
                </c:pt>
                <c:pt idx="188">
                  <c:v>786</c:v>
                </c:pt>
                <c:pt idx="189">
                  <c:v>809</c:v>
                </c:pt>
                <c:pt idx="190">
                  <c:v>825</c:v>
                </c:pt>
                <c:pt idx="191">
                  <c:v>839</c:v>
                </c:pt>
                <c:pt idx="192">
                  <c:v>849</c:v>
                </c:pt>
                <c:pt idx="193">
                  <c:v>856</c:v>
                </c:pt>
                <c:pt idx="194">
                  <c:v>870</c:v>
                </c:pt>
                <c:pt idx="195">
                  <c:v>884</c:v>
                </c:pt>
                <c:pt idx="196">
                  <c:v>898</c:v>
                </c:pt>
                <c:pt idx="197">
                  <c:v>914</c:v>
                </c:pt>
                <c:pt idx="198">
                  <c:v>930</c:v>
                </c:pt>
                <c:pt idx="199">
                  <c:v>945</c:v>
                </c:pt>
                <c:pt idx="200">
                  <c:v>961</c:v>
                </c:pt>
                <c:pt idx="201">
                  <c:v>973</c:v>
                </c:pt>
                <c:pt idx="202">
                  <c:v>987</c:v>
                </c:pt>
                <c:pt idx="203">
                  <c:v>1004</c:v>
                </c:pt>
                <c:pt idx="204">
                  <c:v>1020</c:v>
                </c:pt>
                <c:pt idx="205">
                  <c:v>1039</c:v>
                </c:pt>
                <c:pt idx="206">
                  <c:v>1059</c:v>
                </c:pt>
                <c:pt idx="207">
                  <c:v>1079</c:v>
                </c:pt>
                <c:pt idx="208">
                  <c:v>1097</c:v>
                </c:pt>
                <c:pt idx="209">
                  <c:v>1113</c:v>
                </c:pt>
                <c:pt idx="210">
                  <c:v>1126</c:v>
                </c:pt>
                <c:pt idx="211">
                  <c:v>1142</c:v>
                </c:pt>
                <c:pt idx="212">
                  <c:v>1157</c:v>
                </c:pt>
                <c:pt idx="213">
                  <c:v>1171</c:v>
                </c:pt>
                <c:pt idx="214">
                  <c:v>1186</c:v>
                </c:pt>
                <c:pt idx="215">
                  <c:v>1199</c:v>
                </c:pt>
                <c:pt idx="216">
                  <c:v>1214</c:v>
                </c:pt>
                <c:pt idx="217">
                  <c:v>1231</c:v>
                </c:pt>
                <c:pt idx="218">
                  <c:v>1243</c:v>
                </c:pt>
                <c:pt idx="219">
                  <c:v>1259</c:v>
                </c:pt>
                <c:pt idx="220">
                  <c:v>1276</c:v>
                </c:pt>
                <c:pt idx="221">
                  <c:v>1288</c:v>
                </c:pt>
                <c:pt idx="222">
                  <c:v>1298</c:v>
                </c:pt>
                <c:pt idx="223">
                  <c:v>1307</c:v>
                </c:pt>
                <c:pt idx="224">
                  <c:v>1312</c:v>
                </c:pt>
                <c:pt idx="225">
                  <c:v>1319</c:v>
                </c:pt>
                <c:pt idx="226">
                  <c:v>1328</c:v>
                </c:pt>
                <c:pt idx="227">
                  <c:v>1339</c:v>
                </c:pt>
                <c:pt idx="228">
                  <c:v>1349</c:v>
                </c:pt>
                <c:pt idx="229">
                  <c:v>1359</c:v>
                </c:pt>
                <c:pt idx="230">
                  <c:v>1371</c:v>
                </c:pt>
                <c:pt idx="231">
                  <c:v>1379</c:v>
                </c:pt>
                <c:pt idx="232">
                  <c:v>1386</c:v>
                </c:pt>
                <c:pt idx="233">
                  <c:v>1392</c:v>
                </c:pt>
                <c:pt idx="234">
                  <c:v>1399</c:v>
                </c:pt>
                <c:pt idx="235">
                  <c:v>1407</c:v>
                </c:pt>
                <c:pt idx="236">
                  <c:v>1418</c:v>
                </c:pt>
                <c:pt idx="237">
                  <c:v>1429</c:v>
                </c:pt>
                <c:pt idx="238">
                  <c:v>1442</c:v>
                </c:pt>
                <c:pt idx="239">
                  <c:v>1456</c:v>
                </c:pt>
                <c:pt idx="240">
                  <c:v>1471</c:v>
                </c:pt>
                <c:pt idx="241">
                  <c:v>1488</c:v>
                </c:pt>
                <c:pt idx="242">
                  <c:v>1501</c:v>
                </c:pt>
                <c:pt idx="243">
                  <c:v>1516</c:v>
                </c:pt>
                <c:pt idx="244">
                  <c:v>1532</c:v>
                </c:pt>
                <c:pt idx="245">
                  <c:v>1548</c:v>
                </c:pt>
                <c:pt idx="246">
                  <c:v>1560</c:v>
                </c:pt>
                <c:pt idx="247">
                  <c:v>1573</c:v>
                </c:pt>
                <c:pt idx="248">
                  <c:v>1588</c:v>
                </c:pt>
                <c:pt idx="249">
                  <c:v>1602</c:v>
                </c:pt>
                <c:pt idx="250">
                  <c:v>1615</c:v>
                </c:pt>
                <c:pt idx="251">
                  <c:v>1619</c:v>
                </c:pt>
                <c:pt idx="252">
                  <c:v>1620</c:v>
                </c:pt>
                <c:pt idx="253">
                  <c:v>1624</c:v>
                </c:pt>
                <c:pt idx="254">
                  <c:v>1629</c:v>
                </c:pt>
                <c:pt idx="255">
                  <c:v>1638</c:v>
                </c:pt>
                <c:pt idx="256">
                  <c:v>1645</c:v>
                </c:pt>
                <c:pt idx="257">
                  <c:v>1653</c:v>
                </c:pt>
                <c:pt idx="258">
                  <c:v>1661</c:v>
                </c:pt>
                <c:pt idx="259">
                  <c:v>1671</c:v>
                </c:pt>
                <c:pt idx="260">
                  <c:v>1674</c:v>
                </c:pt>
                <c:pt idx="261">
                  <c:v>1674</c:v>
                </c:pt>
                <c:pt idx="262">
                  <c:v>1674</c:v>
                </c:pt>
                <c:pt idx="263">
                  <c:v>1675</c:v>
                </c:pt>
                <c:pt idx="264">
                  <c:v>1679</c:v>
                </c:pt>
                <c:pt idx="265">
                  <c:v>1684</c:v>
                </c:pt>
                <c:pt idx="266">
                  <c:v>1684</c:v>
                </c:pt>
                <c:pt idx="267">
                  <c:v>1684</c:v>
                </c:pt>
                <c:pt idx="268">
                  <c:v>1684</c:v>
                </c:pt>
                <c:pt idx="269">
                  <c:v>1688</c:v>
                </c:pt>
                <c:pt idx="270">
                  <c:v>1693</c:v>
                </c:pt>
                <c:pt idx="271">
                  <c:v>1700</c:v>
                </c:pt>
                <c:pt idx="272">
                  <c:v>1706</c:v>
                </c:pt>
                <c:pt idx="273">
                  <c:v>1706</c:v>
                </c:pt>
                <c:pt idx="274">
                  <c:v>1708</c:v>
                </c:pt>
                <c:pt idx="275">
                  <c:v>1713</c:v>
                </c:pt>
                <c:pt idx="276">
                  <c:v>1716</c:v>
                </c:pt>
                <c:pt idx="277">
                  <c:v>1719</c:v>
                </c:pt>
                <c:pt idx="278">
                  <c:v>1720</c:v>
                </c:pt>
                <c:pt idx="279">
                  <c:v>1720</c:v>
                </c:pt>
                <c:pt idx="280">
                  <c:v>1720</c:v>
                </c:pt>
                <c:pt idx="281">
                  <c:v>1720</c:v>
                </c:pt>
                <c:pt idx="282">
                  <c:v>1720</c:v>
                </c:pt>
                <c:pt idx="283">
                  <c:v>1720</c:v>
                </c:pt>
                <c:pt idx="284">
                  <c:v>1720</c:v>
                </c:pt>
                <c:pt idx="285">
                  <c:v>1720</c:v>
                </c:pt>
                <c:pt idx="286">
                  <c:v>1720</c:v>
                </c:pt>
                <c:pt idx="287">
                  <c:v>1720</c:v>
                </c:pt>
                <c:pt idx="288">
                  <c:v>1720</c:v>
                </c:pt>
                <c:pt idx="289">
                  <c:v>1720</c:v>
                </c:pt>
                <c:pt idx="290">
                  <c:v>1720</c:v>
                </c:pt>
                <c:pt idx="291">
                  <c:v>1720</c:v>
                </c:pt>
                <c:pt idx="292">
                  <c:v>1720</c:v>
                </c:pt>
                <c:pt idx="293">
                  <c:v>1720</c:v>
                </c:pt>
                <c:pt idx="294">
                  <c:v>1720</c:v>
                </c:pt>
                <c:pt idx="295">
                  <c:v>1720</c:v>
                </c:pt>
                <c:pt idx="296">
                  <c:v>1720</c:v>
                </c:pt>
                <c:pt idx="297">
                  <c:v>1720</c:v>
                </c:pt>
                <c:pt idx="298">
                  <c:v>1720</c:v>
                </c:pt>
                <c:pt idx="299">
                  <c:v>1720</c:v>
                </c:pt>
                <c:pt idx="300">
                  <c:v>1720</c:v>
                </c:pt>
                <c:pt idx="301">
                  <c:v>1720</c:v>
                </c:pt>
                <c:pt idx="302">
                  <c:v>1720</c:v>
                </c:pt>
                <c:pt idx="303">
                  <c:v>1720</c:v>
                </c:pt>
                <c:pt idx="304">
                  <c:v>1720</c:v>
                </c:pt>
                <c:pt idx="305">
                  <c:v>1720</c:v>
                </c:pt>
                <c:pt idx="306">
                  <c:v>1720</c:v>
                </c:pt>
                <c:pt idx="307">
                  <c:v>1720</c:v>
                </c:pt>
                <c:pt idx="308">
                  <c:v>1720</c:v>
                </c:pt>
                <c:pt idx="309">
                  <c:v>1720</c:v>
                </c:pt>
                <c:pt idx="310">
                  <c:v>1720</c:v>
                </c:pt>
                <c:pt idx="311">
                  <c:v>1720</c:v>
                </c:pt>
                <c:pt idx="312">
                  <c:v>1720</c:v>
                </c:pt>
                <c:pt idx="313">
                  <c:v>1720</c:v>
                </c:pt>
                <c:pt idx="314">
                  <c:v>1720</c:v>
                </c:pt>
                <c:pt idx="315">
                  <c:v>1720</c:v>
                </c:pt>
                <c:pt idx="316">
                  <c:v>1720</c:v>
                </c:pt>
                <c:pt idx="317">
                  <c:v>1720</c:v>
                </c:pt>
                <c:pt idx="318">
                  <c:v>1720</c:v>
                </c:pt>
                <c:pt idx="319">
                  <c:v>1720</c:v>
                </c:pt>
                <c:pt idx="320">
                  <c:v>1720</c:v>
                </c:pt>
                <c:pt idx="321">
                  <c:v>1720</c:v>
                </c:pt>
                <c:pt idx="322">
                  <c:v>1720</c:v>
                </c:pt>
                <c:pt idx="323">
                  <c:v>1720</c:v>
                </c:pt>
                <c:pt idx="324">
                  <c:v>1720</c:v>
                </c:pt>
                <c:pt idx="325">
                  <c:v>1720</c:v>
                </c:pt>
                <c:pt idx="326">
                  <c:v>1720</c:v>
                </c:pt>
                <c:pt idx="327">
                  <c:v>1720</c:v>
                </c:pt>
                <c:pt idx="328">
                  <c:v>1720</c:v>
                </c:pt>
                <c:pt idx="329">
                  <c:v>1720</c:v>
                </c:pt>
                <c:pt idx="330">
                  <c:v>1720</c:v>
                </c:pt>
                <c:pt idx="331">
                  <c:v>1720</c:v>
                </c:pt>
                <c:pt idx="332">
                  <c:v>1720</c:v>
                </c:pt>
                <c:pt idx="333">
                  <c:v>1720</c:v>
                </c:pt>
                <c:pt idx="334">
                  <c:v>1720</c:v>
                </c:pt>
                <c:pt idx="335">
                  <c:v>1720</c:v>
                </c:pt>
                <c:pt idx="336">
                  <c:v>1720</c:v>
                </c:pt>
                <c:pt idx="337">
                  <c:v>1720</c:v>
                </c:pt>
                <c:pt idx="338">
                  <c:v>1720</c:v>
                </c:pt>
                <c:pt idx="339">
                  <c:v>1720</c:v>
                </c:pt>
                <c:pt idx="340">
                  <c:v>1720</c:v>
                </c:pt>
                <c:pt idx="341">
                  <c:v>1720</c:v>
                </c:pt>
                <c:pt idx="342">
                  <c:v>1720</c:v>
                </c:pt>
                <c:pt idx="343">
                  <c:v>1720</c:v>
                </c:pt>
                <c:pt idx="344">
                  <c:v>1720</c:v>
                </c:pt>
                <c:pt idx="345">
                  <c:v>1720</c:v>
                </c:pt>
                <c:pt idx="346">
                  <c:v>1720</c:v>
                </c:pt>
                <c:pt idx="347">
                  <c:v>1720</c:v>
                </c:pt>
                <c:pt idx="348">
                  <c:v>1720</c:v>
                </c:pt>
                <c:pt idx="349">
                  <c:v>1720</c:v>
                </c:pt>
                <c:pt idx="350">
                  <c:v>1720</c:v>
                </c:pt>
                <c:pt idx="351">
                  <c:v>1720</c:v>
                </c:pt>
                <c:pt idx="352">
                  <c:v>1720</c:v>
                </c:pt>
                <c:pt idx="353">
                  <c:v>1720</c:v>
                </c:pt>
                <c:pt idx="354">
                  <c:v>1720</c:v>
                </c:pt>
                <c:pt idx="355">
                  <c:v>1720</c:v>
                </c:pt>
                <c:pt idx="356">
                  <c:v>1720</c:v>
                </c:pt>
                <c:pt idx="357">
                  <c:v>1720</c:v>
                </c:pt>
                <c:pt idx="358">
                  <c:v>1720</c:v>
                </c:pt>
                <c:pt idx="359">
                  <c:v>1720</c:v>
                </c:pt>
                <c:pt idx="360">
                  <c:v>1720</c:v>
                </c:pt>
                <c:pt idx="361">
                  <c:v>1720</c:v>
                </c:pt>
                <c:pt idx="362">
                  <c:v>1720</c:v>
                </c:pt>
                <c:pt idx="363">
                  <c:v>1720</c:v>
                </c:pt>
                <c:pt idx="364">
                  <c:v>1720</c:v>
                </c:pt>
                <c:pt idx="365">
                  <c:v>1720</c:v>
                </c:pt>
              </c:numCache>
            </c:numRef>
          </c:val>
          <c:smooth val="0"/>
        </c:ser>
        <c:dLbls>
          <c:showLegendKey val="0"/>
          <c:showVal val="0"/>
          <c:showCatName val="0"/>
          <c:showSerName val="0"/>
          <c:showPercent val="0"/>
          <c:showBubbleSize val="0"/>
        </c:dLbls>
        <c:marker val="1"/>
        <c:smooth val="0"/>
        <c:axId val="174158976"/>
        <c:axId val="174160512"/>
      </c:lineChart>
      <c:catAx>
        <c:axId val="174158976"/>
        <c:scaling>
          <c:orientation val="minMax"/>
        </c:scaling>
        <c:delete val="0"/>
        <c:axPos val="b"/>
        <c:majorTickMark val="out"/>
        <c:minorTickMark val="none"/>
        <c:tickLblPos val="nextTo"/>
        <c:txPr>
          <a:bodyPr/>
          <a:lstStyle/>
          <a:p>
            <a:pPr>
              <a:defRPr sz="1200">
                <a:latin typeface="Times New Roman" pitchFamily="18" charset="0"/>
                <a:cs typeface="Times New Roman" pitchFamily="18" charset="0"/>
              </a:defRPr>
            </a:pPr>
            <a:endParaRPr lang="en-US"/>
          </a:p>
        </c:txPr>
        <c:crossAx val="174160512"/>
        <c:crosses val="autoZero"/>
        <c:auto val="0"/>
        <c:lblAlgn val="ctr"/>
        <c:lblOffset val="100"/>
        <c:noMultiLvlLbl val="0"/>
      </c:catAx>
      <c:valAx>
        <c:axId val="174160512"/>
        <c:scaling>
          <c:orientation val="minMax"/>
        </c:scaling>
        <c:delete val="0"/>
        <c:axPos val="l"/>
        <c:majorGridlines/>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en-US"/>
          </a:p>
        </c:txPr>
        <c:crossAx val="174158976"/>
        <c:crosses val="autoZero"/>
        <c:crossBetween val="between"/>
      </c:valAx>
    </c:plotArea>
    <c:legend>
      <c:legendPos val="b"/>
      <c:overlay val="0"/>
      <c:txPr>
        <a:bodyPr/>
        <a:lstStyle/>
        <a:p>
          <a:pPr>
            <a:defRPr sz="1200" b="1">
              <a:latin typeface="Times New Roman" pitchFamily="18" charset="0"/>
              <a:cs typeface="Times New Roman" pitchFamily="18" charset="0"/>
            </a:defRPr>
          </a:pPr>
          <a:endParaRPr lang="en-US"/>
        </a:p>
      </c:txPr>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66788782981075"/>
          <c:y val="0.130502500668741"/>
          <c:w val="0.67012875915763004"/>
          <c:h val="0.754118771628011"/>
        </c:manualLayout>
      </c:layout>
      <c:barChart>
        <c:barDir val="bar"/>
        <c:grouping val="stacked"/>
        <c:varyColors val="0"/>
        <c:ser>
          <c:idx val="0"/>
          <c:order val="0"/>
          <c:tx>
            <c:strRef>
              <c:f>Sheet1!$F$34</c:f>
              <c:strCache>
                <c:ptCount val="1"/>
                <c:pt idx="0">
                  <c:v>Bermuda LSD (0.05) 17.9</c:v>
                </c:pt>
              </c:strCache>
            </c:strRef>
          </c:tx>
          <c:invertIfNegative val="0"/>
          <c:cat>
            <c:multiLvlStrRef>
              <c:f>Sheet1!$D$35:$E$44</c:f>
              <c:multiLvlStrCache>
                <c:ptCount val="10"/>
                <c:lvl>
                  <c:pt idx="0">
                    <c:v>control</c:v>
                  </c:pt>
                  <c:pt idx="1">
                    <c:v>wood bluegrass</c:v>
                  </c:pt>
                  <c:pt idx="2">
                    <c:v>rough bluegrass</c:v>
                  </c:pt>
                  <c:pt idx="3">
                    <c:v>supina bluegrass</c:v>
                  </c:pt>
                  <c:pt idx="4">
                    <c:v>perennial ryegrass</c:v>
                  </c:pt>
                  <c:pt idx="5">
                    <c:v>control</c:v>
                  </c:pt>
                  <c:pt idx="6">
                    <c:v>wood bluegrass</c:v>
                  </c:pt>
                  <c:pt idx="7">
                    <c:v>rough bluegrass</c:v>
                  </c:pt>
                  <c:pt idx="8">
                    <c:v>supina bluegrass</c:v>
                  </c:pt>
                  <c:pt idx="9">
                    <c:v>perennial ryegrass</c:v>
                  </c:pt>
                </c:lvl>
                <c:lvl>
                  <c:pt idx="0">
                    <c:v>NT</c:v>
                  </c:pt>
                  <c:pt idx="5">
                    <c:v>TS</c:v>
                  </c:pt>
                </c:lvl>
              </c:multiLvlStrCache>
            </c:multiLvlStrRef>
          </c:cat>
          <c:val>
            <c:numRef>
              <c:f>Sheet1!$F$35:$F$44</c:f>
              <c:numCache>
                <c:formatCode>General</c:formatCode>
                <c:ptCount val="10"/>
                <c:pt idx="0">
                  <c:v>88</c:v>
                </c:pt>
                <c:pt idx="1">
                  <c:v>83.25</c:v>
                </c:pt>
                <c:pt idx="2">
                  <c:v>58.25</c:v>
                </c:pt>
                <c:pt idx="3">
                  <c:v>43.75</c:v>
                </c:pt>
                <c:pt idx="4">
                  <c:v>54</c:v>
                </c:pt>
                <c:pt idx="5">
                  <c:v>86</c:v>
                </c:pt>
                <c:pt idx="6">
                  <c:v>87</c:v>
                </c:pt>
                <c:pt idx="7">
                  <c:v>71.5</c:v>
                </c:pt>
                <c:pt idx="8">
                  <c:v>75.75</c:v>
                </c:pt>
                <c:pt idx="9">
                  <c:v>66.75</c:v>
                </c:pt>
              </c:numCache>
            </c:numRef>
          </c:val>
        </c:ser>
        <c:ser>
          <c:idx val="1"/>
          <c:order val="1"/>
          <c:tx>
            <c:strRef>
              <c:f>Sheet1!$G$34</c:f>
              <c:strCache>
                <c:ptCount val="1"/>
                <c:pt idx="0">
                  <c:v>Overseed LSD (0.05) 9.3</c:v>
                </c:pt>
              </c:strCache>
            </c:strRef>
          </c:tx>
          <c:invertIfNegative val="0"/>
          <c:cat>
            <c:multiLvlStrRef>
              <c:f>Sheet1!$D$35:$E$44</c:f>
              <c:multiLvlStrCache>
                <c:ptCount val="10"/>
                <c:lvl>
                  <c:pt idx="0">
                    <c:v>control</c:v>
                  </c:pt>
                  <c:pt idx="1">
                    <c:v>wood bluegrass</c:v>
                  </c:pt>
                  <c:pt idx="2">
                    <c:v>rough bluegrass</c:v>
                  </c:pt>
                  <c:pt idx="3">
                    <c:v>supina bluegrass</c:v>
                  </c:pt>
                  <c:pt idx="4">
                    <c:v>perennial ryegrass</c:v>
                  </c:pt>
                  <c:pt idx="5">
                    <c:v>control</c:v>
                  </c:pt>
                  <c:pt idx="6">
                    <c:v>wood bluegrass</c:v>
                  </c:pt>
                  <c:pt idx="7">
                    <c:v>rough bluegrass</c:v>
                  </c:pt>
                  <c:pt idx="8">
                    <c:v>supina bluegrass</c:v>
                  </c:pt>
                  <c:pt idx="9">
                    <c:v>perennial ryegrass</c:v>
                  </c:pt>
                </c:lvl>
                <c:lvl>
                  <c:pt idx="0">
                    <c:v>NT</c:v>
                  </c:pt>
                  <c:pt idx="5">
                    <c:v>TS</c:v>
                  </c:pt>
                </c:lvl>
              </c:multiLvlStrCache>
            </c:multiLvlStrRef>
          </c:cat>
          <c:val>
            <c:numRef>
              <c:f>Sheet1!$G$35:$G$44</c:f>
              <c:numCache>
                <c:formatCode>General</c:formatCode>
                <c:ptCount val="10"/>
                <c:pt idx="0">
                  <c:v>7.75</c:v>
                </c:pt>
                <c:pt idx="1">
                  <c:v>16.75</c:v>
                </c:pt>
                <c:pt idx="2">
                  <c:v>41.75</c:v>
                </c:pt>
                <c:pt idx="3">
                  <c:v>56.25</c:v>
                </c:pt>
                <c:pt idx="4">
                  <c:v>44</c:v>
                </c:pt>
                <c:pt idx="5">
                  <c:v>0.5</c:v>
                </c:pt>
                <c:pt idx="6">
                  <c:v>0</c:v>
                </c:pt>
                <c:pt idx="7">
                  <c:v>0</c:v>
                </c:pt>
                <c:pt idx="8">
                  <c:v>9</c:v>
                </c:pt>
                <c:pt idx="9">
                  <c:v>0</c:v>
                </c:pt>
              </c:numCache>
            </c:numRef>
          </c:val>
        </c:ser>
        <c:dLbls>
          <c:showLegendKey val="0"/>
          <c:showVal val="0"/>
          <c:showCatName val="0"/>
          <c:showSerName val="0"/>
          <c:showPercent val="0"/>
          <c:showBubbleSize val="0"/>
        </c:dLbls>
        <c:gapWidth val="150"/>
        <c:overlap val="100"/>
        <c:axId val="175590400"/>
        <c:axId val="175596288"/>
      </c:barChart>
      <c:catAx>
        <c:axId val="175590400"/>
        <c:scaling>
          <c:orientation val="minMax"/>
        </c:scaling>
        <c:delete val="0"/>
        <c:axPos val="l"/>
        <c:majorTickMark val="out"/>
        <c:minorTickMark val="none"/>
        <c:tickLblPos val="nextTo"/>
        <c:txPr>
          <a:bodyPr/>
          <a:lstStyle/>
          <a:p>
            <a:pPr>
              <a:defRPr b="1"/>
            </a:pPr>
            <a:endParaRPr lang="en-US"/>
          </a:p>
        </c:txPr>
        <c:crossAx val="175596288"/>
        <c:crosses val="autoZero"/>
        <c:auto val="1"/>
        <c:lblAlgn val="ctr"/>
        <c:lblOffset val="100"/>
        <c:noMultiLvlLbl val="0"/>
      </c:catAx>
      <c:valAx>
        <c:axId val="175596288"/>
        <c:scaling>
          <c:orientation val="minMax"/>
          <c:max val="100"/>
        </c:scaling>
        <c:delete val="0"/>
        <c:axPos val="b"/>
        <c:majorGridlines/>
        <c:numFmt formatCode="General" sourceLinked="1"/>
        <c:majorTickMark val="out"/>
        <c:minorTickMark val="none"/>
        <c:tickLblPos val="nextTo"/>
        <c:txPr>
          <a:bodyPr/>
          <a:lstStyle/>
          <a:p>
            <a:pPr>
              <a:defRPr b="1"/>
            </a:pPr>
            <a:endParaRPr lang="en-US"/>
          </a:p>
        </c:txPr>
        <c:crossAx val="175590400"/>
        <c:crosses val="autoZero"/>
        <c:crossBetween val="between"/>
      </c:valAx>
    </c:plotArea>
    <c:legend>
      <c:legendPos val="t"/>
      <c:overlay val="0"/>
      <c:txPr>
        <a:bodyPr/>
        <a:lstStyle/>
        <a:p>
          <a:pPr>
            <a:defRPr b="1"/>
          </a:pPr>
          <a:endParaRPr lang="en-US"/>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66788782981075"/>
          <c:y val="0.130502500668741"/>
          <c:w val="0.67012875915763004"/>
          <c:h val="0.754118771628011"/>
        </c:manualLayout>
      </c:layout>
      <c:barChart>
        <c:barDir val="bar"/>
        <c:grouping val="stacked"/>
        <c:varyColors val="0"/>
        <c:ser>
          <c:idx val="0"/>
          <c:order val="0"/>
          <c:tx>
            <c:strRef>
              <c:f>Sheet1!$F$46</c:f>
              <c:strCache>
                <c:ptCount val="1"/>
                <c:pt idx="0">
                  <c:v>Bermuda LSD (0.05) 11.7</c:v>
                </c:pt>
              </c:strCache>
            </c:strRef>
          </c:tx>
          <c:invertIfNegative val="0"/>
          <c:cat>
            <c:multiLvlStrRef>
              <c:f>Sheet1!$D$47:$E$56</c:f>
              <c:multiLvlStrCache>
                <c:ptCount val="10"/>
                <c:lvl>
                  <c:pt idx="0">
                    <c:v>control</c:v>
                  </c:pt>
                  <c:pt idx="1">
                    <c:v>wood bluegrass</c:v>
                  </c:pt>
                  <c:pt idx="2">
                    <c:v>rough bluegrass</c:v>
                  </c:pt>
                  <c:pt idx="3">
                    <c:v>supina bluegrass</c:v>
                  </c:pt>
                  <c:pt idx="4">
                    <c:v>perennial ryegrass</c:v>
                  </c:pt>
                  <c:pt idx="5">
                    <c:v>control</c:v>
                  </c:pt>
                  <c:pt idx="6">
                    <c:v>wood bluegrass</c:v>
                  </c:pt>
                  <c:pt idx="7">
                    <c:v>rough bluegrass</c:v>
                  </c:pt>
                  <c:pt idx="8">
                    <c:v>supina bluegrass</c:v>
                  </c:pt>
                  <c:pt idx="9">
                    <c:v>perennial ryegrass</c:v>
                  </c:pt>
                </c:lvl>
                <c:lvl>
                  <c:pt idx="0">
                    <c:v>NT</c:v>
                  </c:pt>
                  <c:pt idx="5">
                    <c:v>TS</c:v>
                  </c:pt>
                </c:lvl>
              </c:multiLvlStrCache>
            </c:multiLvlStrRef>
          </c:cat>
          <c:val>
            <c:numRef>
              <c:f>Sheet1!$F$47:$F$56</c:f>
              <c:numCache>
                <c:formatCode>General</c:formatCode>
                <c:ptCount val="10"/>
                <c:pt idx="0">
                  <c:v>94.5</c:v>
                </c:pt>
                <c:pt idx="1">
                  <c:v>95.75</c:v>
                </c:pt>
                <c:pt idx="2">
                  <c:v>70.75</c:v>
                </c:pt>
                <c:pt idx="3">
                  <c:v>47.25</c:v>
                </c:pt>
                <c:pt idx="4">
                  <c:v>75</c:v>
                </c:pt>
                <c:pt idx="5">
                  <c:v>96</c:v>
                </c:pt>
                <c:pt idx="6">
                  <c:v>97</c:v>
                </c:pt>
                <c:pt idx="7">
                  <c:v>88.25</c:v>
                </c:pt>
                <c:pt idx="8">
                  <c:v>91</c:v>
                </c:pt>
                <c:pt idx="9">
                  <c:v>86.5</c:v>
                </c:pt>
              </c:numCache>
            </c:numRef>
          </c:val>
        </c:ser>
        <c:ser>
          <c:idx val="1"/>
          <c:order val="1"/>
          <c:tx>
            <c:strRef>
              <c:f>Sheet1!$G$46</c:f>
              <c:strCache>
                <c:ptCount val="1"/>
                <c:pt idx="0">
                  <c:v>Overseed LSD (0.05) 8.5</c:v>
                </c:pt>
              </c:strCache>
            </c:strRef>
          </c:tx>
          <c:invertIfNegative val="0"/>
          <c:cat>
            <c:multiLvlStrRef>
              <c:f>Sheet1!$D$47:$E$56</c:f>
              <c:multiLvlStrCache>
                <c:ptCount val="10"/>
                <c:lvl>
                  <c:pt idx="0">
                    <c:v>control</c:v>
                  </c:pt>
                  <c:pt idx="1">
                    <c:v>wood bluegrass</c:v>
                  </c:pt>
                  <c:pt idx="2">
                    <c:v>rough bluegrass</c:v>
                  </c:pt>
                  <c:pt idx="3">
                    <c:v>supina bluegrass</c:v>
                  </c:pt>
                  <c:pt idx="4">
                    <c:v>perennial ryegrass</c:v>
                  </c:pt>
                  <c:pt idx="5">
                    <c:v>control</c:v>
                  </c:pt>
                  <c:pt idx="6">
                    <c:v>wood bluegrass</c:v>
                  </c:pt>
                  <c:pt idx="7">
                    <c:v>rough bluegrass</c:v>
                  </c:pt>
                  <c:pt idx="8">
                    <c:v>supina bluegrass</c:v>
                  </c:pt>
                  <c:pt idx="9">
                    <c:v>perennial ryegrass</c:v>
                  </c:pt>
                </c:lvl>
                <c:lvl>
                  <c:pt idx="0">
                    <c:v>NT</c:v>
                  </c:pt>
                  <c:pt idx="5">
                    <c:v>TS</c:v>
                  </c:pt>
                </c:lvl>
              </c:multiLvlStrCache>
            </c:multiLvlStrRef>
          </c:cat>
          <c:val>
            <c:numRef>
              <c:f>Sheet1!$G$47:$G$56</c:f>
              <c:numCache>
                <c:formatCode>General</c:formatCode>
                <c:ptCount val="10"/>
                <c:pt idx="0">
                  <c:v>4.5</c:v>
                </c:pt>
                <c:pt idx="1">
                  <c:v>0.75</c:v>
                </c:pt>
                <c:pt idx="2">
                  <c:v>24</c:v>
                </c:pt>
                <c:pt idx="3">
                  <c:v>58.25</c:v>
                </c:pt>
                <c:pt idx="4">
                  <c:v>24</c:v>
                </c:pt>
                <c:pt idx="5">
                  <c:v>0</c:v>
                </c:pt>
                <c:pt idx="6">
                  <c:v>0</c:v>
                </c:pt>
                <c:pt idx="7">
                  <c:v>0</c:v>
                </c:pt>
                <c:pt idx="8">
                  <c:v>0</c:v>
                </c:pt>
                <c:pt idx="9">
                  <c:v>0.25</c:v>
                </c:pt>
              </c:numCache>
            </c:numRef>
          </c:val>
        </c:ser>
        <c:dLbls>
          <c:showLegendKey val="0"/>
          <c:showVal val="0"/>
          <c:showCatName val="0"/>
          <c:showSerName val="0"/>
          <c:showPercent val="0"/>
          <c:showBubbleSize val="0"/>
        </c:dLbls>
        <c:gapWidth val="150"/>
        <c:overlap val="100"/>
        <c:axId val="177091712"/>
        <c:axId val="177093248"/>
      </c:barChart>
      <c:catAx>
        <c:axId val="177091712"/>
        <c:scaling>
          <c:orientation val="minMax"/>
        </c:scaling>
        <c:delete val="0"/>
        <c:axPos val="l"/>
        <c:majorTickMark val="out"/>
        <c:minorTickMark val="none"/>
        <c:tickLblPos val="nextTo"/>
        <c:txPr>
          <a:bodyPr/>
          <a:lstStyle/>
          <a:p>
            <a:pPr>
              <a:defRPr b="1"/>
            </a:pPr>
            <a:endParaRPr lang="en-US"/>
          </a:p>
        </c:txPr>
        <c:crossAx val="177093248"/>
        <c:crosses val="autoZero"/>
        <c:auto val="1"/>
        <c:lblAlgn val="ctr"/>
        <c:lblOffset val="100"/>
        <c:noMultiLvlLbl val="0"/>
      </c:catAx>
      <c:valAx>
        <c:axId val="177093248"/>
        <c:scaling>
          <c:orientation val="minMax"/>
          <c:max val="100"/>
        </c:scaling>
        <c:delete val="0"/>
        <c:axPos val="b"/>
        <c:majorGridlines/>
        <c:numFmt formatCode="General" sourceLinked="1"/>
        <c:majorTickMark val="out"/>
        <c:minorTickMark val="none"/>
        <c:tickLblPos val="nextTo"/>
        <c:txPr>
          <a:bodyPr/>
          <a:lstStyle/>
          <a:p>
            <a:pPr>
              <a:defRPr b="1"/>
            </a:pPr>
            <a:endParaRPr lang="en-US"/>
          </a:p>
        </c:txPr>
        <c:crossAx val="177091712"/>
        <c:crosses val="autoZero"/>
        <c:crossBetween val="between"/>
      </c:valAx>
    </c:plotArea>
    <c:legend>
      <c:legendPos val="t"/>
      <c:overlay val="0"/>
      <c:txPr>
        <a:bodyPr/>
        <a:lstStyle/>
        <a:p>
          <a:pPr>
            <a:defRPr b="1"/>
          </a:pPr>
          <a:endParaRPr lang="en-US"/>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66788782981075"/>
          <c:y val="0.130502500668741"/>
          <c:w val="0.67012875915763004"/>
          <c:h val="0.754118771628011"/>
        </c:manualLayout>
      </c:layout>
      <c:barChart>
        <c:barDir val="bar"/>
        <c:grouping val="stacked"/>
        <c:varyColors val="0"/>
        <c:ser>
          <c:idx val="0"/>
          <c:order val="0"/>
          <c:tx>
            <c:strRef>
              <c:f>Sheet1!$F$58</c:f>
              <c:strCache>
                <c:ptCount val="1"/>
                <c:pt idx="0">
                  <c:v>Bermuda LSD(0.05) 9.80</c:v>
                </c:pt>
              </c:strCache>
            </c:strRef>
          </c:tx>
          <c:invertIfNegative val="0"/>
          <c:cat>
            <c:multiLvlStrRef>
              <c:f>Sheet1!$D$59:$E$68</c:f>
              <c:multiLvlStrCache>
                <c:ptCount val="10"/>
                <c:lvl>
                  <c:pt idx="0">
                    <c:v>control</c:v>
                  </c:pt>
                  <c:pt idx="1">
                    <c:v>wood bluegrass</c:v>
                  </c:pt>
                  <c:pt idx="2">
                    <c:v>rough bluegrass</c:v>
                  </c:pt>
                  <c:pt idx="3">
                    <c:v>supina bluegrass</c:v>
                  </c:pt>
                  <c:pt idx="4">
                    <c:v>perennial ryegrass</c:v>
                  </c:pt>
                  <c:pt idx="5">
                    <c:v>control</c:v>
                  </c:pt>
                  <c:pt idx="6">
                    <c:v>wood bluegrass</c:v>
                  </c:pt>
                  <c:pt idx="7">
                    <c:v>rough bluegrass</c:v>
                  </c:pt>
                  <c:pt idx="8">
                    <c:v>supina bluegrass</c:v>
                  </c:pt>
                  <c:pt idx="9">
                    <c:v>perennial ryegrass</c:v>
                  </c:pt>
                </c:lvl>
                <c:lvl>
                  <c:pt idx="0">
                    <c:v>NT</c:v>
                  </c:pt>
                  <c:pt idx="5">
                    <c:v>TS</c:v>
                  </c:pt>
                </c:lvl>
              </c:multiLvlStrCache>
            </c:multiLvlStrRef>
          </c:cat>
          <c:val>
            <c:numRef>
              <c:f>Sheet1!$F$59:$F$68</c:f>
              <c:numCache>
                <c:formatCode>General</c:formatCode>
                <c:ptCount val="10"/>
                <c:pt idx="0">
                  <c:v>95.25</c:v>
                </c:pt>
                <c:pt idx="1">
                  <c:v>92.5</c:v>
                </c:pt>
                <c:pt idx="2">
                  <c:v>64</c:v>
                </c:pt>
                <c:pt idx="3">
                  <c:v>32.25</c:v>
                </c:pt>
                <c:pt idx="4">
                  <c:v>65.75</c:v>
                </c:pt>
                <c:pt idx="5">
                  <c:v>99.75</c:v>
                </c:pt>
                <c:pt idx="6">
                  <c:v>99.5</c:v>
                </c:pt>
                <c:pt idx="7">
                  <c:v>98.25</c:v>
                </c:pt>
                <c:pt idx="8">
                  <c:v>81.25</c:v>
                </c:pt>
                <c:pt idx="9">
                  <c:v>96.75</c:v>
                </c:pt>
              </c:numCache>
            </c:numRef>
          </c:val>
        </c:ser>
        <c:ser>
          <c:idx val="1"/>
          <c:order val="1"/>
          <c:tx>
            <c:strRef>
              <c:f>Sheet1!$G$58</c:f>
              <c:strCache>
                <c:ptCount val="1"/>
                <c:pt idx="0">
                  <c:v>Overseed LSD(0.05) 11.35</c:v>
                </c:pt>
              </c:strCache>
            </c:strRef>
          </c:tx>
          <c:invertIfNegative val="0"/>
          <c:cat>
            <c:multiLvlStrRef>
              <c:f>Sheet1!$D$59:$E$68</c:f>
              <c:multiLvlStrCache>
                <c:ptCount val="10"/>
                <c:lvl>
                  <c:pt idx="0">
                    <c:v>control</c:v>
                  </c:pt>
                  <c:pt idx="1">
                    <c:v>wood bluegrass</c:v>
                  </c:pt>
                  <c:pt idx="2">
                    <c:v>rough bluegrass</c:v>
                  </c:pt>
                  <c:pt idx="3">
                    <c:v>supina bluegrass</c:v>
                  </c:pt>
                  <c:pt idx="4">
                    <c:v>perennial ryegrass</c:v>
                  </c:pt>
                  <c:pt idx="5">
                    <c:v>control</c:v>
                  </c:pt>
                  <c:pt idx="6">
                    <c:v>wood bluegrass</c:v>
                  </c:pt>
                  <c:pt idx="7">
                    <c:v>rough bluegrass</c:v>
                  </c:pt>
                  <c:pt idx="8">
                    <c:v>supina bluegrass</c:v>
                  </c:pt>
                  <c:pt idx="9">
                    <c:v>perennial ryegrass</c:v>
                  </c:pt>
                </c:lvl>
                <c:lvl>
                  <c:pt idx="0">
                    <c:v>NT</c:v>
                  </c:pt>
                  <c:pt idx="5">
                    <c:v>TS</c:v>
                  </c:pt>
                </c:lvl>
              </c:multiLvlStrCache>
            </c:multiLvlStrRef>
          </c:cat>
          <c:val>
            <c:numRef>
              <c:f>Sheet1!$G$59:$G$68</c:f>
              <c:numCache>
                <c:formatCode>General</c:formatCode>
                <c:ptCount val="10"/>
                <c:pt idx="0">
                  <c:v>4.75</c:v>
                </c:pt>
                <c:pt idx="1">
                  <c:v>7.5</c:v>
                </c:pt>
                <c:pt idx="2">
                  <c:v>36</c:v>
                </c:pt>
                <c:pt idx="3">
                  <c:v>67.75</c:v>
                </c:pt>
                <c:pt idx="4">
                  <c:v>34.25</c:v>
                </c:pt>
                <c:pt idx="5">
                  <c:v>0.25</c:v>
                </c:pt>
                <c:pt idx="6">
                  <c:v>0</c:v>
                </c:pt>
                <c:pt idx="7">
                  <c:v>0.75</c:v>
                </c:pt>
                <c:pt idx="8">
                  <c:v>18.75</c:v>
                </c:pt>
                <c:pt idx="9">
                  <c:v>0</c:v>
                </c:pt>
              </c:numCache>
            </c:numRef>
          </c:val>
        </c:ser>
        <c:dLbls>
          <c:showLegendKey val="0"/>
          <c:showVal val="0"/>
          <c:showCatName val="0"/>
          <c:showSerName val="0"/>
          <c:showPercent val="0"/>
          <c:showBubbleSize val="0"/>
        </c:dLbls>
        <c:gapWidth val="150"/>
        <c:overlap val="100"/>
        <c:axId val="176892928"/>
        <c:axId val="176960256"/>
      </c:barChart>
      <c:catAx>
        <c:axId val="176892928"/>
        <c:scaling>
          <c:orientation val="minMax"/>
        </c:scaling>
        <c:delete val="0"/>
        <c:axPos val="l"/>
        <c:majorTickMark val="out"/>
        <c:minorTickMark val="none"/>
        <c:tickLblPos val="nextTo"/>
        <c:txPr>
          <a:bodyPr/>
          <a:lstStyle/>
          <a:p>
            <a:pPr>
              <a:defRPr b="1"/>
            </a:pPr>
            <a:endParaRPr lang="en-US"/>
          </a:p>
        </c:txPr>
        <c:crossAx val="176960256"/>
        <c:crosses val="autoZero"/>
        <c:auto val="1"/>
        <c:lblAlgn val="ctr"/>
        <c:lblOffset val="100"/>
        <c:noMultiLvlLbl val="0"/>
      </c:catAx>
      <c:valAx>
        <c:axId val="176960256"/>
        <c:scaling>
          <c:orientation val="minMax"/>
          <c:max val="100"/>
        </c:scaling>
        <c:delete val="0"/>
        <c:axPos val="b"/>
        <c:majorGridlines/>
        <c:numFmt formatCode="General" sourceLinked="1"/>
        <c:majorTickMark val="out"/>
        <c:minorTickMark val="none"/>
        <c:tickLblPos val="nextTo"/>
        <c:txPr>
          <a:bodyPr/>
          <a:lstStyle/>
          <a:p>
            <a:pPr>
              <a:defRPr b="1"/>
            </a:pPr>
            <a:endParaRPr lang="en-US"/>
          </a:p>
        </c:txPr>
        <c:crossAx val="176892928"/>
        <c:crosses val="autoZero"/>
        <c:crossBetween val="between"/>
      </c:valAx>
    </c:plotArea>
    <c:legend>
      <c:legendPos val="t"/>
      <c:overlay val="0"/>
      <c:txPr>
        <a:bodyPr/>
        <a:lstStyle/>
        <a:p>
          <a:pPr>
            <a:defRPr b="1"/>
          </a:pPr>
          <a:endParaRPr lang="en-US"/>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66788782981075"/>
          <c:y val="0.130502500668741"/>
          <c:w val="0.67012875915763004"/>
          <c:h val="0.754118771628011"/>
        </c:manualLayout>
      </c:layout>
      <c:barChart>
        <c:barDir val="bar"/>
        <c:grouping val="stacked"/>
        <c:varyColors val="0"/>
        <c:ser>
          <c:idx val="0"/>
          <c:order val="0"/>
          <c:tx>
            <c:strRef>
              <c:f>Sheet1!$F$70</c:f>
              <c:strCache>
                <c:ptCount val="1"/>
                <c:pt idx="0">
                  <c:v>Bermuda LSD(0.05) 2.07</c:v>
                </c:pt>
              </c:strCache>
            </c:strRef>
          </c:tx>
          <c:invertIfNegative val="0"/>
          <c:cat>
            <c:multiLvlStrRef>
              <c:f>Sheet1!$D$71:$E$80</c:f>
              <c:multiLvlStrCache>
                <c:ptCount val="10"/>
                <c:lvl>
                  <c:pt idx="0">
                    <c:v>control</c:v>
                  </c:pt>
                  <c:pt idx="1">
                    <c:v>wood bluegrass</c:v>
                  </c:pt>
                  <c:pt idx="2">
                    <c:v>rough bluegrass</c:v>
                  </c:pt>
                  <c:pt idx="3">
                    <c:v>supina bluegrass</c:v>
                  </c:pt>
                  <c:pt idx="4">
                    <c:v>perennial ryegrass</c:v>
                  </c:pt>
                  <c:pt idx="5">
                    <c:v>control</c:v>
                  </c:pt>
                  <c:pt idx="6">
                    <c:v>wood bluegrass</c:v>
                  </c:pt>
                  <c:pt idx="7">
                    <c:v>rough bluegrass</c:v>
                  </c:pt>
                  <c:pt idx="8">
                    <c:v>supina bluegrass</c:v>
                  </c:pt>
                  <c:pt idx="9">
                    <c:v>perennial ryegrass</c:v>
                  </c:pt>
                </c:lvl>
                <c:lvl>
                  <c:pt idx="0">
                    <c:v>NT</c:v>
                  </c:pt>
                  <c:pt idx="5">
                    <c:v>TS</c:v>
                  </c:pt>
                </c:lvl>
              </c:multiLvlStrCache>
            </c:multiLvlStrRef>
          </c:cat>
          <c:val>
            <c:numRef>
              <c:f>Sheet1!$F$71:$F$80</c:f>
              <c:numCache>
                <c:formatCode>General</c:formatCode>
                <c:ptCount val="10"/>
                <c:pt idx="0">
                  <c:v>100</c:v>
                </c:pt>
                <c:pt idx="1">
                  <c:v>100</c:v>
                </c:pt>
                <c:pt idx="2">
                  <c:v>97</c:v>
                </c:pt>
                <c:pt idx="3">
                  <c:v>83.75</c:v>
                </c:pt>
                <c:pt idx="4">
                  <c:v>96.25</c:v>
                </c:pt>
                <c:pt idx="5">
                  <c:v>100</c:v>
                </c:pt>
                <c:pt idx="6">
                  <c:v>100</c:v>
                </c:pt>
                <c:pt idx="7">
                  <c:v>100</c:v>
                </c:pt>
                <c:pt idx="8">
                  <c:v>98.5</c:v>
                </c:pt>
                <c:pt idx="9">
                  <c:v>99.75</c:v>
                </c:pt>
              </c:numCache>
            </c:numRef>
          </c:val>
        </c:ser>
        <c:ser>
          <c:idx val="1"/>
          <c:order val="1"/>
          <c:tx>
            <c:strRef>
              <c:f>Sheet1!$G$70</c:f>
              <c:strCache>
                <c:ptCount val="1"/>
                <c:pt idx="0">
                  <c:v>Overseed LSD(0.05) 1.73</c:v>
                </c:pt>
              </c:strCache>
            </c:strRef>
          </c:tx>
          <c:invertIfNegative val="0"/>
          <c:cat>
            <c:multiLvlStrRef>
              <c:f>Sheet1!$D$71:$E$80</c:f>
              <c:multiLvlStrCache>
                <c:ptCount val="10"/>
                <c:lvl>
                  <c:pt idx="0">
                    <c:v>control</c:v>
                  </c:pt>
                  <c:pt idx="1">
                    <c:v>wood bluegrass</c:v>
                  </c:pt>
                  <c:pt idx="2">
                    <c:v>rough bluegrass</c:v>
                  </c:pt>
                  <c:pt idx="3">
                    <c:v>supina bluegrass</c:v>
                  </c:pt>
                  <c:pt idx="4">
                    <c:v>perennial ryegrass</c:v>
                  </c:pt>
                  <c:pt idx="5">
                    <c:v>control</c:v>
                  </c:pt>
                  <c:pt idx="6">
                    <c:v>wood bluegrass</c:v>
                  </c:pt>
                  <c:pt idx="7">
                    <c:v>rough bluegrass</c:v>
                  </c:pt>
                  <c:pt idx="8">
                    <c:v>supina bluegrass</c:v>
                  </c:pt>
                  <c:pt idx="9">
                    <c:v>perennial ryegrass</c:v>
                  </c:pt>
                </c:lvl>
                <c:lvl>
                  <c:pt idx="0">
                    <c:v>NT</c:v>
                  </c:pt>
                  <c:pt idx="5">
                    <c:v>TS</c:v>
                  </c:pt>
                </c:lvl>
              </c:multiLvlStrCache>
            </c:multiLvlStrRef>
          </c:cat>
          <c:val>
            <c:numRef>
              <c:f>Sheet1!$G$71:$G$80</c:f>
              <c:numCache>
                <c:formatCode>General</c:formatCode>
                <c:ptCount val="10"/>
                <c:pt idx="0">
                  <c:v>0</c:v>
                </c:pt>
                <c:pt idx="1">
                  <c:v>0</c:v>
                </c:pt>
                <c:pt idx="2">
                  <c:v>1.75</c:v>
                </c:pt>
                <c:pt idx="3">
                  <c:v>15</c:v>
                </c:pt>
                <c:pt idx="4">
                  <c:v>3.75</c:v>
                </c:pt>
                <c:pt idx="5">
                  <c:v>0</c:v>
                </c:pt>
                <c:pt idx="6">
                  <c:v>0</c:v>
                </c:pt>
                <c:pt idx="7">
                  <c:v>0</c:v>
                </c:pt>
                <c:pt idx="8">
                  <c:v>1.5</c:v>
                </c:pt>
                <c:pt idx="9">
                  <c:v>0</c:v>
                </c:pt>
              </c:numCache>
            </c:numRef>
          </c:val>
        </c:ser>
        <c:dLbls>
          <c:showLegendKey val="0"/>
          <c:showVal val="0"/>
          <c:showCatName val="0"/>
          <c:showSerName val="0"/>
          <c:showPercent val="0"/>
          <c:showBubbleSize val="0"/>
        </c:dLbls>
        <c:gapWidth val="150"/>
        <c:overlap val="100"/>
        <c:axId val="177165440"/>
        <c:axId val="177166976"/>
      </c:barChart>
      <c:catAx>
        <c:axId val="177165440"/>
        <c:scaling>
          <c:orientation val="minMax"/>
        </c:scaling>
        <c:delete val="0"/>
        <c:axPos val="l"/>
        <c:majorTickMark val="out"/>
        <c:minorTickMark val="none"/>
        <c:tickLblPos val="nextTo"/>
        <c:txPr>
          <a:bodyPr/>
          <a:lstStyle/>
          <a:p>
            <a:pPr>
              <a:defRPr b="1"/>
            </a:pPr>
            <a:endParaRPr lang="en-US"/>
          </a:p>
        </c:txPr>
        <c:crossAx val="177166976"/>
        <c:crosses val="autoZero"/>
        <c:auto val="1"/>
        <c:lblAlgn val="ctr"/>
        <c:lblOffset val="100"/>
        <c:noMultiLvlLbl val="0"/>
      </c:catAx>
      <c:valAx>
        <c:axId val="177166976"/>
        <c:scaling>
          <c:orientation val="minMax"/>
          <c:max val="100"/>
          <c:min val="0"/>
        </c:scaling>
        <c:delete val="0"/>
        <c:axPos val="b"/>
        <c:majorGridlines/>
        <c:numFmt formatCode="General" sourceLinked="1"/>
        <c:majorTickMark val="out"/>
        <c:minorTickMark val="none"/>
        <c:tickLblPos val="nextTo"/>
        <c:txPr>
          <a:bodyPr/>
          <a:lstStyle/>
          <a:p>
            <a:pPr>
              <a:defRPr b="1"/>
            </a:pPr>
            <a:endParaRPr lang="en-US"/>
          </a:p>
        </c:txPr>
        <c:crossAx val="177165440"/>
        <c:crosses val="autoZero"/>
        <c:crossBetween val="between"/>
      </c:valAx>
    </c:plotArea>
    <c:legend>
      <c:legendPos val="t"/>
      <c:overlay val="0"/>
      <c:txPr>
        <a:bodyPr/>
        <a:lstStyle/>
        <a:p>
          <a:pPr>
            <a:defRPr b="1"/>
          </a:pPr>
          <a:endParaRPr lang="en-US"/>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66788782981075"/>
          <c:y val="0.130502500668741"/>
          <c:w val="0.67012875915763004"/>
          <c:h val="0.754118771628011"/>
        </c:manualLayout>
      </c:layout>
      <c:barChart>
        <c:barDir val="bar"/>
        <c:grouping val="stacked"/>
        <c:varyColors val="0"/>
        <c:ser>
          <c:idx val="0"/>
          <c:order val="0"/>
          <c:tx>
            <c:strRef>
              <c:f>Fwy!$P$152</c:f>
              <c:strCache>
                <c:ptCount val="1"/>
                <c:pt idx="0">
                  <c:v>Bermuda LSD (0.05) 4.0</c:v>
                </c:pt>
              </c:strCache>
            </c:strRef>
          </c:tx>
          <c:invertIfNegative val="0"/>
          <c:cat>
            <c:multiLvlStrRef>
              <c:f>Fwy!$N$153:$O$164</c:f>
              <c:multiLvlStrCache>
                <c:ptCount val="12"/>
                <c:lvl>
                  <c:pt idx="0">
                    <c:v>control</c:v>
                  </c:pt>
                  <c:pt idx="1">
                    <c:v>annual ryegrass</c:v>
                  </c:pt>
                  <c:pt idx="2">
                    <c:v>intermediate ryegrass </c:v>
                  </c:pt>
                  <c:pt idx="3">
                    <c:v>perennial ryegrass</c:v>
                  </c:pt>
                  <c:pt idx="4">
                    <c:v>rough bluegrass</c:v>
                  </c:pt>
                  <c:pt idx="5">
                    <c:v>wood bluegrass</c:v>
                  </c:pt>
                  <c:pt idx="6">
                    <c:v>control</c:v>
                  </c:pt>
                  <c:pt idx="7">
                    <c:v>annual ryegrass</c:v>
                  </c:pt>
                  <c:pt idx="8">
                    <c:v>intermediate ryegrass </c:v>
                  </c:pt>
                  <c:pt idx="9">
                    <c:v>perennial ryegrass</c:v>
                  </c:pt>
                  <c:pt idx="10">
                    <c:v>rough bluegrass</c:v>
                  </c:pt>
                  <c:pt idx="11">
                    <c:v>wood bluegrass</c:v>
                  </c:pt>
                </c:lvl>
                <c:lvl>
                  <c:pt idx="0">
                    <c:v>NT</c:v>
                  </c:pt>
                  <c:pt idx="6">
                    <c:v>TS</c:v>
                  </c:pt>
                </c:lvl>
              </c:multiLvlStrCache>
            </c:multiLvlStrRef>
          </c:cat>
          <c:val>
            <c:numRef>
              <c:f>Fwy!$P$153:$P$164</c:f>
              <c:numCache>
                <c:formatCode>0</c:formatCode>
                <c:ptCount val="12"/>
                <c:pt idx="0">
                  <c:v>96.75</c:v>
                </c:pt>
                <c:pt idx="1">
                  <c:v>100</c:v>
                </c:pt>
                <c:pt idx="2">
                  <c:v>93</c:v>
                </c:pt>
                <c:pt idx="3">
                  <c:v>95.25</c:v>
                </c:pt>
                <c:pt idx="4">
                  <c:v>72.75</c:v>
                </c:pt>
                <c:pt idx="5">
                  <c:v>99.5</c:v>
                </c:pt>
                <c:pt idx="6">
                  <c:v>100</c:v>
                </c:pt>
                <c:pt idx="7">
                  <c:v>100</c:v>
                </c:pt>
                <c:pt idx="8">
                  <c:v>100</c:v>
                </c:pt>
                <c:pt idx="9">
                  <c:v>100</c:v>
                </c:pt>
                <c:pt idx="10">
                  <c:v>100</c:v>
                </c:pt>
                <c:pt idx="11">
                  <c:v>100</c:v>
                </c:pt>
              </c:numCache>
            </c:numRef>
          </c:val>
        </c:ser>
        <c:ser>
          <c:idx val="1"/>
          <c:order val="1"/>
          <c:tx>
            <c:strRef>
              <c:f>Fwy!$Q$152</c:f>
              <c:strCache>
                <c:ptCount val="1"/>
                <c:pt idx="0">
                  <c:v>Overseed LSD (0.05) 5.3</c:v>
                </c:pt>
              </c:strCache>
            </c:strRef>
          </c:tx>
          <c:invertIfNegative val="0"/>
          <c:cat>
            <c:multiLvlStrRef>
              <c:f>Fwy!$N$153:$O$164</c:f>
              <c:multiLvlStrCache>
                <c:ptCount val="12"/>
                <c:lvl>
                  <c:pt idx="0">
                    <c:v>control</c:v>
                  </c:pt>
                  <c:pt idx="1">
                    <c:v>annual ryegrass</c:v>
                  </c:pt>
                  <c:pt idx="2">
                    <c:v>intermediate ryegrass </c:v>
                  </c:pt>
                  <c:pt idx="3">
                    <c:v>perennial ryegrass</c:v>
                  </c:pt>
                  <c:pt idx="4">
                    <c:v>rough bluegrass</c:v>
                  </c:pt>
                  <c:pt idx="5">
                    <c:v>wood bluegrass</c:v>
                  </c:pt>
                  <c:pt idx="6">
                    <c:v>control</c:v>
                  </c:pt>
                  <c:pt idx="7">
                    <c:v>annual ryegrass</c:v>
                  </c:pt>
                  <c:pt idx="8">
                    <c:v>intermediate ryegrass </c:v>
                  </c:pt>
                  <c:pt idx="9">
                    <c:v>perennial ryegrass</c:v>
                  </c:pt>
                  <c:pt idx="10">
                    <c:v>rough bluegrass</c:v>
                  </c:pt>
                  <c:pt idx="11">
                    <c:v>wood bluegrass</c:v>
                  </c:pt>
                </c:lvl>
                <c:lvl>
                  <c:pt idx="0">
                    <c:v>NT</c:v>
                  </c:pt>
                  <c:pt idx="6">
                    <c:v>TS</c:v>
                  </c:pt>
                </c:lvl>
              </c:multiLvlStrCache>
            </c:multiLvlStrRef>
          </c:cat>
          <c:val>
            <c:numRef>
              <c:f>Fwy!$Q$153:$Q$164</c:f>
              <c:numCache>
                <c:formatCode>General</c:formatCode>
                <c:ptCount val="12"/>
                <c:pt idx="0">
                  <c:v>3.25</c:v>
                </c:pt>
                <c:pt idx="1">
                  <c:v>0</c:v>
                </c:pt>
                <c:pt idx="2">
                  <c:v>7</c:v>
                </c:pt>
                <c:pt idx="3">
                  <c:v>4.75</c:v>
                </c:pt>
                <c:pt idx="4">
                  <c:v>27.25</c:v>
                </c:pt>
                <c:pt idx="5">
                  <c:v>0</c:v>
                </c:pt>
                <c:pt idx="6">
                  <c:v>0</c:v>
                </c:pt>
                <c:pt idx="7">
                  <c:v>0</c:v>
                </c:pt>
                <c:pt idx="8">
                  <c:v>0</c:v>
                </c:pt>
                <c:pt idx="9">
                  <c:v>0</c:v>
                </c:pt>
                <c:pt idx="10">
                  <c:v>0</c:v>
                </c:pt>
                <c:pt idx="11">
                  <c:v>0</c:v>
                </c:pt>
              </c:numCache>
            </c:numRef>
          </c:val>
        </c:ser>
        <c:dLbls>
          <c:showLegendKey val="0"/>
          <c:showVal val="0"/>
          <c:showCatName val="0"/>
          <c:showSerName val="0"/>
          <c:showPercent val="0"/>
          <c:showBubbleSize val="0"/>
        </c:dLbls>
        <c:gapWidth val="150"/>
        <c:overlap val="100"/>
        <c:axId val="176942080"/>
        <c:axId val="177296128"/>
      </c:barChart>
      <c:catAx>
        <c:axId val="176942080"/>
        <c:scaling>
          <c:orientation val="minMax"/>
        </c:scaling>
        <c:delete val="0"/>
        <c:axPos val="l"/>
        <c:majorTickMark val="out"/>
        <c:minorTickMark val="none"/>
        <c:tickLblPos val="nextTo"/>
        <c:txPr>
          <a:bodyPr/>
          <a:lstStyle/>
          <a:p>
            <a:pPr>
              <a:defRPr b="1"/>
            </a:pPr>
            <a:endParaRPr lang="en-US"/>
          </a:p>
        </c:txPr>
        <c:crossAx val="177296128"/>
        <c:crosses val="autoZero"/>
        <c:auto val="1"/>
        <c:lblAlgn val="ctr"/>
        <c:lblOffset val="100"/>
        <c:noMultiLvlLbl val="0"/>
      </c:catAx>
      <c:valAx>
        <c:axId val="177296128"/>
        <c:scaling>
          <c:orientation val="minMax"/>
          <c:max val="100"/>
        </c:scaling>
        <c:delete val="0"/>
        <c:axPos val="b"/>
        <c:majorGridlines/>
        <c:numFmt formatCode="0" sourceLinked="1"/>
        <c:majorTickMark val="out"/>
        <c:minorTickMark val="none"/>
        <c:tickLblPos val="nextTo"/>
        <c:txPr>
          <a:bodyPr/>
          <a:lstStyle/>
          <a:p>
            <a:pPr>
              <a:defRPr b="1"/>
            </a:pPr>
            <a:endParaRPr lang="en-US"/>
          </a:p>
        </c:txPr>
        <c:crossAx val="176942080"/>
        <c:crosses val="autoZero"/>
        <c:crossBetween val="between"/>
      </c:valAx>
    </c:plotArea>
    <c:legend>
      <c:legendPos val="t"/>
      <c:overlay val="0"/>
      <c:txPr>
        <a:bodyPr/>
        <a:lstStyle/>
        <a:p>
          <a:pPr>
            <a:defRPr b="1"/>
          </a:pPr>
          <a:endParaRPr lang="en-US"/>
        </a:p>
      </c:txPr>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0.03954</cdr:x>
      <cdr:y>0.25124</cdr:y>
    </cdr:from>
    <cdr:to>
      <cdr:x>0.89926</cdr:x>
      <cdr:y>0.66676</cdr:y>
    </cdr:to>
    <cdr:sp macro="" textlink="">
      <cdr:nvSpPr>
        <cdr:cNvPr id="2" name="Rectangle 1"/>
        <cdr:cNvSpPr/>
      </cdr:nvSpPr>
      <cdr:spPr>
        <a:xfrm xmlns:a="http://schemas.openxmlformats.org/drawingml/2006/main">
          <a:off x="325398" y="987376"/>
          <a:ext cx="7075152" cy="1632993"/>
        </a:xfrm>
        <a:prstGeom xmlns:a="http://schemas.openxmlformats.org/drawingml/2006/main" prst="rect">
          <a:avLst/>
        </a:prstGeom>
        <a:solidFill xmlns:a="http://schemas.openxmlformats.org/drawingml/2006/main">
          <a:srgbClr val="FFFF00">
            <a:alpha val="50000"/>
          </a:srgb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0.67001</cdr:x>
      <cdr:y>0.68948</cdr:y>
    </cdr:from>
    <cdr:to>
      <cdr:x>0.68145</cdr:x>
      <cdr:y>0.72031</cdr:y>
    </cdr:to>
    <cdr:sp macro="" textlink="">
      <cdr:nvSpPr>
        <cdr:cNvPr id="7" name="5-Point Star 6"/>
        <cdr:cNvSpPr/>
      </cdr:nvSpPr>
      <cdr:spPr>
        <a:xfrm xmlns:a="http://schemas.openxmlformats.org/drawingml/2006/main">
          <a:off x="5513883" y="2709661"/>
          <a:ext cx="94146" cy="121162"/>
        </a:xfrm>
        <a:prstGeom xmlns:a="http://schemas.openxmlformats.org/drawingml/2006/main" prst="star5">
          <a:avLst/>
        </a:prstGeom>
        <a:solidFill xmlns:a="http://schemas.openxmlformats.org/drawingml/2006/main">
          <a:srgbClr val="C00000"/>
        </a:solidFill>
        <a:ln xmlns:a="http://schemas.openxmlformats.org/drawingml/2006/main">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0.56772</cdr:x>
      <cdr:y>0.47118</cdr:y>
    </cdr:from>
    <cdr:to>
      <cdr:x>0.57916</cdr:x>
      <cdr:y>0.50201</cdr:y>
    </cdr:to>
    <cdr:sp macro="" textlink="">
      <cdr:nvSpPr>
        <cdr:cNvPr id="6" name="5-Point Star 5"/>
        <cdr:cNvSpPr/>
      </cdr:nvSpPr>
      <cdr:spPr>
        <a:xfrm xmlns:a="http://schemas.openxmlformats.org/drawingml/2006/main">
          <a:off x="4672077" y="1851754"/>
          <a:ext cx="94146" cy="121163"/>
        </a:xfrm>
        <a:prstGeom xmlns:a="http://schemas.openxmlformats.org/drawingml/2006/main" prst="star5">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E1B27-730C-43FB-8CA2-7D698BB68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143</Pages>
  <Words>29971</Words>
  <Characters>170841</Characters>
  <Application>Microsoft Office Word</Application>
  <DocSecurity>0</DocSecurity>
  <Lines>1423</Lines>
  <Paragraphs>400</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200412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Freshour, Samuel Lucas</dc:creator>
  <cp:lastModifiedBy>Lucas</cp:lastModifiedBy>
  <cp:revision>16</cp:revision>
  <dcterms:created xsi:type="dcterms:W3CDTF">2013-04-18T13:00:00Z</dcterms:created>
  <dcterms:modified xsi:type="dcterms:W3CDTF">2013-04-19T16:52:00Z</dcterms:modified>
</cp:coreProperties>
</file>